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B4B39">
      <w:pPr>
        <w:ind w:left="0" w:leftChars="0" w:firstLine="0" w:firstLineChars="0"/>
        <w:jc w:val="center"/>
        <w:rPr>
          <w:rFonts w:hint="eastAsia"/>
          <w:color w:val="000000" w:themeColor="text1"/>
          <w:sz w:val="44"/>
          <w:szCs w:val="44"/>
          <w:highlight w:val="none"/>
          <w14:textFill>
            <w14:solidFill>
              <w14:schemeClr w14:val="tx1"/>
            </w14:solidFill>
          </w14:textFill>
        </w:rPr>
      </w:pPr>
    </w:p>
    <w:p w14:paraId="0D93688F">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江苏经贸职业技术学院</w:t>
      </w:r>
    </w:p>
    <w:p w14:paraId="09BB859C">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学生公寓兰馨苑2栋、3栋宿舍改造家具采购</w:t>
      </w:r>
    </w:p>
    <w:p w14:paraId="5CA32F2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6E2A50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C7745F0">
      <w:pPr>
        <w:ind w:left="0" w:leftChars="0" w:firstLine="0" w:firstLineChars="0"/>
        <w:jc w:val="center"/>
        <w:rPr>
          <w:rFonts w:hint="eastAsia"/>
          <w:color w:val="000000" w:themeColor="text1"/>
          <w:sz w:val="44"/>
          <w:szCs w:val="44"/>
          <w:highlight w:val="none"/>
          <w14:textFill>
            <w14:solidFill>
              <w14:schemeClr w14:val="tx1"/>
            </w14:solidFill>
          </w14:textFill>
        </w:rPr>
      </w:pPr>
    </w:p>
    <w:p w14:paraId="1757A44B">
      <w:pPr>
        <w:ind w:left="0" w:leftChars="0" w:firstLine="0" w:firstLineChars="0"/>
        <w:jc w:val="center"/>
        <w:rPr>
          <w:rFonts w:hint="eastAsia"/>
          <w:color w:val="000000" w:themeColor="text1"/>
          <w:sz w:val="44"/>
          <w:szCs w:val="44"/>
          <w:highlight w:val="none"/>
          <w14:textFill>
            <w14:solidFill>
              <w14:schemeClr w14:val="tx1"/>
            </w14:solidFill>
          </w14:textFill>
        </w:rPr>
      </w:pPr>
    </w:p>
    <w:p w14:paraId="7E0BF912">
      <w:pPr>
        <w:ind w:left="0" w:leftChars="0" w:firstLine="0" w:firstLineChars="0"/>
        <w:jc w:val="center"/>
        <w:rPr>
          <w:rFonts w:hint="eastAsia"/>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drawing>
          <wp:inline distT="0" distB="0" distL="114300" distR="114300">
            <wp:extent cx="1717675" cy="2131695"/>
            <wp:effectExtent l="0" t="0" r="0" b="0"/>
            <wp:docPr id="1" name="图片 2" descr="我的插图-1"/>
            <wp:cNvGraphicFramePr/>
            <a:graphic xmlns:a="http://schemas.openxmlformats.org/drawingml/2006/main">
              <a:graphicData uri="http://schemas.openxmlformats.org/drawingml/2006/picture">
                <pic:pic xmlns:pic="http://schemas.openxmlformats.org/drawingml/2006/picture">
                  <pic:nvPicPr>
                    <pic:cNvPr id="1" name="图片 2" descr="我的插图-1"/>
                    <pic:cNvPicPr/>
                  </pic:nvPicPr>
                  <pic:blipFill>
                    <a:blip r:embed="rId8"/>
                    <a:stretch>
                      <a:fillRect/>
                    </a:stretch>
                  </pic:blipFill>
                  <pic:spPr>
                    <a:xfrm>
                      <a:off x="0" y="0"/>
                      <a:ext cx="1717675" cy="2131695"/>
                    </a:xfrm>
                    <a:prstGeom prst="rect">
                      <a:avLst/>
                    </a:prstGeom>
                    <a:noFill/>
                    <a:ln>
                      <a:noFill/>
                    </a:ln>
                  </pic:spPr>
                </pic:pic>
              </a:graphicData>
            </a:graphic>
          </wp:inline>
        </w:drawing>
      </w:r>
    </w:p>
    <w:p w14:paraId="00D30748">
      <w:pPr>
        <w:ind w:left="0" w:leftChars="0" w:firstLine="0" w:firstLineChars="0"/>
        <w:jc w:val="center"/>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招 标 文 件</w:t>
      </w:r>
    </w:p>
    <w:p w14:paraId="464C4A78">
      <w:pPr>
        <w:ind w:left="0" w:leftChars="0" w:firstLine="0" w:firstLineChars="0"/>
        <w:jc w:val="center"/>
        <w:rPr>
          <w:rFonts w:hint="eastAsia"/>
          <w:color w:val="000000" w:themeColor="text1"/>
          <w:sz w:val="36"/>
          <w:szCs w:val="36"/>
          <w:highlight w:val="none"/>
          <w:lang w:eastAsia="zh-CN"/>
          <w14:textFill>
            <w14:solidFill>
              <w14:schemeClr w14:val="tx1"/>
            </w14:solidFill>
          </w14:textFill>
        </w:rPr>
      </w:pPr>
      <w:r>
        <w:rPr>
          <w:rFonts w:hint="eastAsia"/>
          <w:color w:val="000000" w:themeColor="text1"/>
          <w:sz w:val="36"/>
          <w:szCs w:val="36"/>
          <w:highlight w:val="none"/>
          <w14:textFill>
            <w14:solidFill>
              <w14:schemeClr w14:val="tx1"/>
            </w14:solidFill>
          </w14:textFill>
        </w:rPr>
        <w:t>项目编号：</w:t>
      </w:r>
      <w:r>
        <w:rPr>
          <w:rFonts w:hint="eastAsia"/>
          <w:color w:val="000000" w:themeColor="text1"/>
          <w:sz w:val="36"/>
          <w:szCs w:val="36"/>
          <w:highlight w:val="none"/>
          <w:lang w:eastAsia="zh-CN"/>
          <w14:textFill>
            <w14:solidFill>
              <w14:schemeClr w14:val="tx1"/>
            </w14:solidFill>
          </w14:textFill>
        </w:rPr>
        <w:t>JSZC-320000-SNZX-G2026-0089</w:t>
      </w:r>
    </w:p>
    <w:p w14:paraId="745039E0">
      <w:pPr>
        <w:ind w:left="0" w:leftChars="0" w:firstLine="0" w:firstLineChars="0"/>
        <w:jc w:val="center"/>
        <w:rPr>
          <w:rFonts w:hint="default"/>
          <w:color w:val="000000" w:themeColor="text1"/>
          <w:sz w:val="36"/>
          <w:szCs w:val="36"/>
          <w:highlight w:val="none"/>
          <w:lang w:val="en-US" w:eastAsia="zh-CN"/>
          <w14:textFill>
            <w14:solidFill>
              <w14:schemeClr w14:val="tx1"/>
            </w14:solidFill>
          </w14:textFill>
        </w:rPr>
      </w:pPr>
      <w:r>
        <w:rPr>
          <w:rFonts w:hint="eastAsia"/>
          <w:color w:val="000000" w:themeColor="text1"/>
          <w:sz w:val="36"/>
          <w:szCs w:val="36"/>
          <w:highlight w:val="none"/>
          <w:lang w:val="en-US" w:eastAsia="zh-CN"/>
          <w14:textFill>
            <w14:solidFill>
              <w14:schemeClr w14:val="tx1"/>
            </w14:solidFill>
          </w14:textFill>
        </w:rPr>
        <w:t>采购包1</w:t>
      </w:r>
    </w:p>
    <w:p w14:paraId="65810252">
      <w:pPr>
        <w:ind w:left="0" w:leftChars="0" w:firstLine="0" w:firstLineChars="0"/>
        <w:jc w:val="center"/>
        <w:rPr>
          <w:rFonts w:hint="eastAsia"/>
          <w:color w:val="000000" w:themeColor="text1"/>
          <w:sz w:val="44"/>
          <w:szCs w:val="44"/>
          <w:highlight w:val="none"/>
          <w14:textFill>
            <w14:solidFill>
              <w14:schemeClr w14:val="tx1"/>
            </w14:solidFill>
          </w14:textFill>
        </w:rPr>
      </w:pPr>
    </w:p>
    <w:p w14:paraId="116A723C">
      <w:pPr>
        <w:ind w:left="0" w:leftChars="0" w:firstLine="0" w:firstLineChars="0"/>
        <w:jc w:val="center"/>
        <w:rPr>
          <w:rFonts w:hint="eastAsia"/>
          <w:color w:val="000000" w:themeColor="text1"/>
          <w:sz w:val="44"/>
          <w:szCs w:val="44"/>
          <w:highlight w:val="none"/>
          <w14:textFill>
            <w14:solidFill>
              <w14:schemeClr w14:val="tx1"/>
            </w14:solidFill>
          </w14:textFill>
        </w:rPr>
      </w:pPr>
    </w:p>
    <w:p w14:paraId="58673E92">
      <w:pPr>
        <w:ind w:left="0" w:leftChars="0" w:firstLine="0" w:firstLineChars="0"/>
        <w:jc w:val="center"/>
        <w:rPr>
          <w:rFonts w:hint="eastAsia"/>
          <w:color w:val="000000" w:themeColor="text1"/>
          <w:sz w:val="44"/>
          <w:szCs w:val="44"/>
          <w:highlight w:val="none"/>
          <w14:textFill>
            <w14:solidFill>
              <w14:schemeClr w14:val="tx1"/>
            </w14:solidFill>
          </w14:textFill>
        </w:rPr>
      </w:pPr>
    </w:p>
    <w:p w14:paraId="38226CCD">
      <w:pPr>
        <w:ind w:left="0" w:leftChars="0" w:firstLine="0" w:firstLineChars="0"/>
        <w:jc w:val="left"/>
        <w:rPr>
          <w:rFonts w:hint="eastAsia" w:eastAsia="宋体"/>
          <w:b/>
          <w:bCs/>
          <w:color w:val="000000" w:themeColor="text1"/>
          <w:sz w:val="36"/>
          <w:szCs w:val="36"/>
          <w:highlight w:val="none"/>
          <w:lang w:eastAsia="zh-CN"/>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采购人：</w:t>
      </w:r>
      <w:r>
        <w:rPr>
          <w:rFonts w:hint="eastAsia"/>
          <w:b/>
          <w:bCs/>
          <w:color w:val="000000" w:themeColor="text1"/>
          <w:sz w:val="36"/>
          <w:szCs w:val="36"/>
          <w:highlight w:val="none"/>
          <w:lang w:eastAsia="zh-CN"/>
          <w14:textFill>
            <w14:solidFill>
              <w14:schemeClr w14:val="tx1"/>
            </w14:solidFill>
          </w14:textFill>
        </w:rPr>
        <w:t>江苏经贸职业技术学院</w:t>
      </w:r>
    </w:p>
    <w:p w14:paraId="21511071">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采购代理机构：南京苏宁工程咨询有限公司</w:t>
      </w:r>
    </w:p>
    <w:p w14:paraId="039AFEB8">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日期：二〇二</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年</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月</w:t>
      </w:r>
    </w:p>
    <w:p w14:paraId="196479B7">
      <w:pPr>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br w:type="page"/>
      </w:r>
    </w:p>
    <w:p w14:paraId="20DC5701">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第一章  投标邀请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DE0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6951ECF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项目概况</w:t>
            </w:r>
          </w:p>
          <w:p w14:paraId="2E57848E">
            <w:pPr>
              <w:bidi w:val="0"/>
              <w:rPr>
                <w:rFonts w:hint="eastAsia"/>
                <w:color w:val="000000" w:themeColor="text1"/>
                <w:highlight w:val="none"/>
                <w:vertAlign w:val="baseli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学生公寓兰馨苑2栋、3栋宿舍改造家具采购</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招标项目的潜在投标人应在</w:t>
            </w:r>
            <w:r>
              <w:rPr>
                <w:rFonts w:hint="eastAsia"/>
                <w:color w:val="000000" w:themeColor="text1"/>
                <w:highlight w:val="none"/>
                <w:u w:val="singl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获取招标文件，并于</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（北京时间）前递交投标文件。</w:t>
            </w:r>
          </w:p>
        </w:tc>
      </w:tr>
    </w:tbl>
    <w:p w14:paraId="05220640">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一、项目基本情况</w:t>
      </w:r>
    </w:p>
    <w:p w14:paraId="274DCD1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eastAsia="zh-CN"/>
          <w14:textFill>
            <w14:solidFill>
              <w14:schemeClr w14:val="tx1"/>
            </w14:solidFill>
          </w14:textFill>
        </w:rPr>
        <w:t>JSZC-320000-SNZX-G2026-0089</w:t>
      </w:r>
    </w:p>
    <w:p w14:paraId="517DC5BF">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学生公寓兰馨苑2栋、3栋宿舍改造家具采购</w:t>
      </w:r>
    </w:p>
    <w:p w14:paraId="6B736BF6">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预算金额：</w:t>
      </w:r>
      <w:r>
        <w:rPr>
          <w:rFonts w:hint="eastAsia"/>
          <w:color w:val="000000" w:themeColor="text1"/>
          <w:highlight w:val="none"/>
          <w:lang w:val="en-US" w:eastAsia="zh-CN"/>
          <w14:textFill>
            <w14:solidFill>
              <w14:schemeClr w14:val="tx1"/>
            </w14:solidFill>
          </w14:textFill>
        </w:rPr>
        <w:t>287.7875</w:t>
      </w:r>
      <w:r>
        <w:rPr>
          <w:rFonts w:hint="eastAsia"/>
          <w:color w:val="000000" w:themeColor="text1"/>
          <w:highlight w:val="none"/>
          <w:lang w:eastAsia="zh-CN"/>
          <w14:textFill>
            <w14:solidFill>
              <w14:schemeClr w14:val="tx1"/>
            </w14:solidFill>
          </w14:textFill>
        </w:rPr>
        <w:t>万元（</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lang w:eastAsia="zh-CN"/>
          <w14:textFill>
            <w14:solidFill>
              <w14:schemeClr w14:val="tx1"/>
            </w14:solidFill>
          </w14:textFill>
        </w:rPr>
        <w:t>）</w:t>
      </w:r>
    </w:p>
    <w:p w14:paraId="154775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14:textFill>
            <w14:solidFill>
              <w14:schemeClr w14:val="tx1"/>
            </w14:solidFill>
          </w14:textFill>
        </w:rPr>
        <w:t>，报价超过</w:t>
      </w:r>
      <w:r>
        <w:rPr>
          <w:rFonts w:hint="eastAsia"/>
          <w:color w:val="000000" w:themeColor="text1"/>
          <w:highlight w:val="none"/>
          <w:lang w:val="en-US" w:eastAsia="zh-CN"/>
          <w14:textFill>
            <w14:solidFill>
              <w14:schemeClr w14:val="tx1"/>
            </w14:solidFill>
          </w14:textFill>
        </w:rPr>
        <w:t>对应</w:t>
      </w:r>
      <w:r>
        <w:rPr>
          <w:rFonts w:hint="eastAsia"/>
          <w:color w:val="000000" w:themeColor="text1"/>
          <w:highlight w:val="none"/>
          <w14:textFill>
            <w14:solidFill>
              <w14:schemeClr w14:val="tx1"/>
            </w14:solidFill>
          </w14:textFill>
        </w:rPr>
        <w:t>最高限价的视为无效投标。</w:t>
      </w:r>
    </w:p>
    <w:p w14:paraId="251B9A97">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采购需求：</w:t>
      </w:r>
      <w:r>
        <w:rPr>
          <w:rFonts w:hint="eastAsia"/>
          <w:color w:val="000000" w:themeColor="text1"/>
          <w:highlight w:val="none"/>
          <w:lang w:eastAsia="zh-CN"/>
          <w14:textFill>
            <w14:solidFill>
              <w14:schemeClr w14:val="tx1"/>
            </w14:solidFill>
          </w14:textFill>
        </w:rPr>
        <w:t>学生公寓兰馨苑2栋、3栋宿舍改造家具采购，包括家具供应、安装调试及售后服务等。</w:t>
      </w:r>
      <w:r>
        <w:rPr>
          <w:rFonts w:hint="eastAsia"/>
          <w:color w:val="000000" w:themeColor="text1"/>
          <w:highlight w:val="none"/>
          <w:lang w:val="en-US" w:eastAsia="zh-CN"/>
          <w14:textFill>
            <w14:solidFill>
              <w14:schemeClr w14:val="tx1"/>
            </w14:solidFill>
          </w14:textFill>
        </w:rPr>
        <w:t>采购包1为学生公寓兰馨苑2栋家具采购，共24个大套间，包含84个房间，共计504个床位。采购包2为学生公寓兰馨苑3栋家具采购，共24个大套间，包含77个房间，共计462个床位。详见招标文件。</w:t>
      </w:r>
    </w:p>
    <w:p w14:paraId="137CDF4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合同履行期限：中标供应商在接到采购人安装通知之日起10个日历日内安装完毕全部家具并交付使用。</w:t>
      </w:r>
    </w:p>
    <w:p w14:paraId="14564AC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本项目（是/否）接受联合体投标：否。</w:t>
      </w:r>
    </w:p>
    <w:p w14:paraId="5794403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二、申请人的资格要求：</w:t>
      </w:r>
    </w:p>
    <w:p w14:paraId="797D796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1.满足《中华人民共和国政府采购法》第二十二条规定；</w:t>
      </w:r>
    </w:p>
    <w:p w14:paraId="20BAEAA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（1）具有独立承担民事责任的能力（提供法人或者其他组织的营业执照，自然人的身份证明）；</w:t>
      </w:r>
    </w:p>
    <w:p w14:paraId="2D7857E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（2）具有良好的商业信誉和健全的财务会计制度（提供以下三种材料的任意一种，复印件加盖公章）：</w:t>
      </w:r>
    </w:p>
    <w:p w14:paraId="2BEB32E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①上一年度的经第三方会计师事务所审计的财务报告复印件</w:t>
      </w:r>
      <w:r>
        <w:rPr>
          <w:rFonts w:hint="eastAsia"/>
          <w:color w:val="000000" w:themeColor="text1"/>
          <w:highlight w:val="none"/>
          <w:lang w:eastAsia="zh-CN"/>
          <w14:textFill>
            <w14:solidFill>
              <w14:schemeClr w14:val="tx1"/>
            </w14:solidFill>
          </w14:textFill>
        </w:rPr>
        <w:t>（包括报告及报表等内容，并由注册会计师签名、盖章以及会计师事务所盖章）</w:t>
      </w:r>
      <w:r>
        <w:rPr>
          <w:rFonts w:hint="eastAsia"/>
          <w:color w:val="000000" w:themeColor="text1"/>
          <w:highlight w:val="none"/>
          <w14:textFill>
            <w14:solidFill>
              <w14:schemeClr w14:val="tx1"/>
            </w14:solidFill>
          </w14:textFill>
        </w:rPr>
        <w:t>；</w:t>
      </w:r>
    </w:p>
    <w:p w14:paraId="7DCCD8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②提交投标文件截止日前六个月内基本开户银行出具的资信证明；</w:t>
      </w:r>
    </w:p>
    <w:p w14:paraId="5FB07E9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③提交投标文件截止时间</w:t>
      </w:r>
      <w:r>
        <w:rPr>
          <w:rFonts w:hint="eastAsia"/>
          <w:color w:val="000000" w:themeColor="text1"/>
          <w:highlight w:val="none"/>
          <w:lang w:val="en-US" w:eastAsia="zh-CN"/>
          <w14:textFill>
            <w14:solidFill>
              <w14:schemeClr w14:val="tx1"/>
            </w14:solidFill>
          </w14:textFill>
        </w:rPr>
        <w:t>前六个月内</w:t>
      </w:r>
      <w:r>
        <w:rPr>
          <w:rFonts w:hint="eastAsia"/>
          <w:color w:val="000000" w:themeColor="text1"/>
          <w:highlight w:val="none"/>
          <w14:textFill>
            <w14:solidFill>
              <w14:schemeClr w14:val="tx1"/>
            </w14:solidFill>
          </w14:textFill>
        </w:rPr>
        <w:t>任意一个月的财务状况记录（至少包括资产负债表和损益表，并加盖公章）。</w:t>
      </w:r>
    </w:p>
    <w:p w14:paraId="562D3F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eastAsia"/>
          <w:color w:val="000000" w:themeColor="text1"/>
          <w:highlight w:val="none"/>
          <w14:textFill>
            <w14:solidFill>
              <w14:schemeClr w14:val="tx1"/>
            </w14:solidFill>
          </w14:textFill>
        </w:rPr>
        <w:t>证明材料）；</w:t>
      </w:r>
    </w:p>
    <w:p w14:paraId="5B26E40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（4）有依法缴纳税收和社会保障资金的良好记录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投标人需要提供提交投标文件截止日前六个月内任意一个月的企业依法缴纳税收（个人所得税除外）和社会保障资金的记录（如依法免税或依法不需要缴纳社会保障资金的，提供相应证明文件，自拟文件无效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03539B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（5）参加本次采购活动前三年内，在经营活动中没有重大违法记录（提供参加本次采购活动前三年内在经营活动中没有重大违法记录的书面声明）；</w:t>
      </w:r>
    </w:p>
    <w:p w14:paraId="27552D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（6）法律、行政法规规定的其他条件。</w:t>
      </w:r>
    </w:p>
    <w:p w14:paraId="46888ECE">
      <w:pPr>
        <w:bidi w:val="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2.落实政府采购政策需满足的资格要求：本项目</w:t>
      </w:r>
      <w:r>
        <w:rPr>
          <w:rFonts w:hint="eastAsia"/>
          <w:color w:val="000000" w:themeColor="text1"/>
          <w:highlight w:val="none"/>
          <w:lang w:val="en-US" w:eastAsia="zh-CN"/>
          <w14:textFill>
            <w14:solidFill>
              <w14:schemeClr w14:val="tx1"/>
            </w14:solidFill>
          </w14:textFill>
        </w:rPr>
        <w:t>各采购包均</w:t>
      </w:r>
      <w:r>
        <w:rPr>
          <w:rFonts w:hint="eastAsia"/>
          <w:color w:val="000000" w:themeColor="text1"/>
          <w:highlight w:val="none"/>
          <w14:textFill>
            <w14:solidFill>
              <w14:schemeClr w14:val="tx1"/>
            </w14:solidFill>
          </w14:textFill>
        </w:rPr>
        <w:t>专门面向中小微型企业采购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即投标人所投产品制造商均属于中小微企业</w:t>
      </w:r>
      <w:r>
        <w:rPr>
          <w:rFonts w:hint="eastAsia"/>
          <w:color w:val="000000" w:themeColor="text1"/>
          <w:highlight w:val="none"/>
          <w14:textFill>
            <w14:solidFill>
              <w14:schemeClr w14:val="tx1"/>
            </w14:solidFill>
          </w14:textFill>
        </w:rPr>
        <w:t>。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7C55B5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3.本项目的特定资格要求：无。</w:t>
      </w:r>
    </w:p>
    <w:p w14:paraId="0EEFB2D6">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三、获取招标文件</w:t>
      </w:r>
    </w:p>
    <w:p w14:paraId="1665A99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时间：自招标文件公告发布之日起5个工作日</w:t>
      </w:r>
    </w:p>
    <w:p w14:paraId="2684C90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14:textFill>
            <w14:solidFill>
              <w14:schemeClr w14:val="tx1"/>
            </w14:solidFill>
          </w14:textFill>
        </w:rPr>
        <w:t>江苏政府采购网</w:t>
      </w:r>
    </w:p>
    <w:p w14:paraId="1A7B9CC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供应商登录“江苏政府采购网”，在网站首页点击“苏采云”→使用CA锁登录系统（新用户需进行“平台用户注册”）→“项目参与”进行登记，在“可参与项目”中选择“我要参与”，参与成功后到“已参与项目”中找到对应项目并进行操作。</w:t>
      </w:r>
    </w:p>
    <w:p w14:paraId="0A48925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售价：0元</w:t>
      </w:r>
    </w:p>
    <w:p w14:paraId="0FC1E301">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四、提交投标文件截止时间、开标时间和地点</w:t>
      </w:r>
    </w:p>
    <w:p w14:paraId="1C3242B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提交投标文件截止时间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开标时间</w:t>
      </w:r>
      <w:r>
        <w:rPr>
          <w:rFonts w:hint="eastAsia"/>
          <w:color w:val="000000" w:themeColor="text1"/>
          <w:highlight w:val="none"/>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w:t>
      </w:r>
    </w:p>
    <w:p w14:paraId="173B98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江苏省政府采购交易系统（以下简称“苏采云系统”）网上开标大厅</w:t>
      </w:r>
    </w:p>
    <w:p w14:paraId="0CD13335">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五、公告期限</w:t>
      </w:r>
    </w:p>
    <w:p w14:paraId="5077A2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自本公告发布之日起5个工作日。</w:t>
      </w:r>
    </w:p>
    <w:p w14:paraId="2C796FE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六、其他补充事宜</w:t>
      </w:r>
    </w:p>
    <w:p w14:paraId="1A87A69C">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1.本项目标的所属行业：</w:t>
      </w:r>
      <w:r>
        <w:rPr>
          <w:rFonts w:hint="eastAsia"/>
          <w:color w:val="000000" w:themeColor="text1"/>
          <w:highlight w:val="none"/>
          <w:lang w:val="en-US" w:eastAsia="zh-CN"/>
          <w14:textFill>
            <w14:solidFill>
              <w14:schemeClr w14:val="tx1"/>
            </w14:solidFill>
          </w14:textFill>
        </w:rPr>
        <w:t>工业</w:t>
      </w:r>
    </w:p>
    <w:p w14:paraId="089A843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2.本项目不接受联合体投标，不接受转包、分包。</w:t>
      </w:r>
    </w:p>
    <w:p w14:paraId="60882771">
      <w:pPr>
        <w:tabs>
          <w:tab w:val="left" w:pos="7680"/>
        </w:tabs>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w:t>
      </w:r>
      <w:r>
        <w:rPr>
          <w:rFonts w:hint="eastAsia"/>
          <w:color w:val="000000" w:themeColor="text1"/>
          <w:highlight w:val="none"/>
          <w:lang w:val="en-US" w:eastAsia="zh-CN"/>
          <w14:textFill>
            <w14:solidFill>
              <w14:schemeClr w14:val="tx1"/>
            </w14:solidFill>
          </w14:textFill>
        </w:rPr>
        <w:t>不接受进口</w:t>
      </w:r>
      <w:r>
        <w:rPr>
          <w:rFonts w:hint="eastAsia"/>
          <w:color w:val="000000" w:themeColor="text1"/>
          <w:highlight w:val="none"/>
          <w14:textFill>
            <w14:solidFill>
              <w14:schemeClr w14:val="tx1"/>
            </w14:solidFill>
          </w14:textFill>
        </w:rPr>
        <w:t>产品投标（注：本文件所称进口产品是指通过中国海关报关验放进入中国境内且产自关境外的产品）。</w:t>
      </w:r>
    </w:p>
    <w:p w14:paraId="7D0EE93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4.拒绝下述投标人参加本次采购活动：</w:t>
      </w:r>
    </w:p>
    <w:p w14:paraId="5C837ED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（1）投标人单位负责人为同一人或者存在直接控股、管理关系的不同投标人，不得参加同一合同项下的采购活动。</w:t>
      </w:r>
    </w:p>
    <w:p w14:paraId="3DC358F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（2）凡为采购项目提供整体设计、规范编制或者项目管理、监理、检测等服务的投标人，不得再参加本项目的采购活动。</w:t>
      </w:r>
    </w:p>
    <w:p w14:paraId="2E53C2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（3）拒绝列入失信被执行人、重大税收违法失信主体、政府采购严重违法失信行为记录名单中的投标人参加本项目的采购活动。</w:t>
      </w:r>
    </w:p>
    <w:p w14:paraId="30BEFC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5.集中考察或答疑：采购人</w:t>
      </w:r>
      <w:r>
        <w:rPr>
          <w:rFonts w:hint="eastAsia"/>
          <w:color w:val="000000" w:themeColor="text1"/>
          <w:highlight w:val="none"/>
          <w:lang w:val="en-US" w:eastAsia="zh-CN"/>
          <w14:textFill>
            <w14:solidFill>
              <w14:schemeClr w14:val="tx1"/>
            </w14:solidFill>
          </w14:textFill>
        </w:rPr>
        <w:t>不</w:t>
      </w:r>
      <w:r>
        <w:rPr>
          <w:rFonts w:hint="eastAsia"/>
          <w:color w:val="000000" w:themeColor="text1"/>
          <w:highlight w:val="none"/>
          <w14:textFill>
            <w14:solidFill>
              <w14:schemeClr w14:val="tx1"/>
            </w14:solidFill>
          </w14:textFill>
        </w:rPr>
        <w:t>组织统一勘察，供应商可自行联系采购人。未踏勘现场或踏勘工作不详细的供应商</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14:textFill>
            <w14:solidFill>
              <w14:schemeClr w14:val="tx1"/>
            </w14:solidFill>
          </w14:textFill>
        </w:rPr>
        <w:t>后，不得以不完全了解现场情况为理由而向采购人提出任何索赔或其他要求，对此采购人不承担任何责任并将不作任何答复。</w:t>
      </w:r>
    </w:p>
    <w:p w14:paraId="770460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6.公告媒体</w:t>
      </w:r>
    </w:p>
    <w:p w14:paraId="65723E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（1）本公告在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//www.ccgp-jiangsu.gov.cn/）发布，敬请各投标人关注；</w:t>
      </w:r>
    </w:p>
    <w:p w14:paraId="377A585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（2）若有关本次采购存在变动或修改，敬请各投标人及时关注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//www.ccgp-jiangsu.gov.cn/）发布的关于本项目的信息更正公告。</w:t>
      </w:r>
    </w:p>
    <w:p w14:paraId="4E991BD5">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采购项目需要落实的政府采购政策：本项目执行《政府采购促进中小企业发展管理办法》《关于政府采购支持监狱企业发展有关问题的通知》《关于促进残疾人就业政府采购政策的通知》《关于调整优化节能产品、环境标志产品政府采购执行机制的通知》《国务院办公厅关于在政府采购中实施本国产品标准及相关政策的通知》等政府采购文件。</w:t>
      </w:r>
    </w:p>
    <w:p w14:paraId="4379FE77">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2322854E">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七、对本次招标提出询问，请按以下方式联系。</w:t>
      </w:r>
    </w:p>
    <w:p w14:paraId="53EAF1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1.采购人信息</w:t>
      </w:r>
    </w:p>
    <w:p w14:paraId="54564C5B">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名称：</w:t>
      </w:r>
      <w:r>
        <w:rPr>
          <w:rFonts w:hint="eastAsia"/>
          <w:color w:val="000000" w:themeColor="text1"/>
          <w:highlight w:val="none"/>
          <w:lang w:eastAsia="zh-CN"/>
          <w14:textFill>
            <w14:solidFill>
              <w14:schemeClr w14:val="tx1"/>
            </w14:solidFill>
          </w14:textFill>
        </w:rPr>
        <w:t>江苏经贸职业技术学院</w:t>
      </w:r>
    </w:p>
    <w:p w14:paraId="5AAA1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地址：南京市江宁区龙眠大道180号</w:t>
      </w:r>
    </w:p>
    <w:p w14:paraId="0770C2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联系方式：许老师025-52710682</w:t>
      </w:r>
    </w:p>
    <w:p w14:paraId="56B3F5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2.采购代理机构信息</w:t>
      </w:r>
    </w:p>
    <w:p w14:paraId="7EA4FE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名称：南京苏宁工程咨询有限公司</w:t>
      </w:r>
    </w:p>
    <w:p w14:paraId="24BB0A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地址：南京市鼓楼区中山路99号12楼1212室</w:t>
      </w:r>
    </w:p>
    <w:p w14:paraId="6F0CFB5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联系方式：张薇025-84207240、025-83616261</w:t>
      </w:r>
    </w:p>
    <w:p w14:paraId="4BE4B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3.项目联系方式</w:t>
      </w:r>
    </w:p>
    <w:p w14:paraId="4F2B6B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项目联系人：张薇</w:t>
      </w:r>
    </w:p>
    <w:p w14:paraId="33B20B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电话：025-84207240、025-83616261</w:t>
      </w:r>
    </w:p>
    <w:p w14:paraId="2BDF6E2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B2F48FC">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第二章  投标人须知</w:t>
      </w:r>
    </w:p>
    <w:p w14:paraId="2932D9E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一、总则</w:t>
      </w:r>
    </w:p>
    <w:p w14:paraId="1083588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1.适用法律</w:t>
      </w:r>
    </w:p>
    <w:p w14:paraId="3E07B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 《中华人民共和国政府采购法》《中华人民共和国政府采购法实施条例》《政府采购货物和服务招标投标管理办法》等有关法律、规章和规定等。</w:t>
      </w:r>
    </w:p>
    <w:p w14:paraId="142EFA5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2.定义</w:t>
      </w:r>
    </w:p>
    <w:p w14:paraId="159406EC">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2.1“采购人”是指</w:t>
      </w:r>
      <w:r>
        <w:rPr>
          <w:rFonts w:hint="eastAsia"/>
          <w:color w:val="000000" w:themeColor="text1"/>
          <w:highlight w:val="none"/>
          <w:lang w:eastAsia="zh-CN"/>
          <w14:textFill>
            <w14:solidFill>
              <w14:schemeClr w14:val="tx1"/>
            </w14:solidFill>
          </w14:textFill>
        </w:rPr>
        <w:t>江苏经贸职业技术学院</w:t>
      </w:r>
    </w:p>
    <w:p w14:paraId="2BB266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2.2“采购代理机构”是指南京苏宁工程咨询有限公司</w:t>
      </w:r>
    </w:p>
    <w:p w14:paraId="1C5EDB8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2.3“供应商”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是指向采购人提供货物、工程或者服务的法人、其他组织或者自然人。</w:t>
      </w:r>
    </w:p>
    <w:p w14:paraId="69F250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“货物”是指各种形态和种类的物品，包括原材料、燃料、设备、产品等。</w:t>
      </w:r>
    </w:p>
    <w:p w14:paraId="6F88D57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“工程”是指建设工程，包括建筑物和构筑物的新建、改建、扩建、装修、拆除、修缮等。</w:t>
      </w:r>
    </w:p>
    <w:p w14:paraId="6C8A2F5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w:t>
      </w:r>
      <w:r>
        <w:rPr>
          <w:rFonts w:hint="eastAsia"/>
          <w:color w:val="000000" w:themeColor="text1"/>
          <w:highlight w:val="none"/>
          <w14:textFill>
            <w14:solidFill>
              <w14:schemeClr w14:val="tx1"/>
            </w14:solidFill>
          </w14:textFill>
        </w:rPr>
        <w:t>“服务”是指除货物和工程以外的其他政府采购对象。</w:t>
      </w:r>
    </w:p>
    <w:p w14:paraId="48D8F90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3.政策功能</w:t>
      </w:r>
    </w:p>
    <w:p w14:paraId="7B2FB3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 政府采购促进中小企业发展，在政府采购活动中，投标人提供的货物、工程或者服务，符合下列情形的，享受中小企业扶持政策：</w:t>
      </w:r>
    </w:p>
    <w:p w14:paraId="00F7A9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（1）在货物采购项目中，货物由中小企业制造，即货物由中小企业生产且使用该中小企业商号或者注册商标；</w:t>
      </w:r>
    </w:p>
    <w:p w14:paraId="14EAF6C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（2）在工程采购项目中，工程由中小企业承建，即工程施工单位为中小企业；</w:t>
      </w:r>
    </w:p>
    <w:p w14:paraId="050CCB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3854E0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在货物采购项目中，投标人提供的货物既有中小企业制造货物，也有大型企业制造货物的，不享受中小企业扶持政策。</w:t>
      </w:r>
    </w:p>
    <w:p w14:paraId="4D699A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中小企业投标人参加政府采购活动，应当出具《中小企业声明函》（格式见附件），否则不得享受相关中小企业扶持政策。</w:t>
      </w:r>
    </w:p>
    <w:p w14:paraId="4326F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中小企业，是指在中华人民共和国境内依法设立，依据国务院批准的中小企业划分标准（详见《关于印发中小企业划型标准规定的通知》工信部联企业〔2011〕300 号及《国家统计局关于印发〈统计上大中小微型企业划分办法（2017）〉的通知》国统字〔2017〕213 号）确定的中型企业、小型企业和微型企业，但与大企业的负责人为同一人，或者与大企业存在直接控股、管理关系的除外。符合中小企业划分标准的个体工商户，在政府采购活动中视同中小企业。</w:t>
      </w:r>
    </w:p>
    <w:p w14:paraId="44D5A4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 政府采购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政府采购支持政策的要求详见财库〔2014〕68 号。</w:t>
      </w:r>
    </w:p>
    <w:p w14:paraId="3D6CAB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 政府采购促进残疾人就业政策，残疾人福利性单位提供的产品和服务在评标时将获得优势，参加投标的残疾人福利性单位，应当提供《残疾人福利性单位声明函》，残疾人福利性单位享受政府采购支持政策的要求详见财库〔2017〕141 号。</w:t>
      </w:r>
    </w:p>
    <w:p w14:paraId="132CA8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 脱贫攻坚支持政策</w:t>
      </w:r>
    </w:p>
    <w:p w14:paraId="06784F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根据《关于运用政府采购政策支持脱贫攻坚的通知》（财库〔2019〕27号），鼓励采用优先采购、预留采购份额方式采购贫困地区农副产品；鼓励优先采购聘用建档立卡贫困人员物业公司提供的物业服务。</w:t>
      </w:r>
    </w:p>
    <w:p w14:paraId="56F76A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使用财政性资金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各级预算单位可根据符合条件的物业公司数量等具体情况，按规定履行有关变更</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式报批程序后，采用竞争性谈判、竞争性磋商、单一来源等非公开招标</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式，采购有关物业公司提供的物业服务。</w:t>
      </w:r>
    </w:p>
    <w:p w14:paraId="418ED4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要按照注重实效、切实可行的原则确定采购贫困地区物业服务的需求。按上述政策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14:paraId="0AFCBB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w:t>
      </w:r>
    </w:p>
    <w:p w14:paraId="289410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 提供的产品属于信息安全产品的，投标人应当选择经国家认证的信息安全产品投标，并提供由中国信息安全认证中心按国家标准认证颁发的有效认证证书复印件。</w:t>
      </w:r>
    </w:p>
    <w:p w14:paraId="5C61D2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3.7 提供的产品属于政府强制采购节能产品的，投标人应当选择依据国家标准中二级能效（水效）指标认证的节能产品投标，并提供有效的节能产品认证证书复印件。</w:t>
      </w:r>
    </w:p>
    <w:p w14:paraId="133CA3E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 提供的产品属于环境标志产品的，投标人应当选择依据相关标准的最新版本认证的环境标志产品投标，并提供有效的环境标志产品认证证书复印件。</w:t>
      </w:r>
    </w:p>
    <w:p w14:paraId="32D422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3.9实施本国产品标准及相关政策</w:t>
      </w:r>
    </w:p>
    <w:p w14:paraId="57808AC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3.9.1</w:t>
      </w:r>
      <w:r>
        <w:rPr>
          <w:rFonts w:hint="eastAsia"/>
          <w:color w:val="000000" w:themeColor="text1"/>
          <w:highlight w:val="none"/>
          <w14:textFill>
            <w14:solidFill>
              <w14:schemeClr w14:val="tx1"/>
            </w14:solidFill>
          </w14:textFill>
        </w:rPr>
        <w:t>根据《国务院办公厅关于在政府采购中实施本国产品标准及相关政策的通知》（国办发〔2025〕34号）、《关于贯彻落实〈国务院办公厅关于在政府采购中实施本国产品标准及相关政策的通知〉的意见》（财库〔2025〕30号）、《关于落实在政府</w:t>
      </w:r>
      <w:r>
        <w:rPr>
          <w:rFonts w:hint="eastAsia"/>
          <w:color w:val="000000" w:themeColor="text1"/>
          <w:highlight w:val="none"/>
          <w:lang w:eastAsia="zh-CN"/>
          <w14:textFill>
            <w14:solidFill>
              <w14:schemeClr w14:val="tx1"/>
            </w14:solidFill>
          </w14:textFill>
        </w:rPr>
        <w:t>采购</w:t>
      </w:r>
      <w:r>
        <w:rPr>
          <w:rFonts w:hint="eastAsia"/>
          <w:color w:val="000000" w:themeColor="text1"/>
          <w:highlight w:val="none"/>
          <w14:textFill>
            <w14:solidFill>
              <w14:schemeClr w14:val="tx1"/>
            </w14:solidFill>
          </w14:textFill>
        </w:rPr>
        <w:t>中实施本国产品标准及相关政策的通知》（宁财购通〔2025〕78号）等文件规定，在政府采购中实施本国产品标准及相关政策。</w:t>
      </w:r>
    </w:p>
    <w:p w14:paraId="2060523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3.9.2</w:t>
      </w:r>
      <w:r>
        <w:rPr>
          <w:rFonts w:hint="eastAsia"/>
          <w:color w:val="000000" w:themeColor="text1"/>
          <w:highlight w:val="none"/>
          <w14:textFill>
            <w14:solidFill>
              <w14:schemeClr w14:val="tx1"/>
            </w14:solidFill>
          </w14:textFill>
        </w:rPr>
        <w:t>本国产品应当符合以下条件：</w:t>
      </w:r>
    </w:p>
    <w:p w14:paraId="45F92D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（1）在中国境内生产</w:t>
      </w:r>
    </w:p>
    <w:p w14:paraId="71BD816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应当在中国境内生产，即在中华人民共和国关境内实现从原材料、组件到产品的属性改变。属性改变具体定义和标准详见《国务院办公厅关于在政府采购中实施本国产品标准及相关政策的通知》（国办发〔2025〕34号）规定。</w:t>
      </w:r>
    </w:p>
    <w:p w14:paraId="1EFD1F0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3C7A1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（2）在中国境内生产的组件成本占比达到规定比例</w:t>
      </w:r>
    </w:p>
    <w:p w14:paraId="21F9A47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比例计算公式详见《国务院办公厅关于在政府采购中实施本国产品标准及相关政策的通知》（国办发〔2025〕34号）规定。财政部会同有关行业主管部门，分产品确定在中国境内生产的组件成本占比应当达到的规定比例。在分产品的中国境内生产的组件成本占比相关要求实施前，符合上述第（1）条“在中国境内生产”条件的产品在政府采购活动中视同本国产品。</w:t>
      </w:r>
    </w:p>
    <w:p w14:paraId="334035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（3）特定产品的关键组件、关键工序符合相关要求</w:t>
      </w:r>
    </w:p>
    <w:p w14:paraId="5CCDE6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14:paraId="0C97850C">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3.9.3</w:t>
      </w:r>
      <w:r>
        <w:rPr>
          <w:rFonts w:hint="eastAsia"/>
          <w:color w:val="000000" w:themeColor="text1"/>
          <w:highlight w:val="none"/>
          <w14:textFill>
            <w14:solidFill>
              <w14:schemeClr w14:val="tx1"/>
            </w14:solidFill>
          </w14:textFill>
        </w:rPr>
        <w:t>本国产品标准的适用范围</w:t>
      </w:r>
    </w:p>
    <w:p w14:paraId="58EE28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B1D71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3.9.4</w:t>
      </w:r>
      <w:r>
        <w:rPr>
          <w:rFonts w:hint="eastAsia"/>
          <w:color w:val="000000" w:themeColor="text1"/>
          <w:highlight w:val="none"/>
          <w14:textFill>
            <w14:solidFill>
              <w14:schemeClr w14:val="tx1"/>
            </w14:solidFill>
          </w14:textFill>
        </w:rPr>
        <w:t>对本国产品的支持政策</w:t>
      </w:r>
    </w:p>
    <w:p w14:paraId="3FC490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本项目如既有本国产品又有非本国产品参与竞争，依法对本国产品给予价格评审优惠，具体详见第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章。</w:t>
      </w:r>
    </w:p>
    <w:p w14:paraId="06E1891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w:t>
      </w:r>
      <w:r>
        <w:rPr>
          <w:rFonts w:hint="eastAsia"/>
          <w:color w:val="000000" w:themeColor="text1"/>
          <w:highlight w:val="none"/>
          <w14:textFill>
            <w14:solidFill>
              <w14:schemeClr w14:val="tx1"/>
            </w14:solidFill>
          </w14:textFill>
        </w:rPr>
        <w:t>政策执行要求</w:t>
      </w:r>
    </w:p>
    <w:p w14:paraId="04FBFA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在中国境内生产的组件成本核算规则。产品在中国境内生产的组件成本，按照《中国境内生产的组件成本核算基本规则》计算，详见《国务院办公厅关于在政府采购中实施本国产品标准及相关政策的通知》（国办发〔2025〕34号）规定。</w:t>
      </w:r>
    </w:p>
    <w:p w14:paraId="2E25FA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有关证明文件。供应商对提供的本国产品出具《关于符合本国产品标准的声明函》（格式见第六章）或财政部会同有关部门规定的有关证明文件，出具符合要求的《关于符合本国产品标准的声明函》或有关证明文件的，该产品视为本国产品，不再要求供应商提供其他证明材料。供应商提供虚假《关于符合本国产品标准的声明函》、虚假证明文件谋取中标（成交）的，依照《中华人民共和国政府采购法》等法律法规规定追究相应责任。</w:t>
      </w:r>
    </w:p>
    <w:p w14:paraId="396B29E1">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评标委员会</w:t>
      </w:r>
      <w:r>
        <w:rPr>
          <w:rFonts w:hint="eastAsia"/>
          <w:color w:val="000000" w:themeColor="text1"/>
          <w:highlight w:val="none"/>
          <w14:textFill>
            <w14:solidFill>
              <w14:schemeClr w14:val="tx1"/>
            </w14:solidFill>
          </w14:textFill>
        </w:rPr>
        <w:t>评审中发现供应商提供的《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在政府采购中实施本国产品标准及相关政策规定要求的，供应商提供的相关产品视为不符合本国产品标准。</w:t>
      </w:r>
    </w:p>
    <w:p w14:paraId="703DF2D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 未按要求提供相关材料的，不享受相关政策。</w:t>
      </w:r>
    </w:p>
    <w:p w14:paraId="7C3342B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4.招标文件的约束力</w:t>
      </w:r>
    </w:p>
    <w:p w14:paraId="1C91D49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 投标人一旦参加本项目采购活动，即被认为接受了本招标文件的规定和约束。</w:t>
      </w:r>
    </w:p>
    <w:p w14:paraId="2D6D573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二、招标文件</w:t>
      </w:r>
    </w:p>
    <w:p w14:paraId="011EBFB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5.招标文件组成</w:t>
      </w:r>
    </w:p>
    <w:p w14:paraId="2BD828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 招标文件组成：投标邀请、投标人须知、评标方法与评标标准、采购需求、合同主要条款及格式、投标文件格式及附件等。</w:t>
      </w:r>
    </w:p>
    <w:p w14:paraId="454E82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 招标的最小单位是</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数量及技术要求中未</w:t>
      </w:r>
      <w:r>
        <w:rPr>
          <w:rFonts w:hint="eastAsia"/>
          <w:color w:val="000000" w:themeColor="text1"/>
          <w:highlight w:val="none"/>
          <w:lang w:val="en-US" w:eastAsia="zh-CN"/>
          <w14:textFill>
            <w14:solidFill>
              <w14:schemeClr w14:val="tx1"/>
            </w14:solidFill>
          </w14:textFill>
        </w:rPr>
        <w:t>划分采购</w:t>
      </w:r>
      <w:r>
        <w:rPr>
          <w:rFonts w:hint="eastAsia"/>
          <w:color w:val="000000" w:themeColor="text1"/>
          <w:highlight w:val="none"/>
          <w14:textFill>
            <w14:solidFill>
              <w14:schemeClr w14:val="tx1"/>
            </w14:solidFill>
          </w14:textFill>
        </w:rPr>
        <w:t>包的，投标人对要求提供的</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不得部分投标；招标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数量及技术要求中已经分包的，应当以</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包为单位投标。</w:t>
      </w:r>
    </w:p>
    <w:p w14:paraId="6464F6F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 招标文件如果要求投标人提交备选投标方案的，投标人可以提交备选方案，否则，不接受备选方案。</w:t>
      </w:r>
    </w:p>
    <w:p w14:paraId="1892BC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6.招标文件的澄清修改</w:t>
      </w:r>
    </w:p>
    <w:p w14:paraId="0299EC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 代理机构对已发出的招标文件进行必要澄清或者修改的，将在招标文件要求提交投标文件截止时间十五日前，在原招标公告媒体发布更正公告，该澄清或者修改的内容为招标文件的组成部分。</w:t>
      </w:r>
    </w:p>
    <w:p w14:paraId="1A4675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 代理机构在招标文件要求提交投标文件截止时间前，有权决定延长投标截止时间和开标时间，并在原采购信息发布媒体上发布变更公告。</w:t>
      </w:r>
    </w:p>
    <w:p w14:paraId="1E6B5C9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 投标人应在投标截止时间前关注原采购信息发布媒体上有关本招标项目有无</w:t>
      </w:r>
      <w:r>
        <w:rPr>
          <w:rFonts w:hint="eastAsia"/>
          <w:color w:val="000000" w:themeColor="text1"/>
          <w:highlight w:val="none"/>
          <w:lang w:val="en-US" w:eastAsia="zh-CN"/>
          <w14:textFill>
            <w14:solidFill>
              <w14:schemeClr w14:val="tx1"/>
            </w14:solidFill>
          </w14:textFill>
        </w:rPr>
        <w:t>更正</w:t>
      </w:r>
      <w:r>
        <w:rPr>
          <w:rFonts w:hint="eastAsia"/>
          <w:color w:val="000000" w:themeColor="text1"/>
          <w:highlight w:val="none"/>
          <w14:textFill>
            <w14:solidFill>
              <w14:schemeClr w14:val="tx1"/>
            </w14:solidFill>
          </w14:textFill>
        </w:rPr>
        <w:t>公告。</w:t>
      </w:r>
    </w:p>
    <w:p w14:paraId="087F4F3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三、投标</w:t>
      </w:r>
    </w:p>
    <w:p w14:paraId="59B56006">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7.投标文件的语言、计量单位、货币、技术标准和编制</w:t>
      </w:r>
    </w:p>
    <w:p w14:paraId="15F573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7.1 投标人提交的投标文件、技术文件和资料，包括图纸中的说明，以及投标人与代理机构就有关投标的所有来往函电均应使用中文。投标文件中若有英文或其他语言文字的资料，应提供相应的中文翻译资料。对不同文本投标文件的解释发生异议的，以简体中文文本为准。</w:t>
      </w:r>
    </w:p>
    <w:p w14:paraId="421722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 投标人所使用的计量单位应为国家法定计量单位。</w:t>
      </w:r>
    </w:p>
    <w:p w14:paraId="3D2E0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7.3 投标人应用人民币报价。</w:t>
      </w:r>
    </w:p>
    <w:p w14:paraId="180A048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7.4 投标文件应字迹清楚、内容齐全、不得涂改。如有修改，修改处须有法定代表人签字或盖章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或授权委托人签字或加盖投标人公章。</w:t>
      </w:r>
    </w:p>
    <w:p w14:paraId="648BA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 如标书制作工具中格式和内容与“江苏政府采购网”发布的招标文件不一致，以“江苏政府采购网”发布的招标文件为准。</w:t>
      </w:r>
    </w:p>
    <w:p w14:paraId="24059ED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7.6 投标人应在投标文件中写清相应的项目编号、项目名称、投标人全称、地址、电话、传真等。</w:t>
      </w:r>
    </w:p>
    <w:p w14:paraId="204D4A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投标人所使用的技术标准应遵循国家最新标准及规范。</w:t>
      </w:r>
    </w:p>
    <w:p w14:paraId="0FA90572">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8.联合体及分包：本项目不接受联合体投标，不接受分包、转包。</w:t>
      </w:r>
    </w:p>
    <w:p w14:paraId="76B419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8.1 采购项目如接受联合体投标的，两个以上的自然人、法人或者其他组织可以组成一个联合体，以一个投标人的身份共同参加投标。</w:t>
      </w:r>
    </w:p>
    <w:p w14:paraId="0CE35F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8.2 联合体各方之间应当签订联合体协议，明确约定联合体各方承担的工作和相应的责任，并将联合体协议连同投标文件一并提交。联合体各方签订联合体协议后，不得再以自己名义单独在同一项目中投标，也不得组成新的联合体参加同一项目投标。</w:t>
      </w:r>
    </w:p>
    <w:p w14:paraId="07CEF6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8.3 政府采购合同分包履行的，中标人就采购项目和分包项目向采购人负责，分包项目投标人就分包项目承担责任，中标人与分包投标人之间应该签订分包意向协议。</w:t>
      </w:r>
    </w:p>
    <w:p w14:paraId="711A40D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8.4 享受中小企业扶持政策获得政府采购合同的，小微企业不得将合同分包给大中型企业，中型企业不得将合同分包给大型企业。</w:t>
      </w:r>
    </w:p>
    <w:p w14:paraId="17EA3B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 预留份额的采购项目中，组成联合体或者接受分包的中小企业与联合体内其他企业、分包企业之间不得存在直接控股、管理关系。未预留份额的采购项目或采购包中，组成联合体或者接受分包的中小企业与联合体内其他企业、分包企业之间存在直接控股、管理关系的，不享受价格扣除优惠政策。</w:t>
      </w:r>
    </w:p>
    <w:p w14:paraId="1843A5B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9.投标费用</w:t>
      </w:r>
    </w:p>
    <w:p w14:paraId="04B1B1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 投标人应承担所有与准备和参加投标有关的费用，无论采购结果如何，代理机构和采购人在任何情况下均无义务和责任承担这些费用。</w:t>
      </w:r>
    </w:p>
    <w:p w14:paraId="7BDA0C3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9.2 招标代理服务费：本次招标，中标人按《招标代理服务收费管理暂行办法》（国家发展计划委员会计价格</w:t>
      </w:r>
      <w:r>
        <w:rPr>
          <w:rFonts w:hint="eastAsia"/>
          <w:color w:val="000000" w:themeColor="text1"/>
          <w:highlight w:val="none"/>
          <w:lang w:eastAsia="zh-CN"/>
          <w14:textFill>
            <w14:solidFill>
              <w14:schemeClr w14:val="tx1"/>
            </w14:solidFill>
          </w14:textFill>
        </w:rPr>
        <w:t>〔2002〕1980号</w:t>
      </w:r>
      <w:r>
        <w:rPr>
          <w:rFonts w:hint="eastAsia"/>
          <w:color w:val="000000" w:themeColor="text1"/>
          <w:highlight w:val="none"/>
          <w14:textFill>
            <w14:solidFill>
              <w14:schemeClr w14:val="tx1"/>
            </w14:solidFill>
          </w14:textFill>
        </w:rPr>
        <w:t>）代理服务招标收费标准</w:t>
      </w:r>
      <w:r>
        <w:rPr>
          <w:rFonts w:hint="eastAsia"/>
          <w:color w:val="000000" w:themeColor="text1"/>
          <w:highlight w:val="none"/>
          <w:lang w:val="en-US" w:eastAsia="zh-CN"/>
          <w14:textFill>
            <w14:solidFill>
              <w14:schemeClr w14:val="tx1"/>
            </w14:solidFill>
          </w14:textFill>
        </w:rPr>
        <w:t>的48%</w:t>
      </w:r>
      <w:r>
        <w:rPr>
          <w:rFonts w:hint="eastAsia"/>
          <w:color w:val="000000" w:themeColor="text1"/>
          <w:highlight w:val="none"/>
          <w14:textFill>
            <w14:solidFill>
              <w14:schemeClr w14:val="tx1"/>
            </w14:solidFill>
          </w14:textFill>
        </w:rPr>
        <w:t>计算，向招标代理机构支付招标代理服务费。该项费用</w:t>
      </w:r>
      <w:r>
        <w:rPr>
          <w:rFonts w:hint="eastAsia"/>
          <w:color w:val="000000" w:themeColor="text1"/>
          <w:highlight w:val="none"/>
          <w:lang w:val="en-US" w:eastAsia="zh-CN"/>
          <w14:textFill>
            <w14:solidFill>
              <w14:schemeClr w14:val="tx1"/>
            </w14:solidFill>
          </w14:textFill>
        </w:rPr>
        <w:t>采购人已考虑在项目预算内，</w:t>
      </w:r>
      <w:r>
        <w:rPr>
          <w:rFonts w:hint="eastAsia"/>
          <w:color w:val="000000" w:themeColor="text1"/>
          <w:highlight w:val="none"/>
          <w14:textFill>
            <w14:solidFill>
              <w14:schemeClr w14:val="tx1"/>
            </w14:solidFill>
          </w14:textFill>
        </w:rPr>
        <w:t>请供应商综合考虑在投标报价中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无须在报价表中单列此费用）</w:t>
      </w:r>
      <w:r>
        <w:rPr>
          <w:rFonts w:hint="eastAsia"/>
          <w:color w:val="000000" w:themeColor="text1"/>
          <w:highlight w:val="none"/>
          <w14:textFill>
            <w14:solidFill>
              <w14:schemeClr w14:val="tx1"/>
            </w14:solidFill>
          </w14:textFill>
        </w:rPr>
        <w:t>，后期采购人不单独列支，必须在领取中标通知书前向招标代理机构支付招标服务费。</w:t>
      </w:r>
    </w:p>
    <w:p w14:paraId="748AED3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10.投标文件组成</w:t>
      </w:r>
    </w:p>
    <w:p w14:paraId="1BBBCF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10.1 投标人应当根据招标文件要求编制投标文件，投标文件应对招标文件提出的要求和条件作出实质性响应，并在《商务条款偏离表》和《技术条款偏离表》《资格性和符合性检查响应对照表》等处逐条标明满足与否。</w:t>
      </w:r>
    </w:p>
    <w:p w14:paraId="082ED45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10.2 投标人递交的投标文件，所有内容均应真实有效；投标人所提供的产品或相关服务，必须满足国家相关强制性规定要求，由于投标人违反国家相关强制性规定给采购人造成损失，一切责任和后果均由投标人承担。</w:t>
      </w:r>
    </w:p>
    <w:p w14:paraId="426A16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投标文件由商务部分、技术部分、价格部分，以及其他部分组成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格式见第六章</w:t>
      </w:r>
      <w:r>
        <w:rPr>
          <w:rFonts w:hint="eastAsia"/>
          <w:color w:val="000000" w:themeColor="text1"/>
          <w:highlight w:val="none"/>
          <w14:textFill>
            <w14:solidFill>
              <w14:schemeClr w14:val="tx1"/>
            </w14:solidFill>
          </w14:textFill>
        </w:rPr>
        <w:t>。</w:t>
      </w:r>
    </w:p>
    <w:p w14:paraId="68137D6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11.投标文件的商务部分</w:t>
      </w:r>
    </w:p>
    <w:p w14:paraId="49AF86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11.1 商务部分是证明投标人有资格参加投标和中标后有能力履行合同的文件，这些文件应能满足招标的要求，包括但不限于下列文件，其中加“★”项目不得有缺失或无效：</w:t>
      </w:r>
    </w:p>
    <w:p w14:paraId="67D3B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w:t>
      </w:r>
      <w:r>
        <w:rPr>
          <w:rFonts w:hint="eastAsia"/>
          <w:color w:val="000000" w:themeColor="text1"/>
          <w:highlight w:val="none"/>
          <w:lang w:val="en-US" w:eastAsia="zh-CN"/>
          <w14:textFill>
            <w14:solidFill>
              <w14:schemeClr w14:val="tx1"/>
            </w14:solidFill>
          </w14:textFill>
        </w:rPr>
        <w:t>函</w:t>
      </w:r>
      <w:r>
        <w:rPr>
          <w:rFonts w:hint="eastAsia"/>
          <w:color w:val="000000" w:themeColor="text1"/>
          <w:highlight w:val="none"/>
          <w14:textFill>
            <w14:solidFill>
              <w14:schemeClr w14:val="tx1"/>
            </w14:solidFill>
          </w14:textFill>
        </w:rPr>
        <w:t>；</w:t>
      </w:r>
    </w:p>
    <w:p w14:paraId="2D20D03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（2）★法定代表人授权委托书、授权委托人的身份证复印件及投标人或分支机构为其缴纳的社保证明（有授权委托的），或法定代表人身份证复印件（无授权委托的）；</w:t>
      </w:r>
    </w:p>
    <w:p w14:paraId="2BF6A36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（3）★第一章投标邀请中“二、申请人的资格要求”规定的证明文件；</w:t>
      </w:r>
    </w:p>
    <w:p w14:paraId="3BB5697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（4）《商务条款偏离表》；</w:t>
      </w:r>
    </w:p>
    <w:p w14:paraId="22215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（5）投标人认为需要提供的其他资格证明文件和商务资料。</w:t>
      </w:r>
    </w:p>
    <w:p w14:paraId="6422B5F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12.投标文件的技术部分</w:t>
      </w:r>
    </w:p>
    <w:p w14:paraId="0B211F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12.1 技术部分是证明投标人提供的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是合格的、并符合招标文件要求的证明文件，以及对</w:t>
      </w:r>
      <w:r>
        <w:rPr>
          <w:rFonts w:hint="eastAsia"/>
          <w:color w:val="000000" w:themeColor="text1"/>
          <w:highlight w:val="none"/>
          <w:lang w:val="en-US" w:eastAsia="zh-CN"/>
          <w14:textFill>
            <w14:solidFill>
              <w14:schemeClr w14:val="tx1"/>
            </w14:solidFill>
          </w14:textFill>
        </w:rPr>
        <w:t>提供</w:t>
      </w:r>
      <w:r>
        <w:rPr>
          <w:rFonts w:hint="eastAsia"/>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的详细说明，这些文件可以是文字资料、图纸和数据等。</w:t>
      </w:r>
    </w:p>
    <w:p w14:paraId="03F374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12.2 若技术性能无特殊说明，则按国家有关部门最新颁布的标准及规范为准。</w:t>
      </w:r>
    </w:p>
    <w:p w14:paraId="6C1765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12.3 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的技术指标如与招标文件要求有不符之处，应说明其差别之所在，并在《技术条款偏离表》中逐条予以说明。</w:t>
      </w:r>
    </w:p>
    <w:p w14:paraId="03857B6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13.投标文件的价格部分</w:t>
      </w:r>
    </w:p>
    <w:p w14:paraId="11B0940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.1所有投标均以人民币报价，应包括国家规定的税金。</w:t>
      </w:r>
    </w:p>
    <w:p w14:paraId="47152E2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.2投标文件的价格部分是对采购标的价格构成的说明，招标文件如无特别说明，每项货物、服务或工程等只允许有一个报价，任何有选择的报价将不予接受，将作为无效投标处理。</w:t>
      </w:r>
    </w:p>
    <w:p w14:paraId="44BAA2E0">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3投标人应按照本项目要求的内容，报出总价与分项明细报价。投标报价应包括为完成本项目所发生的一切费用和税费，包括代垫费用（差旅费、住宿费、通讯费等）、增值税及其他附加税等杂项支出在内的一切费用和税费，除招标文件规定外，采购人将不再支付报价以外的任何费用。如发生漏缺、少项，都被视为投标人的让利行为。投标人估算错误的风险一律由投标人自行承担。</w:t>
      </w:r>
    </w:p>
    <w:p w14:paraId="0AC1809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4投标人要按开标一览表、分项报价表的内容填写投标报价及其它事项。开标一览表须加盖公章。分项报价表的总价应和开标一览表的投标总价相一致，包括投标人为完成本项目所发生的一切费用相关的所有税费。如分项报价表的总价和开标一览表的投标总价不一致的，按照本须知规定的内容执行。</w:t>
      </w:r>
    </w:p>
    <w:p w14:paraId="5A9C707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14.投标文件的其他部分</w:t>
      </w:r>
    </w:p>
    <w:p w14:paraId="2A009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14.1 投标人编制投标文件需要提供的其他相关文件。</w:t>
      </w:r>
    </w:p>
    <w:p w14:paraId="4D5994E5">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15.投标保证金</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无</w:t>
      </w:r>
    </w:p>
    <w:p w14:paraId="4D40FED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16.投标有效期</w:t>
      </w:r>
    </w:p>
    <w:p w14:paraId="54664594">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16.1 自开标之日起</w:t>
      </w:r>
      <w:r>
        <w:rPr>
          <w:rFonts w:hint="eastAsia"/>
          <w:color w:val="000000" w:themeColor="text1"/>
          <w:highlight w:val="none"/>
          <w:u w:val="single"/>
          <w14:textFill>
            <w14:solidFill>
              <w14:schemeClr w14:val="tx1"/>
            </w14:solidFill>
          </w14:textFill>
        </w:rPr>
        <w:t>九十日</w:t>
      </w:r>
      <w:r>
        <w:rPr>
          <w:rFonts w:hint="eastAsia"/>
          <w:color w:val="000000" w:themeColor="text1"/>
          <w:highlight w:val="none"/>
          <w14:textFill>
            <w14:solidFill>
              <w14:schemeClr w14:val="tx1"/>
            </w14:solidFill>
          </w14:textFill>
        </w:rPr>
        <w:t>内投标有效。</w:t>
      </w:r>
      <w:r>
        <w:rPr>
          <w:rFonts w:hint="eastAsia"/>
          <w:b/>
          <w:bCs/>
          <w:color w:val="000000" w:themeColor="text1"/>
          <w:highlight w:val="none"/>
          <w:lang w:val="en-US" w:eastAsia="zh-CN"/>
          <w14:textFill>
            <w14:solidFill>
              <w14:schemeClr w14:val="tx1"/>
            </w14:solidFill>
          </w14:textFill>
        </w:rPr>
        <w:t>投标有效期未达到规定期限的，按无效投标处理。</w:t>
      </w:r>
    </w:p>
    <w:p w14:paraId="38C829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16.2 特殊情况下，在原投标有效期截止之前，代理机构可要求投标人同意延长投标有效期，这种要求与答复均以书面形式提交。投标人可以拒绝这种要求，但接受延长投标有效期的投标人将不会要求和允许修正其投标。</w:t>
      </w:r>
    </w:p>
    <w:p w14:paraId="4C97F13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17.投标文件的签署</w:t>
      </w:r>
    </w:p>
    <w:p w14:paraId="211C69B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投标文件须经法定代表人或经正式授权并对投标人有约束力的授权委托人签字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可采用电子签名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和加盖投标人</w:t>
      </w:r>
      <w:r>
        <w:rPr>
          <w:rFonts w:hint="eastAsia"/>
          <w:color w:val="000000" w:themeColor="text1"/>
          <w:highlight w:val="none"/>
          <w:lang w:val="en-US" w:eastAsia="zh-CN"/>
          <w14:textFill>
            <w14:solidFill>
              <w14:schemeClr w14:val="tx1"/>
            </w14:solidFill>
          </w14:textFill>
        </w:rPr>
        <w:t>电子</w:t>
      </w:r>
      <w:r>
        <w:rPr>
          <w:rFonts w:hint="eastAsia"/>
          <w:color w:val="000000" w:themeColor="text1"/>
          <w:highlight w:val="none"/>
          <w14:textFill>
            <w14:solidFill>
              <w14:schemeClr w14:val="tx1"/>
            </w14:solidFill>
          </w14:textFill>
        </w:rPr>
        <w:t>公章。本招标文件所表述（指定）的公章是指法定名称章，不包括合同专用章、业务专用章等印章。</w:t>
      </w:r>
    </w:p>
    <w:p w14:paraId="222C9E4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18.投标文件的递交</w:t>
      </w:r>
    </w:p>
    <w:p w14:paraId="2884F3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 投标人应当按照《操作手册》规定，在招标公告规定的投标截止时间前制作并上传电子投标文件。</w:t>
      </w:r>
    </w:p>
    <w:p w14:paraId="79F61D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 投标人应充分考虑网络环境、网络带宽等因素可能对投标产生的影响，如因投标人自身原因造成的电子投标文件上传不成功的，按做无效投标处理。</w:t>
      </w:r>
    </w:p>
    <w:p w14:paraId="371833A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19.有下列情形之一的投标文件将被拒收</w:t>
      </w:r>
    </w:p>
    <w:p w14:paraId="43F52F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19.1 投标截止时间后上传的任何投标文件将被拒绝。</w:t>
      </w:r>
    </w:p>
    <w:p w14:paraId="213822E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20.投标文件的修改和撤回</w:t>
      </w:r>
    </w:p>
    <w:p w14:paraId="72A61BC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 投标文件的撤回</w:t>
      </w:r>
    </w:p>
    <w:p w14:paraId="75248FC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.1.1 投标人可在投标截止时间前撤回其电子投标文件，具体操作方法见《操作手册》。</w:t>
      </w:r>
    </w:p>
    <w:p w14:paraId="2EDAC92D">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.1.2 投标人撤回电子投标文件，则认为其不再参与本项目投标活动。</w:t>
      </w:r>
    </w:p>
    <w:p w14:paraId="7AEA7B5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 投标文件的修改</w:t>
      </w:r>
    </w:p>
    <w:p w14:paraId="772D197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.2.1 投标人可在投标截止时间前对其电子投标文件进行修改，具体操作方法见《操作手册》。</w:t>
      </w:r>
    </w:p>
    <w:p w14:paraId="35D85676">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.2.2 投标截止时间之后，投标人不得对其电子投标文件作任何修改。</w:t>
      </w:r>
    </w:p>
    <w:p w14:paraId="0AB38798">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.3 在投标截止时间至招标文件中规定的投标有效期满之间的这段时间内，投标人不得撤回其投标。</w:t>
      </w:r>
    </w:p>
    <w:p w14:paraId="2EF10E9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四、开标、评标与确定中标人</w:t>
      </w:r>
    </w:p>
    <w:p w14:paraId="429E546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21.开标</w:t>
      </w:r>
    </w:p>
    <w:p w14:paraId="08194F9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.1 </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在招标公告中规定的时间和地点组织公开开标。投标人按照《操作手册》规定参加开标活动，并在苏采云系统规定的时间内对投标文件进行解密。苏采云系统公布各投标人名称和投标价格。</w:t>
      </w:r>
    </w:p>
    <w:p w14:paraId="53E68CC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.2 投标人在开标过程中涉及到的投标文件解密、开标结果确认等工作，应按照《操作手册》规定执行。</w:t>
      </w:r>
    </w:p>
    <w:p w14:paraId="57C69B2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.3 投标人如果对开标过程和开标结果有疑义，应当根据《操作手册》规定提出，苏采云系统中《开标记录表》公布后5分钟内未提出的，视同认可开标结果。</w:t>
      </w:r>
    </w:p>
    <w:p w14:paraId="2CFE18D9">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21.4 如出现投标截止时间结束后参加投标的投标人不足三家的情况，不得开标。</w:t>
      </w:r>
    </w:p>
    <w:p w14:paraId="33D3600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22.评标</w:t>
      </w:r>
    </w:p>
    <w:p w14:paraId="46742A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 评标组织</w:t>
      </w:r>
    </w:p>
    <w:p w14:paraId="7BA7855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22.1.1 评标工作由代理机构组织，具体评标事务由依法组建的评标委员会负责，并独立履行下列职责：</w:t>
      </w:r>
    </w:p>
    <w:p w14:paraId="5B1C5B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（1）审查、评价投标文件是否符合招标文件的商务、技术等实质性要求；</w:t>
      </w:r>
    </w:p>
    <w:p w14:paraId="51695D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（2）要求投标人对投标文件有关事项作出澄清或者说明；</w:t>
      </w:r>
    </w:p>
    <w:p w14:paraId="26A5D9D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（3）对投标文件进行比较和评价；</w:t>
      </w:r>
    </w:p>
    <w:p w14:paraId="4D1810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（4）推荐中标候选人或根据采购人委托直接确定中标人；</w:t>
      </w:r>
    </w:p>
    <w:p w14:paraId="355A8C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（5）向采购人、采购代理机构或者有关部门报告评标中发现的违法行为。</w:t>
      </w:r>
    </w:p>
    <w:p w14:paraId="1FE2396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22.1.2 评标委员会由采购人代表（如有）和有关技术、经济等方面的专家组成，独立开展评审工作。</w:t>
      </w:r>
    </w:p>
    <w:p w14:paraId="3A77B1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 评标程序</w:t>
      </w:r>
    </w:p>
    <w:p w14:paraId="5B4DDAA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 投标文件的资格审查</w:t>
      </w:r>
    </w:p>
    <w:p w14:paraId="7E8AB2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采购人代表依法对投标人的资格进行审查。</w:t>
      </w:r>
    </w:p>
    <w:p w14:paraId="2A17EA2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22.2.1.2</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采购人代表依据法律法规和招标文件的规定，对投标文件中的资格证明文件等进行审查，以确定投标人是否具备投标资格。</w:t>
      </w:r>
    </w:p>
    <w:p w14:paraId="61E0CB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22.2.1.3</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在进行资格性审查的同时，将在“信用中国”网站（www.creditchina.gov.cn）、“中国政府采购网”（www.ccgp.gov.cn）对投标人是否被列入失信被执行人、重大税收违法失信主体、政府采购严重违法失信行为记录名单的情况进行查询，以确定投标人是否具备投标资格。</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将查询结果以网页打印的形式留存并归档。</w:t>
      </w:r>
    </w:p>
    <w:p w14:paraId="065576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22.2.1.4 投标文件有下列情况之一的，在资格性审查时按照无效投标处理</w:t>
      </w:r>
    </w:p>
    <w:p w14:paraId="072BE8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（1）不具备招标文件规定资格条件的；</w:t>
      </w:r>
    </w:p>
    <w:p w14:paraId="46CE7BC9">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投标人被“信用中国”网站（www.creditchina.gov.cn）、“中国政府采购网”（www.ccgp.gov.cn）列入失信被执行人、重大税收违法失信主体、政府采购严重违法失信行为记录名单的。接受联合体的项目，两个以上的自然人、法人或者其他组织组成一个联合体，以一个投标人的身份共同参加政府采购活动的，联合体成员存在不良信用记录的，视同联合体存在不良信用记录</w:t>
      </w:r>
      <w:r>
        <w:rPr>
          <w:rFonts w:hint="eastAsia"/>
          <w:color w:val="000000" w:themeColor="text1"/>
          <w:highlight w:val="none"/>
          <w:lang w:eastAsia="zh-CN"/>
          <w14:textFill>
            <w14:solidFill>
              <w14:schemeClr w14:val="tx1"/>
            </w14:solidFill>
          </w14:textFill>
        </w:rPr>
        <w:t>。</w:t>
      </w:r>
    </w:p>
    <w:p w14:paraId="72FDB5D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 投标文件的符合性审查</w:t>
      </w:r>
    </w:p>
    <w:p w14:paraId="1A6CE8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评标委员会将依据法律法规和招标文件的规定，对投标文件的有效性、完整性和对招标文件的响应程度进行审查，以确定是否对招标文件的实质性要求作出响应。</w:t>
      </w:r>
    </w:p>
    <w:p w14:paraId="38A98E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22.2.2.2 实质性要求是指本招标文件中带“★”的要求。</w:t>
      </w:r>
    </w:p>
    <w:p w14:paraId="403DBA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22.2.2.3 如果投标文件实质上没有响应招标文件的要求，评标委员会将予以拒绝，投标人不得通过修改或撤销不符合要求的偏离而使其投标成为实质性响应的投标。</w:t>
      </w:r>
    </w:p>
    <w:p w14:paraId="6D178F7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22.2.2.4 算术错误的修正</w:t>
      </w:r>
    </w:p>
    <w:p w14:paraId="23F02DB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22.2.2.4.1 </w:t>
      </w:r>
      <w:r>
        <w:rPr>
          <w:rFonts w:hint="eastAsia"/>
          <w:color w:val="000000" w:themeColor="text1"/>
          <w:highlight w:val="none"/>
          <w14:textFill>
            <w14:solidFill>
              <w14:schemeClr w14:val="tx1"/>
            </w14:solidFill>
          </w14:textFill>
        </w:rPr>
        <w:t>评标委员会将对确定为实质性响应的投标进行进一步审核，看其是否有计算上或累加上的算术错误，修正错误的原则如下：</w:t>
      </w:r>
    </w:p>
    <w:p w14:paraId="4036826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（1）投标文件中开标一览表内容与投标文件中相应内容不一致的，以开标一览表为准。</w:t>
      </w:r>
    </w:p>
    <w:p w14:paraId="0C6023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（2）大写金额和小写金额不一致的，以大写金额为准。</w:t>
      </w:r>
    </w:p>
    <w:p w14:paraId="2F7475B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（3）单价金额小数点或者百分比有明显错位的，以开标一览表的总价为准，并修改单价。</w:t>
      </w:r>
    </w:p>
    <w:p w14:paraId="6CCD5B7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（4）总价金额与按单价汇总金额不一致的，以单价金额计算结果为准。</w:t>
      </w:r>
    </w:p>
    <w:p w14:paraId="12375D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同时出现两种以上错误的，按照前款规定的顺序修正。</w:t>
      </w:r>
    </w:p>
    <w:p w14:paraId="3A6E696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22.2.2.4.2 </w:t>
      </w:r>
      <w:r>
        <w:rPr>
          <w:rFonts w:hint="eastAsia"/>
          <w:color w:val="000000" w:themeColor="text1"/>
          <w:highlight w:val="none"/>
          <w14:textFill>
            <w14:solidFill>
              <w14:schemeClr w14:val="tx1"/>
            </w14:solidFill>
          </w14:textFill>
        </w:rPr>
        <w:t>评标委员会将按上述修正错误的方法调整投标文件中的投标报价，并通过苏采云系统告知投标人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经投标人确认后产生约束力，投标人不确认的，其投标无效。</w:t>
      </w:r>
    </w:p>
    <w:p w14:paraId="54AC225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5 </w:t>
      </w:r>
      <w:r>
        <w:rPr>
          <w:rFonts w:hint="eastAsia"/>
          <w:color w:val="000000" w:themeColor="text1"/>
          <w:highlight w:val="none"/>
          <w14:textFill>
            <w14:solidFill>
              <w14:schemeClr w14:val="tx1"/>
            </w14:solidFill>
          </w14:textFill>
        </w:rPr>
        <w:t>相同品牌产品投标的处理方法</w:t>
      </w:r>
    </w:p>
    <w:p w14:paraId="4446EF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用最低评标价法的采购项目，提供相同品牌产品的不同投标人参加同一合同项下（采购包）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11F30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使用综合评分法的采购项目，提供相同品牌产品且通过资格审查、符合性审查的不同投标人参加同一合同项下（采购包）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CB06C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（3）非单一产品采购项目，根据采购项目技术构成、产品价格比重等合理确定核心产品，核心产品见招标文件规定。多家投标人提供的核心产品品牌相同的，按前两款规定处理。</w:t>
      </w:r>
    </w:p>
    <w:p w14:paraId="5344F4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 </w:t>
      </w:r>
      <w:r>
        <w:rPr>
          <w:rFonts w:hint="eastAsia"/>
          <w:color w:val="000000" w:themeColor="text1"/>
          <w:highlight w:val="none"/>
          <w14:textFill>
            <w14:solidFill>
              <w14:schemeClr w14:val="tx1"/>
            </w14:solidFill>
          </w14:textFill>
        </w:rPr>
        <w:t>异常低价审查</w:t>
      </w:r>
    </w:p>
    <w:p w14:paraId="20C140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6.1 </w:t>
      </w:r>
      <w:r>
        <w:rPr>
          <w:rFonts w:hint="eastAsia"/>
          <w:color w:val="000000" w:themeColor="text1"/>
          <w:highlight w:val="none"/>
          <w14:textFill>
            <w14:solidFill>
              <w14:schemeClr w14:val="tx1"/>
            </w14:solidFill>
          </w14:textFill>
        </w:rPr>
        <w:t>评标过程中出现下列情形之一的，评标委员会应当启动异常低价投标审查程序：</w:t>
      </w:r>
    </w:p>
    <w:p w14:paraId="7EC4BC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（1）投标报价低于全部通过符合性审查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0E0226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（2）投标报价低于通过符合性审查的次低报价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7AA74BE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（3）投标报价低于采购项目最高限价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%的，即投标报价&lt;采购项目最高限价×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w:t>
      </w:r>
    </w:p>
    <w:p w14:paraId="748D77C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（4）评标委员会基于专业判断，认为</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报价过低，有可能影响产品质量或者不能诚信履约的其他情形。</w:t>
      </w:r>
    </w:p>
    <w:p w14:paraId="0F6A9B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6.2 </w:t>
      </w:r>
      <w:r>
        <w:rPr>
          <w:rFonts w:hint="eastAsia"/>
          <w:color w:val="000000" w:themeColor="text1"/>
          <w:highlight w:val="none"/>
          <w14:textFill>
            <w14:solidFill>
              <w14:schemeClr w14:val="tx1"/>
            </w14:solidFill>
          </w14:textFill>
        </w:rPr>
        <w:t>评标委员会启动异常低价投标审查后，属于前述第（1）项至第（4）项情形的，应当要求相关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在评审现场合理的时间内对投标价格作出解释，提供项目具体成本测算等与报价合理性相关的书面说明及必要的证明材料，包括但不限于原材料成本、人工成本、制造费用等，给予相关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的合理时间一般不少于30分钟。其中，属于第（3）项情形，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已随投标文件一并提交相关书面说明及必要的证明材料的，在评标现场可不再重复提交。</w:t>
      </w:r>
    </w:p>
    <w:p w14:paraId="28DA7C8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评标委员会依据专业经验，参考同类项目中标价格、类似产品市场价格水平、行业人工费用标准、国家有关部门指导行业协会发布的行业平均成本等情况，对报价合理性进行判断。</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不能提供书面说明、证明材料，或者提供的书面说明、证明材料不能证明其报价合理性的，评标委员会应当将其作为无效投标处理。</w:t>
      </w:r>
    </w:p>
    <w:p w14:paraId="358386D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投标文件有下列情况之一的，在符合性审查时按照无效投标处理</w:t>
      </w:r>
      <w:r>
        <w:rPr>
          <w:rFonts w:hint="eastAsia"/>
          <w:color w:val="000000" w:themeColor="text1"/>
          <w:highlight w:val="none"/>
          <w:lang w:eastAsia="zh-CN"/>
          <w14:textFill>
            <w14:solidFill>
              <w14:schemeClr w14:val="tx1"/>
            </w14:solidFill>
          </w14:textFill>
        </w:rPr>
        <w:t>：</w:t>
      </w:r>
    </w:p>
    <w:p w14:paraId="5E8299A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（1）投标人在苏采云系统规定的时间内未成功解密电子投标文件；</w:t>
      </w:r>
    </w:p>
    <w:p w14:paraId="0BAD7B9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（2）投标人未按照招标文件要求上传电子投标文件；</w:t>
      </w:r>
    </w:p>
    <w:p w14:paraId="12DF64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（3）报价超过招标文件中规定的预算金额或者最高限价的；</w:t>
      </w:r>
    </w:p>
    <w:p w14:paraId="38CF97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（4）不同投标人的投标文件由同一单位或者个人编制；</w:t>
      </w:r>
    </w:p>
    <w:p w14:paraId="639389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（5）不同投标人委托同一单位或者个人办理投标事宜；</w:t>
      </w:r>
    </w:p>
    <w:p w14:paraId="5A0C1DC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（6）不同投标人的投标文件载明的项目管理成员或者联系人员为同一人；</w:t>
      </w:r>
    </w:p>
    <w:p w14:paraId="5AA3BE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（7）不同投标人的投标文件异常一致或者投标报价呈规律性差异；</w:t>
      </w:r>
    </w:p>
    <w:p w14:paraId="14F047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（8）不同投标人的投标文件相互混装；</w:t>
      </w:r>
    </w:p>
    <w:p w14:paraId="36123C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）不同投标人的负责人为同一人或者存在控股、管理关系的；</w:t>
      </w:r>
    </w:p>
    <w:p w14:paraId="49CE7D8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）不同投标人的授权委托人（或法定代表人、项目经理、项目总监、项目负责人等）在招标文件发布日上月至投标截止日当月在同一单位缴纳社会保险的；</w:t>
      </w:r>
    </w:p>
    <w:p w14:paraId="343656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）未实质性响应招标文件要求的；</w:t>
      </w:r>
    </w:p>
    <w:p w14:paraId="1C822C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）属于投标邀请中拒绝参加本次采购活动投标人的；</w:t>
      </w:r>
    </w:p>
    <w:p w14:paraId="7DDA47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）投标文件含有采购人不能接受的附加条件的；</w:t>
      </w:r>
    </w:p>
    <w:p w14:paraId="0D4F56CF">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）评标委员会</w:t>
      </w:r>
      <w:r>
        <w:rPr>
          <w:rFonts w:hint="eastAsia"/>
          <w:color w:val="000000" w:themeColor="text1"/>
          <w:highlight w:val="none"/>
          <w:lang w:val="en-US" w:eastAsia="zh-CN"/>
          <w14:textFill>
            <w14:solidFill>
              <w14:schemeClr w14:val="tx1"/>
            </w14:solidFill>
          </w14:textFill>
        </w:rPr>
        <w:t>启动</w:t>
      </w:r>
      <w:r>
        <w:rPr>
          <w:rFonts w:hint="eastAsia"/>
          <w:color w:val="000000" w:themeColor="text1"/>
          <w:highlight w:val="none"/>
          <w14:textFill>
            <w14:solidFill>
              <w14:schemeClr w14:val="tx1"/>
            </w14:solidFill>
          </w14:textFill>
        </w:rPr>
        <w:t>异常低价投标审查程序</w:t>
      </w:r>
      <w:r>
        <w:rPr>
          <w:rFonts w:hint="eastAsia"/>
          <w:color w:val="000000" w:themeColor="text1"/>
          <w:highlight w:val="none"/>
          <w:lang w:val="en-US" w:eastAsia="zh-CN"/>
          <w14:textFill>
            <w14:solidFill>
              <w14:schemeClr w14:val="tx1"/>
            </w14:solidFill>
          </w14:textFill>
        </w:rPr>
        <w:t>后，</w:t>
      </w:r>
      <w:r>
        <w:rPr>
          <w:rFonts w:hint="eastAsia"/>
          <w:color w:val="000000" w:themeColor="text1"/>
          <w:highlight w:val="none"/>
          <w14:textFill>
            <w14:solidFill>
              <w14:schemeClr w14:val="tx1"/>
            </w14:solidFill>
          </w14:textFill>
        </w:rPr>
        <w:t>投标人不能提供书面说明、证明材料，或者提供的书面说明、证明材料不能证明其报价合理性的</w:t>
      </w:r>
      <w:r>
        <w:rPr>
          <w:rFonts w:hint="eastAsia"/>
          <w:color w:val="000000" w:themeColor="text1"/>
          <w:highlight w:val="none"/>
          <w:lang w:eastAsia="zh-CN"/>
          <w14:textFill>
            <w14:solidFill>
              <w14:schemeClr w14:val="tx1"/>
            </w14:solidFill>
          </w14:textFill>
        </w:rPr>
        <w:t>；</w:t>
      </w:r>
    </w:p>
    <w:p w14:paraId="47F28289">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lang w:eastAsia="zh-CN"/>
          <w14:textFill>
            <w14:solidFill>
              <w14:schemeClr w14:val="tx1"/>
            </w14:solidFill>
          </w14:textFill>
        </w:rPr>
        <w:t>）投标文件未按照招标文件要求加盖电子公章；</w:t>
      </w:r>
    </w:p>
    <w:p w14:paraId="12F9D6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）不符合</w:t>
      </w:r>
      <w:r>
        <w:rPr>
          <w:rFonts w:hint="eastAsia"/>
          <w:color w:val="000000" w:themeColor="text1"/>
          <w:highlight w:val="none"/>
          <w:lang w:eastAsia="zh-CN"/>
          <w14:textFill>
            <w14:solidFill>
              <w14:schemeClr w14:val="tx1"/>
            </w14:solidFill>
          </w14:textFill>
        </w:rPr>
        <w:t>法律法规</w:t>
      </w:r>
      <w:r>
        <w:rPr>
          <w:rFonts w:hint="eastAsia"/>
          <w:color w:val="000000" w:themeColor="text1"/>
          <w:highlight w:val="none"/>
          <w14:textFill>
            <w14:solidFill>
              <w14:schemeClr w14:val="tx1"/>
            </w14:solidFill>
          </w14:textFill>
        </w:rPr>
        <w:t>和招标文件规定的其他无效情形。</w:t>
      </w:r>
    </w:p>
    <w:p w14:paraId="7811BE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 xml:space="preserve"> 有下列情形之一的予以废标，同时将废标理由通知所有投标人</w:t>
      </w:r>
    </w:p>
    <w:p w14:paraId="3EE0F88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（1）符合资格条件的投标人或者对招标文件作实质性响应的投标人不足三家的；</w:t>
      </w:r>
    </w:p>
    <w:p w14:paraId="22597E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（2）出现影响采购公正的违法、违规行为的；</w:t>
      </w:r>
    </w:p>
    <w:p w14:paraId="2F83F6D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（3）投标人的报价均超过了采购预算或最高限价，采购人不能支付的；</w:t>
      </w:r>
    </w:p>
    <w:p w14:paraId="5641C4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（4）因重大变故，采购任务取消的；</w:t>
      </w:r>
    </w:p>
    <w:p w14:paraId="16B948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评标委员会认为</w:t>
      </w:r>
      <w:r>
        <w:rPr>
          <w:rFonts w:hint="eastAsia"/>
          <w:color w:val="000000" w:themeColor="text1"/>
          <w:highlight w:val="none"/>
          <w14:textFill>
            <w14:solidFill>
              <w14:schemeClr w14:val="tx1"/>
            </w14:solidFill>
          </w14:textFill>
        </w:rPr>
        <w:t>招标文件存在歧义、重大缺陷，或者招标文件内容违反国家有关强制性规定的；</w:t>
      </w:r>
    </w:p>
    <w:p w14:paraId="6C3FBBF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（6）预留份额的采购项目或采购包，通过发布公告方式邀请投标人后，符合资格条件的中小企业数量不足3家的</w:t>
      </w:r>
      <w:r>
        <w:rPr>
          <w:rFonts w:hint="eastAsia"/>
          <w:color w:val="000000" w:themeColor="text1"/>
          <w:highlight w:val="none"/>
          <w:lang w:eastAsia="zh-CN"/>
          <w14:textFill>
            <w14:solidFill>
              <w14:schemeClr w14:val="tx1"/>
            </w14:solidFill>
          </w14:textFill>
        </w:rPr>
        <w:t>；</w:t>
      </w:r>
    </w:p>
    <w:p w14:paraId="7AC228DB">
      <w:pP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7</w:t>
      </w:r>
      <w:r>
        <w:rPr>
          <w:rFonts w:hint="eastAsia" w:eastAsia="宋体"/>
          <w:color w:val="000000" w:themeColor="text1"/>
          <w:highlight w:val="none"/>
          <w:lang w:eastAsia="zh-CN"/>
          <w14:textFill>
            <w14:solidFill>
              <w14:schemeClr w14:val="tx1"/>
            </w14:solidFill>
          </w14:textFill>
        </w:rPr>
        <w:t>）因苏采云系统故障造成开标不成功。</w:t>
      </w:r>
    </w:p>
    <w:p w14:paraId="26F6C83B">
      <w:pP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t>如出现（</w:t>
      </w:r>
      <w:r>
        <w:rPr>
          <w:rFonts w:hint="eastAsia" w:eastAsia="宋体"/>
          <w:b/>
          <w:bCs/>
          <w:color w:val="000000" w:themeColor="text1"/>
          <w:highlight w:val="none"/>
          <w:lang w:val="en-US" w:eastAsia="zh-CN"/>
          <w14:textFill>
            <w14:solidFill>
              <w14:schemeClr w14:val="tx1"/>
            </w14:solidFill>
          </w14:textFill>
        </w:rPr>
        <w:t>1</w:t>
      </w:r>
      <w:r>
        <w:rPr>
          <w:rFonts w:hint="eastAsia" w:eastAsia="宋体"/>
          <w:b/>
          <w:bCs/>
          <w:color w:val="000000" w:themeColor="text1"/>
          <w:highlight w:val="none"/>
          <w:lang w:eastAsia="zh-CN"/>
          <w14:textFill>
            <w14:solidFill>
              <w14:schemeClr w14:val="tx1"/>
            </w14:solidFill>
          </w14:textFill>
        </w:rPr>
        <w:t>）或（</w:t>
      </w:r>
      <w:r>
        <w:rPr>
          <w:rFonts w:hint="eastAsia" w:eastAsia="宋体"/>
          <w:b/>
          <w:bCs/>
          <w:color w:val="000000" w:themeColor="text1"/>
          <w:highlight w:val="none"/>
          <w:lang w:val="en-US" w:eastAsia="zh-CN"/>
          <w14:textFill>
            <w14:solidFill>
              <w14:schemeClr w14:val="tx1"/>
            </w14:solidFill>
          </w14:textFill>
        </w:rPr>
        <w:t>4</w:t>
      </w:r>
      <w:r>
        <w:rPr>
          <w:rFonts w:hint="eastAsia" w:eastAsia="宋体"/>
          <w:b/>
          <w:bCs/>
          <w:color w:val="000000" w:themeColor="text1"/>
          <w:highlight w:val="none"/>
          <w:lang w:eastAsia="zh-CN"/>
          <w14:textFill>
            <w14:solidFill>
              <w14:schemeClr w14:val="tx1"/>
            </w14:solidFill>
          </w14:textFill>
        </w:rPr>
        <w:t>）情形，招标活动失败，评审委员会应对招标文件是否存在不合理条款进行论证，并在评审报告中写明论证意见。</w:t>
      </w:r>
    </w:p>
    <w:p w14:paraId="00A895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投标截止时间结束参加投标的投标人不足三家的处理</w:t>
      </w:r>
    </w:p>
    <w:p w14:paraId="3CBDC72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如出现投标截止时间结束后参加投标的投标人不足三家的情况，不得开标。此采购项目应予以废标。废标后，除采购任务取消情形外，应当重新组织招标；如果需要采用其他方式采购，根据需要，应当在采购活动开始前获得设区的市、自治州以上人民政府采购监督管理部门或者政府有关部门批准（不需要获得批准的除外）。</w:t>
      </w:r>
    </w:p>
    <w:p w14:paraId="0FBBCF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评标期间，出现符合专业条件的投标人或者对招标文件做出实质响应的投标人不足三家情形的，此采购项目应予以废标。废标后，除采购任务取消情形外，应当重新组织招标；如果需要采取其他方式采购的，根据需要，应当在采购活动开始前获得设区的市、自治州以上人民政府采购监督管理部门或者政府有关部门批准（不需要获得批准的除外）。</w:t>
      </w:r>
    </w:p>
    <w:p w14:paraId="562E68C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22.2.2.10 未通过资格审查或符合性审查的投标人，采购代理机构将通过苏采云系统告知其具体原因，评标结束后不再接受有关询问。</w:t>
      </w:r>
    </w:p>
    <w:p w14:paraId="0B91681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22.2.2.11 </w:t>
      </w:r>
      <w:r>
        <w:rPr>
          <w:rFonts w:hint="default"/>
          <w:color w:val="000000" w:themeColor="text1"/>
          <w:highlight w:val="none"/>
          <w:lang w:val="en-US" w:eastAsia="zh-CN"/>
          <w14:textFill>
            <w14:solidFill>
              <w14:schemeClr w14:val="tx1"/>
            </w14:solidFill>
          </w14:textFill>
        </w:rPr>
        <w:t>投标人在开、评标全过程中应保持通讯畅通，及时登录苏采云系统查阅、答复相关信息，并安排专人与</w:t>
      </w:r>
      <w:r>
        <w:rPr>
          <w:rFonts w:hint="eastAsia"/>
          <w:color w:val="000000" w:themeColor="text1"/>
          <w:highlight w:val="none"/>
          <w:lang w:val="en-US" w:eastAsia="zh-CN"/>
          <w14:textFill>
            <w14:solidFill>
              <w14:schemeClr w14:val="tx1"/>
            </w14:solidFill>
          </w14:textFill>
        </w:rPr>
        <w:t>采购代理机构</w:t>
      </w:r>
      <w:r>
        <w:rPr>
          <w:rFonts w:hint="default"/>
          <w:color w:val="000000" w:themeColor="text1"/>
          <w:highlight w:val="none"/>
          <w:lang w:val="en-US" w:eastAsia="zh-CN"/>
          <w14:textFill>
            <w14:solidFill>
              <w14:schemeClr w14:val="tx1"/>
            </w14:solidFill>
          </w14:textFill>
        </w:rPr>
        <w:t>及评委会联系。</w:t>
      </w:r>
    </w:p>
    <w:p w14:paraId="4E1AF2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 投标文件的进一步评审</w:t>
      </w:r>
    </w:p>
    <w:p w14:paraId="2F0A7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评标委员会将允许修正投标文件中不构成重大偏离的、微小的、非正规的、不一致的或不规则的地方，但这些修改不能影响任何投标人相应的名次排列。</w:t>
      </w:r>
    </w:p>
    <w:p w14:paraId="10D4FF3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澄清有关问题。</w:t>
      </w:r>
    </w:p>
    <w:p w14:paraId="7B136D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2.1</w:t>
      </w:r>
      <w:r>
        <w:rPr>
          <w:rFonts w:hint="eastAsia"/>
          <w:color w:val="000000" w:themeColor="text1"/>
          <w:highlight w:val="none"/>
          <w14:textFill>
            <w14:solidFill>
              <w14:schemeClr w14:val="tx1"/>
            </w14:solidFill>
          </w14:textFill>
        </w:rPr>
        <w:t xml:space="preserve"> 对于投标文件中含义不明确、同类问题表述不一致或者有明显文字和计算错误的内容，评标委员</w:t>
      </w:r>
      <w:r>
        <w:rPr>
          <w:rFonts w:hint="eastAsia"/>
          <w:color w:val="000000" w:themeColor="text1"/>
          <w:highlight w:val="none"/>
          <w:lang w:val="en-US" w:eastAsia="zh-CN"/>
          <w14:textFill>
            <w14:solidFill>
              <w14:schemeClr w14:val="tx1"/>
            </w14:solidFill>
          </w14:textFill>
        </w:rPr>
        <w:t>会</w:t>
      </w:r>
      <w:r>
        <w:rPr>
          <w:rFonts w:hint="eastAsia" w:ascii="宋体" w:hAnsi="宋体" w:eastAsia="宋体" w:cs="Times New Roman"/>
          <w:color w:val="000000" w:themeColor="text1"/>
          <w:sz w:val="24"/>
          <w:highlight w:val="none"/>
          <w:lang w:val="zh-CN"/>
          <w14:textFill>
            <w14:solidFill>
              <w14:schemeClr w14:val="tx1"/>
            </w14:solidFill>
          </w14:textFill>
        </w:rPr>
        <w:t>将通过苏采云系统向</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发出《澄清要求函》，接到《澄清要求函》的</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应当按照要求在苏采云系统中提交《澄清响应函》并加盖电子公章。澄清、说明和补正的内容作为投标文件的补充部分，具体操作方式见《操作手册》。</w:t>
      </w:r>
    </w:p>
    <w:p w14:paraId="57B1222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 xml:space="preserve"> 接到评标委员</w:t>
      </w:r>
      <w:r>
        <w:rPr>
          <w:rFonts w:hint="eastAsia"/>
          <w:color w:val="000000" w:themeColor="text1"/>
          <w:highlight w:val="none"/>
          <w:lang w:val="en-US" w:eastAsia="zh-CN"/>
          <w14:textFill>
            <w14:solidFill>
              <w14:schemeClr w14:val="tx1"/>
            </w14:solidFill>
          </w14:textFill>
        </w:rPr>
        <w:t>会</w:t>
      </w:r>
      <w:r>
        <w:rPr>
          <w:rFonts w:hint="eastAsia"/>
          <w:color w:val="000000" w:themeColor="text1"/>
          <w:highlight w:val="none"/>
          <w14:textFill>
            <w14:solidFill>
              <w14:schemeClr w14:val="tx1"/>
            </w14:solidFill>
          </w14:textFill>
        </w:rPr>
        <w:t>澄清、说明和补正要求的，投标人如未按规定作出澄清、说明和补正，其风险由投标人自行承担。</w:t>
      </w:r>
    </w:p>
    <w:p w14:paraId="3B12BFD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比较与评价。评标委员会应当按照招标文件中规定的评标方法和标准，对符合性审查合格的投标文件进行商务和技术评估，综合比较与评价。</w:t>
      </w:r>
    </w:p>
    <w:p w14:paraId="227932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 评标方法和标准</w:t>
      </w:r>
    </w:p>
    <w:p w14:paraId="73D49E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22.3.1 采用综合评分法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是指投标文件满足招标文件全部实质性要求，且按照评审因素的量化指标评审得分最高的投标人为中标候选人的评标方法。</w:t>
      </w:r>
    </w:p>
    <w:p w14:paraId="6B5D0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22.3.2 </w:t>
      </w:r>
      <w:r>
        <w:rPr>
          <w:rFonts w:hint="eastAsia"/>
          <w:color w:val="000000" w:themeColor="text1"/>
          <w:highlight w:val="none"/>
          <w:lang w:val="en-US" w:eastAsia="zh-CN"/>
          <w14:textFill>
            <w14:solidFill>
              <w14:schemeClr w14:val="tx1"/>
            </w14:solidFill>
          </w14:textFill>
        </w:rPr>
        <w:t>评审因素和评审标准</w:t>
      </w:r>
      <w:r>
        <w:rPr>
          <w:rFonts w:hint="eastAsia"/>
          <w:color w:val="000000" w:themeColor="text1"/>
          <w:highlight w:val="none"/>
          <w14:textFill>
            <w14:solidFill>
              <w14:schemeClr w14:val="tx1"/>
            </w14:solidFill>
          </w14:textFill>
        </w:rPr>
        <w:t>详见</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文件第三章。</w:t>
      </w:r>
    </w:p>
    <w:p w14:paraId="4C4C60B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23.确定中标人</w:t>
      </w:r>
    </w:p>
    <w:p w14:paraId="45202C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23.1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p>
    <w:p w14:paraId="28F7DF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23.2 按以下第（</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w:t>
      </w:r>
    </w:p>
    <w:p w14:paraId="1642D8B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（1）采购人</w:t>
      </w:r>
      <w:r>
        <w:rPr>
          <w:rFonts w:hint="eastAsia"/>
          <w:color w:val="000000" w:themeColor="text1"/>
          <w:highlight w:val="none"/>
          <w:lang w:val="en-US" w:eastAsia="zh-CN"/>
          <w14:textFill>
            <w14:solidFill>
              <w14:schemeClr w14:val="tx1"/>
            </w14:solidFill>
          </w14:textFill>
        </w:rPr>
        <w:t>授权</w:t>
      </w:r>
      <w:r>
        <w:rPr>
          <w:rFonts w:hint="eastAsia"/>
          <w:color w:val="000000" w:themeColor="text1"/>
          <w:highlight w:val="none"/>
          <w14:textFill>
            <w14:solidFill>
              <w14:schemeClr w14:val="tx1"/>
            </w14:solidFill>
          </w14:textFill>
        </w:rPr>
        <w:t>评标委员会直接确定排名第一的中标候选人为中标人</w:t>
      </w:r>
      <w:r>
        <w:rPr>
          <w:rFonts w:hint="eastAsia"/>
          <w:color w:val="000000" w:themeColor="text1"/>
          <w:highlight w:val="none"/>
          <w:lang w:eastAsia="zh-CN"/>
          <w14:textFill>
            <w14:solidFill>
              <w14:schemeClr w14:val="tx1"/>
            </w14:solidFill>
          </w14:textFill>
        </w:rPr>
        <w:t>。</w:t>
      </w:r>
    </w:p>
    <w:p w14:paraId="5AB646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（2）采购人在评标委员会推荐的中标候选人中按顺序确定中标人。</w:t>
      </w:r>
    </w:p>
    <w:p w14:paraId="4C62B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按第</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种方式确定中标人的，代理机构自评审结束之日起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个工作日内将评审报告送交采购人，采购人应当自收到评审报告之日起</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个工作日内在评审报告推荐的中标候选人中按顺序确定中标人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由采购人代表签署结果确认材料</w:t>
      </w:r>
      <w:r>
        <w:rPr>
          <w:rFonts w:hint="eastAsia"/>
          <w:color w:val="000000" w:themeColor="text1"/>
          <w:highlight w:val="none"/>
          <w14:textFill>
            <w14:solidFill>
              <w14:schemeClr w14:val="tx1"/>
            </w14:solidFill>
          </w14:textFill>
        </w:rPr>
        <w:t>。</w:t>
      </w:r>
    </w:p>
    <w:p w14:paraId="2DE489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中标候选人并列的，由采购人或者采购人委托评标委员会按照技术指标优劣的方式确定中标人，技术指标优劣</w:t>
      </w:r>
      <w:r>
        <w:rPr>
          <w:rFonts w:hint="eastAsia"/>
          <w:color w:val="000000" w:themeColor="text1"/>
          <w:highlight w:val="none"/>
          <w:lang w:val="en-US" w:eastAsia="zh-CN"/>
          <w14:textFill>
            <w14:solidFill>
              <w14:schemeClr w14:val="tx1"/>
            </w14:solidFill>
          </w14:textFill>
        </w:rPr>
        <w:t>相同的，</w:t>
      </w:r>
      <w:r>
        <w:rPr>
          <w:rFonts w:hint="eastAsia"/>
          <w:color w:val="000000" w:themeColor="text1"/>
          <w:highlight w:val="none"/>
          <w14:textFill>
            <w14:solidFill>
              <w14:schemeClr w14:val="tx1"/>
            </w14:solidFill>
          </w14:textFill>
        </w:rPr>
        <w:t>采取随机抽取的方式确定。</w:t>
      </w:r>
    </w:p>
    <w:p w14:paraId="732B1A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23.3 中标人确定之日起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个工作日内，将在财政部门指定的政府采购信息发布媒体上公告</w:t>
      </w:r>
      <w:r>
        <w:rPr>
          <w:rFonts w:hint="eastAsia"/>
          <w:color w:val="000000" w:themeColor="text1"/>
          <w:highlight w:val="none"/>
          <w:lang w:eastAsia="zh-CN"/>
          <w14:textFill>
            <w14:solidFill>
              <w14:schemeClr w14:val="tx1"/>
            </w14:solidFill>
          </w14:textFill>
        </w:rPr>
        <w:t>，在公告中标结果的同时，采购人或者采购代理机构应当向中标人发出《中标通知书》</w:t>
      </w:r>
      <w:r>
        <w:rPr>
          <w:rFonts w:hint="eastAsia"/>
          <w:color w:val="000000" w:themeColor="text1"/>
          <w:highlight w:val="none"/>
          <w14:textFill>
            <w14:solidFill>
              <w14:schemeClr w14:val="tx1"/>
            </w14:solidFill>
          </w14:textFill>
        </w:rPr>
        <w:t>。</w:t>
      </w:r>
    </w:p>
    <w:p w14:paraId="501844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23.4 《中标通知书》对采购人和中标人具有同等法律效力。</w:t>
      </w:r>
    </w:p>
    <w:p w14:paraId="798E411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23.5 《中标通知书》发出后，中标人无正当理由不与采购人签订合同的，应当依法承担法律责任。</w:t>
      </w:r>
    </w:p>
    <w:p w14:paraId="39C33E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23.6 代理机构和评标委员会对未中标的投标人不作未中标原因的解释。</w:t>
      </w:r>
    </w:p>
    <w:p w14:paraId="4EE4C7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23.7 所有投标文件不论中标与否均不退回。</w:t>
      </w:r>
    </w:p>
    <w:p w14:paraId="20E8ABF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24.编写评审报告</w:t>
      </w:r>
    </w:p>
    <w:p w14:paraId="1F3D84C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评标委员会根据全体评标成员签字的原始评标记录和评标结果编写评审报告。</w:t>
      </w:r>
    </w:p>
    <w:p w14:paraId="58A4466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25.评标过程的保密与公正</w:t>
      </w:r>
    </w:p>
    <w:p w14:paraId="04C3D1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25.1 代理机构将采取必要措施，保证评标在严格保密的情况下进行。</w:t>
      </w:r>
    </w:p>
    <w:p w14:paraId="50CB93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25.2 任何单位和个人不得非法干预、影响评标办法的确定，以及评标过程和结果。</w:t>
      </w:r>
    </w:p>
    <w:p w14:paraId="3CADEB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25.3 公开开标后，直至向中标人授予合同时止，凡是与审查、澄清、评价和比较投标的有关资料以及授标建议等，采购人、评委、采购代理机构均不得向投标人或与评标无关的其他人员透露。</w:t>
      </w:r>
    </w:p>
    <w:p w14:paraId="310CBC3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25.4 在评标过程中，投标人不得以任何行为影响评标过程，否则其投标文件将被作为无效投标文件。</w:t>
      </w:r>
    </w:p>
    <w:p w14:paraId="56BA4A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25.5 采购代理机构和评标委员会不得向未中标的投标人解释未中标原因，也不公布评标过程中的相关细节。</w:t>
      </w:r>
    </w:p>
    <w:p w14:paraId="61406A4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五、签订合同</w:t>
      </w:r>
    </w:p>
    <w:p w14:paraId="29E0850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26.签订合同</w:t>
      </w:r>
    </w:p>
    <w:p w14:paraId="50952B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26.1 采购人应当自《中标通知书》发出之日起三十日内，按照招标文件和中标人投标文件与中标人签订书面合同。所签订的合同不得对招标文件确定事项和中标人投标文件作实质性修改。</w:t>
      </w:r>
    </w:p>
    <w:p w14:paraId="6D34D86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26.2 采购人不得向中标人提出任何不合理的要求作为签订合同的条件，不得与中标人私下订立背离合同实质性内容的协议。</w:t>
      </w:r>
    </w:p>
    <w:p w14:paraId="7B8B96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26.3 中标人拒绝与采购人签订合同，或因不可抗力或者自身原因不能履行政府采购合同的，采购人可以按照评审报告推荐的中标候选人名单排序，确定下一候选人为中标人，也可以重新开展政府采购活动。评审报告未推荐中标候选人的，应重新开展政府采购活动。</w:t>
      </w:r>
    </w:p>
    <w:p w14:paraId="2FAF19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26.4 采购合同履行中，采购人需追加与合同标的相同货物的，在不改变合同其他条款的前提下，可以与中标人协商签订补充合同，但所有补充合同的采购金额不得超过原合同采购金额的百分之十。</w:t>
      </w:r>
    </w:p>
    <w:p w14:paraId="0EA81B72">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六、询问、质疑、投诉和诚实信用</w:t>
      </w:r>
    </w:p>
    <w:p w14:paraId="4D126F1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27.询问</w:t>
      </w:r>
    </w:p>
    <w:p w14:paraId="5E5B07F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27.1 投标人对招标活动事项有疑问的，可以向代理机构或采购人提出询问，代理机构或采购人将在两个工作日内作出答复，但答复的内容不涉及商业秘密。</w:t>
      </w:r>
    </w:p>
    <w:p w14:paraId="5A69F8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28.质疑</w:t>
      </w:r>
    </w:p>
    <w:p w14:paraId="5EAE88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28.1 投标人认为</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文件、采购过程和中标结果使自己的合法权益受到损害的，可以在知道或者应当知道其权益受到损害之日起七个工作日内，将质疑文件原件以书面形式送达代理机构。</w:t>
      </w:r>
    </w:p>
    <w:p w14:paraId="60E0AB4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28.2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的质疑行为应符合财政部94号令相关规定，未参加采购活动的投标人或在采购活动中自身权益未受到损害的投标人所提出的质疑不予受理。</w:t>
      </w:r>
    </w:p>
    <w:p w14:paraId="44A912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28.3 上述应知其权益受到损害之日是指：</w:t>
      </w:r>
    </w:p>
    <w:p w14:paraId="39AAB4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（1）对招标文件提出质疑的，为获取招标文件之日或招标文件公告期限届满之日起计算；</w:t>
      </w:r>
    </w:p>
    <w:p w14:paraId="72D4114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（2）对招标过程提出质疑的，自招标程序环节结束之日起计算；</w:t>
      </w:r>
    </w:p>
    <w:p w14:paraId="59D732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（3）对中标结果提出质疑的，自中标结果公告期限届满之日起计算。</w:t>
      </w:r>
    </w:p>
    <w:p w14:paraId="685722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28.4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在法定质疑期内应当一次性提出针对同一招标环节的质疑事项。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如在法定期限内对同一采购程序环节提出多次质疑的，</w:t>
      </w:r>
      <w:r>
        <w:rPr>
          <w:rFonts w:hint="eastAsia" w:ascii="宋体" w:hAnsi="宋体" w:eastAsia="宋体" w:cs="Times New Roman"/>
          <w:color w:val="000000" w:themeColor="text1"/>
          <w:sz w:val="24"/>
          <w:highlight w:val="none"/>
          <w:lang w:val="en-US" w:eastAsia="zh-CN"/>
          <w14:textFill>
            <w14:solidFill>
              <w14:schemeClr w14:val="tx1"/>
            </w14:solidFill>
          </w14:textFill>
        </w:rPr>
        <w:t>采购代理机构或采购人</w:t>
      </w:r>
      <w:r>
        <w:rPr>
          <w:rFonts w:hint="eastAsia" w:ascii="宋体" w:hAnsi="宋体" w:eastAsia="宋体" w:cs="Times New Roman"/>
          <w:color w:val="000000" w:themeColor="text1"/>
          <w:sz w:val="24"/>
          <w:highlight w:val="none"/>
          <w:lang w:val="zh-CN"/>
          <w14:textFill>
            <w14:solidFill>
              <w14:schemeClr w14:val="tx1"/>
            </w14:solidFill>
          </w14:textFill>
        </w:rPr>
        <w:t>将只对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第一次质疑作出答复。</w:t>
      </w:r>
    </w:p>
    <w:p w14:paraId="44C12A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28.5 代理机构在收到投标人的质疑后将及时组织调查核实，在七个工作日内作出答复，答复的内容不涉及商业秘密。</w:t>
      </w:r>
    </w:p>
    <w:p w14:paraId="552B1A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28.6 代理机构遵循“谁过错谁负担”的原则，有过错的一方承担调查论证费用。</w:t>
      </w:r>
    </w:p>
    <w:p w14:paraId="4805F265">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29.投诉</w:t>
      </w:r>
    </w:p>
    <w:p w14:paraId="33882A4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29.1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对代理机构的答复不满意，或代理机构未在规定的时间内作出答复的，可以在答复期满后十五个工作日内向采购项目同级财政部门投诉。</w:t>
      </w:r>
    </w:p>
    <w:p w14:paraId="75D183A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30.诚实信用</w:t>
      </w:r>
    </w:p>
    <w:p w14:paraId="5401F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30.1 投标人之间不得相互串通投标报价，不得妨碍其他投标人的公平竞争，不得损害采购人和其他投标人的合法权益。</w:t>
      </w:r>
    </w:p>
    <w:p w14:paraId="64415B6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30.2 投标人不得向代理机构工作人员、评标委员会成员行贿或者采取其他不正当手段谋取中标。经查实投标人有此行为的，政府采购管理部门将投标人列入不良行为记录名单，按照《中华人民共和国政府采购法》有关规定处理。</w:t>
      </w:r>
    </w:p>
    <w:p w14:paraId="7CB19A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30.3 投标人提出书面质疑必须有理、有据，不得虚假质疑和恶意质疑，并对质疑内容的真实性承担责任。否则，一经查实，代理机构有权依据政府采购的有关规定，报请政府采购监管部门对该投标人进行相应的行政处罚并予以公示。如果投标人或者其他利害关系人通过捏造事实、伪造证明材料等方式提出质疑，干扰政府采购活动正常进行的，属于严重不良行为，代理机构将提请财政部门将其列入不良行为记录名单，并依法予以处罚。</w:t>
      </w:r>
    </w:p>
    <w:p w14:paraId="60DCED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30.4 投标人不得虚假承诺，否则，按照提供虚假材料谋取中标处理。</w:t>
      </w:r>
    </w:p>
    <w:p w14:paraId="6E492C6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30.5 投标人应自觉遵守开标、评标纪律，扰乱开标评标现场秩序的，属于失信行为，</w:t>
      </w:r>
      <w:r>
        <w:rPr>
          <w:rFonts w:hint="eastAsia"/>
          <w:color w:val="000000" w:themeColor="text1"/>
          <w:highlight w:val="none"/>
          <w:lang w:val="en-US" w:eastAsia="zh-CN"/>
          <w14:textFill>
            <w14:solidFill>
              <w14:schemeClr w14:val="tx1"/>
            </w14:solidFill>
          </w14:textFill>
        </w:rPr>
        <w:t>采购人或采购代理机构有权上报相关部门，并由相关部门按有关规定进行处理</w:t>
      </w:r>
      <w:r>
        <w:rPr>
          <w:rFonts w:hint="eastAsia"/>
          <w:color w:val="000000" w:themeColor="text1"/>
          <w:highlight w:val="none"/>
          <w14:textFill>
            <w14:solidFill>
              <w14:schemeClr w14:val="tx1"/>
            </w14:solidFill>
          </w14:textFill>
        </w:rPr>
        <w:t>。</w:t>
      </w:r>
    </w:p>
    <w:p w14:paraId="6FBA6017">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1D63CCB">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第三章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评标方法与评标标准</w:t>
      </w:r>
    </w:p>
    <w:p w14:paraId="5F5D9602">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、评标方法与定标原则</w:t>
      </w:r>
    </w:p>
    <w:p w14:paraId="101C6481">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1.评标方法：</w:t>
      </w:r>
    </w:p>
    <w:p w14:paraId="5F4CC2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评委会将对确定为实质性响应招标文件要求的投标文件进行评价和比较，评标采用综合评分法。</w:t>
      </w:r>
    </w:p>
    <w:p w14:paraId="199879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采用综合评分法，评分统计方法采用百分制（满分100分），各投标人的最终得分为各评委所评定分值的平均值（四舍五入保留小数点后2位）。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r>
        <w:rPr>
          <w:rFonts w:hint="eastAsia"/>
          <w:color w:val="000000" w:themeColor="text1"/>
          <w:highlight w:val="none"/>
          <w:lang w:val="en-US" w:eastAsia="zh-CN"/>
          <w14:textFill>
            <w14:solidFill>
              <w14:schemeClr w14:val="tx1"/>
            </w14:solidFill>
          </w14:textFill>
        </w:rPr>
        <w:t>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6433D22B">
      <w:pPr>
        <w:bidi w:val="0"/>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b/>
          <w:bCs/>
          <w:color w:val="000000" w:themeColor="text1"/>
          <w:highlight w:val="none"/>
          <w:lang w:val="en-US" w:eastAsia="zh-CN"/>
          <w14:textFill>
            <w14:solidFill>
              <w14:schemeClr w14:val="tx1"/>
            </w14:solidFill>
          </w14:textFill>
        </w:rPr>
        <w:t>2.定标原则：</w:t>
      </w:r>
    </w:p>
    <w:p w14:paraId="39E64764">
      <w:pPr>
        <w:bidi w:val="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采购人在评标委员会推荐的中标候选人中按顺序确定中标人。中标候选人并列的，由采购人按照技术指标优劣的方式确定中标人，技术指标优劣相同的，采取随机抽取的方式确定。</w:t>
      </w:r>
    </w:p>
    <w:p w14:paraId="7891A858">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、综合评分标准</w:t>
      </w:r>
    </w:p>
    <w:p w14:paraId="62D30D55">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评标委员会将按下列评分具体办法和标准进行打分，总分值为100分。</w:t>
      </w:r>
      <w:r>
        <w:rPr>
          <w:rFonts w:hint="eastAsia"/>
          <w:color w:val="000000" w:themeColor="text1"/>
          <w:highlight w:val="none"/>
          <w:lang w:val="en-US" w:eastAsia="zh-CN"/>
          <w14:textFill>
            <w14:solidFill>
              <w14:schemeClr w14:val="tx1"/>
            </w14:solidFill>
          </w14:textFill>
        </w:rPr>
        <w:t>具体评分因素及评分明细如下：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20" w:type="dxa"/>
          <w:bottom w:w="20" w:type="dxa"/>
          <w:right w:w="20" w:type="dxa"/>
        </w:tblCellMar>
      </w:tblPr>
      <w:tblGrid>
        <w:gridCol w:w="381"/>
        <w:gridCol w:w="988"/>
        <w:gridCol w:w="1037"/>
        <w:gridCol w:w="6188"/>
        <w:gridCol w:w="518"/>
      </w:tblGrid>
      <w:tr w14:paraId="3758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6FAC7A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988" w:type="dxa"/>
            <w:noWrap/>
            <w:vAlign w:val="center"/>
          </w:tcPr>
          <w:p w14:paraId="416730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备注</w:t>
            </w:r>
          </w:p>
        </w:tc>
        <w:tc>
          <w:tcPr>
            <w:tcW w:w="1037" w:type="dxa"/>
            <w:noWrap/>
            <w:vAlign w:val="center"/>
          </w:tcPr>
          <w:p w14:paraId="2B3718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评分因素</w:t>
            </w:r>
          </w:p>
        </w:tc>
        <w:tc>
          <w:tcPr>
            <w:tcW w:w="6188" w:type="dxa"/>
            <w:noWrap/>
            <w:vAlign w:val="center"/>
          </w:tcPr>
          <w:p w14:paraId="11F31CD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评分标准</w:t>
            </w:r>
          </w:p>
        </w:tc>
        <w:tc>
          <w:tcPr>
            <w:tcW w:w="518" w:type="dxa"/>
            <w:noWrap/>
            <w:vAlign w:val="center"/>
          </w:tcPr>
          <w:p w14:paraId="5D9F17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分值</w:t>
            </w:r>
          </w:p>
        </w:tc>
      </w:tr>
      <w:tr w14:paraId="55DD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9112" w:type="dxa"/>
            <w:gridSpan w:val="5"/>
            <w:noWrap/>
            <w:vAlign w:val="center"/>
          </w:tcPr>
          <w:p w14:paraId="3DB0EA0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一、价格分</w:t>
            </w:r>
          </w:p>
        </w:tc>
      </w:tr>
      <w:tr w14:paraId="0964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0A72B9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p>
        </w:tc>
        <w:tc>
          <w:tcPr>
            <w:tcW w:w="988" w:type="dxa"/>
            <w:noWrap/>
            <w:vAlign w:val="center"/>
          </w:tcPr>
          <w:p w14:paraId="23DBE7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00F021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1037" w:type="dxa"/>
            <w:noWrap/>
            <w:vAlign w:val="center"/>
          </w:tcPr>
          <w:p w14:paraId="41F616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投标报价</w:t>
            </w:r>
          </w:p>
          <w:p w14:paraId="52107D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6188" w:type="dxa"/>
            <w:noWrap/>
            <w:vAlign w:val="center"/>
          </w:tcPr>
          <w:p w14:paraId="2DB2023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价格分采用低价优先法计算，即满足采购文件要求且报价最低的供应商报价为评标基准价，其价格分为满分30分，其它供应商的价格分统一按照以下公式计算：投标报价得分=（评标基准价/该供应商的投标报价）×30分。分值保留小数点后</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位。</w:t>
            </w:r>
          </w:p>
        </w:tc>
        <w:tc>
          <w:tcPr>
            <w:tcW w:w="518" w:type="dxa"/>
            <w:noWrap/>
            <w:vAlign w:val="center"/>
          </w:tcPr>
          <w:p w14:paraId="105E405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30</w:t>
            </w:r>
          </w:p>
        </w:tc>
      </w:tr>
      <w:tr w14:paraId="4530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2C036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w:t>
            </w:r>
          </w:p>
        </w:tc>
        <w:tc>
          <w:tcPr>
            <w:tcW w:w="988" w:type="dxa"/>
            <w:vMerge w:val="restart"/>
            <w:noWrap/>
            <w:vAlign w:val="center"/>
          </w:tcPr>
          <w:p w14:paraId="6A32F6E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主观分</w:t>
            </w:r>
          </w:p>
          <w:p w14:paraId="5BA601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77B38F5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质量保证方案</w:t>
            </w:r>
          </w:p>
          <w:p w14:paraId="379A83A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F3519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供应商应根据招标文件要求提供具体详实的项目产品质量保证方案：包括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原材料采购质量方案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产品质量目标的设定</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产品质量检测方案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以上每项内容逐条阐述。</w:t>
            </w:r>
          </w:p>
          <w:p w14:paraId="5B0599B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原材料采购质量管控、产品质量目标设定、产品质量检测方案内容全面详实、条款完整；严格依据招标文件规定及国家相关标准执行，流程规范、安排合理、闭环管控；覆盖全流程管控、可追溯建立原材料进场、生产过程、成品出厂三级全流程质量检测体系，检测依据严格执行招标文件及国家现行标准规范。建立检测记录归档、问题溯源，逻辑严谨、贴合项目实际，能充分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227143B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原材料采购、质量目标、质量检测内容基本完整；有基础管控流程与检测要求，基本遵循招标文件及国标规范；具备常规进场检测、简单库存管理，可满足项目基础质量需求，但流程简化、无完善闭环及精细化管控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E31EAD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0D1659D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742AE0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4A6D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2471D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w:t>
            </w:r>
          </w:p>
        </w:tc>
        <w:tc>
          <w:tcPr>
            <w:tcW w:w="988" w:type="dxa"/>
            <w:vMerge w:val="continue"/>
            <w:noWrap/>
            <w:vAlign w:val="center"/>
          </w:tcPr>
          <w:p w14:paraId="23F5F0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623C7A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项目生产方案</w:t>
            </w:r>
          </w:p>
          <w:p w14:paraId="60DA1A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B42A13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供应商应根据招标文件要求提供具体详实的产品实施方案：包括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生产计划安排</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生产工艺流程</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拟投入的</w:t>
            </w:r>
            <w:r>
              <w:rPr>
                <w:rFonts w:hint="eastAsia"/>
                <w:color w:val="000000" w:themeColor="text1"/>
                <w:sz w:val="24"/>
                <w:szCs w:val="24"/>
                <w:highlight w:val="none"/>
                <w:lang w:val="en-US" w:eastAsia="zh-CN"/>
                <w14:textFill>
                  <w14:solidFill>
                    <w14:schemeClr w14:val="tx1"/>
                  </w14:solidFill>
                </w14:textFill>
              </w:rPr>
              <w:t>生产</w:t>
            </w:r>
            <w:r>
              <w:rPr>
                <w:rFonts w:hint="eastAsia"/>
                <w:color w:val="000000" w:themeColor="text1"/>
                <w:sz w:val="24"/>
                <w:szCs w:val="24"/>
                <w:highlight w:val="none"/>
                <w14:textFill>
                  <w14:solidFill>
                    <w14:schemeClr w14:val="tx1"/>
                  </w14:solidFill>
                </w14:textFill>
              </w:rPr>
              <w:t>设备情况。以上每项内容逐条阐述。</w:t>
            </w:r>
          </w:p>
          <w:p w14:paraId="277BF04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1）生产计划安排科学详实、生产工艺流程规范完善、拟投入设备充足且适配，三者衔接顺畅、安排合理得当，完全符合招标文件要求，能够全面保障项目顺利实施得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6376A6D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2）生产计划安排基本合理、生产工艺流程基本完整、拟投入设备基本适配，能够基本满足招标文件要求，生产过程基本可控，可保障项目基本顺利实施得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145820D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33494B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07F91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18FA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0BFBF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5BF20D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547C85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安装</w:t>
            </w:r>
            <w:r>
              <w:rPr>
                <w:rFonts w:hint="eastAsia"/>
                <w:b/>
                <w:bCs/>
                <w:color w:val="000000" w:themeColor="text1"/>
                <w:sz w:val="24"/>
                <w:szCs w:val="24"/>
                <w:highlight w:val="none"/>
                <w:lang w:val="en-US" w:eastAsia="zh-CN"/>
                <w14:textFill>
                  <w14:solidFill>
                    <w14:schemeClr w14:val="tx1"/>
                  </w14:solidFill>
                </w14:textFill>
              </w:rPr>
              <w:t>实施</w:t>
            </w:r>
            <w:r>
              <w:rPr>
                <w:rFonts w:hint="eastAsia"/>
                <w:b/>
                <w:bCs/>
                <w:color w:val="000000" w:themeColor="text1"/>
                <w:sz w:val="24"/>
                <w:szCs w:val="24"/>
                <w:highlight w:val="none"/>
                <w14:textFill>
                  <w14:solidFill>
                    <w14:schemeClr w14:val="tx1"/>
                  </w14:solidFill>
                </w14:textFill>
              </w:rPr>
              <w:t>方案</w:t>
            </w:r>
          </w:p>
          <w:p w14:paraId="4FD6E6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6F0F0F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w:t>
            </w:r>
            <w:r>
              <w:rPr>
                <w:rFonts w:hint="eastAsia"/>
                <w:color w:val="000000" w:themeColor="text1"/>
                <w:sz w:val="24"/>
                <w:szCs w:val="24"/>
                <w:highlight w:val="none"/>
                <w:lang w:val="en-US" w:eastAsia="zh-CN"/>
                <w14:textFill>
                  <w14:solidFill>
                    <w14:schemeClr w14:val="tx1"/>
                  </w14:solidFill>
                </w14:textFill>
              </w:rPr>
              <w:t>安装实施</w:t>
            </w:r>
            <w:r>
              <w:rPr>
                <w:rFonts w:hint="eastAsia"/>
                <w:color w:val="000000" w:themeColor="text1"/>
                <w:sz w:val="24"/>
                <w:szCs w:val="24"/>
                <w:highlight w:val="none"/>
                <w14:textFill>
                  <w14:solidFill>
                    <w14:schemeClr w14:val="tx1"/>
                  </w14:solidFill>
                </w14:textFill>
              </w:rPr>
              <w:t>方案：包括：1.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；2.人员配置</w:t>
            </w:r>
            <w:r>
              <w:rPr>
                <w:rFonts w:hint="eastAsia"/>
                <w:color w:val="000000" w:themeColor="text1"/>
                <w:sz w:val="24"/>
                <w:szCs w:val="24"/>
                <w:highlight w:val="none"/>
                <w:lang w:val="en-US" w:eastAsia="zh-CN"/>
                <w14:textFill>
                  <w14:solidFill>
                    <w14:schemeClr w14:val="tx1"/>
                  </w14:solidFill>
                </w14:textFill>
              </w:rPr>
              <w:t>保障方案</w:t>
            </w:r>
            <w:r>
              <w:rPr>
                <w:rFonts w:hint="eastAsia"/>
                <w:color w:val="000000" w:themeColor="text1"/>
                <w:sz w:val="24"/>
                <w:szCs w:val="24"/>
                <w:highlight w:val="none"/>
                <w14:textFill>
                  <w14:solidFill>
                    <w14:schemeClr w14:val="tx1"/>
                  </w14:solidFill>
                </w14:textFill>
              </w:rPr>
              <w:t>；3.工具与设备</w:t>
            </w:r>
            <w:r>
              <w:rPr>
                <w:rFonts w:hint="eastAsia"/>
                <w:color w:val="000000" w:themeColor="text1"/>
                <w:sz w:val="24"/>
                <w:szCs w:val="24"/>
                <w:highlight w:val="none"/>
                <w:lang w:val="en-US" w:eastAsia="zh-CN"/>
                <w14:textFill>
                  <w14:solidFill>
                    <w14:schemeClr w14:val="tx1"/>
                  </w14:solidFill>
                </w14:textFill>
              </w:rPr>
              <w:t>投入计划</w:t>
            </w:r>
            <w:r>
              <w:rPr>
                <w:rFonts w:hint="eastAsia"/>
                <w:color w:val="000000" w:themeColor="text1"/>
                <w:sz w:val="24"/>
                <w:szCs w:val="24"/>
                <w:highlight w:val="none"/>
                <w14:textFill>
                  <w14:solidFill>
                    <w14:schemeClr w14:val="tx1"/>
                  </w14:solidFill>
                </w14:textFill>
              </w:rPr>
              <w:t>；4.成品保护方案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5.安全及规范管理制度</w:t>
            </w:r>
            <w:r>
              <w:rPr>
                <w:rFonts w:hint="eastAsia"/>
                <w:color w:val="000000" w:themeColor="text1"/>
                <w:sz w:val="24"/>
                <w:szCs w:val="24"/>
                <w:highlight w:val="none"/>
                <w14:textFill>
                  <w14:solidFill>
                    <w14:schemeClr w14:val="tx1"/>
                  </w14:solidFill>
                </w14:textFill>
              </w:rPr>
              <w:t>。以上每项内容逐条阐述。</w:t>
            </w:r>
          </w:p>
          <w:p w14:paraId="428B5A5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w:t>
            </w:r>
            <w:r>
              <w:rPr>
                <w:rFonts w:hint="eastAsia"/>
                <w:color w:val="000000" w:themeColor="text1"/>
                <w:sz w:val="24"/>
                <w:szCs w:val="24"/>
                <w:highlight w:val="none"/>
                <w14:textFill>
                  <w14:solidFill>
                    <w14:schemeClr w14:val="tx1"/>
                  </w14:solidFill>
                </w14:textFill>
              </w:rPr>
              <w:t>专业达标、配置充足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有效可行；安全及规范管理制度贴合实际，可落实的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5465EB3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水平基本</w:t>
            </w:r>
            <w:r>
              <w:rPr>
                <w:rFonts w:hint="eastAsia"/>
                <w:color w:val="000000" w:themeColor="text1"/>
                <w:sz w:val="24"/>
                <w:szCs w:val="24"/>
                <w:highlight w:val="none"/>
                <w14:textFill>
                  <w14:solidFill>
                    <w14:schemeClr w14:val="tx1"/>
                  </w14:solidFill>
                </w14:textFill>
              </w:rPr>
              <w:t>专业达标、配置</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投入基本合理得当；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基本有效可行；安全及规范管理制度基本贴合实际，基本可落实的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7EE96E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6408D50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）未提供的不得分。</w:t>
            </w:r>
          </w:p>
        </w:tc>
        <w:tc>
          <w:tcPr>
            <w:tcW w:w="518" w:type="dxa"/>
            <w:noWrap/>
            <w:vAlign w:val="center"/>
          </w:tcPr>
          <w:p w14:paraId="550B8C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7CF6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09505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continue"/>
            <w:noWrap/>
            <w:vAlign w:val="center"/>
          </w:tcPr>
          <w:p w14:paraId="2CADE5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546BFF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售后服务</w:t>
            </w:r>
            <w:r>
              <w:rPr>
                <w:rFonts w:hint="eastAsia"/>
                <w:b/>
                <w:bCs/>
                <w:color w:val="000000" w:themeColor="text1"/>
                <w:sz w:val="24"/>
                <w:szCs w:val="24"/>
                <w:highlight w:val="none"/>
                <w:lang w:val="en-US" w:eastAsia="zh-CN"/>
                <w14:textFill>
                  <w14:solidFill>
                    <w14:schemeClr w14:val="tx1"/>
                  </w14:solidFill>
                </w14:textFill>
              </w:rPr>
              <w:t>方案</w:t>
            </w:r>
          </w:p>
          <w:p w14:paraId="71280A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03F2A8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供应商应根据招标文件要求提供具体详实的售后服务方案：包括：1.售后服务响应时间；2.售后服务体系；3.故障解决方案；4.人员保障方案。以上每项内容逐条阐述。</w:t>
            </w:r>
          </w:p>
          <w:p w14:paraId="69CAD92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售后响应时间明确且快速，符合招标文件要求，可及时响应诉求；售后体系完善，分工清晰，有规范流程及全程服务管控机制；故障解决方案方案详实，覆盖各类故障，可快速高效解决，有复盘机制；保障人员专业达标、配置充足紧贴招标文件中售后服务要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2CAA9E1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2）售后有明确响应时间，基本符合要求，响应效率基本可行；售后体系基本完整，有基础分工，流程较简单。有基础解决方案，可处理常见故障，效率一般。有基础保障人员，人员专业配置基本满足需求的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4E264D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5A2AF22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30D7E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7F8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338C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6</w:t>
            </w:r>
          </w:p>
        </w:tc>
        <w:tc>
          <w:tcPr>
            <w:tcW w:w="988" w:type="dxa"/>
            <w:vMerge w:val="continue"/>
            <w:noWrap/>
            <w:vAlign w:val="center"/>
          </w:tcPr>
          <w:p w14:paraId="7676703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BF66A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应急保障方案</w:t>
            </w:r>
          </w:p>
          <w:p w14:paraId="4038B3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0478FB0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供应商应根据招标文件要求提供具体详实的应急保障方案：包括：1.风险预判与应急触发条件；2.</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供货应急保障；3.破损缺件应急补货；4.人员保障方案。以上每项内容逐条阐述。</w:t>
            </w:r>
          </w:p>
          <w:p w14:paraId="7AF4329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1）风险预判</w:t>
            </w:r>
            <w:r>
              <w:rPr>
                <w:rFonts w:hint="eastAsia"/>
                <w:color w:val="000000" w:themeColor="text1"/>
                <w:sz w:val="24"/>
                <w:szCs w:val="24"/>
                <w:highlight w:val="none"/>
                <w:lang w:val="en-US" w:eastAsia="zh-CN"/>
                <w14:textFill>
                  <w14:solidFill>
                    <w14:schemeClr w14:val="tx1"/>
                  </w14:solidFill>
                </w14:textFill>
              </w:rPr>
              <w:t>贴合实际，应急触发条件合理可行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方案清晰、有针对性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方案完善、可行</w:t>
            </w:r>
            <w:r>
              <w:rPr>
                <w:rFonts w:hint="eastAsia"/>
                <w:color w:val="000000" w:themeColor="text1"/>
                <w:sz w:val="24"/>
                <w:szCs w:val="24"/>
                <w:highlight w:val="none"/>
                <w14:textFill>
                  <w14:solidFill>
                    <w14:schemeClr w14:val="tx1"/>
                  </w14:solidFill>
                </w14:textFill>
              </w:rPr>
              <w:t>；保障人员专业达标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3BE777C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2）风险预判</w:t>
            </w:r>
            <w:r>
              <w:rPr>
                <w:rFonts w:hint="eastAsia"/>
                <w:color w:val="000000" w:themeColor="text1"/>
                <w:sz w:val="24"/>
                <w:szCs w:val="24"/>
                <w:highlight w:val="none"/>
                <w:lang w:val="en-US" w:eastAsia="zh-CN"/>
                <w14:textFill>
                  <w14:solidFill>
                    <w14:schemeClr w14:val="tx1"/>
                  </w14:solidFill>
                </w14:textFill>
              </w:rPr>
              <w:t>基本贴合实际，应急触发条件基本合理可行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方案基本清晰、基本有针对性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方案基本完善、基本可行</w:t>
            </w:r>
            <w:r>
              <w:rPr>
                <w:rFonts w:hint="eastAsia"/>
                <w:color w:val="000000" w:themeColor="text1"/>
                <w:sz w:val="24"/>
                <w:szCs w:val="24"/>
                <w:highlight w:val="none"/>
                <w14:textFill>
                  <w14:solidFill>
                    <w14:schemeClr w14:val="tx1"/>
                  </w14:solidFill>
                </w14:textFill>
              </w:rPr>
              <w:t>；保障人员</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397C886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3FBBA62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1BF9F8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ABB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D4CDB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7</w:t>
            </w:r>
          </w:p>
        </w:tc>
        <w:tc>
          <w:tcPr>
            <w:tcW w:w="988" w:type="dxa"/>
            <w:vMerge w:val="continue"/>
            <w:noWrap/>
            <w:vAlign w:val="center"/>
          </w:tcPr>
          <w:p w14:paraId="28B9B1C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4677C0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验收实施方案</w:t>
            </w:r>
          </w:p>
          <w:p w14:paraId="51ABAB4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47781BB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供应商应根据招标文件要求提供具体详实的验收实施方案：包括：1.验收组织分工；2.分阶段验收实施流程；3.整改机制；4.验收资料归档管理。以上每项内容逐条阐述。</w:t>
            </w:r>
          </w:p>
          <w:p w14:paraId="5DBF2E4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1）验收组织分工</w:t>
            </w:r>
            <w:r>
              <w:rPr>
                <w:rFonts w:hint="eastAsia"/>
                <w:color w:val="000000" w:themeColor="text1"/>
                <w:sz w:val="24"/>
                <w:szCs w:val="24"/>
                <w:highlight w:val="none"/>
                <w:lang w:val="en-US" w:eastAsia="zh-CN"/>
                <w14:textFill>
                  <w14:solidFill>
                    <w14:schemeClr w14:val="tx1"/>
                  </w14:solidFill>
                </w14:textFill>
              </w:rPr>
              <w:t>明确、清晰；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CE291A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2）验收组织分工</w:t>
            </w:r>
            <w:r>
              <w:rPr>
                <w:rFonts w:hint="eastAsia"/>
                <w:color w:val="000000" w:themeColor="text1"/>
                <w:sz w:val="24"/>
                <w:szCs w:val="24"/>
                <w:highlight w:val="none"/>
                <w:lang w:val="en-US" w:eastAsia="zh-CN"/>
                <w14:textFill>
                  <w14:solidFill>
                    <w14:schemeClr w14:val="tx1"/>
                  </w14:solidFill>
                </w14:textFill>
              </w:rPr>
              <w:t>基本明确、基本清晰；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基本完善；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基本可行；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基本合理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74D1D88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1932BA9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09CFC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D56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E420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8</w:t>
            </w:r>
          </w:p>
        </w:tc>
        <w:tc>
          <w:tcPr>
            <w:tcW w:w="988" w:type="dxa"/>
            <w:vMerge w:val="restart"/>
            <w:noWrap/>
            <w:vAlign w:val="center"/>
          </w:tcPr>
          <w:p w14:paraId="3E617C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107149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56C313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技术参数</w:t>
            </w:r>
          </w:p>
          <w:p w14:paraId="032A81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4E56EFE8">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技术参数全部满足招标要求的得满分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分，在此基础上，招标文件中标注“★”的内容为实质性要求，有一项不符合的，作无效投标处理；</w:t>
            </w:r>
          </w:p>
          <w:p w14:paraId="503131A2">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打“▲”号有一项有负偏离或不满足要求的，扣</w:t>
            </w:r>
            <w:r>
              <w:rPr>
                <w:rFonts w:hint="eastAsia"/>
                <w:color w:val="000000" w:themeColor="text1"/>
                <w:sz w:val="24"/>
                <w:szCs w:val="24"/>
                <w:highlight w:val="none"/>
                <w:lang w:val="en-US" w:eastAsia="zh-CN"/>
                <w14:textFill>
                  <w14:solidFill>
                    <w14:schemeClr w14:val="tx1"/>
                  </w14:solidFill>
                </w14:textFill>
              </w:rPr>
              <w:t>0.7</w:t>
            </w:r>
            <w:r>
              <w:rPr>
                <w:rFonts w:hint="eastAsia"/>
                <w:color w:val="000000" w:themeColor="text1"/>
                <w:sz w:val="24"/>
                <w:szCs w:val="24"/>
                <w:highlight w:val="none"/>
                <w14:textFill>
                  <w14:solidFill>
                    <w14:schemeClr w14:val="tx1"/>
                  </w14:solidFill>
                </w14:textFill>
              </w:rPr>
              <w:t>分。</w:t>
            </w:r>
          </w:p>
          <w:p w14:paraId="6BDD770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未打“▲”号有一项有负偏离或不满足要求的，扣</w:t>
            </w:r>
            <w:r>
              <w:rPr>
                <w:rFonts w:hint="eastAsia"/>
                <w:color w:val="000000" w:themeColor="text1"/>
                <w:sz w:val="24"/>
                <w:szCs w:val="24"/>
                <w:highlight w:val="none"/>
                <w:lang w:val="en-US" w:eastAsia="zh-CN"/>
                <w14:textFill>
                  <w14:solidFill>
                    <w14:schemeClr w14:val="tx1"/>
                  </w14:solidFill>
                </w14:textFill>
              </w:rPr>
              <w:t>0.2</w:t>
            </w:r>
            <w:r>
              <w:rPr>
                <w:rFonts w:hint="eastAsia"/>
                <w:color w:val="000000" w:themeColor="text1"/>
                <w:sz w:val="24"/>
                <w:szCs w:val="24"/>
                <w:highlight w:val="none"/>
                <w14:textFill>
                  <w14:solidFill>
                    <w14:schemeClr w14:val="tx1"/>
                  </w14:solidFill>
                </w14:textFill>
              </w:rPr>
              <w:t>分。</w:t>
            </w:r>
          </w:p>
          <w:p w14:paraId="4DFA30F2">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（供应商需在“技术参数响应及偏离表”中如实详细填列所投产品的参数</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缺项漏项视为负偏离</w:t>
            </w:r>
            <w:r>
              <w:rPr>
                <w:rFonts w:hint="eastAsia"/>
                <w:color w:val="000000" w:themeColor="text1"/>
                <w:sz w:val="24"/>
                <w:szCs w:val="24"/>
                <w:highlight w:val="none"/>
                <w14:textFill>
                  <w14:solidFill>
                    <w14:schemeClr w14:val="tx1"/>
                  </w14:solidFill>
                </w14:textFill>
              </w:rPr>
              <w:t>）。</w:t>
            </w:r>
          </w:p>
        </w:tc>
        <w:tc>
          <w:tcPr>
            <w:tcW w:w="518" w:type="dxa"/>
            <w:noWrap/>
            <w:vAlign w:val="center"/>
          </w:tcPr>
          <w:p w14:paraId="23F40B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2B50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36472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9</w:t>
            </w:r>
          </w:p>
        </w:tc>
        <w:tc>
          <w:tcPr>
            <w:tcW w:w="988" w:type="dxa"/>
            <w:vMerge w:val="continue"/>
            <w:noWrap/>
            <w:vAlign w:val="center"/>
          </w:tcPr>
          <w:p w14:paraId="4CBB64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2C602A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原材料</w:t>
            </w:r>
            <w:r>
              <w:rPr>
                <w:rFonts w:hint="eastAsia"/>
                <w:b/>
                <w:bCs/>
                <w:color w:val="000000" w:themeColor="text1"/>
                <w:sz w:val="24"/>
                <w:szCs w:val="24"/>
                <w:highlight w:val="none"/>
                <w:lang w:eastAsia="zh-CN"/>
                <w14:textFill>
                  <w14:solidFill>
                    <w14:schemeClr w14:val="tx1"/>
                  </w14:solidFill>
                </w14:textFill>
              </w:rPr>
              <w:t>检验（测）报告</w:t>
            </w:r>
          </w:p>
          <w:p w14:paraId="42EEEE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92D992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lang w:val="en-US" w:eastAsia="zh-CN"/>
                <w14:textFill>
                  <w14:solidFill>
                    <w14:schemeClr w14:val="tx1"/>
                  </w14:solidFill>
                </w14:textFill>
              </w:rPr>
              <w:t>具有</w:t>
            </w:r>
            <w:r>
              <w:rPr>
                <w:rFonts w:hint="eastAsia"/>
                <w:color w:val="000000" w:themeColor="text1"/>
                <w:sz w:val="24"/>
                <w:szCs w:val="24"/>
                <w:highlight w:val="none"/>
                <w14:textFill>
                  <w14:solidFill>
                    <w14:schemeClr w14:val="tx1"/>
                  </w14:solidFill>
                </w14:textFill>
              </w:rPr>
              <w:t>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检测机构（具有CMA或CNAS认证的检验机构）出具的家具用一般原材料</w:t>
            </w:r>
            <w:r>
              <w:rPr>
                <w:rFonts w:hint="eastAsia"/>
                <w:color w:val="000000" w:themeColor="text1"/>
                <w:highlight w:val="none"/>
                <w14:textFill>
                  <w14:solidFill>
                    <w14:schemeClr w14:val="tx1"/>
                  </w14:solidFill>
                </w14:textFill>
              </w:rPr>
              <w:t>实木多层板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钢管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封边条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铰链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导轨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拉手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脚套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中空吹塑一次成型床板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无醛封边热熔胶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前护栏</w:t>
            </w:r>
            <w:r>
              <w:rPr>
                <w:rFonts w:hint="eastAsia"/>
                <w:color w:val="000000" w:themeColor="text1"/>
                <w:highlight w:val="none"/>
                <w:lang w:val="en-US" w:eastAsia="zh-CN"/>
                <w14:textFill>
                  <w14:solidFill>
                    <w14:schemeClr w14:val="tx1"/>
                  </w14:solidFill>
                </w14:textFill>
              </w:rPr>
              <w:t>的</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2DCC6F5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①实木多层板：检测项目至少包含甲醛释放量≤0.05㎎/m³（达到E0级别），总挥发性有机化合物TVOC，外观质量，含水率。</w:t>
            </w:r>
          </w:p>
          <w:p w14:paraId="3B78D4B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②钢管：检测项目至少包含产品表面理化性能，耐腐蚀，金属喷漆（塑）涂层（硬度）。</w:t>
            </w:r>
          </w:p>
          <w:p w14:paraId="21A6DD3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③封边条：检测项目至少包含塑料封边条理化性能，塑料封边条有害物质限量。</w:t>
            </w:r>
          </w:p>
          <w:p w14:paraId="0FCA94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④铰链：检测项目至少包含过载试验静载荷，功能静载荷，耐腐蚀试验。</w:t>
            </w:r>
          </w:p>
          <w:p w14:paraId="1A54F2C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⑤导轨：检测项目至少包含过载试验静载荷，功能静载荷，耐腐蚀试验。</w:t>
            </w:r>
          </w:p>
          <w:p w14:paraId="26D8CC1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⑥拉手：检测项目至少包含金属拉手耐腐蚀性要求。</w:t>
            </w:r>
          </w:p>
          <w:p w14:paraId="48A771E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⑦脚套：检测项目至少包含邻苯二甲酸酯（DBP、BBP、DEHP、DNOP、DINP、DIDP）、重金属、多环芳烃、多溴二苯醚。</w:t>
            </w:r>
          </w:p>
          <w:p w14:paraId="25F5FCF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⑧中空吹塑一次成型床板：检测项目至少包含塑料件外观，理化性能塑料件耐冷热循环，有害物质限量（邻苯二甲酸酯、多环芳烃），品质属性（产品有害物质家具涂层可迁移元素）。</w:t>
            </w:r>
          </w:p>
          <w:p w14:paraId="1453F51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⑨无醛封边热熔胶：检测项目至少包含胶粘剂VOC含量检测合格、气味等级</w:t>
            </w:r>
          </w:p>
          <w:p w14:paraId="23166A8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⑩前护栏：检测项目至少包含外观性能（金属件），理化性能要求（金属喷漆（塑）涂层）。</w:t>
            </w:r>
          </w:p>
          <w:p w14:paraId="2C1030B8">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分。</w:t>
            </w:r>
          </w:p>
          <w:p w14:paraId="46551DC3">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r>
              <w:rPr>
                <w:rFonts w:hint="eastAsia"/>
                <w:b/>
                <w:color w:val="000000" w:themeColor="text1"/>
                <w:sz w:val="24"/>
                <w:szCs w:val="24"/>
                <w:highlight w:val="none"/>
                <w:lang w:eastAsia="zh-CN"/>
                <w14:textFill>
                  <w14:solidFill>
                    <w14:schemeClr w14:val="tx1"/>
                  </w14:solidFill>
                </w14:textFill>
              </w:rPr>
              <w:t>。</w:t>
            </w:r>
            <w:r>
              <w:rPr>
                <w:rFonts w:hint="eastAsia"/>
                <w:b/>
                <w:color w:val="000000" w:themeColor="text1"/>
                <w:sz w:val="24"/>
                <w:szCs w:val="24"/>
                <w:highlight w:val="none"/>
                <w14:textFill>
                  <w14:solidFill>
                    <w14:schemeClr w14:val="tx1"/>
                  </w14:solidFill>
                </w14:textFill>
              </w:rPr>
              <w:t>）</w:t>
            </w:r>
          </w:p>
          <w:p w14:paraId="4593965D">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293E87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29D1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B3C2E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10</w:t>
            </w:r>
          </w:p>
        </w:tc>
        <w:tc>
          <w:tcPr>
            <w:tcW w:w="988" w:type="dxa"/>
            <w:vMerge w:val="continue"/>
            <w:noWrap/>
            <w:vAlign w:val="center"/>
          </w:tcPr>
          <w:p w14:paraId="54762DB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98DC7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成品</w:t>
            </w:r>
            <w:r>
              <w:rPr>
                <w:rFonts w:hint="eastAsia"/>
                <w:b/>
                <w:bCs/>
                <w:color w:val="000000" w:themeColor="text1"/>
                <w:sz w:val="24"/>
                <w:szCs w:val="24"/>
                <w:highlight w:val="none"/>
                <w:lang w:eastAsia="zh-CN"/>
                <w14:textFill>
                  <w14:solidFill>
                    <w14:schemeClr w14:val="tx1"/>
                  </w14:solidFill>
                </w14:textFill>
              </w:rPr>
              <w:t>检验（测）报告</w:t>
            </w:r>
          </w:p>
          <w:p w14:paraId="2CDF589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6EAA15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14:textFill>
                  <w14:solidFill>
                    <w14:schemeClr w14:val="tx1"/>
                  </w14:solidFill>
                </w14:textFill>
              </w:rPr>
              <w:t>具有2023年4月1日以来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检测机构（具有CMA或CNAS认证的检验机构）出具的家具成品公寓组合床、书桌、衣柜、</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铝合金方凳</w:t>
            </w:r>
            <w:r>
              <w:rPr>
                <w:rFonts w:hint="eastAsia"/>
                <w:color w:val="000000" w:themeColor="text1"/>
                <w:sz w:val="24"/>
                <w:szCs w:val="24"/>
                <w:highlight w:val="none"/>
                <w:lang w:val="en-US" w:eastAsia="zh-CN"/>
                <w14:textFill>
                  <w14:solidFill>
                    <w14:schemeClr w14:val="tx1"/>
                  </w14:solidFill>
                </w14:textFill>
              </w:rPr>
              <w:t>的</w:t>
            </w:r>
            <w:r>
              <w:rPr>
                <w:rFonts w:hint="eastAsia"/>
                <w:color w:val="000000" w:themeColor="text1"/>
                <w:sz w:val="24"/>
                <w:szCs w:val="24"/>
                <w:highlight w:val="none"/>
                <w14:textFill>
                  <w14:solidFill>
                    <w14:schemeClr w14:val="tx1"/>
                  </w14:solidFill>
                </w14:textFill>
              </w:rPr>
              <w:t>成品</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2694F9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公寓组合床：检测项目至少包含外观要求（金属件、塑料件），结构安全，理化性能要求（金属喷漆塑涂层），力学性能(单层床强度和耐久性)、品质属性（包含甲醛释放量、总挥发性有机化合物TVOC、家具涂层可迁移元素）</w:t>
            </w:r>
          </w:p>
          <w:p w14:paraId="5F8BF13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书桌：检测项目至少包含主要尺寸及偏差，形状和位置公差，外观要求，表面理化性能要求（软、硬质覆面），力学性能要求（桌类强度和耐久性、桌类稳定性），安全性能要求（结构安全、重金属含量），甲醛释放量，品质属性（产品有害物质）。</w:t>
            </w:r>
          </w:p>
          <w:p w14:paraId="6C0E32A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衣柜：检测项目至少包含主要尺寸及偏差，形状和位置公差，外观要求，表面理化性能要求（软、硬质覆面），力学性能要求（强度和耐久性、稳定性），安全性能要求（结构安全、重金属含量），甲醛释放量，品质属性（产品有害物质）。</w:t>
            </w:r>
          </w:p>
          <w:p w14:paraId="59481C9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④</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检测项目至少包含主要尺寸及偏差，形状和位置公差，外观要求，表面理化性能要求（软、硬质覆面），力学性能要求（强度和耐久性、稳定性），安全性能要求（结构安全、重金属含量），甲醛释放量，品质属性（产品有害物质）。</w:t>
            </w:r>
          </w:p>
          <w:p w14:paraId="75EDB49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⑤</w:t>
            </w:r>
            <w:r>
              <w:rPr>
                <w:rFonts w:hint="eastAsia"/>
                <w:color w:val="000000" w:themeColor="text1"/>
                <w:sz w:val="24"/>
                <w:szCs w:val="24"/>
                <w:highlight w:val="none"/>
                <w14:textFill>
                  <w14:solidFill>
                    <w14:schemeClr w14:val="tx1"/>
                  </w14:solidFill>
                </w14:textFill>
              </w:rPr>
              <w:t>铝合金凳：检测项目至少包含外观要求，力学性能要求（椅凳类强度和耐久性），产品有害物质甲醛释放量。</w:t>
            </w:r>
          </w:p>
          <w:p w14:paraId="7340A49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19C72934">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复印件或扫描件并加盖供应商公章，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p>
          <w:p w14:paraId="44D77FAD">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6A563F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142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05B0F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1</w:t>
            </w:r>
          </w:p>
        </w:tc>
        <w:tc>
          <w:tcPr>
            <w:tcW w:w="988" w:type="dxa"/>
            <w:vMerge w:val="continue"/>
            <w:noWrap/>
            <w:vAlign w:val="center"/>
          </w:tcPr>
          <w:p w14:paraId="294E4F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BE2DE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供应商履约能力</w:t>
            </w:r>
          </w:p>
          <w:p w14:paraId="03701A4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（2分）</w:t>
            </w:r>
          </w:p>
        </w:tc>
        <w:tc>
          <w:tcPr>
            <w:tcW w:w="6188" w:type="dxa"/>
            <w:noWrap/>
            <w:vAlign w:val="center"/>
          </w:tcPr>
          <w:p w14:paraId="35255A61">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1.供应商或产品制造商提供国家认监委认可的认证机构出具的“家具中有害物质限量认证证书”（证书认证范围至少包含与本次采购相关的“金属家具”或“木质家具”）的得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0038308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.供应商或产品制造商提供国家认监委认可的认证机构出具的“产品防霉认证证书”（证书认证范围至少包含与本次采购相关的“木质家具”）的得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3BE92CF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本项满分2分。</w:t>
            </w:r>
          </w:p>
          <w:p w14:paraId="7FED6C1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7B1526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r>
      <w:tr w14:paraId="234C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4A705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2</w:t>
            </w:r>
          </w:p>
        </w:tc>
        <w:tc>
          <w:tcPr>
            <w:tcW w:w="988" w:type="dxa"/>
            <w:vMerge w:val="continue"/>
            <w:noWrap/>
            <w:vAlign w:val="center"/>
          </w:tcPr>
          <w:p w14:paraId="3121AB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50C014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质保承诺</w:t>
            </w:r>
          </w:p>
          <w:p w14:paraId="0D8B35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8FA0311">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满足招标文件免费质保期十年要求后，每增加两年免费质保期得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分，最高得</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分。</w:t>
            </w:r>
          </w:p>
          <w:p w14:paraId="2ABC4C6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（提供承诺函并加盖供应商公章，格式自拟，内容含糊不清的作未提供处理，未提供不得分）</w:t>
            </w:r>
          </w:p>
          <w:p w14:paraId="5776A19E">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1A6563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p>
        </w:tc>
      </w:tr>
      <w:tr w14:paraId="16E3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6F6AE0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3</w:t>
            </w:r>
          </w:p>
        </w:tc>
        <w:tc>
          <w:tcPr>
            <w:tcW w:w="988" w:type="dxa"/>
            <w:vMerge w:val="continue"/>
            <w:noWrap/>
            <w:vAlign w:val="center"/>
          </w:tcPr>
          <w:p w14:paraId="30E6A3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36ABF2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同类业绩</w:t>
            </w:r>
          </w:p>
          <w:p w14:paraId="01FA40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E4FD9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供应商自2021年4月1日以来（以合同签订时间为准）承担过并已完成类似项目的（至少包含公寓床和组合柜），每提供一个业绩得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分，最多得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分。（需提供</w:t>
            </w:r>
            <w:r>
              <w:rPr>
                <w:rFonts w:hint="eastAsia"/>
                <w:color w:val="000000" w:themeColor="text1"/>
                <w:sz w:val="24"/>
                <w:szCs w:val="24"/>
                <w:highlight w:val="none"/>
                <w:lang w:val="en-US" w:eastAsia="zh-CN"/>
                <w14:textFill>
                  <w14:solidFill>
                    <w14:schemeClr w14:val="tx1"/>
                  </w14:solidFill>
                </w14:textFill>
              </w:rPr>
              <w:t>中标/成交通知书、</w:t>
            </w:r>
            <w:r>
              <w:rPr>
                <w:rFonts w:hint="eastAsia"/>
                <w:color w:val="000000" w:themeColor="text1"/>
                <w:sz w:val="24"/>
                <w:szCs w:val="24"/>
                <w:highlight w:val="none"/>
                <w14:textFill>
                  <w14:solidFill>
                    <w14:schemeClr w14:val="tx1"/>
                  </w14:solidFill>
                </w14:textFill>
              </w:rPr>
              <w:t>合同</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验收证明及对应合同任一阶段的发票</w:t>
            </w:r>
            <w:r>
              <w:rPr>
                <w:rFonts w:hint="eastAsia"/>
                <w:color w:val="000000" w:themeColor="text1"/>
                <w:sz w:val="24"/>
                <w:szCs w:val="24"/>
                <w:highlight w:val="none"/>
                <w14:textFill>
                  <w14:solidFill>
                    <w14:schemeClr w14:val="tx1"/>
                  </w14:solidFill>
                </w14:textFill>
              </w:rPr>
              <w:t>扫描件，缺项不得分）</w:t>
            </w:r>
          </w:p>
          <w:p w14:paraId="3FFDC62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74FAF6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189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FD583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2C09F7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25368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节能环保</w:t>
            </w:r>
          </w:p>
          <w:p w14:paraId="423FAE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default"/>
                <w:b/>
                <w:bCs/>
                <w:color w:val="000000" w:themeColor="text1"/>
                <w:sz w:val="24"/>
                <w:szCs w:val="24"/>
                <w:highlight w:val="none"/>
                <w:lang w:val="en-US"/>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0359A60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根据财政部、发展改革委、生态环境部、市场监管总局《关于调整优化节能产品、环境标志产品政府采购执行机制的通知》，</w:t>
            </w:r>
            <w:r>
              <w:rPr>
                <w:rFonts w:hint="eastAsia" w:ascii="宋体" w:hAnsi="宋体" w:cs="宋体"/>
                <w:color w:val="000000" w:themeColor="text1"/>
                <w:sz w:val="24"/>
                <w:szCs w:val="24"/>
                <w:highlight w:val="none"/>
                <w:lang w:val="en-US" w:eastAsia="zh-CN"/>
                <w14:textFill>
                  <w14:solidFill>
                    <w14:schemeClr w14:val="tx1"/>
                  </w14:solidFill>
                </w14:textFill>
              </w:rPr>
              <w:t>所投产品</w:t>
            </w:r>
            <w:r>
              <w:rPr>
                <w:rFonts w:hint="eastAsia" w:ascii="宋体" w:hAnsi="宋体" w:cs="宋体"/>
                <w:color w:val="000000" w:themeColor="text1"/>
                <w:sz w:val="24"/>
                <w:szCs w:val="24"/>
                <w:highlight w:val="none"/>
                <w14:textFill>
                  <w14:solidFill>
                    <w14:schemeClr w14:val="tx1"/>
                  </w14:solidFill>
                </w14:textFill>
              </w:rPr>
              <w:t>如有属于《环境标志产品政府采购品目清单》（最新一期）内的产品，供应商需提供国家确定的认证机构出具的、处于有效期之内的环境标志产品认证证书，且同时提供《政府采购执行环保政策情况表》明确说明此产品在《环境标志产品政府采购品目清单》（最新一期）中归属的编码及名称。以上条件均符合情况下，有一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w:t>
            </w:r>
          </w:p>
          <w:p w14:paraId="2960B01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投标产品属于财政部、国家发改委公布的“节能产品品目清单”范围内的，投标人提供国家确定的认证机构出具的、处于有效期之内的该节能产品认证证书，且同时提供《政府采购执行</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政策情况表》明确说明此产品在《</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产品政府采购品目清单》（最新一期）中归属的编码及名称。以上条件均符合情况下，有1个得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分。如投标产品均属于政府强制采购节能产品品目清单范围内，本项不得分。</w:t>
            </w:r>
          </w:p>
          <w:p w14:paraId="39FA95D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391220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lang w:val="en-US"/>
                <w14:textFill>
                  <w14:solidFill>
                    <w14:schemeClr w14:val="tx1"/>
                  </w14:solidFill>
                </w14:textFill>
              </w:rPr>
              <w:t>1</w:t>
            </w:r>
          </w:p>
        </w:tc>
      </w:tr>
      <w:tr w14:paraId="4B1D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restart"/>
            <w:noWrap/>
            <w:vAlign w:val="center"/>
          </w:tcPr>
          <w:p w14:paraId="71E2C6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restart"/>
            <w:noWrap/>
            <w:vAlign w:val="center"/>
          </w:tcPr>
          <w:p w14:paraId="3E0100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r>
              <w:rPr>
                <w:rFonts w:hint="eastAsia"/>
                <w:b/>
                <w:bCs/>
                <w:color w:val="000000" w:themeColor="text1"/>
                <w:sz w:val="24"/>
                <w:szCs w:val="24"/>
                <w:highlight w:val="none"/>
                <w:lang w:val="en-US" w:eastAsia="zh-CN"/>
                <w14:textFill>
                  <w14:solidFill>
                    <w14:schemeClr w14:val="tx1"/>
                  </w14:solidFill>
                </w14:textFill>
              </w:rPr>
              <w:t>分</w:t>
            </w:r>
          </w:p>
          <w:p w14:paraId="2BFF32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1037" w:type="dxa"/>
            <w:vMerge w:val="restart"/>
            <w:noWrap/>
            <w:vAlign w:val="center"/>
          </w:tcPr>
          <w:p w14:paraId="6C5101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p>
          <w:p w14:paraId="31B049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DDAEF5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样品外观评价</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p>
          <w:p w14:paraId="7FA80FC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全部样品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外观进行评审</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60BCC01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restart"/>
            <w:noWrap/>
            <w:vAlign w:val="center"/>
          </w:tcPr>
          <w:p w14:paraId="056A06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14ED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348D47A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988" w:type="dxa"/>
            <w:vMerge w:val="continue"/>
            <w:noWrap/>
            <w:vAlign w:val="center"/>
          </w:tcPr>
          <w:p w14:paraId="01B8F00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1037" w:type="dxa"/>
            <w:vMerge w:val="continue"/>
            <w:noWrap/>
            <w:vAlign w:val="center"/>
          </w:tcPr>
          <w:p w14:paraId="1B6043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6188" w:type="dxa"/>
            <w:noWrap/>
            <w:vAlign w:val="center"/>
          </w:tcPr>
          <w:p w14:paraId="5D059444">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2.样品工艺评价（4分）</w:t>
            </w:r>
          </w:p>
          <w:p w14:paraId="468F6436">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样品工艺进行评审：</w:t>
            </w:r>
          </w:p>
          <w:p w14:paraId="25684E4C">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优于招标文件要求得4分；符合招标文件要求得2分；不符合项目需求或样品递交不全、未递交样品的不得分。</w:t>
            </w:r>
          </w:p>
        </w:tc>
        <w:tc>
          <w:tcPr>
            <w:tcW w:w="518" w:type="dxa"/>
            <w:vMerge w:val="continue"/>
            <w:noWrap/>
            <w:vAlign w:val="center"/>
          </w:tcPr>
          <w:p w14:paraId="7427FB4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r w14:paraId="62E2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6B69846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988" w:type="dxa"/>
            <w:vMerge w:val="continue"/>
            <w:noWrap/>
            <w:vAlign w:val="center"/>
          </w:tcPr>
          <w:p w14:paraId="35F5DF8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1037" w:type="dxa"/>
            <w:vMerge w:val="continue"/>
            <w:noWrap/>
            <w:vAlign w:val="center"/>
          </w:tcPr>
          <w:p w14:paraId="526889E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6188" w:type="dxa"/>
            <w:noWrap/>
            <w:vAlign w:val="center"/>
          </w:tcPr>
          <w:p w14:paraId="47729DA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3.样品性能评价（3分）</w:t>
            </w:r>
          </w:p>
          <w:p w14:paraId="7788620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样品性能进行评审：</w:t>
            </w:r>
          </w:p>
          <w:p w14:paraId="541F224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continue"/>
            <w:noWrap/>
            <w:vAlign w:val="center"/>
          </w:tcPr>
          <w:p w14:paraId="66DCBC2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bl>
    <w:p w14:paraId="2DD113A7">
      <w:pPr>
        <w:bidi w:val="0"/>
        <w:rPr>
          <w:rFonts w:hint="eastAsia"/>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政府采购政策功能落实</w:t>
      </w:r>
      <w:r>
        <w:rPr>
          <w:rFonts w:hint="eastAsia"/>
          <w:b/>
          <w:bCs/>
          <w:color w:val="000000" w:themeColor="text1"/>
          <w:highlight w:val="none"/>
          <w:lang w:eastAsia="zh-CN"/>
          <w14:textFill>
            <w14:solidFill>
              <w14:schemeClr w14:val="tx1"/>
            </w14:solidFill>
          </w14:textFill>
        </w:rPr>
        <w:t>：</w:t>
      </w:r>
    </w:p>
    <w:p w14:paraId="5B29292C">
      <w:pPr>
        <w:bidi w:val="0"/>
        <w:rPr>
          <w:rFonts w:hint="default" w:eastAsia="宋体"/>
          <w:color w:val="000000" w:themeColor="text1"/>
          <w:highlight w:val="none"/>
          <w:lang w:val="en-US" w:eastAsia="zh-CN"/>
          <w14:textFill>
            <w14:solidFill>
              <w14:schemeClr w14:val="tx1"/>
            </w14:solidFill>
          </w14:textFill>
        </w:rPr>
      </w:pPr>
      <w:r>
        <w:rPr>
          <w:rFonts w:hint="eastAsia"/>
          <w:b w:val="0"/>
          <w:bCs w:val="0"/>
          <w:color w:val="000000" w:themeColor="text1"/>
          <w:highlight w:val="none"/>
          <w14:textFill>
            <w14:solidFill>
              <w14:schemeClr w14:val="tx1"/>
            </w14:solidFill>
          </w14:textFill>
        </w:rPr>
        <w:t>1</w:t>
      </w:r>
      <w:r>
        <w:rPr>
          <w:rFonts w:hint="eastAsia"/>
          <w:b w:val="0"/>
          <w:bCs w:val="0"/>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采购本国产品的支持政策</w:t>
      </w:r>
    </w:p>
    <w:p w14:paraId="4448BC74">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本项目政府采购活动中既有本国产品又有非本国产品参与竞争的，依法对本国产品给予价格评审优惠，对本国产品的报价给予20%的价格扣除，用扣除后的价格参与评审。</w:t>
      </w:r>
    </w:p>
    <w:p w14:paraId="159D8AEA">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当采购项目或者采购包中含有多种产品，</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为该采购项目或者采购包提供的符合本国产品标准的产品成本之和占该供应商提供的全部产品成本之和的比例达到80%以上时</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投标人</w:t>
      </w:r>
      <w:r>
        <w:rPr>
          <w:rFonts w:hint="eastAsia"/>
          <w:b/>
          <w:bCs/>
          <w:color w:val="000000" w:themeColor="text1"/>
          <w:highlight w:val="none"/>
          <w14:textFill>
            <w14:solidFill>
              <w14:schemeClr w14:val="tx1"/>
            </w14:solidFill>
          </w14:textFill>
        </w:rPr>
        <w:t>需在“第六章 投标文件格式及附件”的“分项报价表”中填写比例数值）</w:t>
      </w:r>
      <w:r>
        <w:rPr>
          <w:rFonts w:hint="eastAsia"/>
          <w:color w:val="000000" w:themeColor="text1"/>
          <w:highlight w:val="none"/>
          <w14:textFill>
            <w14:solidFill>
              <w14:schemeClr w14:val="tx1"/>
            </w14:solidFill>
          </w14:textFill>
        </w:rPr>
        <w:t>，依法对该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提供的全部产品给予价格评审优惠，即对该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提供的全部产品的总报价给予20%的价格扣除，用扣除后的价格参与评审。</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未填写比例数值，或比例数值未达到80%的，将不享受本国产品价格评审优惠。</w:t>
      </w:r>
    </w:p>
    <w:p w14:paraId="354410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需按照招标文件的要求提供《关于符合本国产品标准的声明函》（以下简称《声明函》），如不提供将不享受本国产品价格评审优惠。</w:t>
      </w:r>
    </w:p>
    <w:p w14:paraId="300D10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在《声明函》中逐一、准确填写产品名称、厂名、生产厂址三项信息（《声明函》中用删除线划除的地方无需填写），三项信息中任意一项未填写的视为该项产品不符合本国产品标准，不享受本国产品价格评审优惠。</w:t>
      </w:r>
    </w:p>
    <w:p w14:paraId="588247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⑤评标过程中，如发现</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在《声明函》内容含义不明确、同类事项与投标文件表述不一致或者有明显文字错误等情况的，评标委员会应当以书面形式要求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作出必要的澄清、说明或者补正。经澄清、说明或者补正的《声明函》仍然不符合《国务院办公厅关于在政府采购中实施本国产品标准及相关政策的通知》（国办发〔2025〕34号）和招标文件规定的，</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提供的相关产品视为不符合本国产品标准。</w:t>
      </w:r>
    </w:p>
    <w:p w14:paraId="1550AAC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62D428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第四章  采购需求</w:t>
      </w:r>
    </w:p>
    <w:p w14:paraId="1F341C3A">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一、采购清单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58"/>
        <w:gridCol w:w="3808"/>
        <w:gridCol w:w="888"/>
        <w:gridCol w:w="1536"/>
        <w:gridCol w:w="1029"/>
      </w:tblGrid>
      <w:tr w14:paraId="5820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vMerge w:val="restart"/>
            <w:noWrap w:val="0"/>
            <w:vAlign w:val="center"/>
          </w:tcPr>
          <w:p w14:paraId="00C7EEB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785" w:type="pct"/>
            <w:vMerge w:val="restart"/>
            <w:noWrap w:val="0"/>
            <w:vAlign w:val="center"/>
          </w:tcPr>
          <w:p w14:paraId="10D69A46">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项目名称</w:t>
            </w:r>
          </w:p>
        </w:tc>
        <w:tc>
          <w:tcPr>
            <w:tcW w:w="2050" w:type="pct"/>
            <w:vMerge w:val="restart"/>
            <w:noWrap w:val="0"/>
            <w:vAlign w:val="center"/>
          </w:tcPr>
          <w:p w14:paraId="0B31F3C8">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主要项目特征</w:t>
            </w:r>
            <w:r>
              <w:rPr>
                <w:rFonts w:hint="eastAsia" w:ascii="宋体" w:hAnsi="宋体" w:cs="宋体"/>
                <w:b/>
                <w:bCs/>
                <w:color w:val="000000" w:themeColor="text1"/>
                <w:sz w:val="24"/>
                <w:szCs w:val="24"/>
                <w:highlight w:val="none"/>
                <w:lang w:val="en-US" w:eastAsia="zh-CN"/>
                <w14:textFill>
                  <w14:solidFill>
                    <w14:schemeClr w14:val="tx1"/>
                  </w14:solidFill>
                </w14:textFill>
              </w:rPr>
              <w:t>要求</w:t>
            </w:r>
          </w:p>
        </w:tc>
        <w:tc>
          <w:tcPr>
            <w:tcW w:w="478" w:type="pct"/>
            <w:vMerge w:val="restart"/>
            <w:noWrap w:val="0"/>
            <w:vAlign w:val="center"/>
          </w:tcPr>
          <w:p w14:paraId="1A06D30A">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单位</w:t>
            </w:r>
          </w:p>
        </w:tc>
        <w:tc>
          <w:tcPr>
            <w:tcW w:w="827" w:type="pct"/>
            <w:vMerge w:val="restart"/>
            <w:noWrap w:val="0"/>
            <w:vAlign w:val="center"/>
          </w:tcPr>
          <w:p w14:paraId="193A243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最高单价限价（元）</w:t>
            </w:r>
          </w:p>
        </w:tc>
        <w:tc>
          <w:tcPr>
            <w:tcW w:w="554" w:type="pct"/>
            <w:vMerge w:val="restart"/>
            <w:noWrap w:val="0"/>
            <w:vAlign w:val="center"/>
          </w:tcPr>
          <w:p w14:paraId="36D856C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采购数量</w:t>
            </w:r>
          </w:p>
        </w:tc>
      </w:tr>
      <w:tr w14:paraId="4658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3" w:type="pct"/>
            <w:vMerge w:val="continue"/>
            <w:noWrap w:val="0"/>
            <w:vAlign w:val="center"/>
          </w:tcPr>
          <w:p w14:paraId="40BE0C2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785" w:type="pct"/>
            <w:vMerge w:val="continue"/>
            <w:noWrap w:val="0"/>
            <w:vAlign w:val="center"/>
          </w:tcPr>
          <w:p w14:paraId="61692541">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2050" w:type="pct"/>
            <w:vMerge w:val="continue"/>
            <w:noWrap w:val="0"/>
            <w:vAlign w:val="center"/>
          </w:tcPr>
          <w:p w14:paraId="54E5DBBC">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478" w:type="pct"/>
            <w:vMerge w:val="continue"/>
            <w:noWrap w:val="0"/>
            <w:vAlign w:val="center"/>
          </w:tcPr>
          <w:p w14:paraId="76969D60">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827" w:type="pct"/>
            <w:vMerge w:val="continue"/>
            <w:noWrap w:val="0"/>
            <w:vAlign w:val="center"/>
          </w:tcPr>
          <w:p w14:paraId="729DC9C7">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554" w:type="pct"/>
            <w:vMerge w:val="continue"/>
            <w:noWrap w:val="0"/>
            <w:vAlign w:val="center"/>
          </w:tcPr>
          <w:p w14:paraId="01741E95">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color w:val="000000" w:themeColor="text1"/>
                <w:sz w:val="24"/>
                <w:szCs w:val="24"/>
                <w:highlight w:val="none"/>
                <w:lang w:val="en-US" w:eastAsia="zh-CN"/>
                <w14:textFill>
                  <w14:solidFill>
                    <w14:schemeClr w14:val="tx1"/>
                  </w14:solidFill>
                </w14:textFill>
              </w:rPr>
            </w:pPr>
          </w:p>
        </w:tc>
      </w:tr>
      <w:tr w14:paraId="254E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DDFF69A">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p>
        </w:tc>
        <w:tc>
          <w:tcPr>
            <w:tcW w:w="785" w:type="pct"/>
            <w:noWrap w:val="0"/>
            <w:vAlign w:val="center"/>
          </w:tcPr>
          <w:p w14:paraId="56B3BDB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2050" w:type="pct"/>
            <w:noWrap w:val="0"/>
            <w:vAlign w:val="center"/>
          </w:tcPr>
          <w:p w14:paraId="08F4829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1.规格：4200*900*2250mm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BAE5E1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3ADA97C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554" w:type="pct"/>
            <w:noWrap w:val="0"/>
            <w:vAlign w:val="center"/>
          </w:tcPr>
          <w:p w14:paraId="1A5C967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1A3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FC939C2">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c>
          <w:tcPr>
            <w:tcW w:w="785" w:type="pct"/>
            <w:noWrap w:val="0"/>
            <w:vAlign w:val="center"/>
          </w:tcPr>
          <w:p w14:paraId="1E69F988">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2050" w:type="pct"/>
            <w:shd w:val="clear" w:color="auto" w:fill="auto"/>
            <w:noWrap w:val="0"/>
            <w:vAlign w:val="center"/>
          </w:tcPr>
          <w:p w14:paraId="1AEFFA6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1.规格：2120*600*1730mm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D83F25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487C92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554" w:type="pct"/>
            <w:shd w:val="clear" w:color="auto" w:fill="auto"/>
            <w:noWrap w:val="0"/>
            <w:vAlign w:val="center"/>
          </w:tcPr>
          <w:p w14:paraId="7BF425FF">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23D5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A1C03BD">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p>
        </w:tc>
        <w:tc>
          <w:tcPr>
            <w:tcW w:w="785" w:type="pct"/>
            <w:noWrap w:val="0"/>
            <w:vAlign w:val="center"/>
          </w:tcPr>
          <w:p w14:paraId="0158902E">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2050" w:type="pct"/>
            <w:shd w:val="clear" w:color="auto" w:fill="auto"/>
            <w:noWrap w:val="0"/>
            <w:vAlign w:val="center"/>
          </w:tcPr>
          <w:p w14:paraId="6D9F4E8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1.规格：1900*700*350mm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F81DE3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5865B9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800</w:t>
            </w:r>
          </w:p>
        </w:tc>
        <w:tc>
          <w:tcPr>
            <w:tcW w:w="554" w:type="pct"/>
            <w:shd w:val="clear" w:color="auto" w:fill="auto"/>
            <w:noWrap w:val="0"/>
            <w:vAlign w:val="center"/>
          </w:tcPr>
          <w:p w14:paraId="35E4280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2596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53DEF96">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p>
        </w:tc>
        <w:tc>
          <w:tcPr>
            <w:tcW w:w="785" w:type="pct"/>
            <w:noWrap w:val="0"/>
            <w:vAlign w:val="center"/>
          </w:tcPr>
          <w:p w14:paraId="361F08CB">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2050" w:type="pct"/>
            <w:noWrap w:val="0"/>
            <w:vAlign w:val="center"/>
          </w:tcPr>
          <w:p w14:paraId="3ECE532C">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1.规格：800*600*2450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47EBF50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372EA17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0F439B0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1500</w:t>
            </w:r>
          </w:p>
        </w:tc>
        <w:tc>
          <w:tcPr>
            <w:tcW w:w="554" w:type="pct"/>
            <w:noWrap w:val="0"/>
            <w:vAlign w:val="center"/>
          </w:tcPr>
          <w:p w14:paraId="32E67E4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252</w:t>
            </w:r>
          </w:p>
        </w:tc>
      </w:tr>
      <w:tr w14:paraId="1CD4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EC483F1">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p>
        </w:tc>
        <w:tc>
          <w:tcPr>
            <w:tcW w:w="785" w:type="pct"/>
            <w:noWrap w:val="0"/>
            <w:vAlign w:val="center"/>
          </w:tcPr>
          <w:p w14:paraId="4F31C9C0">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2050" w:type="pct"/>
            <w:noWrap w:val="0"/>
            <w:vAlign w:val="center"/>
          </w:tcPr>
          <w:p w14:paraId="4E2D88D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1.规格：600*600*2450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FB636D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4E8928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16D8832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1300</w:t>
            </w:r>
          </w:p>
        </w:tc>
        <w:tc>
          <w:tcPr>
            <w:tcW w:w="554" w:type="pct"/>
            <w:noWrap w:val="0"/>
            <w:vAlign w:val="center"/>
          </w:tcPr>
          <w:p w14:paraId="66178F1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79CF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46EADE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p>
        </w:tc>
        <w:tc>
          <w:tcPr>
            <w:tcW w:w="785" w:type="pct"/>
            <w:noWrap w:val="0"/>
            <w:vAlign w:val="center"/>
          </w:tcPr>
          <w:p w14:paraId="3F601E33">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2050" w:type="pct"/>
            <w:noWrap w:val="0"/>
            <w:vAlign w:val="center"/>
          </w:tcPr>
          <w:p w14:paraId="06D64DE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规格：</w:t>
            </w:r>
            <w:r>
              <w:rPr>
                <w:rFonts w:hint="eastAsia" w:ascii="宋体" w:hAnsi="宋体" w:cs="宋体"/>
                <w:color w:val="000000" w:themeColor="text1"/>
                <w:kern w:val="0"/>
                <w:sz w:val="24"/>
                <w:szCs w:val="24"/>
                <w:highlight w:val="none"/>
                <w:lang w:val="en-US" w:eastAsia="zh-CN"/>
                <w14:textFill>
                  <w14:solidFill>
                    <w14:schemeClr w14:val="tx1"/>
                  </w14:solidFill>
                </w14:textFill>
              </w:rPr>
              <w:t>30mm</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0</w:t>
            </w:r>
            <w:r>
              <w:rPr>
                <w:rFonts w:hint="eastAsia" w:ascii="宋体" w:hAnsi="宋体" w:cs="宋体"/>
                <w:color w:val="000000" w:themeColor="text1"/>
                <w:kern w:val="0"/>
                <w:sz w:val="24"/>
                <w:szCs w:val="24"/>
                <w:highlight w:val="none"/>
                <w:lang w:val="en-US" w:eastAsia="zh-CN"/>
                <w14:textFill>
                  <w14:solidFill>
                    <w14:schemeClr w14:val="tx1"/>
                  </w14:solidFill>
                </w14:textFill>
              </w:rPr>
              <w:t>mm</w:t>
            </w:r>
          </w:p>
          <w:p w14:paraId="2416AD7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4个为1套，每套包括床、书桌、</w:t>
            </w:r>
            <w:r>
              <w:rPr>
                <w:rFonts w:hint="eastAsia" w:ascii="宋体" w:hAnsi="宋体" w:eastAsia="宋体" w:cs="宋体"/>
                <w:color w:val="000000" w:themeColor="text1"/>
                <w:kern w:val="0"/>
                <w:sz w:val="24"/>
                <w:szCs w:val="24"/>
                <w:highlight w:val="none"/>
                <w14:textFill>
                  <w14:solidFill>
                    <w14:schemeClr w14:val="tx1"/>
                  </w14:solidFill>
                </w14:textFill>
              </w:rPr>
              <w:t>衣柜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储物柜</w:t>
            </w:r>
          </w:p>
          <w:p w14:paraId="7A0BFA44">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1CCF884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827" w:type="pct"/>
            <w:noWrap w:val="0"/>
            <w:vAlign w:val="center"/>
          </w:tcPr>
          <w:p w14:paraId="4581B7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12.5</w:t>
            </w:r>
          </w:p>
        </w:tc>
        <w:tc>
          <w:tcPr>
            <w:tcW w:w="554" w:type="pct"/>
            <w:noWrap w:val="0"/>
            <w:vAlign w:val="center"/>
          </w:tcPr>
          <w:p w14:paraId="4981B5C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504</w:t>
            </w:r>
          </w:p>
        </w:tc>
      </w:tr>
      <w:tr w14:paraId="472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6922B1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7</w:t>
            </w:r>
          </w:p>
        </w:tc>
        <w:tc>
          <w:tcPr>
            <w:tcW w:w="785" w:type="pct"/>
            <w:noWrap w:val="0"/>
            <w:vAlign w:val="center"/>
          </w:tcPr>
          <w:p w14:paraId="32E41E79">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2050" w:type="pct"/>
            <w:noWrap w:val="0"/>
            <w:vAlign w:val="center"/>
          </w:tcPr>
          <w:p w14:paraId="61A6D03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701CA94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块</w:t>
            </w:r>
          </w:p>
        </w:tc>
        <w:tc>
          <w:tcPr>
            <w:tcW w:w="827" w:type="pct"/>
            <w:noWrap w:val="0"/>
            <w:vAlign w:val="center"/>
          </w:tcPr>
          <w:p w14:paraId="2F7737C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w:t>
            </w:r>
          </w:p>
        </w:tc>
        <w:tc>
          <w:tcPr>
            <w:tcW w:w="554" w:type="pct"/>
            <w:noWrap w:val="0"/>
            <w:vAlign w:val="center"/>
          </w:tcPr>
          <w:p w14:paraId="191F04C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775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70D73F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w:t>
            </w:r>
          </w:p>
        </w:tc>
        <w:tc>
          <w:tcPr>
            <w:tcW w:w="785" w:type="pct"/>
            <w:noWrap w:val="0"/>
            <w:vAlign w:val="center"/>
          </w:tcPr>
          <w:p w14:paraId="3E8EE29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2050" w:type="pct"/>
            <w:noWrap w:val="0"/>
            <w:vAlign w:val="center"/>
          </w:tcPr>
          <w:p w14:paraId="102A4D96">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1.规格：380*280*450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EF6369A">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A36734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张</w:t>
            </w:r>
          </w:p>
        </w:tc>
        <w:tc>
          <w:tcPr>
            <w:tcW w:w="827" w:type="pct"/>
            <w:noWrap w:val="0"/>
            <w:vAlign w:val="center"/>
          </w:tcPr>
          <w:p w14:paraId="34392D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140</w:t>
            </w:r>
          </w:p>
        </w:tc>
        <w:tc>
          <w:tcPr>
            <w:tcW w:w="554" w:type="pct"/>
            <w:noWrap w:val="0"/>
            <w:vAlign w:val="center"/>
          </w:tcPr>
          <w:p w14:paraId="2E2838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504</w:t>
            </w:r>
          </w:p>
        </w:tc>
      </w:tr>
    </w:tbl>
    <w:p w14:paraId="70CAEB31">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w:t>
      </w:r>
    </w:p>
    <w:p w14:paraId="6215CF9A">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1.数量和单位不接受负偏离，否则按无效投标处理。</w:t>
      </w:r>
    </w:p>
    <w:p w14:paraId="4B65D2C8">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2.核心产品：二上铺一下铺高架床</w:t>
      </w:r>
    </w:p>
    <w:p w14:paraId="4EFD812B">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3.投标人单价报价不得超过单价最高限价，否则按无效投标处理。</w:t>
      </w:r>
    </w:p>
    <w:p w14:paraId="06FAF4A5">
      <w:pPr>
        <w:ind w:left="0" w:leftChars="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4.所有家具颜色以采购人最终确认为准。</w:t>
      </w:r>
    </w:p>
    <w:p w14:paraId="31BAA382">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二、技术要求</w:t>
      </w:r>
    </w:p>
    <w:p w14:paraId="41AD837B">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（一）产品规格及视图（图纸仅供参考，图纸与技术参数不一致之处，以技术参数要求为准）</w:t>
      </w:r>
    </w:p>
    <w:p w14:paraId="493A219D">
      <w:pPr>
        <w:ind w:left="0" w:leftChars="0" w:firstLine="0" w:firstLineChars="0"/>
        <w:jc w:val="center"/>
        <w:rPr>
          <w:rFonts w:hint="default"/>
          <w:b/>
          <w:bCs/>
          <w:i/>
          <w:i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object>
          <v:shape id="_x0000_i1025" o:spt="75" type="#_x0000_t75" style="height:55.85pt;width:61.55pt;" o:ole="t" filled="f" o:preferrelative="t" stroked="f" coordsize="21600,21600">
            <v:path/>
            <v:fill on="f" focussize="0,0"/>
            <v:stroke on="f"/>
            <v:imagedata r:id="rId10" o:title=""/>
            <o:lock v:ext="edit" aspectratio="t"/>
            <w10:wrap type="none"/>
            <w10:anchorlock/>
          </v:shape>
          <o:OLEObject Type="Embed" ProgID="Package" ShapeID="_x0000_i1025" DrawAspect="Icon" ObjectID="_1468075725" r:id="rId9">
            <o:LockedField>false</o:LockedField>
          </o:OLEObject>
        </w:object>
      </w:r>
      <w:r>
        <w:rPr>
          <w:rFonts w:hint="eastAsia"/>
          <w:b/>
          <w:bCs/>
          <w:i/>
          <w:iCs/>
          <w:color w:val="000000" w:themeColor="text1"/>
          <w:highlight w:val="none"/>
          <w:lang w:val="en-US" w:eastAsia="zh-CN"/>
          <w14:textFill>
            <w14:solidFill>
              <w14:schemeClr w14:val="tx1"/>
            </w14:solidFill>
          </w14:textFill>
        </w:rPr>
        <w:t>（鼠标双击打开）</w:t>
      </w:r>
    </w:p>
    <w:p w14:paraId="255F6E6F">
      <w:pPr>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（二）技术参数要求</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732"/>
        <w:gridCol w:w="8025"/>
      </w:tblGrid>
      <w:tr w14:paraId="1FCD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7BBE2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732" w:type="dxa"/>
            <w:noWrap/>
            <w:vAlign w:val="center"/>
          </w:tcPr>
          <w:p w14:paraId="586BDB4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8025" w:type="dxa"/>
            <w:noWrap/>
            <w:vAlign w:val="center"/>
          </w:tcPr>
          <w:p w14:paraId="63F63FE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及指标</w:t>
            </w:r>
            <w:r>
              <w:rPr>
                <w:rFonts w:hint="eastAsia" w:ascii="宋体" w:hAnsi="宋体" w:eastAsia="宋体" w:cs="宋体"/>
                <w:color w:val="000000" w:themeColor="text1"/>
                <w:sz w:val="24"/>
                <w:szCs w:val="24"/>
                <w:highlight w:val="none"/>
                <w14:textFill>
                  <w14:solidFill>
                    <w14:schemeClr w14:val="tx1"/>
                  </w14:solidFill>
                </w14:textFill>
              </w:rPr>
              <w:t>要求</w:t>
            </w:r>
          </w:p>
        </w:tc>
      </w:tr>
      <w:tr w14:paraId="2E351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57E2EAA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32" w:type="dxa"/>
            <w:noWrap/>
            <w:vAlign w:val="center"/>
          </w:tcPr>
          <w:p w14:paraId="2645881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8025" w:type="dxa"/>
            <w:noWrap/>
            <w:vAlign w:val="center"/>
          </w:tcPr>
          <w:p w14:paraId="53BCAA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高架床工艺要求：高架床床框架采用隐藏式卡扣连接，所有钢材均采用国家标准钢材，各钢构件经除锈、酸洗、磷化等工序,经防锈处理,外层采用环氧粉末喷塑,焊接表面波纹均匀,焊接处无夹渣、气孔、焊瘤、焊丝头咬边飞溅，并保证无脱焊、虚焊及焊穿等现象。</w:t>
            </w:r>
          </w:p>
          <w:p w14:paraId="23727F2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★（2）立柱：边立柱尺寸≥70*70mm，基材厚度≥1.2mm，高频焊接封口型材管，中立柱尺寸≥40*80mm，基材厚度≥1.2mm，高频焊接封口型材管。</w:t>
            </w:r>
          </w:p>
          <w:p w14:paraId="58D8F3A9">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★（3）上拉梁采用尺寸≥40*60mm，基材厚度≥1.2mm，高频焊接封口型材管。</w:t>
            </w:r>
          </w:p>
          <w:p w14:paraId="622EA018">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★（4）下拉梁采用尺寸≥40*60mm，基材厚度≥1.2mm，高频焊接封口型材管。</w:t>
            </w:r>
          </w:p>
          <w:p w14:paraId="7773BA4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★（5）前横梁：尺寸≥100*40mm，基材厚度≥1.2mm，高频焊接封口型材管，床厅下部为圆弧设计安全美观，防止碰伤。</w:t>
            </w:r>
          </w:p>
          <w:p w14:paraId="4035E2B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★（6）后横梁：尺寸≥40*60mm，基材厚度≥1.2mm矩形高频焊管制作。</w:t>
            </w:r>
          </w:p>
          <w:p w14:paraId="4C7EFAD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★（7）前护栏：外框采用25*25*1.2mm方管，护栏高度≥350mm，外框内嵌18mm实木多层板，环保等级≥E0，护栏板在内侧醒目位置标注永久性床褥上表面最大高度警示线，警示线与护栏顶边距离≥250mm。</w:t>
            </w:r>
          </w:p>
          <w:p w14:paraId="68DD8E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★（8）后护栏：采用25*25*1.2mm矩形高频焊管制作，内嵌18mm厚实木多层板，环保等级≥E0。</w:t>
            </w:r>
          </w:p>
          <w:p w14:paraId="2384CE5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▲（9）蚊帐杆：采用≥φ19*1.2mm圆管制作。</w:t>
            </w:r>
          </w:p>
          <w:p w14:paraId="762B6F3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★（10）床支撑：采用≥5根20*30*1.2mm方形高频焊管制作。</w:t>
            </w:r>
          </w:p>
          <w:p w14:paraId="7C911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（11）立柱内塞：独立开模防水、防滑、防噪音的PP软塑胶防潮脚垫。</w:t>
            </w:r>
          </w:p>
          <w:p w14:paraId="20F3C36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▲（12）床板：床板采用HDPE高密度聚乙烯全新料，经大型设备一次中空吹塑成型，厚度18mm，环保，可循环利用，颜色</w:t>
            </w:r>
            <w:r>
              <w:rPr>
                <w:rFonts w:hint="eastAsia" w:ascii="宋体" w:hAnsi="宋体" w:cs="宋体"/>
                <w:color w:val="000000" w:themeColor="text1"/>
                <w:sz w:val="24"/>
                <w:szCs w:val="24"/>
                <w:highlight w:val="none"/>
                <w:lang w:val="en-US" w:eastAsia="zh-CN"/>
                <w14:textFill>
                  <w14:solidFill>
                    <w14:schemeClr w14:val="tx1"/>
                  </w14:solidFill>
                </w14:textFill>
              </w:rPr>
              <w:t>最终由采购人确认</w:t>
            </w:r>
            <w:r>
              <w:rPr>
                <w:rFonts w:hint="eastAsia" w:ascii="宋体" w:hAnsi="宋体" w:eastAsia="宋体" w:cs="宋体"/>
                <w:color w:val="000000" w:themeColor="text1"/>
                <w:sz w:val="24"/>
                <w:szCs w:val="24"/>
                <w:highlight w:val="none"/>
                <w:lang w:val="en-US" w:eastAsia="zh-CN"/>
                <w14:textFill>
                  <w14:solidFill>
                    <w14:schemeClr w14:val="tx1"/>
                  </w14:solidFill>
                </w14:textFill>
              </w:rPr>
              <w:t>。床板厚度均匀、表面光滑平整、光洁卫生、耐热性好、防腐蚀、无异味，结实耐用不会变形，且具有优良的化学稳定性和电绝缘性要求面纹路清晰、无色差，外观平整，无瑕疵；床板具有防虫、防火、防潮的特点。床板均匀分布≥45个透气孔，整体为一次成型</w:t>
            </w:r>
            <w:r>
              <w:rPr>
                <w:rFonts w:hint="eastAsia" w:ascii="宋体" w:hAnsi="宋体" w:cs="宋体"/>
                <w:color w:val="000000" w:themeColor="text1"/>
                <w:sz w:val="24"/>
                <w:szCs w:val="24"/>
                <w:highlight w:val="none"/>
                <w:lang w:val="en-US" w:eastAsia="zh-CN"/>
                <w14:textFill>
                  <w14:solidFill>
                    <w14:schemeClr w14:val="tx1"/>
                  </w14:solidFill>
                </w14:textFill>
              </w:rPr>
              <w:t>，不能两块或多块拼接，安全、牢固、无异响</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C27811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★（13）爬梯钢管采用30*50*1.3mm椭圆管，爬梯踏步板为钢塑脚踏，尺寸为≥370*80*30</w:t>
            </w:r>
            <w:r>
              <w:rPr>
                <w:rFonts w:hint="eastAsia" w:ascii="宋体" w:hAnsi="宋体" w:cs="宋体"/>
                <w:color w:val="000000" w:themeColor="text1"/>
                <w:sz w:val="24"/>
                <w:szCs w:val="24"/>
                <w:highlight w:val="none"/>
                <w:lang w:val="en-US" w:eastAsia="zh-CN"/>
                <w14:textFill>
                  <w14:solidFill>
                    <w14:schemeClr w14:val="tx1"/>
                  </w14:solidFill>
                </w14:textFill>
              </w:rPr>
              <w:t>mm</w:t>
            </w:r>
            <w:r>
              <w:rPr>
                <w:rFonts w:hint="eastAsia" w:ascii="宋体" w:hAnsi="宋体" w:eastAsia="宋体" w:cs="宋体"/>
                <w:color w:val="000000" w:themeColor="text1"/>
                <w:sz w:val="24"/>
                <w:szCs w:val="24"/>
                <w:highlight w:val="none"/>
                <w:lang w:val="en-US" w:eastAsia="zh-CN"/>
                <w14:textFill>
                  <w14:solidFill>
                    <w14:schemeClr w14:val="tx1"/>
                  </w14:solidFill>
                </w14:textFill>
              </w:rPr>
              <w:t>，钢件一体成型。表面光滑、耐磨抗刮划。每块踏板底部加钢管支撑，板面设置防滑条纹，带夜光点，确保学生夜间上下床铺时的安全。</w:t>
            </w:r>
          </w:p>
          <w:p w14:paraId="66A82D6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★（14）下铺床头与三人书桌之间安装单层洞洞板进行隐私隔离。</w:t>
            </w:r>
          </w:p>
          <w:p w14:paraId="5C894C5F">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★（15）床靠头采用有HDPE高密度聚乙烯全新料，经大型设备一次中空吹塑成型，靠头中间部分内嵌PU材质靠枕，柔软舒适。</w:t>
            </w:r>
          </w:p>
          <w:p w14:paraId="5DF250C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★（16）尺寸为：4200*900*2250mm。</w:t>
            </w:r>
          </w:p>
        </w:tc>
      </w:tr>
      <w:tr w14:paraId="53689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675C4E">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732" w:type="dxa"/>
            <w:noWrap/>
            <w:vAlign w:val="center"/>
          </w:tcPr>
          <w:p w14:paraId="18ECA11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8025" w:type="dxa"/>
            <w:noWrap/>
            <w:vAlign w:val="center"/>
          </w:tcPr>
          <w:p w14:paraId="008697D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★（1）桌面及桌面下侧板采用25mm实木多层板，环保等级≥E0，其余部分采用18mm实木多层板，环保等级≥E0级，抽屉底板采用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多层板，环保等级≥E0级。抽屉面板四周采用PP材质一次注塑成型且四周无接缝，配内嵌式铝合金暗拉手；抽屉面板安装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锁扣孔，桌面采用注塑封边工艺。</w:t>
            </w:r>
          </w:p>
          <w:p w14:paraId="20F7324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21F2EF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尺寸为：2120*600*1730mm。</w:t>
            </w:r>
          </w:p>
        </w:tc>
      </w:tr>
      <w:tr w14:paraId="1F70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31" w:type="dxa"/>
            <w:noWrap/>
            <w:vAlign w:val="center"/>
          </w:tcPr>
          <w:p w14:paraId="73FF371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732" w:type="dxa"/>
            <w:noWrap/>
            <w:vAlign w:val="center"/>
          </w:tcPr>
          <w:p w14:paraId="0C67117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8025" w:type="dxa"/>
            <w:noWrap/>
            <w:vAlign w:val="center"/>
          </w:tcPr>
          <w:p w14:paraId="6A12159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★（1）柜体整体采用18mm实木多层板，环保等级</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E0级，配三个抽拉式抽屉，抽屉面板四周采用PP材质一次注塑成型工艺且四周无接缝，配内嵌式铝合金暗拉手。</w:t>
            </w:r>
          </w:p>
          <w:p w14:paraId="20EE027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柜子底脚采用25*50*1.2mm高频焊管焊接成框，用螺丝与柜体紧密连接。配有防水、防滑、防噪音的PP软塑胶脚套。</w:t>
            </w:r>
          </w:p>
          <w:p w14:paraId="51C9054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511605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尺寸为：1900*700*350mm。</w:t>
            </w:r>
          </w:p>
        </w:tc>
      </w:tr>
      <w:tr w14:paraId="31E83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2859D245">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732" w:type="dxa"/>
            <w:noWrap/>
            <w:vAlign w:val="center"/>
          </w:tcPr>
          <w:p w14:paraId="395F250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8025" w:type="dxa"/>
            <w:noWrap/>
            <w:vAlign w:val="center"/>
          </w:tcPr>
          <w:p w14:paraId="05B71456">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13F196AF">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w:t>
            </w:r>
          </w:p>
          <w:p w14:paraId="53ACA383">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12F30348">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8816335">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挂衣杆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衣柜内安装壁厚≥1.5mm铝合金挂衣杆。</w:t>
            </w:r>
          </w:p>
          <w:p w14:paraId="28428A0D">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2448DEC2">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尺寸为：800*600*2450mm。</w:t>
            </w:r>
          </w:p>
        </w:tc>
      </w:tr>
      <w:tr w14:paraId="32811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4A9A26F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732" w:type="dxa"/>
            <w:noWrap/>
            <w:vAlign w:val="center"/>
          </w:tcPr>
          <w:p w14:paraId="5C5E294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8025" w:type="dxa"/>
            <w:noWrap/>
            <w:vAlign w:val="center"/>
          </w:tcPr>
          <w:p w14:paraId="29A88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4DF8C52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mm实木多层板，环保等级≥E0级。</w:t>
            </w:r>
          </w:p>
          <w:p w14:paraId="1F1243B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0343524B">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C22F72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7292B6B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尺寸为：600*600*2450mm。</w:t>
            </w:r>
          </w:p>
        </w:tc>
      </w:tr>
      <w:tr w14:paraId="6B77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531" w:type="dxa"/>
            <w:noWrap/>
            <w:vAlign w:val="center"/>
          </w:tcPr>
          <w:p w14:paraId="72A1FFF2">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732" w:type="dxa"/>
            <w:noWrap/>
            <w:vAlign w:val="center"/>
          </w:tcPr>
          <w:p w14:paraId="6B8C713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8025" w:type="dxa"/>
            <w:noWrap/>
            <w:vAlign w:val="center"/>
          </w:tcPr>
          <w:p w14:paraId="57E1F9F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尺寸：≥30mm×50mm。</w:t>
            </w:r>
          </w:p>
          <w:p w14:paraId="2422DC8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（2）厚度≥0.8mm金属铜板。</w:t>
            </w:r>
          </w:p>
        </w:tc>
      </w:tr>
      <w:tr w14:paraId="2F6B0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F2FE977">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732" w:type="dxa"/>
            <w:noWrap/>
            <w:vAlign w:val="center"/>
          </w:tcPr>
          <w:p w14:paraId="4C1988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8025" w:type="dxa"/>
            <w:noWrap/>
            <w:vAlign w:val="center"/>
          </w:tcPr>
          <w:p w14:paraId="18A3542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1）基材厚度≥1.2mm钢板。</w:t>
            </w:r>
          </w:p>
          <w:p w14:paraId="7420D63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（2）安装在</w:t>
            </w:r>
            <w:r>
              <w:rPr>
                <w:rFonts w:hint="eastAsia" w:ascii="宋体" w:hAnsi="宋体" w:eastAsia="宋体" w:cs="宋体"/>
                <w:color w:val="000000" w:themeColor="text1"/>
                <w:sz w:val="24"/>
                <w:szCs w:val="24"/>
                <w:highlight w:val="none"/>
                <w:lang w:val="en-US" w:eastAsia="zh-CN"/>
                <w14:textFill>
                  <w14:solidFill>
                    <w14:schemeClr w14:val="tx1"/>
                  </w14:solidFill>
                </w14:textFill>
              </w:rPr>
              <w:t>下铺床头与三人书桌之间进行隐私隔离。</w:t>
            </w:r>
            <w:r>
              <w:rPr>
                <w:rFonts w:hint="eastAsia"/>
                <w:color w:val="000000" w:themeColor="text1"/>
                <w:highlight w:val="none"/>
                <w:lang w:val="en-US" w:eastAsia="zh-CN"/>
                <w14:textFill>
                  <w14:solidFill>
                    <w14:schemeClr w14:val="tx1"/>
                  </w14:solidFill>
                </w14:textFill>
              </w:rPr>
              <w:t>按照图纸安装到位。</w:t>
            </w:r>
          </w:p>
          <w:p w14:paraId="4F3845D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（3）钢板进行喷塑处理。</w:t>
            </w:r>
          </w:p>
        </w:tc>
      </w:tr>
      <w:tr w14:paraId="175E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E52EDA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732" w:type="dxa"/>
            <w:noWrap/>
            <w:vAlign w:val="center"/>
          </w:tcPr>
          <w:p w14:paraId="443C92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8025" w:type="dxa"/>
            <w:noWrap/>
            <w:vAlign w:val="center"/>
          </w:tcPr>
          <w:p w14:paraId="33CFE0D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（1）凳架：采用国标铝合金浇铸成型，完全防锈、防水、耐腐蚀，各边口应圆润光滑，表面采用塑粉喷涂工艺。</w:t>
            </w:r>
          </w:p>
          <w:p w14:paraId="14B7B39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）凳腿为锥形结构，凳腿外侧角采用圆弧形结构，凳腿底部加装塑料脚垫，防滑、降噪。</w:t>
            </w:r>
          </w:p>
          <w:p w14:paraId="1F0357F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凳面边框为外圆内方结构，四角外侧俯视、侧视及四边外侧均为圆弧形结构，减少磕碰伤害的同时提升美观度，凳面边框内侧方形结构，内侧四周设置面板托，提升面板承重力的同时，方便安装。凳面边框与凳架焊接为整体。</w:t>
            </w:r>
          </w:p>
          <w:p w14:paraId="4C5ACBF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）凳面板：采用高密度聚乙烯一级新料经大型中空吹塑设备一次制作成型，耐磨耐用。凳面中间设置一规格为</w:t>
            </w:r>
            <w:r>
              <w:rPr>
                <w:rFonts w:hint="eastAsia"/>
                <w:color w:val="000000" w:themeColor="text1"/>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0*3</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eastAsia="zh-CN"/>
                <w14:textFill>
                  <w14:solidFill>
                    <w14:schemeClr w14:val="tx1"/>
                  </w14:solidFill>
                </w14:textFill>
              </w:rPr>
              <w:t>mm椭圆形孔，方便手提移动。凳面板采用内嵌方式装入凳。</w:t>
            </w:r>
          </w:p>
          <w:p w14:paraId="1189EED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）尺寸为：380*280*450mm。</w:t>
            </w:r>
          </w:p>
        </w:tc>
      </w:tr>
    </w:tbl>
    <w:p w14:paraId="494A71EC">
      <w:pPr>
        <w:ind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★（三）关于板材检测</w:t>
      </w:r>
    </w:p>
    <w:p w14:paraId="678F2819">
      <w:pPr>
        <w:ind w:firstLine="482"/>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供应商须提供板材有害物质及环保等级的检测报告，检测前通知采购人代表参与：</w:t>
      </w:r>
    </w:p>
    <w:p w14:paraId="68107EAB">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合同签订后供应商随即采购本项目所涉及到的板材，板材到达供应商仓库后，第一时间通知采购人，由采购人代表及供应商代表见证下，随机抽取一块或多块板材经双方代表签字后，送至南京市产品质量监督检验院或江苏省产品质量监督检验研究院进行甲醛等有害物检测。</w:t>
      </w:r>
    </w:p>
    <w:p w14:paraId="25EEB560">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供应商家具生产完毕后，按要求送到安装地点，由采购人代表及供应商代表见证下，对送达安装地点的板材，随机抽取一块或多块板材经双方代表签字后，送至南京市产品质量监督检验院或江苏省产品质量监督检验研究院进行甲醛等有害物检测。</w:t>
      </w:r>
    </w:p>
    <w:p w14:paraId="67D457FF">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所有家具全部安装完毕后，由采购人代表及供应商代表见证下，对任意房间的家具板材随机抽取一块或多块板材经双方代表签字后，送至南京市产品质量监督检验院或江苏省产品质量监督检验研究院进行甲醛等有害物检测。</w:t>
      </w:r>
    </w:p>
    <w:p w14:paraId="02F8D939">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48FB50EE">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上述要求提供承诺书，并加盖投标单位公章放置在投标文件中，否则视为无效投标。</w:t>
      </w:r>
    </w:p>
    <w:p w14:paraId="784C036D">
      <w:pPr>
        <w:ind w:left="0" w:leftChars="0"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（四）</w:t>
      </w:r>
      <w:r>
        <w:rPr>
          <w:rFonts w:hint="eastAsia" w:ascii="宋体" w:hAnsi="宋体" w:eastAsia="宋体" w:cs="宋体"/>
          <w:b/>
          <w:bCs/>
          <w:color w:val="000000" w:themeColor="text1"/>
          <w:highlight w:val="none"/>
          <w:lang w:val="en-US" w:eastAsia="zh-CN"/>
          <w14:textFill>
            <w14:solidFill>
              <w14:schemeClr w14:val="tx1"/>
            </w14:solidFill>
          </w14:textFill>
        </w:rPr>
        <w:t>本项目执行的标准应符合但不限于以下标准，如遇国家更新标准，则按新标准执行：</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2016"/>
        <w:gridCol w:w="1702"/>
        <w:gridCol w:w="1887"/>
        <w:gridCol w:w="2393"/>
      </w:tblGrid>
      <w:tr w14:paraId="6AF9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ign w:val="center"/>
          </w:tcPr>
          <w:p w14:paraId="6573A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标准类别</w:t>
            </w:r>
          </w:p>
        </w:tc>
        <w:tc>
          <w:tcPr>
            <w:tcW w:w="837" w:type="pct"/>
            <w:shd w:val="clear" w:color="auto" w:fill="auto"/>
            <w:noWrap/>
            <w:vAlign w:val="center"/>
          </w:tcPr>
          <w:p w14:paraId="63FC9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标准号</w:t>
            </w:r>
          </w:p>
        </w:tc>
        <w:tc>
          <w:tcPr>
            <w:tcW w:w="978" w:type="pct"/>
            <w:shd w:val="clear" w:color="auto" w:fill="auto"/>
            <w:noWrap/>
            <w:vAlign w:val="center"/>
          </w:tcPr>
          <w:p w14:paraId="6A527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标准名称</w:t>
            </w:r>
          </w:p>
        </w:tc>
        <w:tc>
          <w:tcPr>
            <w:tcW w:w="1078" w:type="pct"/>
            <w:shd w:val="clear" w:color="auto" w:fill="auto"/>
            <w:noWrap/>
            <w:vAlign w:val="center"/>
          </w:tcPr>
          <w:p w14:paraId="399FB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适用产品/环节</w:t>
            </w:r>
          </w:p>
        </w:tc>
        <w:tc>
          <w:tcPr>
            <w:tcW w:w="1350" w:type="pct"/>
            <w:shd w:val="clear" w:color="auto" w:fill="auto"/>
            <w:noWrap/>
            <w:vAlign w:val="center"/>
          </w:tcPr>
          <w:p w14:paraId="2C0F3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备注与核心要求</w:t>
            </w:r>
          </w:p>
        </w:tc>
      </w:tr>
      <w:tr w14:paraId="31C6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489B8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安全、环保与通用核心标准</w:t>
            </w:r>
          </w:p>
        </w:tc>
        <w:tc>
          <w:tcPr>
            <w:tcW w:w="837" w:type="pct"/>
            <w:shd w:val="clear" w:color="auto" w:fill="auto"/>
            <w:noWrap w:val="0"/>
            <w:vAlign w:val="center"/>
          </w:tcPr>
          <w:p w14:paraId="1867C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GB18584-2024</w:t>
            </w:r>
          </w:p>
        </w:tc>
        <w:tc>
          <w:tcPr>
            <w:tcW w:w="978" w:type="pct"/>
            <w:shd w:val="clear" w:color="auto" w:fill="auto"/>
            <w:noWrap w:val="0"/>
            <w:vAlign w:val="center"/>
          </w:tcPr>
          <w:p w14:paraId="27388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《家具中有害物质限量》</w:t>
            </w:r>
          </w:p>
        </w:tc>
        <w:tc>
          <w:tcPr>
            <w:tcW w:w="1078" w:type="pct"/>
            <w:shd w:val="clear" w:color="auto" w:fill="auto"/>
            <w:noWrap w:val="0"/>
            <w:vAlign w:val="center"/>
          </w:tcPr>
          <w:p w14:paraId="47D67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所有家具</w:t>
            </w:r>
          </w:p>
        </w:tc>
        <w:tc>
          <w:tcPr>
            <w:tcW w:w="1350" w:type="pct"/>
            <w:shd w:val="clear" w:color="auto" w:fill="auto"/>
            <w:noWrap w:val="0"/>
            <w:vAlign w:val="center"/>
          </w:tcPr>
          <w:p w14:paraId="4BAA3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强制性国标，底线要求。须提供符合性</w:t>
            </w:r>
            <w:r>
              <w:rPr>
                <w:rFonts w:hint="eastAsia" w:ascii="宋体" w:hAnsi="宋体" w:cs="宋体"/>
                <w:color w:val="000000" w:themeColor="text1"/>
                <w:sz w:val="24"/>
                <w:szCs w:val="24"/>
                <w:highlight w:val="none"/>
                <w:lang w:eastAsia="zh-CN"/>
                <w14:textFill>
                  <w14:solidFill>
                    <w14:schemeClr w14:val="tx1"/>
                  </w14:solidFill>
                </w14:textFill>
              </w:rPr>
              <w:t>检验（测）报告</w:t>
            </w:r>
            <w:r>
              <w:rPr>
                <w:rFonts w:hint="eastAsia" w:ascii="宋体" w:hAnsi="宋体" w:eastAsia="宋体" w:cs="宋体"/>
                <w:color w:val="000000" w:themeColor="text1"/>
                <w:sz w:val="24"/>
                <w:szCs w:val="24"/>
                <w:highlight w:val="none"/>
                <w14:textFill>
                  <w14:solidFill>
                    <w14:schemeClr w14:val="tx1"/>
                  </w14:solidFill>
                </w14:textFill>
              </w:rPr>
              <w:t>。</w:t>
            </w:r>
          </w:p>
        </w:tc>
      </w:tr>
      <w:tr w14:paraId="4293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801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15CE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c>
          <w:tcPr>
            <w:tcW w:w="978" w:type="pct"/>
            <w:shd w:val="clear" w:color="auto" w:fill="auto"/>
            <w:noWrap w:val="0"/>
            <w:vAlign w:val="center"/>
          </w:tcPr>
          <w:p w14:paraId="4A677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家具结构安全技术规范</w:t>
            </w:r>
          </w:p>
        </w:tc>
        <w:tc>
          <w:tcPr>
            <w:tcW w:w="1078" w:type="pct"/>
            <w:shd w:val="clear" w:color="auto" w:fill="auto"/>
            <w:noWrap w:val="0"/>
            <w:vAlign w:val="center"/>
          </w:tcPr>
          <w:p w14:paraId="0D20F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w:t>
            </w:r>
          </w:p>
        </w:tc>
        <w:tc>
          <w:tcPr>
            <w:tcW w:w="1350" w:type="pct"/>
            <w:shd w:val="clear" w:color="auto" w:fill="auto"/>
            <w:noWrap w:val="0"/>
            <w:vAlign w:val="center"/>
          </w:tcPr>
          <w:p w14:paraId="7ED87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r>
      <w:tr w14:paraId="0054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D19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C66F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GB/T39600-2021</w:t>
            </w:r>
          </w:p>
        </w:tc>
        <w:tc>
          <w:tcPr>
            <w:tcW w:w="978" w:type="pct"/>
            <w:shd w:val="clear" w:color="auto" w:fill="auto"/>
            <w:noWrap w:val="0"/>
            <w:vAlign w:val="center"/>
          </w:tcPr>
          <w:p w14:paraId="22626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《人造板及其制品甲醛释放量分级》</w:t>
            </w:r>
          </w:p>
        </w:tc>
        <w:tc>
          <w:tcPr>
            <w:tcW w:w="1078" w:type="pct"/>
            <w:shd w:val="clear" w:color="auto" w:fill="auto"/>
            <w:noWrap w:val="0"/>
            <w:vAlign w:val="center"/>
          </w:tcPr>
          <w:p w14:paraId="0BF2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所有人造板部件</w:t>
            </w:r>
          </w:p>
        </w:tc>
        <w:tc>
          <w:tcPr>
            <w:tcW w:w="1350" w:type="pct"/>
            <w:shd w:val="clear" w:color="auto" w:fill="auto"/>
            <w:noWrap w:val="0"/>
            <w:vAlign w:val="center"/>
          </w:tcPr>
          <w:p w14:paraId="5BF35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本项目要求E0级（≤0.050mg/m³）。</w:t>
            </w:r>
          </w:p>
        </w:tc>
      </w:tr>
      <w:tr w14:paraId="333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584C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2166F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GB/T3324-2024</w:t>
            </w:r>
          </w:p>
        </w:tc>
        <w:tc>
          <w:tcPr>
            <w:tcW w:w="978" w:type="pct"/>
            <w:shd w:val="clear" w:color="auto" w:fill="auto"/>
            <w:noWrap w:val="0"/>
            <w:vAlign w:val="center"/>
          </w:tcPr>
          <w:p w14:paraId="236DC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《木家具通用技术条件》</w:t>
            </w:r>
          </w:p>
        </w:tc>
        <w:tc>
          <w:tcPr>
            <w:tcW w:w="1078" w:type="pct"/>
            <w:shd w:val="clear" w:color="auto" w:fill="auto"/>
            <w:noWrap w:val="0"/>
            <w:vAlign w:val="center"/>
          </w:tcPr>
          <w:p w14:paraId="6560C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书桌、衣柜等木制部件</w:t>
            </w:r>
          </w:p>
        </w:tc>
        <w:tc>
          <w:tcPr>
            <w:tcW w:w="1350" w:type="pct"/>
            <w:shd w:val="clear" w:color="auto" w:fill="auto"/>
            <w:noWrap w:val="0"/>
            <w:vAlign w:val="center"/>
          </w:tcPr>
          <w:p w14:paraId="0617D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92D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D4E8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59CB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GB/T3325-2024</w:t>
            </w:r>
          </w:p>
        </w:tc>
        <w:tc>
          <w:tcPr>
            <w:tcW w:w="978" w:type="pct"/>
            <w:shd w:val="clear" w:color="auto" w:fill="auto"/>
            <w:noWrap w:val="0"/>
            <w:vAlign w:val="center"/>
          </w:tcPr>
          <w:p w14:paraId="2569D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《金属家具通用技术条件》</w:t>
            </w:r>
          </w:p>
        </w:tc>
        <w:tc>
          <w:tcPr>
            <w:tcW w:w="1078" w:type="pct"/>
            <w:shd w:val="clear" w:color="auto" w:fill="auto"/>
            <w:noWrap w:val="0"/>
            <w:vAlign w:val="center"/>
          </w:tcPr>
          <w:p w14:paraId="2016C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高架床、鞋架等金属部件</w:t>
            </w:r>
          </w:p>
        </w:tc>
        <w:tc>
          <w:tcPr>
            <w:tcW w:w="1350" w:type="pct"/>
            <w:shd w:val="clear" w:color="auto" w:fill="auto"/>
            <w:noWrap w:val="0"/>
            <w:vAlign w:val="center"/>
          </w:tcPr>
          <w:p w14:paraId="33FF3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773C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8D2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A20F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QB/T2741-2013</w:t>
            </w:r>
          </w:p>
        </w:tc>
        <w:tc>
          <w:tcPr>
            <w:tcW w:w="978" w:type="pct"/>
            <w:shd w:val="clear" w:color="auto" w:fill="auto"/>
            <w:noWrap w:val="0"/>
            <w:vAlign w:val="center"/>
          </w:tcPr>
          <w:p w14:paraId="5893A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《学生公寓多功能家具》</w:t>
            </w:r>
          </w:p>
        </w:tc>
        <w:tc>
          <w:tcPr>
            <w:tcW w:w="1078" w:type="pct"/>
            <w:shd w:val="clear" w:color="auto" w:fill="auto"/>
            <w:noWrap w:val="0"/>
            <w:vAlign w:val="center"/>
          </w:tcPr>
          <w:p w14:paraId="52D28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所有学生公寓家具</w:t>
            </w:r>
          </w:p>
        </w:tc>
        <w:tc>
          <w:tcPr>
            <w:tcW w:w="1350" w:type="pct"/>
            <w:shd w:val="clear" w:color="auto" w:fill="auto"/>
            <w:noWrap w:val="0"/>
            <w:vAlign w:val="center"/>
          </w:tcPr>
          <w:p w14:paraId="2F0A9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行业核心标准，应优先采用。对结构、尺寸、安全有具体规定。</w:t>
            </w:r>
          </w:p>
        </w:tc>
      </w:tr>
      <w:tr w14:paraId="3AA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301F7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关键材料与部件标准</w:t>
            </w:r>
          </w:p>
        </w:tc>
        <w:tc>
          <w:tcPr>
            <w:tcW w:w="837" w:type="pct"/>
            <w:shd w:val="clear" w:color="auto" w:fill="auto"/>
            <w:noWrap w:val="0"/>
            <w:vAlign w:val="center"/>
          </w:tcPr>
          <w:p w14:paraId="52B20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GB/T9846-2015</w:t>
            </w:r>
          </w:p>
        </w:tc>
        <w:tc>
          <w:tcPr>
            <w:tcW w:w="978" w:type="pct"/>
            <w:shd w:val="clear" w:color="auto" w:fill="auto"/>
            <w:noWrap w:val="0"/>
            <w:vAlign w:val="center"/>
          </w:tcPr>
          <w:p w14:paraId="0B24D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《普通胶合板》</w:t>
            </w:r>
          </w:p>
        </w:tc>
        <w:tc>
          <w:tcPr>
            <w:tcW w:w="1078" w:type="pct"/>
            <w:shd w:val="clear" w:color="auto" w:fill="auto"/>
            <w:noWrap w:val="0"/>
            <w:vAlign w:val="center"/>
          </w:tcPr>
          <w:p w14:paraId="62097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实木多层板基材</w:t>
            </w:r>
          </w:p>
        </w:tc>
        <w:tc>
          <w:tcPr>
            <w:tcW w:w="1350" w:type="pct"/>
            <w:shd w:val="clear" w:color="auto" w:fill="auto"/>
            <w:noWrap w:val="0"/>
            <w:vAlign w:val="center"/>
          </w:tcPr>
          <w:p w14:paraId="2EBBC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25E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shd w:val="clear" w:color="auto" w:fill="auto"/>
            <w:noWrap w:val="0"/>
            <w:vAlign w:val="center"/>
          </w:tcPr>
          <w:p w14:paraId="5137A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310B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GB/T15102-2017</w:t>
            </w:r>
          </w:p>
        </w:tc>
        <w:tc>
          <w:tcPr>
            <w:tcW w:w="978" w:type="pct"/>
            <w:shd w:val="clear" w:color="auto" w:fill="auto"/>
            <w:noWrap w:val="0"/>
            <w:vAlign w:val="center"/>
          </w:tcPr>
          <w:p w14:paraId="5DE38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《浸渍胶膜纸饰面纤维板和刨花板》</w:t>
            </w:r>
          </w:p>
        </w:tc>
        <w:tc>
          <w:tcPr>
            <w:tcW w:w="1078" w:type="pct"/>
            <w:shd w:val="clear" w:color="auto" w:fill="auto"/>
            <w:noWrap w:val="0"/>
            <w:vAlign w:val="center"/>
          </w:tcPr>
          <w:p w14:paraId="7121D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饰面人造板（如有）</w:t>
            </w:r>
          </w:p>
        </w:tc>
        <w:tc>
          <w:tcPr>
            <w:tcW w:w="1350" w:type="pct"/>
            <w:shd w:val="clear" w:color="auto" w:fill="auto"/>
            <w:noWrap w:val="0"/>
            <w:vAlign w:val="center"/>
          </w:tcPr>
          <w:p w14:paraId="3886F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1949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3209D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A258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QB/T2189-2013</w:t>
            </w:r>
          </w:p>
        </w:tc>
        <w:tc>
          <w:tcPr>
            <w:tcW w:w="978" w:type="pct"/>
            <w:shd w:val="clear" w:color="auto" w:fill="auto"/>
            <w:noWrap w:val="0"/>
            <w:vAlign w:val="center"/>
          </w:tcPr>
          <w:p w14:paraId="1714B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《家具五金杯状暗铰链》</w:t>
            </w:r>
          </w:p>
        </w:tc>
        <w:tc>
          <w:tcPr>
            <w:tcW w:w="1078" w:type="pct"/>
            <w:shd w:val="clear" w:color="auto" w:fill="auto"/>
            <w:noWrap w:val="0"/>
            <w:vAlign w:val="center"/>
          </w:tcPr>
          <w:p w14:paraId="0AC3E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柜门铰链</w:t>
            </w:r>
          </w:p>
        </w:tc>
        <w:tc>
          <w:tcPr>
            <w:tcW w:w="1350" w:type="pct"/>
            <w:shd w:val="clear" w:color="auto" w:fill="auto"/>
            <w:noWrap w:val="0"/>
            <w:vAlign w:val="center"/>
          </w:tcPr>
          <w:p w14:paraId="7DADC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1C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40B62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15C92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QB/T2454-2013</w:t>
            </w:r>
          </w:p>
        </w:tc>
        <w:tc>
          <w:tcPr>
            <w:tcW w:w="978" w:type="pct"/>
            <w:shd w:val="clear" w:color="auto" w:fill="auto"/>
            <w:noWrap w:val="0"/>
            <w:vAlign w:val="center"/>
          </w:tcPr>
          <w:p w14:paraId="46391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《家具五金抽屉导轨》</w:t>
            </w:r>
          </w:p>
        </w:tc>
        <w:tc>
          <w:tcPr>
            <w:tcW w:w="1078" w:type="pct"/>
            <w:shd w:val="clear" w:color="auto" w:fill="auto"/>
            <w:noWrap w:val="0"/>
            <w:vAlign w:val="center"/>
          </w:tcPr>
          <w:p w14:paraId="1A0DC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抽屉</w:t>
            </w:r>
          </w:p>
        </w:tc>
        <w:tc>
          <w:tcPr>
            <w:tcW w:w="1350" w:type="pct"/>
            <w:shd w:val="clear" w:color="auto" w:fill="auto"/>
            <w:noWrap w:val="0"/>
            <w:vAlign w:val="center"/>
          </w:tcPr>
          <w:p w14:paraId="700B9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4ADC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EE1A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5F2D1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GB/T32487-2016</w:t>
            </w:r>
          </w:p>
        </w:tc>
        <w:tc>
          <w:tcPr>
            <w:tcW w:w="978" w:type="pct"/>
            <w:shd w:val="clear" w:color="auto" w:fill="auto"/>
            <w:noWrap w:val="0"/>
            <w:vAlign w:val="center"/>
          </w:tcPr>
          <w:p w14:paraId="7CD2A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《塑料家具通用技术条件》</w:t>
            </w:r>
          </w:p>
        </w:tc>
        <w:tc>
          <w:tcPr>
            <w:tcW w:w="1078" w:type="pct"/>
            <w:shd w:val="clear" w:color="auto" w:fill="auto"/>
            <w:noWrap w:val="0"/>
            <w:vAlign w:val="center"/>
          </w:tcPr>
          <w:p w14:paraId="03950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塑料部件（凳面等）</w:t>
            </w:r>
          </w:p>
        </w:tc>
        <w:tc>
          <w:tcPr>
            <w:tcW w:w="1350" w:type="pct"/>
            <w:shd w:val="clear" w:color="auto" w:fill="auto"/>
            <w:noWrap w:val="0"/>
            <w:vAlign w:val="center"/>
          </w:tcPr>
          <w:p w14:paraId="47F6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23D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700A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工艺、测试与验收标准</w:t>
            </w:r>
          </w:p>
        </w:tc>
        <w:tc>
          <w:tcPr>
            <w:tcW w:w="837" w:type="pct"/>
            <w:shd w:val="clear" w:color="auto" w:fill="auto"/>
            <w:noWrap w:val="0"/>
            <w:vAlign w:val="center"/>
          </w:tcPr>
          <w:p w14:paraId="29FC5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GB/T10125-2021</w:t>
            </w:r>
          </w:p>
        </w:tc>
        <w:tc>
          <w:tcPr>
            <w:tcW w:w="978" w:type="pct"/>
            <w:shd w:val="clear" w:color="auto" w:fill="auto"/>
            <w:noWrap w:val="0"/>
            <w:vAlign w:val="center"/>
          </w:tcPr>
          <w:p w14:paraId="14FFE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《人造气氛腐蚀试验盐雾试验》</w:t>
            </w:r>
          </w:p>
        </w:tc>
        <w:tc>
          <w:tcPr>
            <w:tcW w:w="1078" w:type="pct"/>
            <w:shd w:val="clear" w:color="auto" w:fill="auto"/>
            <w:noWrap w:val="0"/>
            <w:vAlign w:val="center"/>
          </w:tcPr>
          <w:p w14:paraId="5AEFF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金属涂层耐腐蚀测试</w:t>
            </w:r>
          </w:p>
        </w:tc>
        <w:tc>
          <w:tcPr>
            <w:tcW w:w="1350" w:type="pct"/>
            <w:shd w:val="clear" w:color="auto" w:fill="auto"/>
            <w:noWrap w:val="0"/>
            <w:vAlign w:val="center"/>
          </w:tcPr>
          <w:p w14:paraId="5C757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DEE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F9D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09038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QB/T1951.1-2010</w:t>
            </w:r>
          </w:p>
        </w:tc>
        <w:tc>
          <w:tcPr>
            <w:tcW w:w="978" w:type="pct"/>
            <w:shd w:val="clear" w:color="auto" w:fill="auto"/>
            <w:noWrap w:val="0"/>
            <w:vAlign w:val="center"/>
          </w:tcPr>
          <w:p w14:paraId="4B823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《金属家具质量检验及质量评定》</w:t>
            </w:r>
          </w:p>
        </w:tc>
        <w:tc>
          <w:tcPr>
            <w:tcW w:w="1078" w:type="pct"/>
            <w:shd w:val="clear" w:color="auto" w:fill="auto"/>
            <w:noWrap w:val="0"/>
            <w:vAlign w:val="center"/>
          </w:tcPr>
          <w:p w14:paraId="683D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钢制家具成品检验</w:t>
            </w:r>
          </w:p>
        </w:tc>
        <w:tc>
          <w:tcPr>
            <w:tcW w:w="1350" w:type="pct"/>
            <w:shd w:val="clear" w:color="auto" w:fill="auto"/>
            <w:noWrap w:val="0"/>
            <w:vAlign w:val="center"/>
          </w:tcPr>
          <w:p w14:paraId="54B1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AD6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C6AA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B20B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GB50210-2018</w:t>
            </w:r>
          </w:p>
        </w:tc>
        <w:tc>
          <w:tcPr>
            <w:tcW w:w="978" w:type="pct"/>
            <w:shd w:val="clear" w:color="auto" w:fill="auto"/>
            <w:noWrap w:val="0"/>
            <w:vAlign w:val="center"/>
          </w:tcPr>
          <w:p w14:paraId="6E100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《建筑装饰装修工程质量验收标准》</w:t>
            </w:r>
          </w:p>
        </w:tc>
        <w:tc>
          <w:tcPr>
            <w:tcW w:w="1078" w:type="pct"/>
            <w:shd w:val="clear" w:color="auto" w:fill="auto"/>
            <w:noWrap w:val="0"/>
            <w:vAlign w:val="center"/>
          </w:tcPr>
          <w:p w14:paraId="3C2A9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固定家具安装、装饰工程验收</w:t>
            </w:r>
          </w:p>
        </w:tc>
        <w:tc>
          <w:tcPr>
            <w:tcW w:w="1350" w:type="pct"/>
            <w:shd w:val="clear" w:color="auto" w:fill="auto"/>
            <w:noWrap w:val="0"/>
            <w:vAlign w:val="center"/>
          </w:tcPr>
          <w:p w14:paraId="00D6F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CC9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0"/>
            <w:vAlign w:val="center"/>
          </w:tcPr>
          <w:p w14:paraId="75D54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安装后环境标准</w:t>
            </w:r>
          </w:p>
        </w:tc>
        <w:tc>
          <w:tcPr>
            <w:tcW w:w="837" w:type="pct"/>
            <w:shd w:val="clear" w:color="auto" w:fill="auto"/>
            <w:noWrap w:val="0"/>
            <w:vAlign w:val="center"/>
          </w:tcPr>
          <w:p w14:paraId="0F8F1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GB/T18883-2022</w:t>
            </w:r>
          </w:p>
        </w:tc>
        <w:tc>
          <w:tcPr>
            <w:tcW w:w="978" w:type="pct"/>
            <w:shd w:val="clear" w:color="auto" w:fill="auto"/>
            <w:noWrap w:val="0"/>
            <w:vAlign w:val="center"/>
          </w:tcPr>
          <w:p w14:paraId="716D8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《室内空气质量标准》</w:t>
            </w:r>
          </w:p>
        </w:tc>
        <w:tc>
          <w:tcPr>
            <w:tcW w:w="1078" w:type="pct"/>
            <w:shd w:val="clear" w:color="auto" w:fill="auto"/>
            <w:noWrap w:val="0"/>
            <w:vAlign w:val="center"/>
          </w:tcPr>
          <w:p w14:paraId="6CCCA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家具安装后的室内环境</w:t>
            </w:r>
          </w:p>
        </w:tc>
        <w:tc>
          <w:tcPr>
            <w:tcW w:w="1350" w:type="pct"/>
            <w:shd w:val="clear" w:color="auto" w:fill="auto"/>
            <w:noWrap w:val="0"/>
            <w:vAlign w:val="center"/>
          </w:tcPr>
          <w:p w14:paraId="5E313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最终环保验收依据。</w:t>
            </w:r>
          </w:p>
        </w:tc>
      </w:tr>
    </w:tbl>
    <w:p w14:paraId="57819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标准应用原则如下。</w:t>
      </w:r>
    </w:p>
    <w:p w14:paraId="4B71F9C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1.标准有效性及冲突解决原则</w:t>
      </w:r>
    </w:p>
    <w:p w14:paraId="27774F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（1）本清单所列标准代号（如GB、GB/T、QB/T等）及年代号均为采购人基于</w:t>
      </w:r>
      <w:r>
        <w:rPr>
          <w:rFonts w:hint="eastAsia"/>
          <w:color w:val="000000" w:themeColor="text1"/>
          <w:highlight w:val="none"/>
          <w:lang w:val="en-US" w:eastAsia="zh-CN"/>
          <w14:textFill>
            <w14:solidFill>
              <w14:schemeClr w14:val="tx1"/>
            </w14:solidFill>
          </w14:textFill>
        </w:rPr>
        <w:t>招标公告发布前</w:t>
      </w:r>
      <w:r>
        <w:rPr>
          <w:rFonts w:hint="eastAsia" w:ascii="宋体" w:hAnsi="宋体" w:eastAsia="宋体" w:cs="宋体"/>
          <w:color w:val="000000" w:themeColor="text1"/>
          <w:highlight w:val="none"/>
          <w14:textFill>
            <w14:solidFill>
              <w14:schemeClr w14:val="tx1"/>
            </w14:solidFill>
          </w14:textFill>
        </w:rPr>
        <w:t>所掌握信息提出。若在合同履行期间，有任何标准被官方发布的新版标准替代或废止，供应商应自动遵循并满足替代后的最新、现行有效标准的要求，且不得因此要求调整合同价格或供货期。</w:t>
      </w:r>
    </w:p>
    <w:p w14:paraId="56F345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（2）供应商有义务在响应及生产前，自行核实并确认所有引用标准的最新版本及具体内容。因供应商未采用正确、有效标准而导致的产品缺陷、验收不合格或安全事故，由供应商承担全部责任。</w:t>
      </w:r>
    </w:p>
    <w:p w14:paraId="6444E76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2.强制性标准优先原则</w:t>
      </w:r>
    </w:p>
    <w:p w14:paraId="53C308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（1）无论本清单是否列明，供应商都必须遵守所有中华人民共和国现行的强制性国家标准（GB）、强制性行业标准以及项目所在地的地方性强制规定。</w:t>
      </w:r>
    </w:p>
    <w:p w14:paraId="3D79E0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（2）对于学生公寓家具，尤其必须确保符合国家关于消防安全、结构安全、环保健康等方面的所有强制性规定。</w:t>
      </w:r>
    </w:p>
    <w:p w14:paraId="4A2E54E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3.技术要求最终解释原则</w:t>
      </w:r>
    </w:p>
    <w:p w14:paraId="45DDA9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（1）当本清单中的标准要求与本项目第四章采购需求“技术要求”中的文字描述发生歧义或不一致时，应以描述更严格、要求更高或对采购人更有利的一方为准。</w:t>
      </w:r>
    </w:p>
    <w:p w14:paraId="6AD8F3C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★（2）供应商应在投标文件中明确其产品所依据的各项具体标准编号及名称。若中标，此承诺将构成合同不可分割的一部分。</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提供说明文件附投标文件，否则视为无效投标）</w:t>
      </w:r>
    </w:p>
    <w:p w14:paraId="15383A38">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三、商务要求</w:t>
      </w:r>
    </w:p>
    <w:p w14:paraId="450EF332">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一</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报价要求</w:t>
      </w:r>
    </w:p>
    <w:p w14:paraId="3F1ABF0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供应商报价应包含与本次采购项目有关的所有费用。包含但不限于人员、设备、安装、调试、验收、售后服务、伴随配套服务等所有含税费用。同时，还应包含支付给员工的工资和国家强制缴纳的各种社会保障资金，以及供应商认为需要的其他费用等。</w:t>
      </w:r>
    </w:p>
    <w:p w14:paraId="1EA156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供应商的任何错漏、优惠、竞争性报价不得作为减轻责任、减少服务、增加收费、降低服务质量的理由。</w:t>
      </w:r>
    </w:p>
    <w:p w14:paraId="4C8E162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供应商报价除包含招标文件中列明的项目外还应包括保障服务正常运行应当具有的物资和服务，对服务正常运行应当具有的物资和服务理解不一致的以采购人理解为准。</w:t>
      </w:r>
    </w:p>
    <w:p w14:paraId="05CEAD18">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（二）</w:t>
      </w:r>
      <w:r>
        <w:rPr>
          <w:rFonts w:hint="eastAsia" w:ascii="宋体" w:hAnsi="宋体" w:eastAsia="宋体" w:cs="宋体"/>
          <w:b/>
          <w:bCs/>
          <w:color w:val="000000" w:themeColor="text1"/>
          <w:highlight w:val="none"/>
          <w14:textFill>
            <w14:solidFill>
              <w14:schemeClr w14:val="tx1"/>
            </w14:solidFill>
          </w14:textFill>
        </w:rPr>
        <w:t>供货期要求：</w:t>
      </w:r>
    </w:p>
    <w:p w14:paraId="52DCA63F">
      <w:pPr>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中标供应商在接到采购人安装通知之日起10个日历日内安装完毕全部家具并交付使用。</w:t>
      </w:r>
    </w:p>
    <w:p w14:paraId="3D3BE77F">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关键节点供货期：供应商应在投标文件中，详细提交其《项目实施进度计划表》及《节点供货期承诺书》。（提供承诺书和《项目实施进度计划表》并加盖供应商公章，格式自拟，内容含糊不清的作未提供处理，未提供承诺书</w:t>
      </w:r>
      <w:r>
        <w:rPr>
          <w:rFonts w:hint="eastAsia" w:ascii="宋体" w:hAnsi="宋体" w:eastAsia="宋体" w:cs="宋体"/>
          <w:b/>
          <w:bCs/>
          <w:color w:val="000000" w:themeColor="text1"/>
          <w:highlight w:val="none"/>
          <w:lang w:val="en-US" w:eastAsia="zh-CN"/>
          <w14:textFill>
            <w14:solidFill>
              <w14:schemeClr w14:val="tx1"/>
            </w14:solidFill>
          </w14:textFill>
        </w:rPr>
        <w:t>或</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ascii="宋体" w:hAnsi="宋体" w:eastAsia="宋体" w:cs="宋体"/>
          <w:b/>
          <w:bCs/>
          <w:color w:val="000000" w:themeColor="text1"/>
          <w:highlight w:val="none"/>
          <w:lang w:val="en-US" w:eastAsia="zh-CN"/>
          <w14:textFill>
            <w14:solidFill>
              <w14:schemeClr w14:val="tx1"/>
            </w14:solidFill>
          </w14:textFill>
        </w:rPr>
        <w:t>或所提供的内容不符合下列要求</w:t>
      </w:r>
      <w:r>
        <w:rPr>
          <w:rFonts w:hint="eastAsia" w:ascii="宋体" w:hAnsi="宋体" w:eastAsia="宋体" w:cs="宋体"/>
          <w:b/>
          <w:bCs/>
          <w:color w:val="000000" w:themeColor="text1"/>
          <w:highlight w:val="none"/>
          <w14:textFill>
            <w14:solidFill>
              <w14:schemeClr w14:val="tx1"/>
            </w14:solidFill>
          </w14:textFill>
        </w:rPr>
        <w:t>的作无效</w:t>
      </w:r>
      <w:r>
        <w:rPr>
          <w:rFonts w:hint="eastAsia" w:ascii="宋体" w:hAnsi="宋体" w:eastAsia="宋体" w:cs="宋体"/>
          <w:b/>
          <w:bCs/>
          <w:color w:val="000000" w:themeColor="text1"/>
          <w:highlight w:val="none"/>
          <w:lang w:val="en-US" w:eastAsia="zh-CN"/>
          <w14:textFill>
            <w14:solidFill>
              <w14:schemeClr w14:val="tx1"/>
            </w14:solidFill>
          </w14:textFill>
        </w:rPr>
        <w:t>投标</w:t>
      </w:r>
      <w:r>
        <w:rPr>
          <w:rFonts w:hint="eastAsia" w:ascii="宋体" w:hAnsi="宋体" w:eastAsia="宋体" w:cs="宋体"/>
          <w:b/>
          <w:bCs/>
          <w:color w:val="000000" w:themeColor="text1"/>
          <w:highlight w:val="none"/>
          <w14:textFill>
            <w14:solidFill>
              <w14:schemeClr w14:val="tx1"/>
            </w14:solidFill>
          </w14:textFill>
        </w:rPr>
        <w:t>处理）</w:t>
      </w:r>
    </w:p>
    <w:p w14:paraId="42888B4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中标后，经采购人确认，将作为合同附件，具有同等法律效力。计划表与承诺书中必须至少包含以下不可变更的关键节点及完成日期：</w:t>
      </w:r>
    </w:p>
    <w:p w14:paraId="03668873">
      <w:pPr>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节点一</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生产完成</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供应商必须在2026年8月1日前完成本项目所采购全部货物的生产，并送至存放仓库。</w:t>
      </w:r>
    </w:p>
    <w:p w14:paraId="0B37B19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节点二</w:t>
      </w:r>
      <w:r>
        <w:rPr>
          <w:rFonts w:hint="eastAsia" w:ascii="宋体" w:hAnsi="宋体" w:eastAsia="宋体" w:cs="宋体"/>
          <w:color w:val="000000" w:themeColor="text1"/>
          <w:highlight w:val="none"/>
          <w14:textFill>
            <w14:solidFill>
              <w14:schemeClr w14:val="tx1"/>
            </w14:solidFill>
          </w14:textFill>
        </w:rPr>
        <w:t>（50%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进度）：在接到采购人安装通知之日起5个日历日内，至少完成全部新家具安装量的50%。</w:t>
      </w:r>
    </w:p>
    <w:p w14:paraId="0A6B28F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14:textFill>
            <w14:solidFill>
              <w14:schemeClr w14:val="tx1"/>
            </w14:solidFill>
          </w14:textFill>
        </w:rPr>
        <w:t>（80%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进度）：在接到采购人安装通知之日起8个日历日内，至少完成全部新家具安装量的80%。</w:t>
      </w:r>
    </w:p>
    <w:p w14:paraId="24BBFE7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（安装完成）：在接到采购人安装通知之日起10个日历日内，完成合同约定范围内全部新家具的安装、调试工作，达到初步验收标准，并向采购人提交《完工验收申请单》。</w:t>
      </w:r>
    </w:p>
    <w:p w14:paraId="1C4B6E3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进度报告：供应商须每日向采购人提交书面进度报告，如实反映进度、存在的问题及次日计划。如实际进度滞后于承诺计划2个日历日及以上，必须立即书面说明原因及赶工措施。</w:t>
      </w:r>
    </w:p>
    <w:p w14:paraId="21180C5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进度延误的预警与违约责任</w:t>
      </w:r>
    </w:p>
    <w:p w14:paraId="03EB6A5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①一般延误违约金：</w:t>
      </w:r>
    </w:p>
    <w:p w14:paraId="62C98EE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若供应商未能达到其承诺的任一关键节点供货期，且延误非因采购人原因或不可抗力所致，则每延误一日，供应商应向采购人支付合同总价款千分之二的违约金。</w:t>
      </w:r>
    </w:p>
    <w:p w14:paraId="5AA40E9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此项违约金采购人有权从未支付的合同款项中直接抵扣，且累计总额不超过合同总价款的5%。</w:t>
      </w:r>
    </w:p>
    <w:p w14:paraId="6EF4E30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②进度严重滞后预警：</w:t>
      </w:r>
    </w:p>
    <w:p w14:paraId="3915C88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当供应商的实际进度滞后于其承诺的计划进度超过2个日历日，或可能影响下一关键节点的实现时，采购人有权向供应商发出《进度严重滞后警告函》。</w:t>
      </w:r>
    </w:p>
    <w:p w14:paraId="15373B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供应商须在收到警告函后8小时内，提交详细的书面《赶工方案及保证措施》，并经采购人认可后严格执行。</w:t>
      </w:r>
    </w:p>
    <w:p w14:paraId="7AAFB1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根本违约的认定与采购人单方解除权</w:t>
      </w:r>
    </w:p>
    <w:p w14:paraId="3E19B1B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出现以下情形之一，即视为供应商“根本违约”：</w:t>
      </w:r>
    </w:p>
    <w:p w14:paraId="4C90F50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①延误任一关键节点供货期累计超过5个日历日；</w:t>
      </w:r>
    </w:p>
    <w:p w14:paraId="029A8D8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②在采购人发出《进度严重滞后警告函》后，未按时提交或未有效执行经认可的赶工方案，导致延误持续扩大；</w:t>
      </w:r>
    </w:p>
    <w:p w14:paraId="4D0DC38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③供应商明确表示或以行为表明（如无故撤场、主要人员设备离场）将无法继续履行合同；</w:t>
      </w:r>
    </w:p>
    <w:p w14:paraId="54CEA2C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④其延误行为已确定无疑将导致项目无法在学校开学季前交付使用，严重影响公共利益。</w:t>
      </w:r>
    </w:p>
    <w:p w14:paraId="2520E84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一旦发生上述根本违约情形，采购人可行使以下权利：</w:t>
      </w:r>
    </w:p>
    <w:p w14:paraId="12532F7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①单方解除合同：采购人有权立即书面通知供应商解除本合同，无需经过司法或仲裁程序。合同自解除通知送达供应商时起解除。</w:t>
      </w:r>
    </w:p>
    <w:p w14:paraId="0246C4F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②接管项目与委托第三人：</w:t>
      </w:r>
    </w:p>
    <w:p w14:paraId="5D10F8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a.采购人有权进驻现场，接管所有未完工程、库存材料及设备（仅限于为本项目采购的物资）。</w:t>
      </w:r>
    </w:p>
    <w:p w14:paraId="70FF037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b.采购人有权自行或委托任何第三方完成剩余全部或部分工作。</w:t>
      </w:r>
    </w:p>
    <w:p w14:paraId="625FB29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c.供应商应在收到解除通知后12小时内无条件退场，并移交全部项目资料。逾期不退场，采购人有权强制清场，由此产生的一切费用和损失由供应商承担。</w:t>
      </w:r>
    </w:p>
    <w:p w14:paraId="4833A31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合同解除后的结算与赔偿</w:t>
      </w:r>
    </w:p>
    <w:p w14:paraId="69A0042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如因供应商根本违约而解除合同后，双方按以下原则清算：</w:t>
      </w:r>
    </w:p>
    <w:p w14:paraId="35EC6CD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①已完成工作量的结算：采购人将组织对供应商已完成且合格的工作量进行计量计价。结算价不得超过该部分工作在合同中的对应价格。</w:t>
      </w:r>
    </w:p>
    <w:p w14:paraId="3F09F41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②采购人完成剩余工作的费用：采购人委托第三方完成剩余工作所支付的全部费用（包括但不限于更高的合同价格、赶工费、管理费、协调费）。</w:t>
      </w:r>
    </w:p>
    <w:p w14:paraId="42B6B3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③损失赔偿：因供应商违约给采购人造成的其他直接损失（如另行安排学生住宿的费用、对师生的赔偿、管理成本增加等）。</w:t>
      </w:r>
    </w:p>
    <w:p w14:paraId="76ED4BD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④最终支付与追偿：第1项的结算款，将用于冲抵第2项和第3项的总费用以及供应商已产生的违约金。若冲抵后仍有余额，该余额支付给供应商；若冲抵后仍有欠款，采购人有权依法向供应商进行追偿。</w:t>
      </w:r>
    </w:p>
    <w:p w14:paraId="04C9C2AB">
      <w:pPr>
        <w:spacing w:line="360" w:lineRule="auto"/>
        <w:ind w:left="0" w:leftChars="0" w:firstLine="0" w:firstLineChars="0"/>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（三）</w:t>
      </w:r>
      <w:r>
        <w:rPr>
          <w:rFonts w:hint="eastAsia" w:ascii="宋体" w:hAnsi="宋体" w:eastAsia="宋体" w:cs="宋体"/>
          <w:b/>
          <w:color w:val="000000" w:themeColor="text1"/>
          <w:highlight w:val="none"/>
          <w14:textFill>
            <w14:solidFill>
              <w14:schemeClr w14:val="tx1"/>
            </w14:solidFill>
          </w14:textFill>
        </w:rPr>
        <w:t>项目实施及相关服务要求</w:t>
      </w:r>
    </w:p>
    <w:p w14:paraId="7C6DB9D9">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1.</w:t>
      </w:r>
      <w:r>
        <w:rPr>
          <w:rFonts w:hint="eastAsia" w:ascii="宋体" w:hAnsi="宋体" w:eastAsia="宋体" w:cs="宋体"/>
          <w:b/>
          <w:bCs/>
          <w:color w:val="000000" w:themeColor="text1"/>
          <w:highlight w:val="none"/>
          <w14:textFill>
            <w14:solidFill>
              <w14:schemeClr w14:val="tx1"/>
            </w14:solidFill>
          </w14:textFill>
        </w:rPr>
        <w:t>有关产品质量安全要求及产品检测要求：</w:t>
      </w:r>
    </w:p>
    <w:p w14:paraId="7E20D1D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供应商或产品制造商提供国家认监委认可的认证机构出具的“家具中有害物质限量认证证书”（证书认证范围至少包含与本次采购相关的“金属家具”或“木质家具”）。</w:t>
      </w:r>
    </w:p>
    <w:p w14:paraId="58D4E21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供应商或产品制造商提供国家认监委认可的认证机构出具的“产品防霉认证证书”（证书认证范围至少包含与本次采购相关的“木质家具”）。</w:t>
      </w:r>
    </w:p>
    <w:p w14:paraId="17C0DED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供应商或产品制造商提供2023年4月1日以来以下成品的带有“CMA或CNAS”标识的</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57118641">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公寓组合床：检测项目至少包含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外观要求（金属件、塑料件），结构安全，理化性能要求（金属喷漆塑涂层），力学性能(单层床强度和耐久性)、品质属性（包含甲醛释放量、总挥发性有机化合物TVOC、家具涂层可迁移元素）</w:t>
      </w:r>
    </w:p>
    <w:p w14:paraId="6B9A3BE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书桌：检测项目至少包含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桌类强度和耐久性、桌类稳定性），安全性能要求（结构安全、重金属含量），甲醛释放量，品质属性（产品有害物质）。</w:t>
      </w:r>
    </w:p>
    <w:p w14:paraId="09C44F0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衣柜：检测项目至少包含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强度和耐久性、稳定性），安全性能要求（结构安全、重金属含量），甲醛释放量，品质属性（产品有害物质）。</w:t>
      </w:r>
    </w:p>
    <w:p w14:paraId="038BD580">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储物柜：检测项目至少包含主要尺寸及偏差，形状和位置公差，外观要求，表面理化性能要求（软、硬质覆面），力学性能要求（强度和耐久性、稳定性），安全性能要求（结构安全、重金属含量），甲醛释放量，品质属性（产品有害物质）。</w:t>
      </w:r>
    </w:p>
    <w:p w14:paraId="42E06AC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铝合金凳：检测项目至少包含外观要求，力学性能要求（椅凳类强度和耐久性），产品有害物质甲醛释放量。</w:t>
      </w:r>
    </w:p>
    <w:p w14:paraId="1881132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供应商或产品制造商提供2023年4月1日以来以下原材料的带有“CMA或CNAS”标识的抽样</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2C262FC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实木多层板：检测项目至少包含甲醛释放量≤0.0</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㎎/m³（达到E</w:t>
      </w:r>
      <w:r>
        <w:rPr>
          <w:rFonts w:hint="eastAsia" w:ascii="宋体" w:hAnsi="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级别），总挥发性有机化合物TVOC</w:t>
      </w:r>
      <w:r>
        <w:rPr>
          <w:rFonts w:hint="eastAsia" w:ascii="宋体" w:hAnsi="宋体" w:cs="宋体"/>
          <w:color w:val="000000" w:themeColor="text1"/>
          <w:highlight w:val="none"/>
          <w:lang w:eastAsia="zh-CN"/>
          <w14:textFill>
            <w14:solidFill>
              <w14:schemeClr w14:val="tx1"/>
            </w14:solidFill>
          </w14:textFill>
        </w:rPr>
        <w:t>，外观质量，含水率</w:t>
      </w:r>
      <w:r>
        <w:rPr>
          <w:rFonts w:hint="eastAsia" w:ascii="宋体" w:hAnsi="宋体" w:eastAsia="宋体" w:cs="宋体"/>
          <w:color w:val="000000" w:themeColor="text1"/>
          <w:highlight w:val="none"/>
          <w14:textFill>
            <w14:solidFill>
              <w14:schemeClr w14:val="tx1"/>
            </w14:solidFill>
          </w14:textFill>
        </w:rPr>
        <w:t>。</w:t>
      </w:r>
    </w:p>
    <w:p w14:paraId="0E304E9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钢管：检测项目至少包含产品表面理化性能，耐腐蚀，金属喷漆（塑）涂层（硬度）。</w:t>
      </w:r>
    </w:p>
    <w:p w14:paraId="000E06A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封边条：检测项目至少包含塑料封边条理化性能，塑料封边条有害物质限量。</w:t>
      </w:r>
    </w:p>
    <w:p w14:paraId="0394768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铰链：检测项目至少包含过载试验静载荷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04755A4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导轨：检测项目至少包含过载试验静载荷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5C3A281A">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⑥</w:t>
      </w:r>
      <w:r>
        <w:rPr>
          <w:rFonts w:hint="eastAsia" w:ascii="宋体" w:hAnsi="宋体" w:eastAsia="宋体" w:cs="宋体"/>
          <w:color w:val="000000" w:themeColor="text1"/>
          <w:highlight w:val="none"/>
          <w14:textFill>
            <w14:solidFill>
              <w14:schemeClr w14:val="tx1"/>
            </w14:solidFill>
          </w14:textFill>
        </w:rPr>
        <w:t>拉手：检测项目至少包含金属拉手耐腐蚀性要求。</w:t>
      </w:r>
    </w:p>
    <w:p w14:paraId="56EBE8E6">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⑦</w:t>
      </w:r>
      <w:r>
        <w:rPr>
          <w:rFonts w:hint="eastAsia" w:ascii="宋体" w:hAnsi="宋体" w:eastAsia="宋体" w:cs="宋体"/>
          <w:color w:val="000000" w:themeColor="text1"/>
          <w:highlight w:val="none"/>
          <w14:textFill>
            <w14:solidFill>
              <w14:schemeClr w14:val="tx1"/>
            </w14:solidFill>
          </w14:textFill>
        </w:rPr>
        <w:t>脚套：检测项目至少包含邻苯二甲酸酯（DBP、BBP、DEHP、DNOP、DINP、DIDP）、重金属、多环芳烃、多溴二苯醚。</w:t>
      </w:r>
    </w:p>
    <w:p w14:paraId="50B1916C">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⑧</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中空吹塑一次成型床板：检测项目至少</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包含</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塑料件外观，理化性能塑料件耐冷热循环，有害物质限量（邻苯二甲酸酯、多环芳烃），</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品质属性（产品有害物质家具涂层可迁移元素）</w:t>
      </w:r>
      <w:r>
        <w:rPr>
          <w:rFonts w:hint="eastAsia" w:ascii="宋体" w:hAnsi="宋体" w:eastAsia="宋体" w:cs="宋体"/>
          <w:color w:val="000000" w:themeColor="text1"/>
          <w:highlight w:val="none"/>
          <w14:textFill>
            <w14:solidFill>
              <w14:schemeClr w14:val="tx1"/>
            </w14:solidFill>
          </w14:textFill>
        </w:rPr>
        <w:t>。</w:t>
      </w:r>
    </w:p>
    <w:p w14:paraId="06C03395">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⑨</w:t>
      </w:r>
      <w:r>
        <w:rPr>
          <w:rFonts w:hint="eastAsia" w:ascii="宋体" w:hAnsi="宋体" w:eastAsia="宋体" w:cs="宋体"/>
          <w:color w:val="000000" w:themeColor="text1"/>
          <w:highlight w:val="none"/>
          <w14:textFill>
            <w14:solidFill>
              <w14:schemeClr w14:val="tx1"/>
            </w14:solidFill>
          </w14:textFill>
        </w:rPr>
        <w:t>无醛封边热熔胶：检测项目至少包含胶粘剂VOC含量检测合格、气味等级</w:t>
      </w:r>
    </w:p>
    <w:p w14:paraId="56AD7ED9">
      <w:pPr>
        <w:numPr>
          <w:ilvl w:val="0"/>
          <w:numId w:val="0"/>
        </w:numPr>
        <w:spacing w:line="360" w:lineRule="auto"/>
        <w:ind w:left="0" w:leftChars="0"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⑩</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前护栏：检测项目至少包含外观性能（金属件），理化性能要求（金属喷漆（塑）涂层）。</w:t>
      </w:r>
    </w:p>
    <w:p w14:paraId="24250AB5">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产品环保安全要求：</w:t>
      </w:r>
    </w:p>
    <w:p w14:paraId="2340EFC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供应商投标产品属于财政部、生态环境部公布的“环境标志产品品目清单”范围内的，供应商或产品制造商提供国家确定的认证机构出具的、处于有效期内的该环境标志产品认证证书。</w:t>
      </w:r>
    </w:p>
    <w:p w14:paraId="498CB37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w:t>
      </w:r>
      <w:r>
        <w:rPr>
          <w:rFonts w:hint="eastAsia" w:ascii="宋体" w:hAnsi="宋体" w:cs="宋体"/>
          <w:color w:val="000000" w:themeColor="text1"/>
          <w:sz w:val="24"/>
          <w:szCs w:val="24"/>
          <w:highlight w:val="none"/>
          <w14:textFill>
            <w14:solidFill>
              <w14:schemeClr w14:val="tx1"/>
            </w14:solidFill>
          </w14:textFill>
        </w:rPr>
        <w:t>国家发改委</w:t>
      </w:r>
      <w:r>
        <w:rPr>
          <w:rFonts w:hint="eastAsia" w:ascii="宋体" w:hAnsi="宋体" w:eastAsia="宋体" w:cs="宋体"/>
          <w:color w:val="000000" w:themeColor="text1"/>
          <w:highlight w:val="none"/>
          <w14:textFill>
            <w14:solidFill>
              <w14:schemeClr w14:val="tx1"/>
            </w14:solidFill>
          </w14:textFill>
        </w:rPr>
        <w:t>公布的“</w:t>
      </w:r>
      <w:r>
        <w:rPr>
          <w:rFonts w:hint="eastAsia" w:ascii="宋体" w:hAnsi="宋体" w:cs="宋体"/>
          <w:color w:val="000000" w:themeColor="text1"/>
          <w:sz w:val="24"/>
          <w:szCs w:val="24"/>
          <w:highlight w:val="none"/>
          <w14:textFill>
            <w14:solidFill>
              <w14:schemeClr w14:val="tx1"/>
            </w14:solidFill>
          </w14:textFill>
        </w:rPr>
        <w:t>节能产品品目清单</w:t>
      </w:r>
      <w:r>
        <w:rPr>
          <w:rFonts w:hint="eastAsia" w:ascii="宋体" w:hAnsi="宋体" w:eastAsia="宋体" w:cs="宋体"/>
          <w:color w:val="000000" w:themeColor="text1"/>
          <w:highlight w:val="none"/>
          <w14:textFill>
            <w14:solidFill>
              <w14:schemeClr w14:val="tx1"/>
            </w14:solidFill>
          </w14:textFill>
        </w:rPr>
        <w:t>”范围内的，供应商或产品制造商提供国家确定的认证机构出具的、处于有效期内的该</w:t>
      </w:r>
      <w:r>
        <w:rPr>
          <w:rFonts w:hint="eastAsia" w:ascii="宋体" w:hAnsi="宋体" w:cs="宋体"/>
          <w:color w:val="000000" w:themeColor="text1"/>
          <w:sz w:val="24"/>
          <w:szCs w:val="24"/>
          <w:highlight w:val="none"/>
          <w14:textFill>
            <w14:solidFill>
              <w14:schemeClr w14:val="tx1"/>
            </w14:solidFill>
          </w14:textFill>
        </w:rPr>
        <w:t>节能产品认证证书</w:t>
      </w:r>
      <w:r>
        <w:rPr>
          <w:rFonts w:hint="eastAsia" w:ascii="宋体" w:hAnsi="宋体" w:eastAsia="宋体" w:cs="宋体"/>
          <w:color w:val="000000" w:themeColor="text1"/>
          <w:highlight w:val="none"/>
          <w14:textFill>
            <w14:solidFill>
              <w14:schemeClr w14:val="tx1"/>
            </w14:solidFill>
          </w14:textFill>
        </w:rPr>
        <w:t>。</w:t>
      </w:r>
    </w:p>
    <w:p w14:paraId="174FACF2">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3.</w:t>
      </w:r>
      <w:r>
        <w:rPr>
          <w:rFonts w:hint="eastAsia" w:ascii="宋体" w:hAnsi="宋体" w:eastAsia="宋体" w:cs="宋体"/>
          <w:b/>
          <w:bCs/>
          <w:color w:val="000000" w:themeColor="text1"/>
          <w:highlight w:val="none"/>
          <w14:textFill>
            <w14:solidFill>
              <w14:schemeClr w14:val="tx1"/>
            </w14:solidFill>
          </w14:textFill>
        </w:rPr>
        <w:t>售后服务方案：</w:t>
      </w:r>
    </w:p>
    <w:p w14:paraId="552807A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lang w:val="en-US" w:eastAsia="zh-CN"/>
          <w14:textFill>
            <w14:solidFill>
              <w14:schemeClr w14:val="tx1"/>
            </w14:solidFill>
          </w14:textFill>
        </w:rPr>
        <w:t>具备售后服务体系</w:t>
      </w:r>
      <w:r>
        <w:rPr>
          <w:rFonts w:hint="eastAsia" w:ascii="宋体" w:hAnsi="宋体" w:eastAsia="宋体" w:cs="宋体"/>
          <w:color w:val="000000" w:themeColor="text1"/>
          <w:highlight w:val="none"/>
          <w14:textFill>
            <w14:solidFill>
              <w14:schemeClr w14:val="tx1"/>
            </w14:solidFill>
          </w14:textFill>
        </w:rPr>
        <w:t>。</w:t>
      </w:r>
    </w:p>
    <w:p w14:paraId="3B15865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售后服务要求：供应商针对本项目制定售后服务方案，应包括但不限于售后服务管理制度、服务内容、故障解决方案、备品备件储备、质保期满后的服务承诺等方面内容；相关内容要完善，具有针对性，措施合理可行。售后服务方案内容包括详细切实可行的人员安排、响应标准、故障解决方案等。售后服务期间，一旦收到采购人的报修电话，中标供应商应在3小时内派遣有经验的维修人员赴现场提供维修服务。维修人员赴现场后应及时对损坏部件进行检修，对于一般故障应在48小时内修复；对于重大损坏应在与采购人协商时间内修复。免费质保期内，中标供应商免收采购人所有费用，包括但不限于零部件费用、人工费、交通费、住宿费等。若在免费质保期内，中标供应商拒绝维修或迟延维修的，采购人有权自行或委托第三方维修，因此产生的所有费用由中标供应商承担。</w:t>
      </w:r>
    </w:p>
    <w:p w14:paraId="67BD025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公寓内空气治理服务要求：针对暑期公寓家具安装时间周期短，同时保证学生安全环保住宿空间。</w:t>
      </w:r>
    </w:p>
    <w:p w14:paraId="62FFA4D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安装前要求：供应商严格对安装家具板材进校之前及时通风散味，加速有机物挥发。</w:t>
      </w:r>
    </w:p>
    <w:p w14:paraId="260F7C8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安装现场要求：现场施工期间公寓门窗开启通风（阴雨天气及时关闭）保证柜门和抽屉敞开，促进空气流动。</w:t>
      </w:r>
    </w:p>
    <w:p w14:paraId="7BC35FF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家具安装完成之后：委托第三方检测机构对公寓内空气进行质量检测，提供合格的室内空气</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p>
    <w:p w14:paraId="613A9B4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公寓内空气治理方案至少应提供炭包或绿植除甲醛，确保室内空气检测满足《室内空气质量标准》GB/T18883-2022。如为家具原因导致检测结果超标</w:t>
      </w:r>
      <w:r>
        <w:rPr>
          <w:rFonts w:hint="eastAsia" w:ascii="宋体" w:hAnsi="宋体" w:eastAsia="宋体" w:cs="宋体"/>
          <w:b/>
          <w:bCs/>
          <w:color w:val="000000" w:themeColor="text1"/>
          <w:highlight w:val="none"/>
          <w14:textFill>
            <w14:solidFill>
              <w14:schemeClr w14:val="tx1"/>
            </w14:solidFill>
          </w14:textFill>
        </w:rPr>
        <w:t>（判断依据：家具安装后与安装前对比对于空房间检测数据对比）</w:t>
      </w:r>
      <w:r>
        <w:rPr>
          <w:rFonts w:hint="eastAsia" w:ascii="宋体" w:hAnsi="宋体" w:eastAsia="宋体" w:cs="宋体"/>
          <w:color w:val="000000" w:themeColor="text1"/>
          <w:highlight w:val="none"/>
          <w14:textFill>
            <w14:solidFill>
              <w14:schemeClr w14:val="tx1"/>
            </w14:solidFill>
          </w14:textFill>
        </w:rPr>
        <w:t>，须委托经采购人认可的专业机构对所有家具进行家具环保净化处理。</w:t>
      </w:r>
    </w:p>
    <w:p w14:paraId="1F5F69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供应商必须按国家标准执行，为采购人提供优质产品，保证所提供的产品属于环保产品，符合国家环保标准，安全、无菌、无异味、无毒。所有产品的包装均应有良好的防潮、防湿、防雨、防锈、防腐及防碰撞的措施。凡由于包装不良造成的损失和由此产生的费用均由中标供应商承担。</w:t>
      </w:r>
    </w:p>
    <w:p w14:paraId="7D812C4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14:textFill>
            <w14:solidFill>
              <w14:schemeClr w14:val="tx1"/>
            </w14:solidFill>
          </w14:textFill>
        </w:rPr>
        <w:t>货物安装完成后，供应商需根据GB/T18883</w:t>
      </w:r>
      <w:r>
        <w:rPr>
          <w:rFonts w:hint="eastAsia" w:ascii="宋体" w:hAnsi="宋体" w:eastAsia="宋体" w:cs="宋体"/>
          <w:color w:val="000000" w:themeColor="text1"/>
          <w:highlight w:val="none"/>
          <w14:textFill>
            <w14:solidFill>
              <w14:schemeClr w14:val="tx1"/>
            </w14:solidFill>
          </w14:textFill>
        </w:rPr>
        <w:noBreakHyphen/>
      </w:r>
      <w:r>
        <w:rPr>
          <w:rFonts w:hint="eastAsia" w:ascii="宋体" w:hAnsi="宋体" w:eastAsia="宋体" w:cs="宋体"/>
          <w:color w:val="000000" w:themeColor="text1"/>
          <w:highlight w:val="none"/>
          <w14:textFill>
            <w14:solidFill>
              <w14:schemeClr w14:val="tx1"/>
            </w14:solidFill>
          </w14:textFill>
        </w:rPr>
        <w:t>2022《室内空气质量标准》，</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选择</w:t>
      </w:r>
      <w:r>
        <w:rPr>
          <w:rFonts w:hint="eastAsia" w:ascii="宋体" w:hAnsi="宋体" w:cs="宋体"/>
          <w:color w:val="000000" w:themeColor="text1"/>
          <w:highlight w:val="none"/>
          <w:lang w:val="en-US" w:eastAsia="zh-CN"/>
          <w14:textFill>
            <w14:solidFill>
              <w14:schemeClr w14:val="tx1"/>
            </w14:solidFill>
          </w14:textFill>
        </w:rPr>
        <w:t>第三方</w:t>
      </w:r>
      <w:r>
        <w:rPr>
          <w:rFonts w:hint="eastAsia" w:ascii="宋体" w:hAnsi="宋体" w:eastAsia="宋体" w:cs="宋体"/>
          <w:color w:val="000000" w:themeColor="text1"/>
          <w:highlight w:val="none"/>
          <w14:textFill>
            <w14:solidFill>
              <w14:schemeClr w14:val="tx1"/>
            </w14:solidFill>
          </w14:textFill>
        </w:rPr>
        <w:t>检测机构，</w:t>
      </w:r>
      <w:r>
        <w:rPr>
          <w:rFonts w:hint="eastAsia" w:ascii="宋体" w:hAnsi="宋体" w:cs="宋体"/>
          <w:color w:val="000000" w:themeColor="text1"/>
          <w:highlight w:val="none"/>
          <w:lang w:val="en-US" w:eastAsia="zh-CN"/>
          <w14:textFill>
            <w14:solidFill>
              <w14:schemeClr w14:val="tx1"/>
            </w14:solidFill>
          </w14:textFill>
        </w:rPr>
        <w:t>出具</w:t>
      </w:r>
      <w:r>
        <w:rPr>
          <w:rFonts w:hint="eastAsia" w:ascii="宋体" w:hAnsi="宋体" w:eastAsia="宋体" w:cs="宋体"/>
          <w:color w:val="000000" w:themeColor="text1"/>
          <w:highlight w:val="none"/>
          <w14:textFill>
            <w14:solidFill>
              <w14:schemeClr w14:val="tx1"/>
            </w14:solidFill>
          </w14:textFill>
        </w:rPr>
        <w:t>具有CMA或CNAS认证的空气质量</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，一切费用由供应商自行承担。</w:t>
      </w:r>
    </w:p>
    <w:p w14:paraId="5E5B508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具体要求：每栋楼抽检不少于2个大套间</w:t>
      </w:r>
      <w:r>
        <w:rPr>
          <w:rFonts w:hint="eastAsia" w:ascii="宋体" w:hAnsi="宋体" w:eastAsia="宋体" w:cs="宋体"/>
          <w:color w:val="000000" w:themeColor="text1"/>
          <w:highlight w:val="none"/>
          <w14:textFill>
            <w14:solidFill>
              <w14:schemeClr w14:val="tx1"/>
            </w14:solidFill>
          </w14:textFill>
        </w:rPr>
        <w:t>，检测项目需包含但不限于甲醛、氨、苯、甲苯、二甲苯、TVOC等。如检测结果超标，供应商须委托采购人认可的专业机构，对所有家具进行环保净化处理，并承担所有费用，否则不予验收。净化处理后由采购人二次进行室内污染检测，费用由供应商承担，检测结果不合格的，采购人有权拒付货款并要求供应商退还采购人已经支付的货款且赔偿采购人因此造成的所有损失。</w:t>
      </w:r>
    </w:p>
    <w:p w14:paraId="0DA97246">
      <w:pPr>
        <w:spacing w:line="360" w:lineRule="auto"/>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w:t>
      </w:r>
      <w:r>
        <w:rPr>
          <w:rFonts w:hint="eastAsia" w:ascii="宋体" w:hAnsi="宋体" w:eastAsia="宋体" w:cs="宋体"/>
          <w:b/>
          <w:bCs/>
          <w:color w:val="000000" w:themeColor="text1"/>
          <w:highlight w:val="none"/>
          <w14:textFill>
            <w14:solidFill>
              <w14:schemeClr w14:val="tx1"/>
            </w14:solidFill>
          </w14:textFill>
        </w:rPr>
        <w:t>项目生产</w:t>
      </w:r>
      <w:r>
        <w:rPr>
          <w:rFonts w:hint="eastAsia" w:ascii="宋体" w:hAnsi="宋体" w:cs="宋体"/>
          <w:b/>
          <w:bCs/>
          <w:color w:val="000000" w:themeColor="text1"/>
          <w:highlight w:val="none"/>
          <w:lang w:val="en-US" w:eastAsia="zh-CN"/>
          <w14:textFill>
            <w14:solidFill>
              <w14:schemeClr w14:val="tx1"/>
            </w14:solidFill>
          </w14:textFill>
        </w:rPr>
        <w:t>方案</w:t>
      </w:r>
    </w:p>
    <w:p w14:paraId="520381F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项目生产实施要求：供应商需依据招标文件要求编制项目实施方案，内容应涵盖优化设计家具产品的彩色效果图、生产、运输、安装、调试、验收、进度保障、安全生产及文明施工等环节。方案须结合</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实际情况深化设计，尤其强调现场保护措施，确保施工期间设施完好；明确文明施工规范，包括人员安装时服从学校管理；并承诺工完场净，完工后场地恢复整洁标准。</w:t>
      </w:r>
    </w:p>
    <w:p w14:paraId="4569352D">
      <w:pPr>
        <w:spacing w:line="360" w:lineRule="auto"/>
        <w:ind w:firstLine="480"/>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供应商须提供承诺书，必须包括生产厂家和生产场地的详细地址及存放本次采购项目所涉及货物的仓库地址，如采购人发现所承诺地址与实际地址不符，采购人有权终止合同，并要求供应商给予中标金额10%的赔偿；供应商须承诺采购人有权在生产和存储过程中随时前往对应地址核查生产和存放情况。</w:t>
      </w:r>
      <w:r>
        <w:rPr>
          <w:rFonts w:hint="eastAsia" w:ascii="宋体" w:hAnsi="宋体" w:cs="宋体"/>
          <w:b/>
          <w:bCs/>
          <w:color w:val="000000" w:themeColor="text1"/>
          <w:highlight w:val="none"/>
          <w:lang w:val="en-US" w:eastAsia="zh-CN"/>
          <w14:textFill>
            <w14:solidFill>
              <w14:schemeClr w14:val="tx1"/>
            </w14:solidFill>
          </w14:textFill>
        </w:rPr>
        <w:t>（提供承诺书附投标文件，未提供或内容不符合要求的按无效投标处理）</w:t>
      </w:r>
    </w:p>
    <w:p w14:paraId="2A4E38ED">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（七）</w:t>
      </w:r>
      <w:r>
        <w:rPr>
          <w:rFonts w:hint="eastAsia" w:ascii="宋体" w:hAnsi="宋体" w:eastAsia="宋体" w:cs="宋体"/>
          <w:b/>
          <w:bCs/>
          <w:color w:val="000000" w:themeColor="text1"/>
          <w:highlight w:val="none"/>
          <w14:textFill>
            <w14:solidFill>
              <w14:schemeClr w14:val="tx1"/>
            </w14:solidFill>
          </w14:textFill>
        </w:rPr>
        <w:t>安装措施方案</w:t>
      </w:r>
    </w:p>
    <w:p w14:paraId="5700423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场安装技术措施及安装人员配备要求：暑期学生公寓家具的生产安装时间紧，任务重。供应商须提供足够的、熟悉业务的人员，科学安排人员分工，合理安排施工工序，明确项目负责人，确保人员配置合理，安装调试到位，家具安装稳定有序。</w:t>
      </w:r>
    </w:p>
    <w:p w14:paraId="10BD089F">
      <w:pPr>
        <w:spacing w:line="360" w:lineRule="auto"/>
        <w:ind w:firstLine="482"/>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八</w:t>
      </w:r>
      <w:r>
        <w:rPr>
          <w:rFonts w:hint="eastAsia" w:ascii="宋体" w:hAnsi="宋体" w:eastAsia="宋体" w:cs="宋体"/>
          <w:b/>
          <w:bCs/>
          <w:color w:val="000000" w:themeColor="text1"/>
          <w:highlight w:val="none"/>
          <w:lang w:val="en-US" w:eastAsia="zh-CN"/>
          <w14:textFill>
            <w14:solidFill>
              <w14:schemeClr w14:val="tx1"/>
            </w14:solidFill>
          </w14:textFill>
        </w:rPr>
        <w:t>）质量管理及保障方案</w:t>
      </w:r>
    </w:p>
    <w:p w14:paraId="5E4B061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1.供应商需要提供质量保证方案需包括原材料采购质量方案，产品质量目标的设定，以及产品质量检测方案；方案需全面详实、安排合理得当、满足本次采购的要求、保证项目的顺利实施。</w:t>
      </w:r>
    </w:p>
    <w:p w14:paraId="1C9DE078">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供应商建立全流程原材料采购质量管控体系，确保采购环节可追溯、可管控。建立原材料库存管控机制，确保原材料、成品质量始终符合项目产品生产要求。结合本项目招标文件技术要求、行业规范及项目实际工况，设定量化、可考核、可落地的产品质量总体目标及分项指标，目标清晰明确、贴合项目实际需求。建立质量目标全过程跟踪、统计、分析与考核机制，对生产、出厂、交付各环节质量指标实行常态化管控，出现偏差及时制定整改措施、闭环整改，以既定质量目标为导向统筹全流程质量管控，保障项目供货及实施全过程质量可控、稳定达标。建立全流程质量检测体系，检测依据严格执行招标文件及国家现行标准规范。建立检测记录归档、问题溯源、整改复盘机制，对检测发现的质量隐患及时处置、举一反三，持续优化生产及检测工艺，确保交付产品质量稳定可靠、符合项目使用要求。</w:t>
      </w:r>
    </w:p>
    <w:p w14:paraId="6C73ED9C">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（九）</w:t>
      </w:r>
      <w:r>
        <w:rPr>
          <w:rFonts w:hint="eastAsia"/>
          <w:b/>
          <w:bCs/>
          <w:color w:val="000000" w:themeColor="text1"/>
          <w:sz w:val="24"/>
          <w:szCs w:val="24"/>
          <w:highlight w:val="none"/>
          <w:lang w:val="en-US" w:eastAsia="zh-CN"/>
          <w14:textFill>
            <w14:solidFill>
              <w14:schemeClr w14:val="tx1"/>
            </w14:solidFill>
          </w14:textFill>
        </w:rPr>
        <w:t>应急保障方案</w:t>
      </w:r>
    </w:p>
    <w:p w14:paraId="04D44F81">
      <w:pPr>
        <w:spacing w:line="360" w:lineRule="auto"/>
        <w:ind w:firstLine="482"/>
        <w:rPr>
          <w:rFonts w:hint="eastAsia" w:ascii="宋体" w:hAnsi="宋体" w:cs="宋体"/>
          <w:b w:val="0"/>
          <w:bCs w:val="0"/>
          <w:color w:val="000000" w:themeColor="text1"/>
          <w:highlight w:val="none"/>
          <w:lang w:val="en-US" w:eastAsia="zh-CN"/>
          <w14:textFill>
            <w14:solidFill>
              <w14:schemeClr w14:val="tx1"/>
            </w14:solidFill>
          </w14:textFill>
        </w:rPr>
      </w:pPr>
      <w:r>
        <w:rPr>
          <w:rFonts w:hint="eastAsia" w:ascii="宋体" w:hAnsi="宋体" w:cs="宋体"/>
          <w:b w:val="0"/>
          <w:bCs w:val="0"/>
          <w:color w:val="000000" w:themeColor="text1"/>
          <w:highlight w:val="none"/>
          <w:lang w:val="en-US" w:eastAsia="zh-CN"/>
          <w14:textFill>
            <w14:solidFill>
              <w14:schemeClr w14:val="tx1"/>
            </w14:solidFill>
          </w14:textFill>
        </w:rPr>
        <w:t>供应商须针对本项目制定完善的应急保障措施，包含风险预判与应急触发、原材料供货、破损缺件补货、人员保障四项核心内容。供应商需提前对生产延误、原材料短缺、物流受阻、货品破损缺件、人员缺位等各类项目风险进行全面预判，明确各类突发状况的分级应急触发条件与启动标准。针对原材料供货需建立多渠道供货机制及备用供应链，预留充足原材料库存与应急生产产能，杜绝原材料断供、延期等问题影响项目交付。针对货品运输、安装过程中出现的破损、缺件、错货等情况，须建立快速应急补货机制，承诺在规定时限内完成核验、补发、更换工作，保障项目施工及交付进度。同时配备专属固定项目服务团队，储备充足应急人员，明确岗位职责与替补机制，全程保障项目生产、配送、安装及售后各环节人员到位，确保各类突发问题可快速处置、闭环解决，所有应急处置产生的费用及造成的损失均由供应商自行承担。</w:t>
      </w:r>
    </w:p>
    <w:p w14:paraId="0DB66886">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（十）</w:t>
      </w:r>
      <w:r>
        <w:rPr>
          <w:rFonts w:hint="eastAsia" w:ascii="宋体" w:hAnsi="宋体" w:eastAsia="宋体" w:cs="宋体"/>
          <w:b/>
          <w:bCs/>
          <w:color w:val="000000" w:themeColor="text1"/>
          <w:highlight w:val="none"/>
          <w14:textFill>
            <w14:solidFill>
              <w14:schemeClr w14:val="tx1"/>
            </w14:solidFill>
          </w14:textFill>
        </w:rPr>
        <w:t>其他要求</w:t>
      </w:r>
    </w:p>
    <w:p w14:paraId="7FFD095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公寓家具的质保期为安装验收合格后10年。在此质量保证期内发生的任何非人为损坏故障，中标供应商均应负责免费修复，无法修复的产品或零部件应免费更换（人为因素或不可抗力因素除外）。在10年质保期及后续服务期内，供应商应承诺按采购人要求，以优惠价格提供将‘两上铺一下铺高架床’转换为‘两铺位高架床’所需的专用组件、施工指导及安装服务。</w:t>
      </w:r>
    </w:p>
    <w:p w14:paraId="25614FAB">
      <w:pPr>
        <w:spacing w:line="360" w:lineRule="auto"/>
        <w:ind w:firstLine="480"/>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供应商在生产过程中应保证现场的施工安全，</w:t>
      </w:r>
      <w:r>
        <w:rPr>
          <w:rFonts w:hint="eastAsia" w:ascii="宋体" w:hAnsi="宋体" w:cs="宋体"/>
          <w:color w:val="000000" w:themeColor="text1"/>
          <w:highlight w:val="none"/>
          <w:lang w:val="en-US" w:eastAsia="zh-CN"/>
          <w14:textFill>
            <w14:solidFill>
              <w14:schemeClr w14:val="tx1"/>
            </w14:solidFill>
          </w14:textFill>
        </w:rPr>
        <w:t>安装过程中</w:t>
      </w:r>
      <w:r>
        <w:rPr>
          <w:rFonts w:hint="eastAsia" w:ascii="宋体" w:hAnsi="宋体" w:eastAsia="宋体" w:cs="宋体"/>
          <w:color w:val="000000" w:themeColor="text1"/>
          <w:highlight w:val="none"/>
          <w14:textFill>
            <w14:solidFill>
              <w14:schemeClr w14:val="tx1"/>
            </w14:solidFill>
          </w14:textFill>
        </w:rPr>
        <w:t>严禁发生现场动火等存在安全隐患的行为，服从学校关于安全、秩序等方面的管理要求。</w:t>
      </w:r>
      <w:r>
        <w:rPr>
          <w:rFonts w:hint="eastAsia" w:ascii="宋体" w:hAnsi="宋体" w:cs="宋体"/>
          <w:color w:val="000000" w:themeColor="text1"/>
          <w:highlight w:val="none"/>
          <w:lang w:val="en-US" w:eastAsia="zh-CN"/>
          <w14:textFill>
            <w14:solidFill>
              <w14:schemeClr w14:val="tx1"/>
            </w14:solidFill>
          </w14:textFill>
        </w:rPr>
        <w:t>供应商在作业期间所有人身伤害、财产损毁、消防安全、施工安全等相关风险、事故及赔偿责任，全部由供应商独立承担，采购人不承担任何连带责任。采购人有权时事件严重程度，扣除履约保证金、解除合同，且保留向供应商索赔的权力。</w:t>
      </w:r>
    </w:p>
    <w:p w14:paraId="6A6C877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中标供应商安装完家具要清理现场垃圾，保持现场环境整洁，工完场净。</w:t>
      </w:r>
    </w:p>
    <w:p w14:paraId="07BA98C2">
      <w:pPr>
        <w:pStyle w:val="8"/>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四、样品要求</w:t>
      </w:r>
    </w:p>
    <w:p w14:paraId="2EB9F7B0">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（一）递交时间及地点</w:t>
      </w:r>
    </w:p>
    <w:p w14:paraId="4333227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时间：自2026年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9</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至2026年7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17</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00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8</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分本招标文件第一章中规定的</w:t>
      </w:r>
      <w:r>
        <w:rPr>
          <w:rFonts w:hint="eastAsia" w:ascii="Times New Roman" w:hAnsi="Times New Roman" w:eastAsia="宋体"/>
          <w:color w:val="000000" w:themeColor="text1"/>
          <w:highlight w:val="none"/>
          <w14:textFill>
            <w14:solidFill>
              <w14:schemeClr w14:val="tx1"/>
            </w14:solidFill>
          </w14:textFill>
        </w:rPr>
        <w:t>提交投标文件截止时间</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B7E453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地点：南京市江宁区龙眠大道180号江苏经贸职业技术学院江宁校区北门外</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智汇楼101-2</w:t>
      </w:r>
      <w:r>
        <w:rPr>
          <w:rFonts w:hint="eastAsia"/>
          <w:color w:val="000000" w:themeColor="text1"/>
          <w:highlight w:val="none"/>
          <w:lang w:val="en-US" w:eastAsia="zh-CN"/>
          <w14:textFill>
            <w14:solidFill>
              <w14:schemeClr w14:val="tx1"/>
            </w14:solidFill>
          </w14:textFill>
        </w:rPr>
        <w:t>。</w:t>
      </w:r>
    </w:p>
    <w:p w14:paraId="5F8CC3A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联系人：范工，电话：18066053624</w:t>
      </w:r>
    </w:p>
    <w:p w14:paraId="2F9AB65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bookmarkStart w:id="0" w:name="_GoBack"/>
      <w:r>
        <w:drawing>
          <wp:inline distT="0" distB="0" distL="114300" distR="114300">
            <wp:extent cx="3096895" cy="3258820"/>
            <wp:effectExtent l="0" t="0" r="825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096895" cy="3258820"/>
                    </a:xfrm>
                    <a:prstGeom prst="rect">
                      <a:avLst/>
                    </a:prstGeom>
                    <a:noFill/>
                    <a:ln>
                      <a:noFill/>
                    </a:ln>
                  </pic:spPr>
                </pic:pic>
              </a:graphicData>
            </a:graphic>
          </wp:inline>
        </w:drawing>
      </w:r>
      <w:bookmarkEnd w:id="0"/>
    </w:p>
    <w:p w14:paraId="1005AC58">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（二）样品清单及递交要求</w:t>
      </w:r>
    </w:p>
    <w:p w14:paraId="4726F3A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1.样品清单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154"/>
        <w:gridCol w:w="1064"/>
        <w:gridCol w:w="5336"/>
      </w:tblGrid>
      <w:tr w14:paraId="166E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55420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序号</w:t>
            </w:r>
          </w:p>
        </w:tc>
        <w:tc>
          <w:tcPr>
            <w:tcW w:w="1160" w:type="pct"/>
            <w:noWrap w:val="0"/>
            <w:vAlign w:val="center"/>
          </w:tcPr>
          <w:p w14:paraId="2663A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样品名称</w:t>
            </w:r>
          </w:p>
        </w:tc>
        <w:tc>
          <w:tcPr>
            <w:tcW w:w="573" w:type="pct"/>
            <w:noWrap w:val="0"/>
            <w:vAlign w:val="center"/>
          </w:tcPr>
          <w:p w14:paraId="73FDA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数量</w:t>
            </w:r>
          </w:p>
        </w:tc>
        <w:tc>
          <w:tcPr>
            <w:tcW w:w="2874" w:type="pct"/>
            <w:noWrap w:val="0"/>
            <w:vAlign w:val="center"/>
          </w:tcPr>
          <w:p w14:paraId="1AC6C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规格</w:t>
            </w:r>
          </w:p>
        </w:tc>
      </w:tr>
      <w:tr w14:paraId="6C02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3B7A9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1</w:t>
            </w:r>
          </w:p>
        </w:tc>
        <w:tc>
          <w:tcPr>
            <w:tcW w:w="2154" w:type="dxa"/>
            <w:noWrap w:val="0"/>
            <w:vAlign w:val="center"/>
          </w:tcPr>
          <w:p w14:paraId="3DEDBEE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573" w:type="pct"/>
            <w:noWrap w:val="0"/>
            <w:vAlign w:val="center"/>
          </w:tcPr>
          <w:p w14:paraId="63894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0662DA8C">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4200*900*2250mm</w:t>
            </w:r>
          </w:p>
          <w:p w14:paraId="6633483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65F9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33639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2</w:t>
            </w:r>
          </w:p>
        </w:tc>
        <w:tc>
          <w:tcPr>
            <w:tcW w:w="2154" w:type="dxa"/>
            <w:noWrap w:val="0"/>
            <w:vAlign w:val="center"/>
          </w:tcPr>
          <w:p w14:paraId="4A9244C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573" w:type="pct"/>
            <w:noWrap w:val="0"/>
            <w:vAlign w:val="center"/>
          </w:tcPr>
          <w:p w14:paraId="48980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63AD8798">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2120*600*1730mm</w:t>
            </w:r>
          </w:p>
          <w:p w14:paraId="4D997E81">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26AC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91CB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2154" w:type="dxa"/>
            <w:noWrap w:val="0"/>
            <w:vAlign w:val="center"/>
          </w:tcPr>
          <w:p w14:paraId="1828EE6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573" w:type="pct"/>
            <w:noWrap w:val="0"/>
            <w:vAlign w:val="center"/>
          </w:tcPr>
          <w:p w14:paraId="6EB83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06DE0624">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1900*700*350mm</w:t>
            </w:r>
          </w:p>
          <w:p w14:paraId="2509F93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44FC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7E1CA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2154" w:type="dxa"/>
            <w:noWrap w:val="0"/>
            <w:vAlign w:val="center"/>
          </w:tcPr>
          <w:p w14:paraId="00FFFE1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573" w:type="pct"/>
            <w:noWrap w:val="0"/>
            <w:vAlign w:val="center"/>
          </w:tcPr>
          <w:p w14:paraId="3DDF9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1块</w:t>
            </w:r>
          </w:p>
        </w:tc>
        <w:tc>
          <w:tcPr>
            <w:tcW w:w="5335" w:type="dxa"/>
            <w:noWrap w:val="0"/>
            <w:vAlign w:val="center"/>
          </w:tcPr>
          <w:p w14:paraId="4A88175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525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89FA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2154" w:type="dxa"/>
            <w:noWrap w:val="0"/>
            <w:vAlign w:val="center"/>
          </w:tcPr>
          <w:p w14:paraId="17CBC7FB">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573" w:type="pct"/>
            <w:noWrap w:val="0"/>
            <w:vAlign w:val="center"/>
          </w:tcPr>
          <w:p w14:paraId="2975C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1张</w:t>
            </w:r>
          </w:p>
        </w:tc>
        <w:tc>
          <w:tcPr>
            <w:tcW w:w="5335" w:type="dxa"/>
            <w:noWrap w:val="0"/>
            <w:vAlign w:val="center"/>
          </w:tcPr>
          <w:p w14:paraId="1D74F77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380*280*450mm</w:t>
            </w:r>
          </w:p>
          <w:p w14:paraId="6771999D">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bl>
    <w:p w14:paraId="2201201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2.样品要求</w:t>
      </w:r>
    </w:p>
    <w:p w14:paraId="2EC6C1B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样品外观要求：</w:t>
      </w:r>
    </w:p>
    <w:p w14:paraId="53A7DD3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整体配色统一，无明显色差、杂色、污渍、磕碰划痕、掉漆鼓包</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无尖锐棱角、毛刺、金属尖角</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板材封边完整平整，无脱胶、溢胶、发黑、毛边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床、书桌组合搭配协调，高低、对齐观感舒适，无明显错位不协调</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表面耐脏观感好，无凹凸坑点、鼓泡、漆面</w:t>
      </w:r>
      <w:r>
        <w:rPr>
          <w:rFonts w:hint="eastAsia"/>
          <w:color w:val="000000" w:themeColor="text1"/>
          <w:highlight w:val="none"/>
          <w:lang w:val="en-US" w:eastAsia="zh-CN"/>
          <w14:textFill>
            <w14:solidFill>
              <w14:schemeClr w14:val="tx1"/>
            </w14:solidFill>
          </w14:textFill>
        </w:rPr>
        <w:t>无</w:t>
      </w:r>
      <w:r>
        <w:rPr>
          <w:rFonts w:hint="eastAsia" w:eastAsia="宋体"/>
          <w:color w:val="000000" w:themeColor="text1"/>
          <w:highlight w:val="none"/>
          <w:lang w:val="en-US" w:eastAsia="zh-CN"/>
          <w14:textFill>
            <w14:solidFill>
              <w14:schemeClr w14:val="tx1"/>
            </w14:solidFill>
          </w14:textFill>
        </w:rPr>
        <w:t>瑕疵</w:t>
      </w:r>
      <w:r>
        <w:rPr>
          <w:rFonts w:hint="eastAsia"/>
          <w:color w:val="000000" w:themeColor="text1"/>
          <w:highlight w:val="none"/>
          <w:lang w:val="en-US" w:eastAsia="zh-CN"/>
          <w14:textFill>
            <w14:solidFill>
              <w14:schemeClr w14:val="tx1"/>
            </w14:solidFill>
          </w14:textFill>
        </w:rPr>
        <w:t>。</w:t>
      </w:r>
    </w:p>
    <w:p w14:paraId="761091C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样品工艺要求：</w:t>
      </w:r>
    </w:p>
    <w:p w14:paraId="61E57FD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板材拼接、抽屉缝隙均匀宽窄一致，无大小缝、翘边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金属管材焊接</w:t>
      </w:r>
      <w:r>
        <w:rPr>
          <w:rFonts w:hint="eastAsia"/>
          <w:color w:val="000000" w:themeColor="text1"/>
          <w:highlight w:val="none"/>
          <w:lang w:val="en-US" w:eastAsia="zh-CN"/>
          <w14:textFill>
            <w14:solidFill>
              <w14:schemeClr w14:val="tx1"/>
            </w14:solidFill>
          </w14:textFill>
        </w:rPr>
        <w:t>或</w:t>
      </w:r>
      <w:r>
        <w:rPr>
          <w:rFonts w:hint="eastAsia" w:eastAsia="宋体"/>
          <w:color w:val="000000" w:themeColor="text1"/>
          <w:highlight w:val="none"/>
          <w:lang w:val="en-US" w:eastAsia="zh-CN"/>
          <w14:textFill>
            <w14:solidFill>
              <w14:schemeClr w14:val="tx1"/>
            </w14:solidFill>
          </w14:textFill>
        </w:rPr>
        <w:t>连接处无焊渣、毛刺</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五金装配工整：抽屉推拉顺滑，无卡顿、歪斜、松动</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护栏、爬梯安装紧实</w:t>
      </w:r>
      <w:r>
        <w:rPr>
          <w:rFonts w:hint="eastAsia"/>
          <w:color w:val="000000" w:themeColor="text1"/>
          <w:highlight w:val="none"/>
          <w:lang w:val="en-US" w:eastAsia="zh-CN"/>
          <w14:textFill>
            <w14:solidFill>
              <w14:schemeClr w14:val="tx1"/>
            </w14:solidFill>
          </w14:textFill>
        </w:rPr>
        <w:t>。</w:t>
      </w:r>
    </w:p>
    <w:p w14:paraId="2E712A7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样品性能要求：</w:t>
      </w:r>
    </w:p>
    <w:p w14:paraId="524DD7C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稳固性：轻摇床体、书桌，无大幅晃动、无松散异响</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承重手感：按压床板、桌面、层板，无明显发软、下陷变形感</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安全防护：上铺护栏高度充足、竖杆间隙合理，无卡夹隐患；使用体验：抽屉开合无刺耳摩擦噪音；爬梯踩踏无异响松动</w:t>
      </w:r>
      <w:r>
        <w:rPr>
          <w:rFonts w:hint="eastAsia"/>
          <w:color w:val="000000" w:themeColor="text1"/>
          <w:highlight w:val="none"/>
          <w:lang w:val="en-US" w:eastAsia="zh-CN"/>
          <w14:textFill>
            <w14:solidFill>
              <w14:schemeClr w14:val="tx1"/>
            </w14:solidFill>
          </w14:textFill>
        </w:rPr>
        <w:t>。</w:t>
      </w:r>
    </w:p>
    <w:p w14:paraId="11ECEBB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.递交要求</w:t>
      </w:r>
    </w:p>
    <w:p w14:paraId="1EDF0FB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b/>
          <w:bCs/>
          <w:color w:val="000000" w:themeColor="text1"/>
          <w:highlight w:val="none"/>
          <w:lang w:val="en-US" w:eastAsia="zh-CN"/>
          <w14:textFill>
            <w14:solidFill>
              <w14:schemeClr w14:val="tx1"/>
            </w14:solidFill>
          </w14:textFill>
        </w:rPr>
        <w:t>采购代理机构不接收在投标截止时间之后递交的样品。</w:t>
      </w:r>
      <w:r>
        <w:rPr>
          <w:rFonts w:hint="eastAsia"/>
          <w:b/>
          <w:bCs/>
          <w:color w:val="000000" w:themeColor="text1"/>
          <w:highlight w:val="none"/>
          <w:lang w:val="en-US" w:eastAsia="zh-CN"/>
          <w14:textFill>
            <w14:solidFill>
              <w14:schemeClr w14:val="tx1"/>
            </w14:solidFill>
          </w14:textFill>
        </w:rPr>
        <w:t>供应商所递交的样品如涉及组装搭建等工序的，必须在投标截止时间前完成</w:t>
      </w:r>
      <w:r>
        <w:rPr>
          <w:rFonts w:hint="eastAsia"/>
          <w:color w:val="000000" w:themeColor="text1"/>
          <w:highlight w:val="none"/>
          <w:lang w:val="en-US" w:eastAsia="zh-CN"/>
          <w14:textFill>
            <w14:solidFill>
              <w14:schemeClr w14:val="tx1"/>
            </w14:solidFill>
          </w14:textFill>
        </w:rPr>
        <w:t>，投标截止时间之后供应商必须立刻离开样品区域，请供应商合理安排递交时间，如因供应商未在投标截止时间前完成组装、搭建，影响供应商样品评审得分的，责任由供应商自行承担。</w:t>
      </w:r>
    </w:p>
    <w:p w14:paraId="03C0753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供应商提交的</w:t>
      </w:r>
      <w:r>
        <w:rPr>
          <w:rFonts w:hint="eastAsia" w:ascii="Times New Roman" w:hAnsi="Times New Roman" w:eastAsia="宋体"/>
          <w:color w:val="000000" w:themeColor="text1"/>
          <w:highlight w:val="none"/>
          <w:lang w:val="en-US" w:eastAsia="zh-CN"/>
          <w14:textFill>
            <w14:solidFill>
              <w14:schemeClr w14:val="tx1"/>
            </w14:solidFill>
          </w14:textFill>
        </w:rPr>
        <w:t>样品</w:t>
      </w:r>
      <w:r>
        <w:rPr>
          <w:rFonts w:hint="eastAsia"/>
          <w:color w:val="000000" w:themeColor="text1"/>
          <w:highlight w:val="none"/>
          <w:lang w:val="en-US" w:eastAsia="zh-CN"/>
          <w14:textFill>
            <w14:solidFill>
              <w14:schemeClr w14:val="tx1"/>
            </w14:solidFill>
          </w14:textFill>
        </w:rPr>
        <w:t>上</w:t>
      </w:r>
      <w:r>
        <w:rPr>
          <w:rFonts w:hint="eastAsia" w:ascii="Times New Roman" w:hAnsi="Times New Roman" w:eastAsia="宋体"/>
          <w:color w:val="000000" w:themeColor="text1"/>
          <w:highlight w:val="none"/>
          <w:lang w:val="en-US" w:eastAsia="zh-CN"/>
          <w14:textFill>
            <w14:solidFill>
              <w14:schemeClr w14:val="tx1"/>
            </w14:solidFill>
          </w14:textFill>
        </w:rPr>
        <w:t>不能出现供应商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的标志、标记及任何能够反映供应商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信息的内容</w:t>
      </w:r>
      <w:r>
        <w:rPr>
          <w:rFonts w:hint="eastAsia"/>
          <w:color w:val="000000" w:themeColor="text1"/>
          <w:highlight w:val="none"/>
          <w:lang w:val="en-US" w:eastAsia="zh-CN"/>
          <w14:textFill>
            <w14:solidFill>
              <w14:schemeClr w14:val="tx1"/>
            </w14:solidFill>
          </w14:textFill>
        </w:rPr>
        <w:t>，如出现相关信息，样品评分项为零分。</w:t>
      </w:r>
    </w:p>
    <w:p w14:paraId="373717B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.3供应商递交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样品时将进行登记，并由样品递交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人签字确认。供应商递交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样品时必须携带加盖公章的法定代表人授权委托书原件，否则采购代理机构有权不予接收或退还。</w:t>
      </w:r>
      <w:r>
        <w:rPr>
          <w:rFonts w:hint="eastAsia"/>
          <w:b/>
          <w:bCs/>
          <w:color w:val="000000" w:themeColor="text1"/>
          <w:highlight w:val="none"/>
          <w:lang w:val="en-US" w:eastAsia="zh-CN"/>
          <w14:textFill>
            <w14:solidFill>
              <w14:schemeClr w14:val="tx1"/>
            </w14:solidFill>
          </w14:textFill>
        </w:rPr>
        <w:t>供应商同时参与采购包1和采购包2投标的仅需提供1套样品。</w:t>
      </w:r>
    </w:p>
    <w:p w14:paraId="42A31C5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.4供应商递交样品时，不得破坏或损毁其他供应商的样品，也不得对其他供应商的样品拍照、录像。供应商在递交样品时可自行携带遮盖物，用于遮盖已递交的样品。</w:t>
      </w:r>
    </w:p>
    <w:p w14:paraId="75F2607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5中标供应商递交的样品由采购人负责保管、封存并作为履约验收的依据，不再退还中标供应商。未中标供应商递交的样品在采购结果公告期结束后5个工作日内，由南京苏宁工程咨询有限公司通知未中标供应商自行取回，逾期未取回，视同供应商放弃样品所有权，由采购人、采购代理机构自行处置。</w:t>
      </w:r>
    </w:p>
    <w:p w14:paraId="3FCB5A3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3.6供应商样品的搬运、安装、拆卸等由供应商自行负责，涉及的相关费用由供应商自行承担。中标供应商须配合采购人将样品移动至采购人指定存放地点。</w:t>
      </w:r>
    </w:p>
    <w:p w14:paraId="6CB422F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五、高架床（形态转换）特殊要求</w:t>
      </w:r>
    </w:p>
    <w:p w14:paraId="5B258453">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供应商应对喷塑的颜色、光泽度、纹理有准确的色板或编号记录，并作为技术文件移交采购人。中标供应商应承诺在未来提供完全一致的喷涂服务或涂料，确保转换组件与原有家具无色差。</w:t>
      </w:r>
    </w:p>
    <w:p w14:paraId="1B871094">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供应商保留所有板材的饰面纸型号、颜色及封边条的工艺参数，并承诺在未来可提供相同批次或视觉效果一致的材料，用于可能涉及的局部修补或调整。</w:t>
      </w:r>
    </w:p>
    <w:p w14:paraId="0CD65D92">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中标供应商在深化设计时，应评估当前布局转换为标准双层床后，与房间的空间关系，确保符合相关规范中关于通行、使用的最小空间要求。</w:t>
      </w:r>
    </w:p>
    <w:p w14:paraId="4DCD680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高架床与墙体的固定方式应不会对墙体造成不可逆的破坏，以适应未来布局调整。</w:t>
      </w:r>
    </w:p>
    <w:p w14:paraId="2AC9FF1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中标供应商应向采购人移交包含结构图纸、材料参数、色板、可转换设计详图在内的全套技术档案。</w:t>
      </w:r>
    </w:p>
    <w:p w14:paraId="0653CBCA">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（六）</w:t>
      </w:r>
      <w:r>
        <w:rPr>
          <w:rFonts w:hint="eastAsia"/>
          <w:b/>
          <w:bCs/>
          <w:color w:val="000000" w:themeColor="text1"/>
          <w:highlight w:val="none"/>
          <w14:textFill>
            <w14:solidFill>
              <w14:schemeClr w14:val="tx1"/>
            </w14:solidFill>
          </w14:textFill>
        </w:rPr>
        <w:t>特殊要求：高架床应采用模块化、可转换设计。其主体结构（如边立柱、中立柱、横梁、护栏）应具备在未来不更换主体框架的前提下，通过增减或调整部分组件（如床板支撑、爬梯），即可安全、稳固地转换为标准双层床（两铺位）的潜力。供应商应在投标时提供详细的可转换设计方案及示意图，并承诺在质保期内提供相应的转换组件及技术服务。（提供相关证明材料和承诺书并加盖供应商公章，提供的相关证明材料需反映相关信息，如无法反映上述内容，视为无效</w:t>
      </w:r>
      <w:r>
        <w:rPr>
          <w:rFonts w:hint="eastAsia"/>
          <w:b/>
          <w:bCs/>
          <w:color w:val="000000" w:themeColor="text1"/>
          <w:highlight w:val="none"/>
          <w:lang w:val="en-US" w:eastAsia="zh-CN"/>
          <w14:textFill>
            <w14:solidFill>
              <w14:schemeClr w14:val="tx1"/>
            </w14:solidFill>
          </w14:textFill>
        </w:rPr>
        <w:t>投标</w:t>
      </w:r>
      <w:r>
        <w:rPr>
          <w:rFonts w:hint="eastAsia"/>
          <w:b/>
          <w:bCs/>
          <w:color w:val="000000" w:themeColor="text1"/>
          <w:highlight w:val="none"/>
          <w14:textFill>
            <w14:solidFill>
              <w14:schemeClr w14:val="tx1"/>
            </w14:solidFill>
          </w14:textFill>
        </w:rPr>
        <w:t>；评标委员会不承担无法判断相关信息的责任。）</w:t>
      </w:r>
    </w:p>
    <w:p w14:paraId="24B8AF6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★六、宿舍间家具调配服务：为保障学校在2026年秋季学期开学前</w:t>
      </w:r>
      <w:r>
        <w:rPr>
          <w:rFonts w:hint="eastAsia" w:ascii="宋体" w:hAnsi="宋体" w:cs="宋体"/>
          <w:b/>
          <w:bCs/>
          <w:color w:val="000000" w:themeColor="text1"/>
          <w:highlight w:val="none"/>
          <w:lang w:val="en-US" w:eastAsia="zh-CN"/>
          <w14:textFill>
            <w14:solidFill>
              <w14:schemeClr w14:val="tx1"/>
            </w14:solidFill>
          </w14:textFill>
        </w:rPr>
        <w:t>后</w:t>
      </w:r>
      <w:r>
        <w:rPr>
          <w:rFonts w:hint="eastAsia" w:ascii="宋体" w:hAnsi="宋体" w:eastAsia="宋体" w:cs="宋体"/>
          <w:b/>
          <w:bCs/>
          <w:color w:val="000000" w:themeColor="text1"/>
          <w:highlight w:val="none"/>
          <w:lang w:val="en-US" w:eastAsia="zh-CN"/>
          <w14:textFill>
            <w14:solidFill>
              <w14:schemeClr w14:val="tx1"/>
            </w14:solidFill>
          </w14:textFill>
        </w:rPr>
        <w:t>对学生宿舍资源的统筹安排，中标供应商应承诺在项目实施期间免费提供宿舍间家具调配服务（提供承诺函原件并加盖供应商公章，格式自拟，内容含糊不清的作未提供处理，未按要求提供承诺函的作无效投标处理）。</w:t>
      </w:r>
    </w:p>
    <w:p w14:paraId="52977D6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（一）服务定义与基本原则</w:t>
      </w:r>
    </w:p>
    <w:p w14:paraId="4EA2EBE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服务性质界定：此项服务应作为本项目家具供应、安装、调试及售后服务整体方案的一部分，是供应商为确保项目顺利实施、配合学校动态管理需求而提供的免费增值服务。供应商的报价应已包含为此服务所发生的一切人员、交通、工具及管理成本。</w:t>
      </w:r>
    </w:p>
    <w:p w14:paraId="491B870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权属与管理原则：所有学生公寓家具及配套设施属学校财产，其调配权归学校（采购人）所有。供应商提供的服务是在学校指令下的操作执行，不涉及家具所有权或管理权的转移。供应商须严格执行学校后勤管理部门或指定代表的调配指令。</w:t>
      </w:r>
    </w:p>
    <w:p w14:paraId="014ED99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（二）核心服务内容：供应商须在合同约定的项目供货期内，根据采购人的正式书面通知，免费提供以下服务：</w:t>
      </w:r>
    </w:p>
    <w:p w14:paraId="32029F9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同型号家具搬运与安装：将已发放至某宿舍但尚未最终安装固定的同型号家具（如高架床、书桌组合柜、衣柜等），拆卸、搬运至采购人指定的其他宿舍，并重新安装、调试至符合验收标准。或未发放至某宿舍的家具，按采购人指令调整到其他宿舍进行安装、调试至符合验收标准。</w:t>
      </w:r>
    </w:p>
    <w:p w14:paraId="5D3DAA5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2.空间测量与方案协助：应采购人要求，对涉及家具调配的宿舍进行现场尺寸复核，并提供专业的调配可行性建议，确保调整后的布局符合安全规范与使用功能。</w:t>
      </w:r>
    </w:p>
    <w:p w14:paraId="0B8F3F6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3.安装状态恢复：完成搬运后，将原宿舍因家具搬离而可能产生的安装点位（如墙面固定点）进行必要修补或恢复，确保墙面整洁。将新调入宿舍的家具安装稳固，达到与初次安装同等的质量与安全标准。</w:t>
      </w:r>
    </w:p>
    <w:p w14:paraId="7170AEE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（三）服务边界与除外责任：为明确责任，规定以下情况不属于免费调配服务范围，或需另行约定。</w:t>
      </w:r>
    </w:p>
    <w:p w14:paraId="08B249B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1.不同规格家具的改造与适配：因布局调整导致需要将非标家具改造或与不同规格家具混装，以满足新空间要求。</w:t>
      </w:r>
    </w:p>
    <w:p w14:paraId="4B6410E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2.已最终验收交付的家具：项目全部竣工验收并交付使用后，学生入住期间的日常家具调换。</w:t>
      </w:r>
    </w:p>
    <w:p w14:paraId="29171A2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3.因非供应商原因造成的重复劳动：因采购人指令变更、宿舍用途重大调整等非供应商过错导致的多次、反复搬运。</w:t>
      </w:r>
    </w:p>
    <w:p w14:paraId="4A6619D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4.家具损坏责任：明确在调配过程中，因供应商操作不当造成的家具损坏，由供应商负责免费修复或更换；非因供应商原因造成的损坏，责任界定与费用需另行协商。</w:t>
      </w:r>
    </w:p>
    <w:p w14:paraId="77F2835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（四）服务响应与执行流程</w:t>
      </w:r>
    </w:p>
    <w:p w14:paraId="5A847BC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1.指令通道：采购人通过项目负责人或指定对接人，向供应商现场负责人发出加盖公章的《宿舍家具调配通知单》，明确搬出宿舍号、搬入宿舍号、家具清单、完成时限等。</w:t>
      </w:r>
    </w:p>
    <w:p w14:paraId="287E84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2.响应时效：供应商应在收到书面通知后8小时内制定调配方案并回复采购人，在双方确认方案后12小时内完成指定批次的搬运与安装工作。</w:t>
      </w:r>
    </w:p>
    <w:p w14:paraId="6DE725A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3.现场管理：调配作业应避开学校教学、休息等关键时段，遵守校园安全管理规定，做好地面、墙面保护，施工完毕后清理现场，做到工完场清。</w:t>
      </w:r>
    </w:p>
    <w:p w14:paraId="7AB4FF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4.确认与记录：每次调配服务完成后，双方应共同签署《家具调配服务确认单》，记录操作内容、家具状况、完成时间，作为服务履行的凭证。</w:t>
      </w:r>
    </w:p>
    <w:p w14:paraId="22B288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（五）与采购需求其他条款的衔接</w:t>
      </w:r>
    </w:p>
    <w:p w14:paraId="323945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1.与供货期条款衔接：除因采购人发起的调配家具数量≥15%家具购置总量时，双方应另行协商供货期顺延事宜外，其余均不得影响合同约定的安装关键节点和总供货期。</w:t>
      </w:r>
    </w:p>
    <w:p w14:paraId="172051C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2.与质保条款衔接：经供应商调配安装的家具，其质保期应自该批次家具最终安装验收合格之日起重新计算，确保学生的权益不受影响。</w:t>
      </w:r>
    </w:p>
    <w:p w14:paraId="298C869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3.与报价条款衔接：投标总价应包含项目施工期内配合采购人进行宿舍间家具临时调配所需的一切费用，供应商不得就此项服务提出额外索赔。</w:t>
      </w:r>
    </w:p>
    <w:p w14:paraId="45587EB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4.与验收条款衔接：项目最终验收时，应对所有宿舍的家具布局与状态进行确认，包括经过调配的宿舍，确保全部符合设计规范与安全标准。</w:t>
      </w:r>
    </w:p>
    <w:p w14:paraId="381A853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七</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履约保障金和</w:t>
      </w:r>
      <w:r>
        <w:rPr>
          <w:rFonts w:hint="eastAsia"/>
          <w:b/>
          <w:bCs/>
          <w:color w:val="000000" w:themeColor="text1"/>
          <w:highlight w:val="none"/>
          <w14:textFill>
            <w14:solidFill>
              <w14:schemeClr w14:val="tx1"/>
            </w14:solidFill>
          </w14:textFill>
        </w:rPr>
        <w:t>付款要求</w:t>
      </w:r>
    </w:p>
    <w:p w14:paraId="7B4551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（一）履约保证金</w:t>
      </w:r>
    </w:p>
    <w:p w14:paraId="56F5C00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459326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p>
    <w:p w14:paraId="289324D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1C7B9314">
      <w:pPr>
        <w:ind w:firstLine="48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08393F72">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（二）付款条件</w:t>
      </w:r>
    </w:p>
    <w:p w14:paraId="36A3EF4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1379915E">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所有支付均以银行转账方式执行，且须中标供应商提供合规发票。</w:t>
      </w:r>
    </w:p>
    <w:p w14:paraId="431E02D5">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备注：供应商报价需涵盖全部货物，同时包含相关税费、货物运输至指定地点的装运费用、安装调试、人员培训、售后服务、样品费用、检测费用，以及施工完成后现场恢复，场地整洁如初的所有费用。</w:t>
      </w:r>
      <w:r>
        <w:rPr>
          <w:rFonts w:hint="eastAsia"/>
          <w:color w:val="000000" w:themeColor="text1"/>
          <w:highlight w:val="none"/>
          <w:lang w:val="en-US" w:eastAsia="zh-CN"/>
          <w14:textFill>
            <w14:solidFill>
              <w14:schemeClr w14:val="tx1"/>
            </w14:solidFill>
          </w14:textFill>
        </w:rPr>
        <w:t>采购人不再另行支付其他费用。</w:t>
      </w:r>
    </w:p>
    <w:p w14:paraId="25C5047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八</w:t>
      </w:r>
      <w:r>
        <w:rPr>
          <w:rFonts w:hint="eastAsia"/>
          <w:b/>
          <w:bCs/>
          <w:color w:val="000000" w:themeColor="text1"/>
          <w:highlight w:val="none"/>
          <w14:textFill>
            <w14:solidFill>
              <w14:schemeClr w14:val="tx1"/>
            </w14:solidFill>
          </w14:textFill>
        </w:rPr>
        <w:t>、包装、运输及安装</w:t>
      </w:r>
    </w:p>
    <w:p w14:paraId="5B833E0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货物按照国家或专业标准包装，全部货物的外包装，必须采用防漏、防潮、防震、防锈、防盗和考虑到可能会发生的野蛮装卸等长途内陆运输及多次装卸之需要，确保货物安全无损运抵合同规定的交货地点，箱内必须附有该批产品的检验合格证书等。</w:t>
      </w:r>
    </w:p>
    <w:p w14:paraId="73EEA7F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2.由供应商负责运输和装卸，费用由供应商承担。采购人负责组织验收，验收不合格，供应商除无条件退货、返工外，还应承担采购人的一切损失。</w:t>
      </w:r>
    </w:p>
    <w:p w14:paraId="68F6453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3.由供应商负责组织安装，安装需符合我国国家有关技术规范要求和技术标准。需注意货物成品应不影响公寓内墙面弱电箱的后续检修，若无法避免，则由供应商自行考虑背板开孔，结算时不另外增加费用。</w:t>
      </w:r>
    </w:p>
    <w:p w14:paraId="56DC8E0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本项目履约过程中可能与各项目单位存在较多交织，在此过程中，需做到成品及半成品保护（包括本项目及其他项目的成品及半成品），遇到交叉施工作业的，必须参建各方明确施工顺序，制定专项方案（经校方审批），办理施工面移交手续，签署移交清单，清单内容包括但不限于数量、位置、保护要求等；施工过程中发生的损坏由责任单位进行修复，如责任单位拒不修复，由采购人指定单位修复，所产生的费用在结算时扣除，如未按要求办理交接手续的造成成品或半成品损坏，自行承担一切后果。以上费用已含在合同总价中，结算均不另行增加费用。</w:t>
      </w:r>
    </w:p>
    <w:p w14:paraId="2B422D26">
      <w:pPr>
        <w:ind w:left="0" w:leftChars="0" w:firstLine="0" w:firstLineChars="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九</w:t>
      </w:r>
      <w:r>
        <w:rPr>
          <w:rFonts w:hint="eastAsia"/>
          <w:b/>
          <w:bCs/>
          <w:color w:val="000000" w:themeColor="text1"/>
          <w:highlight w:val="none"/>
          <w14:textFill>
            <w14:solidFill>
              <w14:schemeClr w14:val="tx1"/>
            </w14:solidFill>
          </w14:textFill>
        </w:rPr>
        <w:t>、验收要求</w:t>
      </w:r>
    </w:p>
    <w:p w14:paraId="3B8DF804">
      <w:pPr>
        <w:ind w:firstLine="480"/>
        <w:rPr>
          <w:rFonts w:hint="eastAsia" w:ascii="宋体" w:hAnsi="宋体" w:eastAsia="宋体" w:cs="宋体"/>
          <w:b/>
          <w:bCs/>
          <w:color w:val="000000" w:themeColor="text1"/>
          <w:highlight w:val="none"/>
          <w:lang w:eastAsia="zh-CN"/>
          <w14:textFill>
            <w14:solidFill>
              <w14:schemeClr w14:val="tx1"/>
            </w14:solidFill>
          </w14:textFill>
        </w:rPr>
      </w:pPr>
      <w:r>
        <w:rPr>
          <w:rFonts w:hint="eastAsia" w:cs="宋体"/>
          <w:b/>
          <w:bCs/>
          <w:color w:val="000000" w:themeColor="text1"/>
          <w:highlight w:val="none"/>
          <w:lang w:eastAsia="zh-CN"/>
          <w14:textFill>
            <w14:solidFill>
              <w14:schemeClr w14:val="tx1"/>
            </w14:solidFill>
          </w14:textFill>
        </w:rPr>
        <w:t>中标公示期满至合同签订之日前，中标人应向采购人采购清单规定尺寸及投标时响应的产品数量各1的每种产品，送至采购人要求地址，经采购人确认后作为验收依据</w:t>
      </w:r>
      <w:r>
        <w:rPr>
          <w:rFonts w:hint="eastAsia" w:ascii="宋体" w:hAnsi="宋体" w:eastAsia="宋体" w:cs="宋体"/>
          <w:b/>
          <w:bCs/>
          <w:color w:val="000000" w:themeColor="text1"/>
          <w:highlight w:val="none"/>
          <w:lang w:eastAsia="zh-CN"/>
          <w14:textFill>
            <w14:solidFill>
              <w14:schemeClr w14:val="tx1"/>
            </w14:solidFill>
          </w14:textFill>
        </w:rPr>
        <w:t>。</w:t>
      </w:r>
    </w:p>
    <w:p w14:paraId="5E3DCEF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验收标准：符合国家有关标准、采购文件项目需求、技术要求及T/CNFA 10-2020《公共采购家具质量控制及验收规范》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投标文件承诺响应标准等</w:t>
      </w:r>
      <w:r>
        <w:rPr>
          <w:rFonts w:hint="eastAsia"/>
          <w:color w:val="000000" w:themeColor="text1"/>
          <w:highlight w:val="none"/>
          <w14:textFill>
            <w14:solidFill>
              <w14:schemeClr w14:val="tx1"/>
            </w14:solidFill>
          </w14:textFill>
        </w:rPr>
        <w:t>各项之要求。</w:t>
      </w:r>
    </w:p>
    <w:p w14:paraId="1B55141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1.在生产过程中，采购人将不定时、不限次数到生产现场进行检查，如果发现生产组织、材料质量、工艺水平等达不到要求的，供应商应按照采购人要求整改至合格为止，否则采购人有权解除合同和索赔。</w:t>
      </w:r>
    </w:p>
    <w:p w14:paraId="0445CF4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货物到达交货地点后，采购人按合同、招标文件、投标文件承诺及供货清单对照验收，并根据供货情况抽取部分货物小样送交有资质的第三方检测机构进行检测，检测费用由供应商承担；如检测不合格，供应商应负责维修或更换，如二次检测不合格，采购人有权终止合同，供应商赔偿采购人损失，相关费用及检测费用均由供应商承担。 </w:t>
      </w:r>
    </w:p>
    <w:p w14:paraId="58CE45C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采购人根据供货情况随机抽取部分货物委托有资质的第三方检测机构进行，抽取的货物费用及检测费等用由供应商承担，供应商需补足货物；如检测不合格，供应商应负责维修或更换，如二次检测不合格，采购人有权终止合同，供应商赔偿采购人损失，相关费用及检测费用均由供应商承担。</w:t>
      </w:r>
    </w:p>
    <w:p w14:paraId="044D140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货到现场经检验，质量或规格达不到要求的，采购人可以拒收，并有权解除合同和索赔。在供应商承诺的质量保证期内，达不到质量要求的，供应商负责维修或更换，采购人有权提出索赔；对现场抽样送检的不合格货物，由供应商无条件自行清场运回，并承担检测费用及由此所造成的一切损失。</w:t>
      </w:r>
    </w:p>
    <w:p w14:paraId="5999CC02">
      <w:pPr>
        <w:ind w:firstLine="480"/>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5.货物安装完成后，供应商需根据GB/T 18883</w:t>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2022 《室内空气质量标准》，选择采购人和供应商双方均认可的检测机构，提供具有CMA或CNAS认证的空气质量</w:t>
      </w:r>
      <w:r>
        <w:rPr>
          <w:rFonts w:hint="eastAsia"/>
          <w:color w:val="000000" w:themeColor="text1"/>
          <w:highlight w:val="none"/>
          <w:lang w:eastAsia="zh-CN"/>
          <w14:textFill>
            <w14:solidFill>
              <w14:schemeClr w14:val="tx1"/>
            </w14:solidFill>
          </w14:textFill>
        </w:rPr>
        <w:t>检验（测）报告</w:t>
      </w:r>
      <w:r>
        <w:rPr>
          <w:rFonts w:hint="eastAsia"/>
          <w:color w:val="000000" w:themeColor="text1"/>
          <w:highlight w:val="none"/>
          <w14:textFill>
            <w14:solidFill>
              <w14:schemeClr w14:val="tx1"/>
            </w14:solidFill>
          </w14:textFill>
        </w:rPr>
        <w:t>，一切费用由供应商自行承担。</w:t>
      </w:r>
    </w:p>
    <w:p w14:paraId="31E2D10D">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DAEE010">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第五章  合同主要条款及格式</w:t>
      </w:r>
    </w:p>
    <w:p w14:paraId="156B21B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以下为中标后签订本项目合同的通用条款，中标人不得提出实质性的修改，关于专用条款将由采购人与中标人结合本项目具体情况协商后签订。</w:t>
      </w:r>
    </w:p>
    <w:p w14:paraId="0DEB631F">
      <w:pPr>
        <w:spacing w:line="4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货物采购合同</w:t>
      </w:r>
    </w:p>
    <w:p w14:paraId="7FD28BA1">
      <w:pPr>
        <w:spacing w:line="400" w:lineRule="exact"/>
        <w:jc w:val="center"/>
        <w:rPr>
          <w:rFonts w:ascii="宋体" w:hAnsi="宋体" w:cs="宋体"/>
          <w:b/>
          <w:bCs/>
          <w:color w:val="000000" w:themeColor="text1"/>
          <w:szCs w:val="21"/>
          <w:highlight w:val="none"/>
          <w14:textFill>
            <w14:solidFill>
              <w14:schemeClr w14:val="tx1"/>
            </w14:solidFill>
          </w14:textFill>
        </w:rPr>
      </w:pPr>
    </w:p>
    <w:p w14:paraId="4C2E6256">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甲方：</w:t>
      </w:r>
      <w:r>
        <w:rPr>
          <w:rFonts w:hint="eastAsia" w:ascii="宋体" w:hAnsi="宋体" w:cs="宋体"/>
          <w:color w:val="000000" w:themeColor="text1"/>
          <w:szCs w:val="21"/>
          <w:highlight w:val="none"/>
          <w:u w:val="single"/>
          <w:lang w:eastAsia="zh-CN"/>
          <w14:textFill>
            <w14:solidFill>
              <w14:schemeClr w14:val="tx1"/>
            </w14:solidFill>
          </w14:textFill>
        </w:rPr>
        <w:t>江苏经贸职业技术学院</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合同甲方编号：</w:t>
      </w:r>
    </w:p>
    <w:p w14:paraId="0BC3C66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合同乙方编号：</w:t>
      </w:r>
    </w:p>
    <w:p w14:paraId="4AB64003">
      <w:pPr>
        <w:spacing w:line="400" w:lineRule="exact"/>
        <w:ind w:right="1050" w:firstLine="5760" w:firstLineChars="2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合同签约地：南京</w:t>
      </w:r>
    </w:p>
    <w:p w14:paraId="239D966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37EC4844">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为维护甲、乙双方合法权益，就</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采购项目</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采购包：</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江苏经贸职业技术学院</w:t>
      </w:r>
      <w:r>
        <w:rPr>
          <w:rFonts w:hint="eastAsia" w:ascii="宋体" w:hAnsi="宋体" w:cs="宋体"/>
          <w:color w:val="000000" w:themeColor="text1"/>
          <w:szCs w:val="21"/>
          <w:highlight w:val="none"/>
          <w14:textFill>
            <w14:solidFill>
              <w14:schemeClr w14:val="tx1"/>
            </w14:solidFill>
          </w14:textFill>
        </w:rPr>
        <w:t>（甲方）与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（乙方）经友好协商，达成如下货物购销合同：</w:t>
      </w:r>
    </w:p>
    <w:p w14:paraId="12676EF2">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BB4DB1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第一条  本合同所述货物：</w:t>
      </w:r>
      <w:r>
        <w:rPr>
          <w:rFonts w:hint="eastAsia" w:ascii="宋体" w:hAnsi="宋体" w:cs="宋体"/>
          <w:color w:val="000000" w:themeColor="text1"/>
          <w:szCs w:val="21"/>
          <w:highlight w:val="none"/>
          <w14:textFill>
            <w14:solidFill>
              <w14:schemeClr w14:val="tx1"/>
            </w14:solidFill>
          </w14:textFill>
        </w:rPr>
        <w:t>名称、品牌、型号、数量、产地、</w:t>
      </w:r>
      <w:r>
        <w:rPr>
          <w:rFonts w:hint="eastAsia" w:ascii="宋体" w:hAnsi="宋体" w:cs="宋体"/>
          <w:color w:val="000000" w:themeColor="text1"/>
          <w:szCs w:val="21"/>
          <w:highlight w:val="none"/>
          <w:lang w:val="en-US" w:eastAsia="zh-CN"/>
          <w14:textFill>
            <w14:solidFill>
              <w14:schemeClr w14:val="tx1"/>
            </w14:solidFill>
          </w14:textFill>
        </w:rPr>
        <w:t>单位、</w:t>
      </w:r>
      <w:r>
        <w:rPr>
          <w:rFonts w:hint="eastAsia" w:ascii="宋体" w:hAnsi="宋体" w:cs="宋体"/>
          <w:color w:val="000000" w:themeColor="text1"/>
          <w:szCs w:val="21"/>
          <w:highlight w:val="none"/>
          <w14:textFill>
            <w14:solidFill>
              <w14:schemeClr w14:val="tx1"/>
            </w14:solidFill>
          </w14:textFill>
        </w:rPr>
        <w:t>单价、总价见下表，无法以文字描述的应将相应图纸作为合同的附件。本合同总价款是货物设计、制造、包装、仓储、运输、安装及验收合格之前及保修期内备品备件发生的所有含税费用，本合同总价款还包含乙方应当提供的伴随服务/售后服务费用，甲方除依本合同约定支付价款外，不再向乙方支付任何费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084"/>
        <w:gridCol w:w="1012"/>
        <w:gridCol w:w="1310"/>
        <w:gridCol w:w="1234"/>
        <w:gridCol w:w="752"/>
        <w:gridCol w:w="776"/>
        <w:gridCol w:w="1266"/>
        <w:gridCol w:w="1262"/>
      </w:tblGrid>
      <w:tr w14:paraId="197E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180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583" w:type="pct"/>
            <w:tcBorders>
              <w:top w:val="single" w:color="auto" w:sz="4" w:space="0"/>
              <w:left w:val="single" w:color="auto" w:sz="4" w:space="0"/>
              <w:right w:val="single" w:color="auto" w:sz="4" w:space="0"/>
            </w:tcBorders>
            <w:noWrap w:val="0"/>
            <w:vAlign w:val="center"/>
          </w:tcPr>
          <w:p w14:paraId="4CE7B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p>
        </w:tc>
        <w:tc>
          <w:tcPr>
            <w:tcW w:w="545" w:type="pct"/>
            <w:tcBorders>
              <w:top w:val="single" w:color="auto" w:sz="4" w:space="0"/>
              <w:left w:val="single" w:color="auto" w:sz="4" w:space="0"/>
              <w:right w:val="single" w:color="auto" w:sz="4" w:space="0"/>
            </w:tcBorders>
            <w:noWrap w:val="0"/>
            <w:vAlign w:val="center"/>
          </w:tcPr>
          <w:p w14:paraId="7766E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品牌</w:t>
            </w:r>
          </w:p>
        </w:tc>
        <w:tc>
          <w:tcPr>
            <w:tcW w:w="706" w:type="pct"/>
            <w:tcBorders>
              <w:top w:val="single" w:color="auto" w:sz="4" w:space="0"/>
              <w:left w:val="single" w:color="auto" w:sz="4" w:space="0"/>
              <w:right w:val="single" w:color="auto" w:sz="4" w:space="0"/>
            </w:tcBorders>
            <w:noWrap w:val="0"/>
            <w:vAlign w:val="center"/>
          </w:tcPr>
          <w:p w14:paraId="3AF19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规格型号</w:t>
            </w:r>
          </w:p>
        </w:tc>
        <w:tc>
          <w:tcPr>
            <w:tcW w:w="664" w:type="pct"/>
            <w:tcBorders>
              <w:top w:val="single" w:color="auto" w:sz="4" w:space="0"/>
              <w:left w:val="single" w:color="auto" w:sz="4" w:space="0"/>
              <w:right w:val="single" w:color="auto" w:sz="4" w:space="0"/>
            </w:tcBorders>
            <w:noWrap w:val="0"/>
            <w:vAlign w:val="center"/>
          </w:tcPr>
          <w:p w14:paraId="0BEA0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产地</w:t>
            </w:r>
          </w:p>
        </w:tc>
        <w:tc>
          <w:tcPr>
            <w:tcW w:w="405" w:type="pct"/>
            <w:tcBorders>
              <w:top w:val="single" w:color="auto" w:sz="4" w:space="0"/>
              <w:left w:val="single" w:color="auto" w:sz="4" w:space="0"/>
              <w:right w:val="single" w:color="auto" w:sz="4" w:space="0"/>
            </w:tcBorders>
            <w:noWrap w:val="0"/>
            <w:vAlign w:val="center"/>
          </w:tcPr>
          <w:p w14:paraId="2B38F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数量</w:t>
            </w:r>
          </w:p>
        </w:tc>
        <w:tc>
          <w:tcPr>
            <w:tcW w:w="418" w:type="pct"/>
            <w:tcBorders>
              <w:top w:val="single" w:color="auto" w:sz="4" w:space="0"/>
              <w:left w:val="single" w:color="auto" w:sz="4" w:space="0"/>
              <w:bottom w:val="single" w:color="auto" w:sz="4" w:space="0"/>
              <w:right w:val="single" w:color="auto" w:sz="4" w:space="0"/>
            </w:tcBorders>
            <w:noWrap w:val="0"/>
            <w:vAlign w:val="center"/>
          </w:tcPr>
          <w:p w14:paraId="1B423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单位</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C889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单价</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320DF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合计</w:t>
            </w:r>
          </w:p>
        </w:tc>
      </w:tr>
      <w:tr w14:paraId="2C20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5B2044A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6B893E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1528682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3FE9CC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CF5BE4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7FEE5CB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0CEDAE5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2E1D52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67A272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1B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7D7F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54264A7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559907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4A56AB9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FDC11A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512AD1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5A456C6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5EDAA8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732517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4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774843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3FBE6FB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35DAF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253BC8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0A903BD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62C04C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250E3E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17939A4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417468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6353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898" w:type="pct"/>
            <w:gridSpan w:val="2"/>
            <w:noWrap w:val="0"/>
            <w:vAlign w:val="center"/>
          </w:tcPr>
          <w:p w14:paraId="560564B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合计金额</w:t>
            </w:r>
          </w:p>
        </w:tc>
        <w:tc>
          <w:tcPr>
            <w:tcW w:w="1916" w:type="pct"/>
            <w:gridSpan w:val="3"/>
            <w:noWrap w:val="0"/>
            <w:vAlign w:val="center"/>
          </w:tcPr>
          <w:p w14:paraId="31F3E0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小写：</w:t>
            </w:r>
          </w:p>
        </w:tc>
        <w:tc>
          <w:tcPr>
            <w:tcW w:w="2185" w:type="pct"/>
            <w:gridSpan w:val="4"/>
            <w:noWrap w:val="0"/>
            <w:vAlign w:val="center"/>
          </w:tcPr>
          <w:p w14:paraId="59E85B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w:t>
            </w:r>
          </w:p>
        </w:tc>
      </w:tr>
    </w:tbl>
    <w:p w14:paraId="1FE11903">
      <w:pPr>
        <w:widowControl/>
        <w:snapToGrid w:val="0"/>
        <w:spacing w:line="400" w:lineRule="exact"/>
        <w:ind w:left="225"/>
        <w:rPr>
          <w:rFonts w:ascii="宋体" w:hAnsi="宋体" w:cs="宋体"/>
          <w:color w:val="000000" w:themeColor="text1"/>
          <w:szCs w:val="21"/>
          <w:highlight w:val="none"/>
          <w14:textFill>
            <w14:solidFill>
              <w14:schemeClr w14:val="tx1"/>
            </w14:solidFill>
          </w14:textFill>
        </w:rPr>
      </w:pPr>
    </w:p>
    <w:p w14:paraId="50A3223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第二条  质保期为</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自货物验收合格之日起开始计算）。乙方所提供的货物，若技术性能无特殊说明，则按生产企业或国家有关部门最新颁布的标准及规范为准。乙方应保证货物是全新、未使用过的原装合格正品（行货），并完全符合生产企业或国家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2E4FF37C">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1BE460D2">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第三条  交货时间和地点</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F2D813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60D0D2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第四条  运输方式</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，费用及保险由乙方承担。</w:t>
      </w:r>
    </w:p>
    <w:p w14:paraId="1E303E5A">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802972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第五条  包装方式</w:t>
      </w:r>
      <w:r>
        <w:rPr>
          <w:rFonts w:hint="eastAsia" w:ascii="宋体" w:hAnsi="宋体" w:cs="宋体"/>
          <w:color w:val="000000" w:themeColor="text1"/>
          <w:szCs w:val="21"/>
          <w:highlight w:val="none"/>
          <w14:textFill>
            <w14:solidFill>
              <w14:schemeClr w14:val="tx1"/>
            </w14:solidFill>
          </w14:textFill>
        </w:rPr>
        <w:t>：乙方应保证将货物按照国家或专业标准包装，全部货物的外包装，必须采用防漏、防潮、防震、防盗和考虑到可能会发生的野蛮装卸等长途内陆运输及多次装卸之需要，确保货物安全无损运抵合同规定的交货地点，箱内必须附有该批产品的检验合格证书等。</w:t>
      </w:r>
    </w:p>
    <w:p w14:paraId="378FC258">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464C4C9D">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第六条 履约验收</w:t>
      </w:r>
      <w:r>
        <w:rPr>
          <w:rFonts w:hint="eastAsia" w:ascii="宋体" w:hAnsi="宋体" w:cs="宋体"/>
          <w:color w:val="000000" w:themeColor="text1"/>
          <w:szCs w:val="21"/>
          <w:highlight w:val="none"/>
          <w14:textFill>
            <w14:solidFill>
              <w14:schemeClr w14:val="tx1"/>
            </w14:solidFill>
          </w14:textFill>
        </w:rPr>
        <w:t>：</w:t>
      </w:r>
    </w:p>
    <w:p w14:paraId="7C5B9CF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1、验收主体：甲方；甲方有权邀请国家认可的质量、技术检测机构和社会监督人参与验收。</w:t>
      </w:r>
    </w:p>
    <w:p w14:paraId="107C460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2、验收方式和验收程序：</w:t>
      </w:r>
    </w:p>
    <w:p w14:paraId="49627E4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（1）生产期间检验□；</w:t>
      </w:r>
    </w:p>
    <w:p w14:paraId="01FAC89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产品生产期间，甲方将不定期到生产现场进行突击检验，费用由甲方自行承担。</w:t>
      </w:r>
    </w:p>
    <w:p w14:paraId="612E00C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（2）出厂检验□；</w:t>
      </w:r>
    </w:p>
    <w:p w14:paraId="2AC5373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产品出厂前，乙方提前通知甲方，甲方到现场进行检验。</w:t>
      </w:r>
    </w:p>
    <w:p w14:paraId="663CC29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（3）到货检验□；</w:t>
      </w:r>
    </w:p>
    <w:p w14:paraId="4E8EFE86">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产品到达交货地点后，甲方组织验收。</w:t>
      </w:r>
    </w:p>
    <w:p w14:paraId="49B68B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（4）安装调试、试运行验收□；</w:t>
      </w:r>
    </w:p>
    <w:p w14:paraId="6D65D9C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产品安装完成后，甲方组织调试或试运行验收。</w:t>
      </w:r>
    </w:p>
    <w:p w14:paraId="4F3880E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w:t>
      </w:r>
    </w:p>
    <w:p w14:paraId="2AD514A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42981A4">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3、验收内容：</w:t>
      </w:r>
    </w:p>
    <w:p w14:paraId="4BFC0E7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（1）产品的数量；</w:t>
      </w:r>
    </w:p>
    <w:p w14:paraId="30A01B7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（2）所有技术和商务要求的履约情况；</w:t>
      </w:r>
    </w:p>
    <w:p w14:paraId="0CF89E0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20C1003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4、验收标准：</w:t>
      </w:r>
    </w:p>
    <w:p w14:paraId="2883FC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（1）国家或行业相关标准；</w:t>
      </w:r>
    </w:p>
    <w:p w14:paraId="5A3D520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（2）合同、招标采购文件的要求、投标/响应等文件的承诺；</w:t>
      </w:r>
    </w:p>
    <w:p w14:paraId="1270940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（3）已封存的样品（如有）；</w:t>
      </w:r>
    </w:p>
    <w:p w14:paraId="327B8DE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CAC243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5、其他验收要求：</w:t>
      </w:r>
    </w:p>
    <w:p w14:paraId="5D2296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（1）乙方应按照本合同规定的时间、地点和方式向甲方交付货物。</w:t>
      </w:r>
    </w:p>
    <w:p w14:paraId="07FE297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乙方提供的货物不符合合同规定的，甲方有权拒收货物，并有权解除合同和索赔。在乙方承诺的质量保证期内，达不到质量要求的，乙方应负责维修或更换，因此造成损失的，甲方将有权提出索赔；对现场临时抽样送检的产品,抽检不合格的，由乙方无条件自行清场运回，并承担检测费用及由此所造成的一切损失；抽检合格的，检测费用由甲方承担。</w:t>
      </w:r>
    </w:p>
    <w:p w14:paraId="0F1707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（3）甲方应当在到货后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日内对货物进行验收，验收包括：型号、规格、数量、外观、及货物包装是否完好，质量是否合格，所提供货物的装箱清单、用户手册、原厂保修卡、随机资料及配件、随机工具等是否齐全。</w:t>
      </w:r>
    </w:p>
    <w:p w14:paraId="5F7F89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14:paraId="517F28B8">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第七条 履约保证金及付款方式：</w:t>
      </w:r>
    </w:p>
    <w:p w14:paraId="035787F3">
      <w:pPr>
        <w:pStyle w:val="6"/>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（1）履约保证金：</w:t>
      </w:r>
    </w:p>
    <w:p w14:paraId="4E36058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cs="宋体"/>
          <w:color w:val="000000" w:themeColor="text1"/>
          <w:highlight w:val="none"/>
          <w:lang w:val="en-US" w:eastAsia="zh-CN"/>
          <w14:textFill>
            <w14:solidFill>
              <w14:schemeClr w14:val="tx1"/>
            </w14:solidFill>
          </w14:textFill>
        </w:rPr>
        <w:t>金额</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6653B1E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r>
        <w:rPr>
          <w:rFonts w:hint="eastAsia" w:ascii="宋体" w:hAnsi="宋体" w:cs="宋体"/>
          <w:color w:val="000000" w:themeColor="text1"/>
          <w:highlight w:val="none"/>
          <w:lang w:eastAsia="zh-CN"/>
          <w14:textFill>
            <w14:solidFill>
              <w14:schemeClr w14:val="tx1"/>
            </w14:solidFill>
          </w14:textFill>
        </w:rPr>
        <w:t>。</w:t>
      </w:r>
    </w:p>
    <w:p w14:paraId="72F05F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0C0C66DB">
      <w:pPr>
        <w:ind w:firstLine="480"/>
        <w:rPr>
          <w:rFonts w:hint="eastAsia"/>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7FF16CFE">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（2）付款方式：</w:t>
      </w:r>
    </w:p>
    <w:p w14:paraId="6E3C4E3B">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2C0AA765">
      <w:pPr>
        <w:pStyle w:val="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t>所有支付均以银行转账方式执行，且须中标供应商提供合规发票。</w:t>
      </w:r>
    </w:p>
    <w:p w14:paraId="106D2FF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0FD354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854C6BD">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第八条 发票类型：</w:t>
      </w:r>
    </w:p>
    <w:p w14:paraId="7602D1DC">
      <w:pPr>
        <w:widowControl/>
        <w:snapToGrid w:val="0"/>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乙方须在甲方付款前开具相应增值税（专用）发票，相关发票信息如下：</w:t>
      </w:r>
    </w:p>
    <w:p w14:paraId="276F3A6B">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纳税人名称：</w:t>
      </w:r>
    </w:p>
    <w:p w14:paraId="42679DC8">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纳税人识别号：</w:t>
      </w:r>
    </w:p>
    <w:p w14:paraId="2DB7FE1E">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w:t>
      </w:r>
    </w:p>
    <w:p w14:paraId="4BA3C1F7">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p>
    <w:p w14:paraId="57EB3A9A">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地址、电话：</w:t>
      </w:r>
    </w:p>
    <w:p w14:paraId="6036D83D">
      <w:pPr>
        <w:ind w:firstLine="480" w:firstLineChars="200"/>
        <w:rPr>
          <w:rFonts w:ascii="宋体" w:hAnsi="宋体" w:cs="宋体"/>
          <w:color w:val="000000" w:themeColor="text1"/>
          <w:szCs w:val="21"/>
          <w:highlight w:val="none"/>
          <w14:textFill>
            <w14:solidFill>
              <w14:schemeClr w14:val="tx1"/>
            </w14:solidFill>
          </w14:textFill>
        </w:rPr>
      </w:pPr>
    </w:p>
    <w:p w14:paraId="746888E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第九条 售后服务</w:t>
      </w:r>
      <w:r>
        <w:rPr>
          <w:rFonts w:hint="eastAsia" w:ascii="宋体" w:hAnsi="宋体" w:cs="宋体"/>
          <w:color w:val="000000" w:themeColor="text1"/>
          <w:szCs w:val="21"/>
          <w:highlight w:val="none"/>
          <w14:textFill>
            <w14:solidFill>
              <w14:schemeClr w14:val="tx1"/>
            </w14:solidFill>
          </w14:textFill>
        </w:rPr>
        <w:t>：</w:t>
      </w:r>
    </w:p>
    <w:p w14:paraId="11D4527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1、自甲方确认项目验收合格之日起，质保期为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p>
    <w:p w14:paraId="1E3A1A43">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2、售后服务期间，一旦受到</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的报修电话，</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小时内派遣有经验的维修工赴现场提供维修服务。维修工赴现场后应及时对损坏部位进行检修，对于一般故障应在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小时内修复；对于重大损坏应在与</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协商时间内修复。</w:t>
      </w:r>
    </w:p>
    <w:p w14:paraId="0E6ECC1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3、乙方应为甲方指派专人负责与甲方联系售后服务事宜。</w:t>
      </w:r>
    </w:p>
    <w:p w14:paraId="4B41BAE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293259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第十条 违约责任</w:t>
      </w:r>
      <w:r>
        <w:rPr>
          <w:rFonts w:hint="eastAsia" w:ascii="宋体" w:hAnsi="宋体" w:cs="宋体"/>
          <w:color w:val="000000" w:themeColor="text1"/>
          <w:szCs w:val="21"/>
          <w:highlight w:val="none"/>
          <w14:textFill>
            <w14:solidFill>
              <w14:schemeClr w14:val="tx1"/>
            </w14:solidFill>
          </w14:textFill>
        </w:rPr>
        <w:t>：</w:t>
      </w:r>
    </w:p>
    <w:p w14:paraId="394CABCF">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1、甲方无正当理由拒收货物、拒付货物款的，由甲方向乙方偿付合同总价的5%违约金。</w:t>
      </w:r>
    </w:p>
    <w:p w14:paraId="7C4A0B8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2、甲方未按合同规定的期限向乙方支付货款的，每逾期1天甲方向乙方偿付欠款总额的5‰滞纳金，但累计滞纳金总额不超过欠款总额的5% 。</w:t>
      </w:r>
    </w:p>
    <w:p w14:paraId="00B44C48">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3、乙方逾期交付货物的，每逾期1天，乙方向甲方偿付逾期交货部分货款总额的5‰的滞纳金，但累计滞纳金总额不超过欠款总额的5%。如乙方逾期交货达10天，甲方有权解除合同。</w:t>
      </w:r>
    </w:p>
    <w:p w14:paraId="4BAFD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4、质保期内，如经乙方两次维修或更换，货物仍不能达到合同约定的质量标准，甲方有权退货和解除合同，乙方应退回全部货款；同时，乙方还须赔偿甲方因此遭受的损失。</w:t>
      </w:r>
    </w:p>
    <w:p w14:paraId="52256CF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5、乙方未按本合同的规定和“服务承诺”提供伴随服务/售后服务的，应按合同总价款的5%向甲方承担违约责任。</w:t>
      </w:r>
    </w:p>
    <w:p w14:paraId="0AB21E6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6、乙方有义务支持甲方的廉政建设，不得向甲方有关人员提供任何经济上或物质上的好处，若发现乙方有违反本条款的，甲方可按供货价款的10%对乙方进行经济处罚，并通报其监管部门。</w:t>
      </w:r>
    </w:p>
    <w:p w14:paraId="33C4B2A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7、乙方必须向甲方提供正式合法的发票，如果乙方提供的发票被有关政府部门确认为虚假发票，乙方必须向甲方按票面金额的两倍支付违约金，并赔偿甲方的一切损失。</w:t>
      </w:r>
    </w:p>
    <w:p w14:paraId="5DF1671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8、乙方按合同约定应支付的违约金低于给甲方造成的损失的，并应就差额部分向甲方进行赔偿。</w:t>
      </w:r>
    </w:p>
    <w:p w14:paraId="6CD5217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9、因不可抗力原因不能正常履行合同的，当事方应当及时以书面或传真方式通知对方，可免除违约责任。</w:t>
      </w:r>
    </w:p>
    <w:p w14:paraId="41363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7E9AC0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第十一条 知识产权</w:t>
      </w:r>
      <w:r>
        <w:rPr>
          <w:rFonts w:hint="eastAsia" w:ascii="宋体" w:hAnsi="宋体" w:cs="宋体"/>
          <w:color w:val="000000" w:themeColor="text1"/>
          <w:szCs w:val="21"/>
          <w:highlight w:val="none"/>
          <w14:textFill>
            <w14:solidFill>
              <w14:schemeClr w14:val="tx1"/>
            </w14:solidFill>
          </w14:textFill>
        </w:rPr>
        <w:t>：乙方为执行本合同而提供的技术资料、软件的使用权归甲方所有。乙方应保证，甲方在使用该货物或货物的任何一部分时，免受第三方提出的侵犯其专利权、商标权或其他知识产权的起诉。如发生此类纠纷，由乙方承担一切责任。</w:t>
      </w:r>
    </w:p>
    <w:p w14:paraId="4635552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A0407B1">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第十二条  </w:t>
      </w:r>
      <w:r>
        <w:rPr>
          <w:rFonts w:hint="eastAsia" w:ascii="宋体" w:hAnsi="宋体" w:cs="宋体"/>
          <w:b/>
          <w:bCs/>
          <w:color w:val="000000" w:themeColor="text1"/>
          <w:szCs w:val="21"/>
          <w:highlight w:val="none"/>
          <w14:textFill>
            <w14:solidFill>
              <w14:schemeClr w14:val="tx1"/>
            </w14:solidFill>
          </w14:textFill>
        </w:rPr>
        <w:t>不可抗力</w:t>
      </w:r>
    </w:p>
    <w:p w14:paraId="2C985BF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于不可抗力致使本合同不能履行或者不能完全履行时，遇到不可抗力事件的一方，应立即书面通知合同相对方，并应在不可抗力事件发生后十五天内，向合同相对方提供相关证明文件。由合同双方按照事件对履行合同影响的程度协商决定是否变更或解除合同。遭受不可抗力的一方未履行上述义务的，不能免除其违约责任。</w:t>
      </w:r>
    </w:p>
    <w:p w14:paraId="13B9146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C660BE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第十三条  合同纠纷处理及争议的解决：</w:t>
      </w:r>
      <w:r>
        <w:rPr>
          <w:rFonts w:hint="eastAsia" w:ascii="宋体" w:hAnsi="宋体" w:cs="宋体"/>
          <w:color w:val="000000" w:themeColor="text1"/>
          <w:szCs w:val="21"/>
          <w:highlight w:val="none"/>
          <w14:textFill>
            <w14:solidFill>
              <w14:schemeClr w14:val="tx1"/>
            </w14:solidFill>
          </w14:textFill>
        </w:rPr>
        <w:t>本合同执行过程中发生纠纷，由甲乙双方共同协商。因货物的质量问题发生争议的，应当邀请国家认可的质量检测机构对货物质量进行鉴定。货物符合标准的，鉴定费由甲方承担；货物不符合质量标准的，鉴定费由乙方承担、并更换有问题商品或部件。因履行本合同引起的或与本合同有关的争议，甲、乙双方应首先通过友好协商解决，如果协商不能解决争议，采取以下第（1）种方式解决争议：</w:t>
      </w:r>
    </w:p>
    <w:p w14:paraId="58E19AC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（1）向甲方所在地有管辖权的地方人民法院提起诉讼；</w:t>
      </w:r>
    </w:p>
    <w:p w14:paraId="35526B5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（2）向南京仲裁委员会按其仲裁规则申请仲裁。</w:t>
      </w:r>
    </w:p>
    <w:p w14:paraId="0771A95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398D796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第十四条  合同的变更和终止：</w:t>
      </w:r>
      <w:r>
        <w:rPr>
          <w:rFonts w:hint="eastAsia" w:ascii="宋体" w:hAnsi="宋体" w:cs="宋体"/>
          <w:color w:val="000000" w:themeColor="text1"/>
          <w:szCs w:val="21"/>
          <w:highlight w:val="none"/>
          <w14:textFill>
            <w14:solidFill>
              <w14:schemeClr w14:val="tx1"/>
            </w14:solidFill>
          </w14:textFill>
        </w:rPr>
        <w:t>除《政府采购法》第49条、第50条第二款规定的情形外，本合同一经签订，甲乙双方不得擅自变更、中止或终止合同。</w:t>
      </w:r>
    </w:p>
    <w:p w14:paraId="0DBD72B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B37975E">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第十五条  </w:t>
      </w:r>
      <w:r>
        <w:rPr>
          <w:rFonts w:hint="eastAsia" w:ascii="宋体" w:hAnsi="宋体" w:cs="宋体"/>
          <w:b/>
          <w:bCs/>
          <w:color w:val="000000" w:themeColor="text1"/>
          <w:szCs w:val="21"/>
          <w:highlight w:val="none"/>
          <w14:textFill>
            <w14:solidFill>
              <w14:schemeClr w14:val="tx1"/>
            </w14:solidFill>
          </w14:textFill>
        </w:rPr>
        <w:t>通知与送达</w:t>
      </w:r>
    </w:p>
    <w:p w14:paraId="5CD62C5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（1）本合同项下所有甲乙双方应当互相通知的事项，非因紧急情形，需采用书面形式。若事态紧急不能采用书面形式通知或者告知的，可以采用口头形式，并于事后补齐相关书面材料。</w:t>
      </w:r>
    </w:p>
    <w:p w14:paraId="309AE06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一方按本合同记载的联系地址、电子邮箱、电话号码等联系方式向对方进行送达通知时，无论对方是否收到均视为已进行合法有效的送达。送达日期为邮件寄出的日期或通知发出之日。如一方联系方式发生变更的，应在变更后五日内书面通知对方，否则，对方按本合同记载的联系方式进行的送法仍为合法有效的送达。</w:t>
      </w:r>
    </w:p>
    <w:p w14:paraId="0734E71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（3）双方在本合同约定的联系地址可作为诉讼/仲裁时向其送达法律文书或通知的地址。</w:t>
      </w:r>
    </w:p>
    <w:p w14:paraId="16F58C6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甲方联系地址：</w:t>
      </w:r>
    </w:p>
    <w:p w14:paraId="140706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乙方联系地址：</w:t>
      </w:r>
    </w:p>
    <w:p w14:paraId="521A52CD">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249B71A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第十六条  合同生效</w:t>
      </w:r>
      <w:r>
        <w:rPr>
          <w:rFonts w:hint="eastAsia" w:ascii="宋体" w:hAnsi="宋体" w:cs="宋体"/>
          <w:color w:val="000000" w:themeColor="text1"/>
          <w:szCs w:val="21"/>
          <w:highlight w:val="none"/>
          <w14:textFill>
            <w14:solidFill>
              <w14:schemeClr w14:val="tx1"/>
            </w14:solidFill>
          </w14:textFill>
        </w:rPr>
        <w:t>：本合同由甲乙双方签字并盖章后生效，本合同应按照中华人民共和国的现行法律进行解释。</w:t>
      </w:r>
    </w:p>
    <w:p w14:paraId="4AF3D5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9AA606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第十七条</w:t>
      </w:r>
      <w:r>
        <w:rPr>
          <w:rFonts w:hint="eastAsia" w:ascii="宋体" w:hAnsi="宋体" w:cs="宋体"/>
          <w:color w:val="000000" w:themeColor="text1"/>
          <w:szCs w:val="21"/>
          <w:highlight w:val="none"/>
          <w14:textFill>
            <w14:solidFill>
              <w14:schemeClr w14:val="tx1"/>
            </w14:solidFill>
          </w14:textFill>
        </w:rPr>
        <w:t xml:space="preserve"> 项目招标采购文件、投标文件以及相关的澄清确认函（如有）本合同不可分割的一部分，与本合同具有同等法律效力。如招标采购文件和投标文件与本合同有矛盾的，以本合同为准；本合同未约定的，则参照招标采购文件和投标文件执行。</w:t>
      </w:r>
    </w:p>
    <w:p w14:paraId="4261398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7CED54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第十八条</w:t>
      </w:r>
      <w:r>
        <w:rPr>
          <w:rFonts w:hint="eastAsia" w:ascii="宋体" w:hAnsi="宋体" w:cs="宋体"/>
          <w:color w:val="000000" w:themeColor="text1"/>
          <w:szCs w:val="21"/>
          <w:highlight w:val="none"/>
          <w14:textFill>
            <w14:solidFill>
              <w14:schemeClr w14:val="tx1"/>
            </w14:solidFill>
          </w14:textFill>
        </w:rPr>
        <w:t xml:space="preserve">  本合同一式肆份，甲方</w:t>
      </w:r>
      <w:r>
        <w:rPr>
          <w:rFonts w:hint="eastAsia" w:ascii="宋体" w:hAnsi="宋体" w:cs="宋体"/>
          <w:bCs/>
          <w:color w:val="000000" w:themeColor="text1"/>
          <w:szCs w:val="21"/>
          <w:highlight w:val="none"/>
          <w14:textFill>
            <w14:solidFill>
              <w14:schemeClr w14:val="tx1"/>
            </w14:solidFill>
          </w14:textFill>
        </w:rPr>
        <w:t>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份，乙方持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w:t>
      </w:r>
    </w:p>
    <w:p w14:paraId="701880A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4703"/>
      </w:tblGrid>
      <w:tr w14:paraId="242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2467" w:type="pct"/>
            <w:noWrap w:val="0"/>
            <w:vAlign w:val="top"/>
          </w:tcPr>
          <w:p w14:paraId="75F872D5">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甲</w:t>
            </w:r>
            <w:r>
              <w:rPr>
                <w:rFonts w:hint="eastAsia" w:ascii="宋体" w:hAnsi="宋体" w:cs="宋体"/>
                <w:b/>
                <w:color w:val="000000" w:themeColor="text1"/>
                <w:szCs w:val="21"/>
                <w:highlight w:val="none"/>
                <w14:textFill>
                  <w14:solidFill>
                    <w14:schemeClr w14:val="tx1"/>
                  </w14:solidFill>
                </w14:textFill>
              </w:rPr>
              <w:t xml:space="preserve">方：     </w:t>
            </w:r>
            <w:r>
              <w:rPr>
                <w:rFonts w:hint="eastAsia" w:ascii="宋体" w:hAnsi="宋体" w:cs="宋体"/>
                <w:b/>
                <w:color w:val="000000" w:themeColor="text1"/>
                <w:szCs w:val="21"/>
                <w:highlight w:val="none"/>
                <w14:textFill>
                  <w14:solidFill>
                    <w14:schemeClr w14:val="tx1"/>
                  </w14:solidFill>
                </w14:textFill>
              </w:rPr>
              <w:tab/>
            </w:r>
            <w:r>
              <w:rPr>
                <w:rFonts w:hint="eastAsia" w:ascii="宋体" w:hAnsi="宋体" w:cs="宋体"/>
                <w:b/>
                <w:color w:val="000000" w:themeColor="text1"/>
                <w:szCs w:val="21"/>
                <w:highlight w:val="none"/>
                <w14:textFill>
                  <w14:solidFill>
                    <w14:schemeClr w14:val="tx1"/>
                  </w14:solidFill>
                </w14:textFill>
              </w:rPr>
              <w:tab/>
            </w:r>
          </w:p>
          <w:p w14:paraId="6A0EB2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　</w:t>
            </w:r>
          </w:p>
          <w:p w14:paraId="50FEDD9E">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63832AC8">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351FBBE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1E058E07">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01EE723D">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41384AAB">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7313F66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right"/>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c>
          <w:tcPr>
            <w:tcW w:w="2532" w:type="pct"/>
            <w:noWrap w:val="0"/>
            <w:vAlign w:val="top"/>
          </w:tcPr>
          <w:p w14:paraId="6FA0B2E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p>
          <w:p w14:paraId="3153F3DF">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p>
          <w:p w14:paraId="5C02DC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1161E0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2675C4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p>
          <w:p w14:paraId="542729D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户    名：</w:t>
            </w:r>
          </w:p>
          <w:p w14:paraId="2752326D">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开户银行： </w:t>
            </w:r>
          </w:p>
          <w:p w14:paraId="4A473FA7">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帐    号：</w:t>
            </w:r>
          </w:p>
          <w:p w14:paraId="144BB0F2">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r>
    </w:tbl>
    <w:p w14:paraId="79E15920">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50DB026C">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附件：</w:t>
      </w:r>
    </w:p>
    <w:p w14:paraId="61A3830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1、产品清单（如有）</w:t>
      </w:r>
    </w:p>
    <w:p w14:paraId="2A1A0ED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4C7E10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7ABFBEB1">
      <w:pPr>
        <w:rPr>
          <w:rFonts w:hint="eastAsia"/>
          <w:color w:val="000000" w:themeColor="text1"/>
          <w:highlight w:val="none"/>
          <w14:textFill>
            <w14:solidFill>
              <w14:schemeClr w14:val="tx1"/>
            </w14:solidFill>
          </w14:textFill>
        </w:rPr>
      </w:pPr>
      <w:r>
        <w:rPr>
          <w:rFonts w:ascii="宋体" w:hAnsi="宋体" w:eastAsia="宋体" w:cs="宋体"/>
          <w:color w:val="000000" w:themeColor="text1"/>
          <w:kern w:val="1"/>
          <w:sz w:val="21"/>
          <w:szCs w:val="21"/>
          <w:highlight w:val="none"/>
          <w:lang w:val="en-US" w:eastAsia="zh-CN" w:bidi="ar-SA"/>
          <w14:textFill>
            <w14:solidFill>
              <w14:schemeClr w14:val="tx1"/>
            </w14:solidFill>
          </w14:textFill>
        </w:rPr>
        <w:t>2、</w:t>
      </w:r>
      <w:r>
        <w:rPr>
          <w:rFonts w:hint="eastAsia" w:cs="宋体"/>
          <w:color w:val="000000" w:themeColor="text1"/>
          <w:highlight w:val="none"/>
          <w14:textFill>
            <w14:solidFill>
              <w14:schemeClr w14:val="tx1"/>
            </w14:solidFill>
          </w14:textFill>
        </w:rPr>
        <w:t>乙方售后服务承诺</w:t>
      </w:r>
    </w:p>
    <w:p w14:paraId="0C16B37D">
      <w:pPr>
        <w:rPr>
          <w:rFonts w:hint="eastAsia"/>
          <w:color w:val="000000" w:themeColor="text1"/>
          <w:highlight w:val="none"/>
          <w14:textFill>
            <w14:solidFill>
              <w14:schemeClr w14:val="tx1"/>
            </w14:solidFill>
          </w14:textFill>
        </w:rPr>
      </w:pPr>
    </w:p>
    <w:p w14:paraId="25134ECC">
      <w:pPr>
        <w:rPr>
          <w:rFonts w:hint="eastAsia"/>
          <w:color w:val="000000" w:themeColor="text1"/>
          <w:highlight w:val="none"/>
          <w14:textFill>
            <w14:solidFill>
              <w14:schemeClr w14:val="tx1"/>
            </w14:solidFill>
          </w14:textFill>
        </w:rPr>
      </w:pPr>
    </w:p>
    <w:p w14:paraId="0FDE0C8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9187379">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第六章  投标文件格式及附件</w:t>
      </w:r>
    </w:p>
    <w:p w14:paraId="12C1A1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p>
    <w:p w14:paraId="5DB038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1.本部分内容仅提供格式参考。</w:t>
      </w:r>
    </w:p>
    <w:p w14:paraId="17717B0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2.所附表格中要求回答的全部问题和信息都必须正面回答。</w:t>
      </w:r>
    </w:p>
    <w:p w14:paraId="699915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F22373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投标文件封面格式：</w:t>
      </w:r>
    </w:p>
    <w:p w14:paraId="7ED8B4E2">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宋体"/>
          <w:color w:val="000000" w:themeColor="text1"/>
          <w:sz w:val="44"/>
          <w:szCs w:val="44"/>
          <w:highlight w:val="none"/>
          <w:lang w:val="en-US" w:eastAsia="zh-CN"/>
          <w14:textFill>
            <w14:solidFill>
              <w14:schemeClr w14:val="tx1"/>
            </w14:solidFill>
          </w14:textFill>
        </w:rPr>
      </w:pPr>
      <w:r>
        <w:rPr>
          <w:rFonts w:hint="eastAsia"/>
          <w:color w:val="000000" w:themeColor="text1"/>
          <w:sz w:val="44"/>
          <w:szCs w:val="44"/>
          <w:highlight w:val="none"/>
          <w:lang w:val="en-US" w:eastAsia="zh-CN"/>
          <w14:textFill>
            <w14:solidFill>
              <w14:schemeClr w14:val="tx1"/>
            </w14:solidFill>
          </w14:textFill>
        </w:rPr>
        <w:t>正本/副本</w:t>
      </w:r>
    </w:p>
    <w:p w14:paraId="1E69815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7E4A39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608030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投  标  文  件</w:t>
      </w:r>
    </w:p>
    <w:p w14:paraId="0383F6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39A0D8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70474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1D5D39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91500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E0994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项目编号：</w:t>
      </w:r>
      <w:r>
        <w:rPr>
          <w:rFonts w:hint="eastAsia"/>
          <w:b/>
          <w:bCs/>
          <w:color w:val="000000" w:themeColor="text1"/>
          <w:sz w:val="44"/>
          <w:szCs w:val="44"/>
          <w:highlight w:val="none"/>
          <w:lang w:val="en-US" w:eastAsia="zh-CN"/>
          <w14:textFill>
            <w14:solidFill>
              <w14:schemeClr w14:val="tx1"/>
            </w14:solidFill>
          </w14:textFill>
        </w:rPr>
        <w:t>_______________</w:t>
      </w:r>
    </w:p>
    <w:p w14:paraId="28CE44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项目名称：</w:t>
      </w:r>
      <w:r>
        <w:rPr>
          <w:rFonts w:hint="eastAsia"/>
          <w:b/>
          <w:bCs/>
          <w:color w:val="000000" w:themeColor="text1"/>
          <w:sz w:val="44"/>
          <w:szCs w:val="44"/>
          <w:highlight w:val="none"/>
          <w:lang w:val="en-US" w:eastAsia="zh-CN"/>
          <w14:textFill>
            <w14:solidFill>
              <w14:schemeClr w14:val="tx1"/>
            </w14:solidFill>
          </w14:textFill>
        </w:rPr>
        <w:t>_______________</w:t>
      </w:r>
    </w:p>
    <w:p w14:paraId="31D795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t>采 购 包：_______________</w:t>
      </w:r>
    </w:p>
    <w:p w14:paraId="5D82C3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51EBF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264472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DEAF7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1FEE4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64E5B2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63FC1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0D4806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投标人名称：</w:t>
      </w:r>
      <w:r>
        <w:rPr>
          <w:rFonts w:hint="eastAsia"/>
          <w:b/>
          <w:bCs/>
          <w:color w:val="000000" w:themeColor="text1"/>
          <w:sz w:val="44"/>
          <w:szCs w:val="44"/>
          <w:highlight w:val="none"/>
          <w:u w:val="single"/>
          <w:lang w:val="en-US" w:eastAsia="zh-CN"/>
          <w14:textFill>
            <w14:solidFill>
              <w14:schemeClr w14:val="tx1"/>
            </w14:solidFill>
          </w14:textFill>
        </w:rPr>
        <w:t>（加盖电子公章）</w:t>
      </w:r>
    </w:p>
    <w:p w14:paraId="292763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日      期：</w:t>
      </w:r>
      <w:r>
        <w:rPr>
          <w:rFonts w:hint="eastAsia"/>
          <w:b/>
          <w:bCs/>
          <w:color w:val="000000" w:themeColor="text1"/>
          <w:sz w:val="44"/>
          <w:szCs w:val="44"/>
          <w:highlight w:val="none"/>
          <w:lang w:val="en-US" w:eastAsia="zh-CN"/>
          <w14:textFill>
            <w14:solidFill>
              <w14:schemeClr w14:val="tx1"/>
            </w14:solidFill>
          </w14:textFill>
        </w:rPr>
        <w:t>________________</w:t>
      </w:r>
    </w:p>
    <w:p w14:paraId="298665E6">
      <w:pPr>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br w:type="page"/>
      </w:r>
    </w:p>
    <w:p w14:paraId="71C6DA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投标文件目录</w:t>
      </w:r>
    </w:p>
    <w:p w14:paraId="226D5D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（注：投标人根据附件编制投标文件并制作目录）</w:t>
      </w:r>
    </w:p>
    <w:p w14:paraId="68FFECE8">
      <w:pPr>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br w:type="page"/>
      </w:r>
    </w:p>
    <w:p w14:paraId="19343D7F">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目录一、</w:t>
      </w:r>
      <w:r>
        <w:rPr>
          <w:rFonts w:hint="eastAsia"/>
          <w:color w:val="000000" w:themeColor="text1"/>
          <w:highlight w:val="none"/>
          <w:lang w:val="en-US" w:eastAsia="zh-CN"/>
          <w14:textFill>
            <w14:solidFill>
              <w14:schemeClr w14:val="tx1"/>
            </w14:solidFill>
          </w14:textFill>
        </w:rPr>
        <w:t>开标一览表</w:t>
      </w:r>
    </w:p>
    <w:p w14:paraId="2E5BC049">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开标一览表（总价）</w:t>
      </w:r>
    </w:p>
    <w:p w14:paraId="6CB7ACE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3C632B4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5216AB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p>
    <w:p w14:paraId="0B389DF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6EAE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0EF5C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投标项目名称</w:t>
            </w:r>
          </w:p>
        </w:tc>
        <w:tc>
          <w:tcPr>
            <w:tcW w:w="4644" w:type="dxa"/>
            <w:noWrap w:val="0"/>
            <w:vAlign w:val="center"/>
          </w:tcPr>
          <w:p w14:paraId="727B5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总价（小写）</w:t>
            </w:r>
          </w:p>
        </w:tc>
      </w:tr>
      <w:tr w14:paraId="5C43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1973F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644" w:type="dxa"/>
            <w:noWrap w:val="0"/>
            <w:vAlign w:val="center"/>
          </w:tcPr>
          <w:p w14:paraId="6E408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u w:val="single"/>
                <w:vertAlign w:val="baseline"/>
                <w:lang w:val="en-US" w:eastAsia="zh-CN"/>
                <w14:textFill>
                  <w14:solidFill>
                    <w14:schemeClr w14:val="tx1"/>
                  </w14:solidFill>
                </w14:textFill>
              </w:rPr>
              <w:t xml:space="preserve">          </w:t>
            </w:r>
            <w:r>
              <w:rPr>
                <w:rFonts w:hint="eastAsia"/>
                <w:color w:val="000000" w:themeColor="text1"/>
                <w:highlight w:val="none"/>
                <w:vertAlign w:val="baseline"/>
                <w:lang w:val="en-US" w:eastAsia="zh-CN"/>
                <w14:textFill>
                  <w14:solidFill>
                    <w14:schemeClr w14:val="tx1"/>
                  </w14:solidFill>
                </w14:textFill>
              </w:rPr>
              <w:t>元</w:t>
            </w:r>
          </w:p>
        </w:tc>
      </w:tr>
    </w:tbl>
    <w:p w14:paraId="5AEC7AAA">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年   月    日</w:t>
      </w:r>
    </w:p>
    <w:p w14:paraId="2768C70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E88CEE1">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、投标分项报价表</w:t>
      </w:r>
    </w:p>
    <w:p w14:paraId="7695ED60">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投标分项报价表（货物）</w:t>
      </w:r>
    </w:p>
    <w:p w14:paraId="52925C7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0C5B66F3">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val="en-US" w:eastAsia="zh-CN"/>
          <w14:textFill>
            <w14:solidFill>
              <w14:schemeClr w14:val="tx1"/>
            </w14:solidFill>
          </w14:textFill>
        </w:rPr>
        <w:t xml:space="preserve">                      分包号：</w:t>
      </w:r>
    </w:p>
    <w:tbl>
      <w:tblPr>
        <w:tblStyle w:val="1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696"/>
        <w:gridCol w:w="641"/>
        <w:gridCol w:w="836"/>
        <w:gridCol w:w="875"/>
        <w:gridCol w:w="989"/>
        <w:gridCol w:w="1246"/>
        <w:gridCol w:w="830"/>
        <w:gridCol w:w="906"/>
        <w:gridCol w:w="926"/>
        <w:gridCol w:w="880"/>
      </w:tblGrid>
      <w:tr w14:paraId="7903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245" w:type="pct"/>
            <w:noWrap w:val="0"/>
            <w:vAlign w:val="top"/>
          </w:tcPr>
          <w:p w14:paraId="69089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序号</w:t>
            </w:r>
          </w:p>
        </w:tc>
        <w:tc>
          <w:tcPr>
            <w:tcW w:w="374" w:type="pct"/>
            <w:noWrap w:val="0"/>
            <w:vAlign w:val="center"/>
          </w:tcPr>
          <w:p w14:paraId="25E01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46" w:type="pct"/>
            <w:noWrap w:val="0"/>
            <w:vAlign w:val="center"/>
          </w:tcPr>
          <w:p w14:paraId="75561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451" w:type="pct"/>
            <w:noWrap w:val="0"/>
            <w:vAlign w:val="center"/>
          </w:tcPr>
          <w:p w14:paraId="7A134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472" w:type="pct"/>
            <w:noWrap w:val="0"/>
            <w:vAlign w:val="center"/>
          </w:tcPr>
          <w:p w14:paraId="56DDF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533" w:type="pct"/>
            <w:noWrap w:val="0"/>
            <w:vAlign w:val="center"/>
          </w:tcPr>
          <w:p w14:paraId="66F19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p>
        </w:tc>
        <w:tc>
          <w:tcPr>
            <w:tcW w:w="671" w:type="pct"/>
            <w:noWrap w:val="0"/>
            <w:vAlign w:val="center"/>
          </w:tcPr>
          <w:p w14:paraId="181FA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w:t>
            </w:r>
          </w:p>
        </w:tc>
        <w:tc>
          <w:tcPr>
            <w:tcW w:w="447" w:type="pct"/>
            <w:noWrap w:val="0"/>
            <w:vAlign w:val="center"/>
          </w:tcPr>
          <w:p w14:paraId="7D615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w:t>
            </w:r>
          </w:p>
        </w:tc>
        <w:tc>
          <w:tcPr>
            <w:tcW w:w="488" w:type="pct"/>
            <w:noWrap w:val="0"/>
            <w:vAlign w:val="center"/>
          </w:tcPr>
          <w:p w14:paraId="32395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8</w:t>
            </w:r>
          </w:p>
        </w:tc>
        <w:tc>
          <w:tcPr>
            <w:tcW w:w="495" w:type="pct"/>
            <w:noWrap w:val="0"/>
            <w:vAlign w:val="center"/>
          </w:tcPr>
          <w:p w14:paraId="59B36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9</w:t>
            </w:r>
          </w:p>
        </w:tc>
        <w:tc>
          <w:tcPr>
            <w:tcW w:w="473" w:type="pct"/>
            <w:noWrap w:val="0"/>
            <w:vAlign w:val="center"/>
          </w:tcPr>
          <w:p w14:paraId="654DC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10</w:t>
            </w:r>
          </w:p>
        </w:tc>
      </w:tr>
      <w:tr w14:paraId="481D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245" w:type="pct"/>
            <w:noWrap w:val="0"/>
            <w:vAlign w:val="center"/>
          </w:tcPr>
          <w:p w14:paraId="35540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74" w:type="pct"/>
            <w:noWrap w:val="0"/>
            <w:vAlign w:val="center"/>
          </w:tcPr>
          <w:p w14:paraId="5AA8E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产品</w:t>
            </w:r>
          </w:p>
          <w:p w14:paraId="6338F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名称</w:t>
            </w:r>
          </w:p>
        </w:tc>
        <w:tc>
          <w:tcPr>
            <w:tcW w:w="346" w:type="pct"/>
            <w:noWrap w:val="0"/>
            <w:vAlign w:val="center"/>
          </w:tcPr>
          <w:p w14:paraId="5F551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品牌</w:t>
            </w:r>
          </w:p>
        </w:tc>
        <w:tc>
          <w:tcPr>
            <w:tcW w:w="451" w:type="pct"/>
            <w:noWrap w:val="0"/>
            <w:vAlign w:val="center"/>
          </w:tcPr>
          <w:p w14:paraId="4CF1C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规格</w:t>
            </w:r>
          </w:p>
          <w:p w14:paraId="60990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型号</w:t>
            </w:r>
          </w:p>
        </w:tc>
        <w:tc>
          <w:tcPr>
            <w:tcW w:w="472" w:type="pct"/>
            <w:noWrap w:val="0"/>
            <w:vAlign w:val="center"/>
          </w:tcPr>
          <w:p w14:paraId="73D20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制造商名称</w:t>
            </w:r>
          </w:p>
        </w:tc>
        <w:tc>
          <w:tcPr>
            <w:tcW w:w="533" w:type="pct"/>
            <w:noWrap w:val="0"/>
            <w:vAlign w:val="center"/>
          </w:tcPr>
          <w:p w14:paraId="1E21A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产地</w:t>
            </w:r>
          </w:p>
        </w:tc>
        <w:tc>
          <w:tcPr>
            <w:tcW w:w="671" w:type="pct"/>
            <w:noWrap w:val="0"/>
            <w:vAlign w:val="center"/>
          </w:tcPr>
          <w:p w14:paraId="02A07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交付期</w:t>
            </w:r>
          </w:p>
        </w:tc>
        <w:tc>
          <w:tcPr>
            <w:tcW w:w="447" w:type="pct"/>
            <w:noWrap w:val="0"/>
            <w:vAlign w:val="center"/>
          </w:tcPr>
          <w:p w14:paraId="5D2E8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数量</w:t>
            </w:r>
          </w:p>
        </w:tc>
        <w:tc>
          <w:tcPr>
            <w:tcW w:w="488" w:type="pct"/>
            <w:noWrap w:val="0"/>
            <w:vAlign w:val="center"/>
          </w:tcPr>
          <w:p w14:paraId="18C2C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单位</w:t>
            </w:r>
          </w:p>
        </w:tc>
        <w:tc>
          <w:tcPr>
            <w:tcW w:w="495" w:type="pct"/>
            <w:noWrap w:val="0"/>
            <w:vAlign w:val="center"/>
          </w:tcPr>
          <w:p w14:paraId="55723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02F13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单价</w:t>
            </w:r>
          </w:p>
        </w:tc>
        <w:tc>
          <w:tcPr>
            <w:tcW w:w="473" w:type="pct"/>
            <w:noWrap w:val="0"/>
            <w:vAlign w:val="center"/>
          </w:tcPr>
          <w:p w14:paraId="0CF1B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12FE8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总价</w:t>
            </w:r>
          </w:p>
        </w:tc>
      </w:tr>
      <w:tr w14:paraId="2AD4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245" w:type="pct"/>
            <w:noWrap w:val="0"/>
            <w:vAlign w:val="center"/>
          </w:tcPr>
          <w:p w14:paraId="29FEA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374" w:type="pct"/>
            <w:noWrap w:val="0"/>
            <w:vAlign w:val="center"/>
          </w:tcPr>
          <w:p w14:paraId="1726D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2828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1E17C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68018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962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450F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合同签订后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tc>
        <w:tc>
          <w:tcPr>
            <w:tcW w:w="447" w:type="pct"/>
            <w:noWrap w:val="0"/>
            <w:vAlign w:val="center"/>
          </w:tcPr>
          <w:p w14:paraId="0E5B7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45AFE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8652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4F5F6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7170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245" w:type="pct"/>
            <w:noWrap w:val="0"/>
            <w:vAlign w:val="center"/>
          </w:tcPr>
          <w:p w14:paraId="1D25C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374" w:type="pct"/>
            <w:noWrap w:val="0"/>
            <w:vAlign w:val="center"/>
          </w:tcPr>
          <w:p w14:paraId="3F947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3506C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75D51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5E9E5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D4D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5A80C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73456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BF30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43725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3E683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76DB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245" w:type="pct"/>
            <w:noWrap w:val="0"/>
            <w:vAlign w:val="center"/>
          </w:tcPr>
          <w:p w14:paraId="08581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374" w:type="pct"/>
            <w:noWrap w:val="0"/>
            <w:vAlign w:val="center"/>
          </w:tcPr>
          <w:p w14:paraId="7ED7B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4B3FA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2A7A9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C10B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09330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49339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5F48E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C928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DAD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0B685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AFD5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245" w:type="pct"/>
            <w:noWrap w:val="0"/>
            <w:vAlign w:val="center"/>
          </w:tcPr>
          <w:p w14:paraId="6B385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74" w:type="pct"/>
            <w:noWrap w:val="0"/>
            <w:vAlign w:val="center"/>
          </w:tcPr>
          <w:p w14:paraId="3F9C0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46" w:type="pct"/>
            <w:noWrap w:val="0"/>
            <w:vAlign w:val="center"/>
          </w:tcPr>
          <w:p w14:paraId="411DE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3D343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D58C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30DE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DE02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1321B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3FC73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EB8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15C04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14A49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4526" w:type="pct"/>
            <w:gridSpan w:val="10"/>
            <w:noWrap w:val="0"/>
            <w:vAlign w:val="top"/>
          </w:tcPr>
          <w:p w14:paraId="7A269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投标总报价（人民币：元）</w:t>
            </w:r>
          </w:p>
        </w:tc>
        <w:tc>
          <w:tcPr>
            <w:tcW w:w="473" w:type="pct"/>
            <w:noWrap w:val="0"/>
            <w:vAlign w:val="top"/>
          </w:tcPr>
          <w:p w14:paraId="5DF1C8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p>
        </w:tc>
      </w:tr>
      <w:tr w14:paraId="1A200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5000" w:type="pct"/>
            <w:gridSpan w:val="11"/>
            <w:noWrap w:val="0"/>
            <w:vAlign w:val="top"/>
          </w:tcPr>
          <w:p w14:paraId="58480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中提供的符合本国产品标准的产品成本之和占该</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提供的全部产品成本之和的比例为</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tc>
      </w:tr>
    </w:tbl>
    <w:p w14:paraId="0201686D">
      <w:pPr>
        <w:bidi w:val="0"/>
        <w:rPr>
          <w:rFonts w:hint="eastAsia"/>
          <w:color w:val="000000" w:themeColor="text1"/>
          <w:highlight w:val="none"/>
          <w:lang w:val="en-US" w:eastAsia="zh-CN"/>
          <w14:textFill>
            <w14:solidFill>
              <w14:schemeClr w14:val="tx1"/>
            </w14:solidFill>
          </w14:textFill>
        </w:rPr>
      </w:pPr>
    </w:p>
    <w:p w14:paraId="0F08E26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6101AF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p w14:paraId="483F9C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采用总承包方式，“投标总报价”应包括所投货物（包含与货物相关的服务）费用、安装调试费、测试验收费、培训费、运行维护费用、税金、国际（如果有）国内运输保险、报关清关（如果有）、开证（如果有）、办理全套免税手续费用（如果有）及其他有关的为完成本项目发生的所有费用，招标文件中另有规定的除外。</w:t>
      </w:r>
    </w:p>
    <w:p w14:paraId="0EC4B1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2.“投标分项报价表”中“投标总报价”数额应当与“开标一览表”中“投标总报价”数额一致。</w:t>
      </w:r>
    </w:p>
    <w:p w14:paraId="23E7CD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3.投标人需认真填写本报价表，尤其注意规格型号的准确填写。</w:t>
      </w:r>
    </w:p>
    <w:p w14:paraId="288FAB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4.项目经办人可以根据项目实际需要对表格结构进行调整。</w:t>
      </w:r>
    </w:p>
    <w:p w14:paraId="7274B40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5.本项目中含有多种产品，供应商未填写本项目中提供的符合本国产品标准的产品成本之和占该采购包提供的全部产品成本之和的比例数值的，或比例数值未达到80%的，将不享受本国产品价格评审优惠。</w:t>
      </w:r>
    </w:p>
    <w:p w14:paraId="7AE031C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A5226CD">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目录三、投标函</w:t>
      </w:r>
    </w:p>
    <w:p w14:paraId="6F24CAE5">
      <w:pPr>
        <w:bidi w:val="0"/>
        <w:ind w:left="0" w:leftChars="0" w:firstLine="0" w:firstLineChars="0"/>
        <w:jc w:val="center"/>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投标函</w:t>
      </w:r>
    </w:p>
    <w:p w14:paraId="56BCFD0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lang w:eastAsia="zh-CN"/>
          <w14:textFill>
            <w14:solidFill>
              <w14:schemeClr w14:val="tx1"/>
            </w14:solidFill>
          </w14:textFill>
        </w:rPr>
        <w:t>江苏经贸职业技术学院</w:t>
      </w:r>
    </w:p>
    <w:p w14:paraId="4257D1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根据贵方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）投标邀请，正式授权下述</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（签字人姓名、职务）代表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（投标人名称），提交投标文件。</w:t>
      </w:r>
    </w:p>
    <w:p w14:paraId="5C82F3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据此函，签字人兹宣布声明和承诺如下：</w:t>
      </w:r>
    </w:p>
    <w:p w14:paraId="3A95C8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1.我公司的资格条件符合政府采购法和本次招标要求，我公司同意并向贵方提供了与投标有关的所有证据和资料。</w:t>
      </w:r>
    </w:p>
    <w:p w14:paraId="561361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2.我公司已详细审阅全部招标文件及其有效补充文件，放弃对招标文件任何误解的权利</w:t>
      </w:r>
      <w:r>
        <w:rPr>
          <w:rFonts w:hint="eastAsia"/>
          <w:color w:val="000000" w:themeColor="text1"/>
          <w:highlight w:val="none"/>
          <w:lang w:eastAsia="zh-CN"/>
          <w14:textFill>
            <w14:solidFill>
              <w14:schemeClr w14:val="tx1"/>
            </w14:solidFill>
          </w14:textFill>
        </w:rPr>
        <w:t>，在</w:t>
      </w:r>
      <w:r>
        <w:rPr>
          <w:rFonts w:hint="eastAsia"/>
          <w:color w:val="000000" w:themeColor="text1"/>
          <w:highlight w:val="none"/>
          <w14:textFill>
            <w14:solidFill>
              <w14:schemeClr w14:val="tx1"/>
            </w14:solidFill>
          </w14:textFill>
        </w:rPr>
        <w:t>提交投标文件后，不对招标文件本身提出质疑。否则，属于不诚信和故意扰乱政府采购活动行为，我们将无条件接受处罚。</w:t>
      </w:r>
    </w:p>
    <w:p w14:paraId="49052717">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.我公司同意从规定的开标日期起遵循本投标文件，并在规定的投标有效期期满之前均具有约束力。</w:t>
      </w:r>
    </w:p>
    <w:p w14:paraId="0D20440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.一旦我公司中标，将根据招标文件的规定严格履行合同，并保证</w:t>
      </w:r>
      <w:r>
        <w:rPr>
          <w:rFonts w:hint="eastAsia"/>
          <w:color w:val="000000" w:themeColor="text1"/>
          <w:highlight w:val="none"/>
          <w:lang w:val="en-US" w:eastAsia="zh-CN"/>
          <w14:textFill>
            <w14:solidFill>
              <w14:schemeClr w14:val="tx1"/>
            </w14:solidFill>
          </w14:textFill>
        </w:rPr>
        <w:t>在合同履行期内完成本项目所述内容</w:t>
      </w:r>
      <w:r>
        <w:rPr>
          <w:rFonts w:hint="eastAsia"/>
          <w:color w:val="000000" w:themeColor="text1"/>
          <w:highlight w:val="none"/>
          <w14:textFill>
            <w14:solidFill>
              <w14:schemeClr w14:val="tx1"/>
            </w14:solidFill>
          </w14:textFill>
        </w:rPr>
        <w:t>。</w:t>
      </w:r>
    </w:p>
    <w:p w14:paraId="3F68BD8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.我公司决不提供虚假材料谋取中标、决不采取不正当手段诋毁、排挤其他投标人、决不与采购人、</w:t>
      </w:r>
      <w:r>
        <w:rPr>
          <w:rFonts w:hint="eastAsia"/>
          <w:color w:val="000000" w:themeColor="text1"/>
          <w:highlight w:val="none"/>
          <w:lang w:eastAsia="zh-CN"/>
          <w14:textFill>
            <w14:solidFill>
              <w14:schemeClr w14:val="tx1"/>
            </w14:solidFill>
          </w14:textFill>
        </w:rPr>
        <w:t>其他</w:t>
      </w:r>
      <w:r>
        <w:rPr>
          <w:rFonts w:hint="eastAsia"/>
          <w:color w:val="000000" w:themeColor="text1"/>
          <w:highlight w:val="none"/>
          <w14:textFill>
            <w14:solidFill>
              <w14:schemeClr w14:val="tx1"/>
            </w14:solidFill>
          </w14:textFill>
        </w:rPr>
        <w:t>投标人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4F8C792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投标有关的正式联系方式为：</w:t>
      </w:r>
    </w:p>
    <w:p w14:paraId="377656D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47CBB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固定电话：</w:t>
      </w:r>
    </w:p>
    <w:p w14:paraId="16A5E8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p>
    <w:p w14:paraId="5873E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26F80B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3ED0C4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投标人授权代表姓名（签字）：</w:t>
      </w:r>
    </w:p>
    <w:p w14:paraId="10AB8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430767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    年   月   日</w:t>
      </w:r>
    </w:p>
    <w:p w14:paraId="58B763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24B11E6A">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、法定代表人身份证明格式或法定代表人授权书格式</w:t>
      </w:r>
    </w:p>
    <w:p w14:paraId="171266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法定代表人身份证明（无授权委托的</w:t>
      </w:r>
      <w:r>
        <w:rPr>
          <w:rFonts w:hint="eastAsia"/>
          <w:b/>
          <w:bCs/>
          <w:color w:val="000000" w:themeColor="text1"/>
          <w:highlight w:val="none"/>
          <w:lang w:val="en-US" w:eastAsia="zh-CN"/>
          <w14:textFill>
            <w14:solidFill>
              <w14:schemeClr w14:val="tx1"/>
            </w14:solidFill>
          </w14:textFill>
        </w:rPr>
        <w:t>须</w:t>
      </w:r>
      <w:r>
        <w:rPr>
          <w:rFonts w:hint="eastAsia"/>
          <w:b/>
          <w:bCs/>
          <w:color w:val="000000" w:themeColor="text1"/>
          <w:highlight w:val="none"/>
          <w14:textFill>
            <w14:solidFill>
              <w14:schemeClr w14:val="tx1"/>
            </w14:solidFill>
          </w14:textFill>
        </w:rPr>
        <w:t>提供）</w:t>
      </w:r>
    </w:p>
    <w:p w14:paraId="4164AD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w:t>
      </w:r>
    </w:p>
    <w:p w14:paraId="7A4D6F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56757E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姓名：          性别：        年龄：           职务：            </w:t>
      </w:r>
    </w:p>
    <w:p w14:paraId="5EAFC2C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身份证号码：</w:t>
      </w:r>
    </w:p>
    <w:p w14:paraId="36534E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（投标人名称）的法定代表人。</w:t>
      </w:r>
    </w:p>
    <w:p w14:paraId="3B6003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特此证明。</w:t>
      </w:r>
    </w:p>
    <w:p w14:paraId="72761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投标人：（盖章）</w:t>
      </w:r>
    </w:p>
    <w:p w14:paraId="1A9A72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法定代表人：（签字或盖章）</w:t>
      </w:r>
    </w:p>
    <w:p w14:paraId="4714AA84">
      <w:pPr>
        <w:bidi w:val="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854AC2A">
      <w:pPr>
        <w:bidi w:val="0"/>
        <w:rPr>
          <w:rFonts w:hint="eastAsia"/>
          <w:color w:val="000000" w:themeColor="text1"/>
          <w:highlight w:val="none"/>
          <w14:textFill>
            <w14:solidFill>
              <w14:schemeClr w14:val="tx1"/>
            </w14:solidFill>
          </w14:textFill>
        </w:rPr>
      </w:pPr>
    </w:p>
    <w:p w14:paraId="374AFC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附：法定代表人身份证复印件</w:t>
      </w:r>
    </w:p>
    <w:p w14:paraId="75A41E6A">
      <w:pPr>
        <w:bidi w:val="0"/>
        <w:rPr>
          <w:rFonts w:hint="eastAsia"/>
          <w:color w:val="000000" w:themeColor="text1"/>
          <w:highlight w:val="none"/>
          <w14:textFill>
            <w14:solidFill>
              <w14:schemeClr w14:val="tx1"/>
            </w14:solidFill>
          </w14:textFill>
        </w:rPr>
      </w:pPr>
    </w:p>
    <w:p w14:paraId="48697CF9">
      <w:pPr>
        <w:bidi w:val="0"/>
        <w:rPr>
          <w:rFonts w:hint="eastAsia"/>
          <w:color w:val="000000" w:themeColor="text1"/>
          <w:highlight w:val="none"/>
          <w14:textFill>
            <w14:solidFill>
              <w14:schemeClr w14:val="tx1"/>
            </w14:solidFill>
          </w14:textFill>
        </w:rPr>
      </w:pPr>
    </w:p>
    <w:p w14:paraId="58038C8C">
      <w:pPr>
        <w:bidi w:val="0"/>
        <w:rPr>
          <w:rFonts w:hint="eastAsia"/>
          <w:color w:val="000000" w:themeColor="text1"/>
          <w:highlight w:val="none"/>
          <w14:textFill>
            <w14:solidFill>
              <w14:schemeClr w14:val="tx1"/>
            </w14:solidFill>
          </w14:textFill>
        </w:rPr>
      </w:pPr>
    </w:p>
    <w:p w14:paraId="6B67F2FF">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br w:type="page"/>
      </w:r>
    </w:p>
    <w:p w14:paraId="2A37DF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法定代表人授权委托书</w:t>
      </w:r>
    </w:p>
    <w:p w14:paraId="2C4830CC">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135B12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本授权书声明：注册于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（投标人住址）的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（投标人名称）法定代表人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（法定代表人姓名、职务）代表我公司授权在下面签字的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（投标人代表姓名、职务）为我公司的合法代理人，就贵方组织的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）投标，以我公司名义处理一切与之有关的事务。</w:t>
      </w:r>
    </w:p>
    <w:p w14:paraId="0409DC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日签字生效，特此声明。</w:t>
      </w:r>
    </w:p>
    <w:p w14:paraId="328E05E7">
      <w:pPr>
        <w:bidi w:val="0"/>
        <w:rPr>
          <w:rFonts w:hint="eastAsia"/>
          <w:color w:val="000000" w:themeColor="text1"/>
          <w:highlight w:val="none"/>
          <w14:textFill>
            <w14:solidFill>
              <w14:schemeClr w14:val="tx1"/>
            </w14:solidFill>
          </w14:textFill>
        </w:rPr>
      </w:pPr>
    </w:p>
    <w:p w14:paraId="6717AB9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FBBEA5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A3CD7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739B2A7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6A166C1D">
      <w:pPr>
        <w:bidi w:val="0"/>
        <w:rPr>
          <w:rFonts w:hint="eastAsia"/>
          <w:color w:val="000000" w:themeColor="text1"/>
          <w:highlight w:val="none"/>
          <w14:textFill>
            <w14:solidFill>
              <w14:schemeClr w14:val="tx1"/>
            </w14:solidFill>
          </w14:textFill>
        </w:rPr>
      </w:pPr>
    </w:p>
    <w:p w14:paraId="293415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法定代表人身份证复印件：</w:t>
      </w:r>
    </w:p>
    <w:p w14:paraId="0AC52BF6">
      <w:pPr>
        <w:bidi w:val="0"/>
        <w:rPr>
          <w:rFonts w:hint="eastAsia"/>
          <w:color w:val="000000" w:themeColor="text1"/>
          <w:highlight w:val="none"/>
          <w14:textFill>
            <w14:solidFill>
              <w14:schemeClr w14:val="tx1"/>
            </w14:solidFill>
          </w14:textFill>
        </w:rPr>
      </w:pPr>
    </w:p>
    <w:p w14:paraId="62322B4F">
      <w:pPr>
        <w:bidi w:val="0"/>
        <w:rPr>
          <w:rFonts w:hint="eastAsia"/>
          <w:color w:val="000000" w:themeColor="text1"/>
          <w:highlight w:val="none"/>
          <w14:textFill>
            <w14:solidFill>
              <w14:schemeClr w14:val="tx1"/>
            </w14:solidFill>
          </w14:textFill>
        </w:rPr>
      </w:pPr>
    </w:p>
    <w:p w14:paraId="2F0732D3">
      <w:pPr>
        <w:bidi w:val="0"/>
        <w:rPr>
          <w:rFonts w:hint="eastAsia" w:ascii="Times New Roman" w:hAnsi="Times New Roman"/>
          <w:color w:val="000000" w:themeColor="text1"/>
          <w:highlight w:val="none"/>
          <w14:textFill>
            <w14:solidFill>
              <w14:schemeClr w14:val="tx1"/>
            </w14:solidFill>
          </w14:textFill>
        </w:rPr>
      </w:pPr>
    </w:p>
    <w:p w14:paraId="7C4A48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授权委托人身份证复印件：</w:t>
      </w:r>
    </w:p>
    <w:p w14:paraId="19422FC3">
      <w:pPr>
        <w:bidi w:val="0"/>
        <w:rPr>
          <w:rFonts w:hint="eastAsia"/>
          <w:color w:val="000000" w:themeColor="text1"/>
          <w:highlight w:val="none"/>
          <w14:textFill>
            <w14:solidFill>
              <w14:schemeClr w14:val="tx1"/>
            </w14:solidFill>
          </w14:textFill>
        </w:rPr>
      </w:pPr>
    </w:p>
    <w:p w14:paraId="02DC3EB1">
      <w:pPr>
        <w:bidi w:val="0"/>
        <w:rPr>
          <w:rFonts w:hint="eastAsia"/>
          <w:color w:val="000000" w:themeColor="text1"/>
          <w:highlight w:val="none"/>
          <w14:textFill>
            <w14:solidFill>
              <w14:schemeClr w14:val="tx1"/>
            </w14:solidFill>
          </w14:textFill>
        </w:rPr>
      </w:pPr>
    </w:p>
    <w:p w14:paraId="111C2C14">
      <w:pPr>
        <w:bidi w:val="0"/>
        <w:rPr>
          <w:rFonts w:hint="eastAsia"/>
          <w:color w:val="000000" w:themeColor="text1"/>
          <w:highlight w:val="none"/>
          <w14:textFill>
            <w14:solidFill>
              <w14:schemeClr w14:val="tx1"/>
            </w14:solidFill>
          </w14:textFill>
        </w:rPr>
      </w:pPr>
    </w:p>
    <w:p w14:paraId="1898394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投标人或分支机构近半年内任意一个月为</w:t>
      </w:r>
      <w:r>
        <w:rPr>
          <w:rFonts w:hint="eastAsia"/>
          <w:color w:val="000000" w:themeColor="text1"/>
          <w:highlight w:val="none"/>
          <w14:textFill>
            <w14:solidFill>
              <w14:schemeClr w14:val="tx1"/>
            </w14:solidFill>
          </w14:textFill>
        </w:rPr>
        <w:t>授权委托人</w:t>
      </w:r>
      <w:r>
        <w:rPr>
          <w:rFonts w:hint="eastAsia"/>
          <w:color w:val="000000" w:themeColor="text1"/>
          <w:highlight w:val="none"/>
          <w:lang w:val="en-US" w:eastAsia="zh-CN"/>
          <w14:textFill>
            <w14:solidFill>
              <w14:schemeClr w14:val="tx1"/>
            </w14:solidFill>
          </w14:textFill>
        </w:rPr>
        <w:t>缴纳</w:t>
      </w:r>
      <w:r>
        <w:rPr>
          <w:rFonts w:hint="eastAsia"/>
          <w:color w:val="000000" w:themeColor="text1"/>
          <w:highlight w:val="none"/>
          <w14:textFill>
            <w14:solidFill>
              <w14:schemeClr w14:val="tx1"/>
            </w14:solidFill>
          </w14:textFill>
        </w:rPr>
        <w:t>社保</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证明：</w:t>
      </w:r>
    </w:p>
    <w:p w14:paraId="682371D7">
      <w:pPr>
        <w:bidi w:val="0"/>
        <w:rPr>
          <w:rFonts w:hint="eastAsia" w:ascii="Times New Roman" w:hAnsi="Times New Roman"/>
          <w:color w:val="000000" w:themeColor="text1"/>
          <w:highlight w:val="none"/>
          <w14:textFill>
            <w14:solidFill>
              <w14:schemeClr w14:val="tx1"/>
            </w14:solidFill>
          </w14:textFill>
        </w:rPr>
      </w:pPr>
    </w:p>
    <w:p w14:paraId="7D8200F5">
      <w:pPr>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br w:type="page"/>
      </w:r>
    </w:p>
    <w:p w14:paraId="5AD4F076">
      <w:pPr>
        <w:pStyle w:val="3"/>
        <w:bidi w:val="0"/>
        <w:ind w:left="0" w:leftChars="0" w:firstLine="0" w:firstLineChars="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五</w:t>
      </w:r>
      <w:r>
        <w:rPr>
          <w:rFonts w:hint="default"/>
          <w:color w:val="000000" w:themeColor="text1"/>
          <w:highlight w:val="none"/>
          <w:lang w:val="en-US" w:eastAsia="zh-CN"/>
          <w14:textFill>
            <w14:solidFill>
              <w14:schemeClr w14:val="tx1"/>
            </w14:solidFill>
          </w14:textFill>
        </w:rPr>
        <w:t>、资格证明文件</w:t>
      </w:r>
    </w:p>
    <w:p w14:paraId="4313A289">
      <w:pPr>
        <w:bidi w:val="0"/>
        <w:ind w:left="0" w:leftChars="0" w:firstLine="0" w:firstLineChars="0"/>
        <w:jc w:val="center"/>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资格证明文件</w:t>
      </w:r>
    </w:p>
    <w:p w14:paraId="2578204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1.具有独立承担民事责任的能力（提供法人或者其他组织的营业执照，自然人的身份证明）</w:t>
      </w:r>
    </w:p>
    <w:p w14:paraId="21FEF5A7">
      <w:pPr>
        <w:bidi w:val="0"/>
        <w:rPr>
          <w:rFonts w:hint="eastAsia"/>
          <w:color w:val="000000" w:themeColor="text1"/>
          <w:highlight w:val="none"/>
          <w:lang w:val="en-US" w:eastAsia="zh-CN"/>
          <w14:textFill>
            <w14:solidFill>
              <w14:schemeClr w14:val="tx1"/>
            </w14:solidFill>
          </w14:textFill>
        </w:rPr>
      </w:pPr>
    </w:p>
    <w:p w14:paraId="2CD2599D">
      <w:pPr>
        <w:bidi w:val="0"/>
        <w:rPr>
          <w:rFonts w:hint="eastAsia"/>
          <w:color w:val="000000" w:themeColor="text1"/>
          <w:highlight w:val="none"/>
          <w:lang w:val="en-US" w:eastAsia="zh-CN"/>
          <w14:textFill>
            <w14:solidFill>
              <w14:schemeClr w14:val="tx1"/>
            </w14:solidFill>
          </w14:textFill>
        </w:rPr>
      </w:pPr>
    </w:p>
    <w:p w14:paraId="2ED64A74">
      <w:pPr>
        <w:bidi w:val="0"/>
        <w:rPr>
          <w:rFonts w:hint="eastAsia"/>
          <w:color w:val="000000" w:themeColor="text1"/>
          <w:highlight w:val="none"/>
          <w:lang w:val="en-US" w:eastAsia="zh-CN"/>
          <w14:textFill>
            <w14:solidFill>
              <w14:schemeClr w14:val="tx1"/>
            </w14:solidFill>
          </w14:textFill>
        </w:rPr>
      </w:pPr>
    </w:p>
    <w:p w14:paraId="21E478E6">
      <w:pPr>
        <w:bidi w:val="0"/>
        <w:rPr>
          <w:rFonts w:hint="eastAsia"/>
          <w:color w:val="000000" w:themeColor="text1"/>
          <w:highlight w:val="none"/>
          <w:lang w:val="en-US" w:eastAsia="zh-CN"/>
          <w14:textFill>
            <w14:solidFill>
              <w14:schemeClr w14:val="tx1"/>
            </w14:solidFill>
          </w14:textFill>
        </w:rPr>
      </w:pPr>
    </w:p>
    <w:p w14:paraId="0BA7872F">
      <w:pPr>
        <w:bidi w:val="0"/>
        <w:rPr>
          <w:rFonts w:hint="eastAsia"/>
          <w:color w:val="000000" w:themeColor="text1"/>
          <w:highlight w:val="none"/>
          <w:lang w:val="en-US" w:eastAsia="zh-CN"/>
          <w14:textFill>
            <w14:solidFill>
              <w14:schemeClr w14:val="tx1"/>
            </w14:solidFill>
          </w14:textFill>
        </w:rPr>
      </w:pPr>
    </w:p>
    <w:p w14:paraId="65F6C2C9">
      <w:pPr>
        <w:bidi w:val="0"/>
        <w:rPr>
          <w:rFonts w:hint="eastAsia"/>
          <w:color w:val="000000" w:themeColor="text1"/>
          <w:highlight w:val="none"/>
          <w:lang w:val="en-US" w:eastAsia="zh-CN"/>
          <w14:textFill>
            <w14:solidFill>
              <w14:schemeClr w14:val="tx1"/>
            </w14:solidFill>
          </w14:textFill>
        </w:rPr>
      </w:pPr>
    </w:p>
    <w:p w14:paraId="4640F606">
      <w:pPr>
        <w:bidi w:val="0"/>
        <w:rPr>
          <w:rFonts w:hint="eastAsia"/>
          <w:color w:val="000000" w:themeColor="text1"/>
          <w:highlight w:val="none"/>
          <w:lang w:val="en-US" w:eastAsia="zh-CN"/>
          <w14:textFill>
            <w14:solidFill>
              <w14:schemeClr w14:val="tx1"/>
            </w14:solidFill>
          </w14:textFill>
        </w:rPr>
      </w:pPr>
    </w:p>
    <w:p w14:paraId="0DE37644">
      <w:pPr>
        <w:bidi w:val="0"/>
        <w:rPr>
          <w:rFonts w:hint="eastAsia"/>
          <w:color w:val="000000" w:themeColor="text1"/>
          <w:highlight w:val="none"/>
          <w:lang w:val="en-US" w:eastAsia="zh-CN"/>
          <w14:textFill>
            <w14:solidFill>
              <w14:schemeClr w14:val="tx1"/>
            </w14:solidFill>
          </w14:textFill>
        </w:rPr>
      </w:pPr>
    </w:p>
    <w:p w14:paraId="0E34CD9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具有良好的商业信誉和健全的财务会计制度（提供以下三种材料的任意一种，复印件加盖公章）：</w:t>
      </w:r>
    </w:p>
    <w:p w14:paraId="59C017E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①上一年度的经第三方会计师事务所审计的财务报告复印件</w:t>
      </w:r>
      <w:r>
        <w:rPr>
          <w:rFonts w:hint="eastAsia"/>
          <w:color w:val="000000" w:themeColor="text1"/>
          <w:highlight w:val="none"/>
          <w:lang w:val="en-US" w:eastAsia="zh-CN"/>
          <w14:textFill>
            <w14:solidFill>
              <w14:schemeClr w14:val="tx1"/>
            </w14:solidFill>
          </w14:textFill>
        </w:rPr>
        <w:t>（包括报告及报表等内容，并由注册会计师签名、盖章以及会计师事务所盖章）</w:t>
      </w:r>
      <w:r>
        <w:rPr>
          <w:rFonts w:hint="default"/>
          <w:color w:val="000000" w:themeColor="text1"/>
          <w:highlight w:val="none"/>
          <w:lang w:val="en-US" w:eastAsia="zh-CN"/>
          <w14:textFill>
            <w14:solidFill>
              <w14:schemeClr w14:val="tx1"/>
            </w14:solidFill>
          </w14:textFill>
        </w:rPr>
        <w:t>；</w:t>
      </w:r>
    </w:p>
    <w:p w14:paraId="413BF29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②提交投标文件截止日前六个月内基本开户银行出具的资信证明；</w:t>
      </w:r>
    </w:p>
    <w:p w14:paraId="1AF588A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③提交投标文件截止时间前六个月内任意一个月的财务状况记录（至少包括资产负债表和损益表，并加盖公章）。</w:t>
      </w:r>
    </w:p>
    <w:p w14:paraId="19C48A01">
      <w:pPr>
        <w:bidi w:val="0"/>
        <w:rPr>
          <w:rFonts w:hint="eastAsia"/>
          <w:color w:val="000000" w:themeColor="text1"/>
          <w:highlight w:val="none"/>
          <w:lang w:val="en-US" w:eastAsia="zh-CN"/>
          <w14:textFill>
            <w14:solidFill>
              <w14:schemeClr w14:val="tx1"/>
            </w14:solidFill>
          </w14:textFill>
        </w:rPr>
      </w:pPr>
    </w:p>
    <w:p w14:paraId="5513EAE9">
      <w:pPr>
        <w:bidi w:val="0"/>
        <w:rPr>
          <w:rFonts w:hint="eastAsia"/>
          <w:color w:val="000000" w:themeColor="text1"/>
          <w:highlight w:val="none"/>
          <w:lang w:val="en-US" w:eastAsia="zh-CN"/>
          <w14:textFill>
            <w14:solidFill>
              <w14:schemeClr w14:val="tx1"/>
            </w14:solidFill>
          </w14:textFill>
        </w:rPr>
      </w:pPr>
    </w:p>
    <w:p w14:paraId="6BAA641B">
      <w:pPr>
        <w:bidi w:val="0"/>
        <w:rPr>
          <w:rFonts w:hint="eastAsia"/>
          <w:color w:val="000000" w:themeColor="text1"/>
          <w:highlight w:val="none"/>
          <w:lang w:val="en-US" w:eastAsia="zh-CN"/>
          <w14:textFill>
            <w14:solidFill>
              <w14:schemeClr w14:val="tx1"/>
            </w14:solidFill>
          </w14:textFill>
        </w:rPr>
      </w:pPr>
    </w:p>
    <w:p w14:paraId="00E2354D">
      <w:pPr>
        <w:bidi w:val="0"/>
        <w:rPr>
          <w:rFonts w:hint="eastAsia"/>
          <w:color w:val="000000" w:themeColor="text1"/>
          <w:highlight w:val="none"/>
          <w:lang w:val="en-US" w:eastAsia="zh-CN"/>
          <w14:textFill>
            <w14:solidFill>
              <w14:schemeClr w14:val="tx1"/>
            </w14:solidFill>
          </w14:textFill>
        </w:rPr>
      </w:pPr>
    </w:p>
    <w:p w14:paraId="439AC2B2">
      <w:pPr>
        <w:bidi w:val="0"/>
        <w:rPr>
          <w:rFonts w:hint="eastAsia"/>
          <w:color w:val="000000" w:themeColor="text1"/>
          <w:highlight w:val="none"/>
          <w:lang w:val="en-US" w:eastAsia="zh-CN"/>
          <w14:textFill>
            <w14:solidFill>
              <w14:schemeClr w14:val="tx1"/>
            </w14:solidFill>
          </w14:textFill>
        </w:rPr>
      </w:pPr>
    </w:p>
    <w:p w14:paraId="081EF19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584B57DD">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default"/>
          <w:color w:val="000000" w:themeColor="text1"/>
          <w:highlight w:val="none"/>
          <w:lang w:val="en-US" w:eastAsia="zh-CN"/>
          <w14:textFill>
            <w14:solidFill>
              <w14:schemeClr w14:val="tx1"/>
            </w14:solidFill>
          </w14:textFill>
        </w:rPr>
        <w:t>证明材料）</w:t>
      </w:r>
    </w:p>
    <w:p w14:paraId="16F14160">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52F7A7AF">
      <w:pPr>
        <w:bidi w:val="0"/>
        <w:ind w:left="0" w:leftChars="0" w:firstLine="0" w:firstLineChars="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具备履行合同所必需的设备和专业技术能力的声明</w:t>
      </w:r>
    </w:p>
    <w:p w14:paraId="7211E734">
      <w:pPr>
        <w:bidi w:val="0"/>
        <w:rPr>
          <w:rFonts w:hint="eastAsia"/>
          <w:color w:val="000000" w:themeColor="text1"/>
          <w:highlight w:val="none"/>
          <w:lang w:eastAsia="zh-CN"/>
          <w14:textFill>
            <w14:solidFill>
              <w14:schemeClr w14:val="tx1"/>
            </w14:solidFill>
          </w14:textFill>
        </w:rPr>
      </w:pPr>
    </w:p>
    <w:p w14:paraId="01FAC385">
      <w:pPr>
        <w:bidi w:val="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30F6B186">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zh-CN"/>
          <w14:textFill>
            <w14:solidFill>
              <w14:schemeClr w14:val="tx1"/>
            </w14:solidFill>
          </w14:textFill>
        </w:rPr>
        <w:t>投标人</w:t>
      </w:r>
      <w:r>
        <w:rPr>
          <w:rFonts w:hint="eastAsia"/>
          <w:color w:val="000000" w:themeColor="text1"/>
          <w:highlight w:val="none"/>
          <w:u w:val="single"/>
          <w14:textFill>
            <w14:solidFill>
              <w14:schemeClr w14:val="tx1"/>
            </w14:solidFill>
          </w14:textFill>
        </w:rPr>
        <w:t>名称）</w:t>
      </w:r>
      <w:r>
        <w:rPr>
          <w:rFonts w:hint="eastAsia"/>
          <w:color w:val="000000" w:themeColor="text1"/>
          <w:highlight w:val="none"/>
          <w14:textFill>
            <w14:solidFill>
              <w14:schemeClr w14:val="tx1"/>
            </w14:solidFill>
          </w14:textFill>
        </w:rPr>
        <w:t>郑重声明：我公司具备履行本项采购合同所必需的设备和专业技术能力，为履行本项采购合同我公司具备如下主要设备和主要专业技术能力：</w:t>
      </w:r>
    </w:p>
    <w:p w14:paraId="1EBC97C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主要设备有：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2F0BAAB7">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主要专业技术能力有：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5F54B671">
      <w:pPr>
        <w:bidi w:val="0"/>
        <w:rPr>
          <w:color w:val="000000" w:themeColor="text1"/>
          <w:highlight w:val="none"/>
          <w14:textFill>
            <w14:solidFill>
              <w14:schemeClr w14:val="tx1"/>
            </w14:solidFill>
          </w14:textFill>
        </w:rPr>
      </w:pPr>
    </w:p>
    <w:p w14:paraId="38DD928D">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55CB2C39">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日期：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年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月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7E8D72D8">
      <w:pPr>
        <w:bidi w:val="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其他证明材料及文件：（如果</w:t>
      </w:r>
      <w:r>
        <w:rPr>
          <w:rFonts w:hint="eastAsia"/>
          <w:color w:val="000000" w:themeColor="text1"/>
          <w:highlight w:val="none"/>
          <w:lang w:val="zh-CN"/>
          <w14:textFill>
            <w14:solidFill>
              <w14:schemeClr w14:val="tx1"/>
            </w14:solidFill>
          </w14:textFill>
        </w:rPr>
        <w:t>投标人</w:t>
      </w:r>
      <w:r>
        <w:rPr>
          <w:rFonts w:hint="eastAsia"/>
          <w:color w:val="000000" w:themeColor="text1"/>
          <w:highlight w:val="none"/>
          <w14:textFill>
            <w14:solidFill>
              <w14:schemeClr w14:val="tx1"/>
            </w14:solidFill>
          </w14:textFill>
        </w:rPr>
        <w:t>认为需要提供的话）</w:t>
      </w:r>
    </w:p>
    <w:p w14:paraId="3E6960C5">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29A775E3">
      <w:pPr>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w:t>
      </w:r>
      <w:r>
        <w:rPr>
          <w:rFonts w:hint="default" w:ascii="Times New Roman" w:hAnsi="Times New Roman" w:eastAsia="宋体"/>
          <w:color w:val="000000" w:themeColor="text1"/>
          <w:highlight w:val="none"/>
          <w:lang w:val="en-US" w:eastAsia="zh-CN"/>
          <w14:textFill>
            <w14:solidFill>
              <w14:schemeClr w14:val="tx1"/>
            </w14:solidFill>
          </w14:textFill>
        </w:rPr>
        <w:t>有依法缴纳税收和社会保障资金的良好记录</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default" w:ascii="Times New Roman" w:hAnsi="Times New Roman" w:eastAsia="宋体"/>
          <w:color w:val="000000" w:themeColor="text1"/>
          <w:highlight w:val="none"/>
          <w:lang w:val="en-US" w:eastAsia="zh-CN"/>
          <w14:textFill>
            <w14:solidFill>
              <w14:schemeClr w14:val="tx1"/>
            </w14:solidFill>
          </w14:textFill>
        </w:rPr>
        <w:t>投标人需要提供提交投标文件截止日前六个月内任意一个月的企业依法缴纳税收（个人所得税除外）和社会保障资金的记</w:t>
      </w:r>
      <w:r>
        <w:rPr>
          <w:rFonts w:hint="default"/>
          <w:color w:val="000000" w:themeColor="text1"/>
          <w:highlight w:val="none"/>
          <w:lang w:val="en-US" w:eastAsia="zh-CN"/>
          <w14:textFill>
            <w14:solidFill>
              <w14:schemeClr w14:val="tx1"/>
            </w14:solidFill>
          </w14:textFill>
        </w:rPr>
        <w:t>录（如依法免税或依法不需要缴纳社会保障资金的，提供相应证明文件，自拟文件无效</w:t>
      </w:r>
      <w:r>
        <w:rPr>
          <w:rFonts w:hint="eastAsia"/>
          <w:color w:val="000000" w:themeColor="text1"/>
          <w:highlight w:val="none"/>
          <w:lang w:val="en-US" w:eastAsia="zh-CN"/>
          <w14:textFill>
            <w14:solidFill>
              <w14:schemeClr w14:val="tx1"/>
            </w14:solidFill>
          </w14:textFill>
        </w:rPr>
        <w:t>】</w:t>
      </w:r>
    </w:p>
    <w:p w14:paraId="3C8A013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C14F3EB">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1E0B71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26BDC41">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5AA2F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143D2645">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w:t>
      </w:r>
      <w:r>
        <w:rPr>
          <w:rFonts w:hint="default" w:ascii="Times New Roman" w:hAnsi="Times New Roman" w:eastAsia="宋体"/>
          <w:color w:val="000000" w:themeColor="text1"/>
          <w:highlight w:val="none"/>
          <w:lang w:val="en-US" w:eastAsia="zh-CN"/>
          <w14:textFill>
            <w14:solidFill>
              <w14:schemeClr w14:val="tx1"/>
            </w14:solidFill>
          </w14:textFill>
        </w:rPr>
        <w:t>参加本次采购活动前三年内，在经营活动中没有重大违法记录（提供参加本次采购活动前三年内在经营活动中没有重大违法记录的书面声明）</w:t>
      </w:r>
    </w:p>
    <w:p w14:paraId="1052D688">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F4E05">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无重大违法记录声明</w:t>
      </w:r>
    </w:p>
    <w:p w14:paraId="7D60FB6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DA5ED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ECFF0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郑重声明：</w:t>
      </w:r>
    </w:p>
    <w:p w14:paraId="381294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参加政府采购活动前3年内在经营活动中</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val="en-US" w:eastAsia="zh-CN"/>
          <w14:textFill>
            <w14:solidFill>
              <w14:schemeClr w14:val="tx1"/>
            </w14:solidFill>
          </w14:textFill>
        </w:rPr>
        <w:t>（在下划线上如实填写：有或没有）重大违法记录。</w:t>
      </w:r>
    </w:p>
    <w:p w14:paraId="78782A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（说明：政府采购法第二十二条第一款第五项所称重大违法记录，是指投标人因违法经营受到刑事处罚或者责令停产停业、吊销许可证或者执照、较大数额罚款等行政处罚。）</w:t>
      </w:r>
    </w:p>
    <w:p w14:paraId="0C9E3FF6">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BBEA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9E2A301">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16AF26FC">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639C652">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74C4CA5E">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落实政府采购政策需满足的资格要求：本项目各采购包均专门面向中小微型企业采购，即投标人所投产品制造商均属于中小微企业。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4BB4193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zh-CN"/>
          <w14:textFill>
            <w14:solidFill>
              <w14:schemeClr w14:val="tx1"/>
            </w14:solidFill>
          </w14:textFill>
        </w:rPr>
        <w:t>中小企业声明函（货物）</w:t>
      </w:r>
    </w:p>
    <w:p w14:paraId="6F8E80BE">
      <w:pPr>
        <w:bidi w:val="0"/>
        <w:ind w:left="0" w:leftChars="0" w:firstLine="0" w:firstLineChars="0"/>
        <w:rPr>
          <w:rFonts w:hint="eastAsia"/>
          <w:color w:val="000000" w:themeColor="text1"/>
          <w:highlight w:val="none"/>
          <w14:textFill>
            <w14:solidFill>
              <w14:schemeClr w14:val="tx1"/>
            </w14:solidFill>
          </w14:textFill>
        </w:rPr>
      </w:pPr>
    </w:p>
    <w:p w14:paraId="55E3F8F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本公司（联合体）郑重声明，根据《政府采购促进中小企业发展管理办法》（财库﹝2020﹞46 号）的规定，本公司（联合体）参加</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（单位名称）的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（项目名称）采购活动，提供的货物全部由符合政策要求的中小企业制造。相关企业（含联合体中的中小企业、签订分包意向协议的中小企业） 的具体情况如下：</w:t>
      </w:r>
    </w:p>
    <w:p w14:paraId="22266A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23D61D4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7CB462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19A11FD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400CF7C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本企业</w:t>
      </w:r>
      <w:r>
        <w:rPr>
          <w:rFonts w:hint="eastAsia"/>
          <w:color w:val="000000" w:themeColor="text1"/>
          <w:highlight w:val="none"/>
          <w14:textFill>
            <w14:solidFill>
              <w14:schemeClr w14:val="tx1"/>
            </w14:solidFill>
          </w14:textFill>
        </w:rPr>
        <w:t>对上述声明内容的真实性负责。如有虚假，将依法承担相应责任。</w:t>
      </w:r>
    </w:p>
    <w:p w14:paraId="68C65CEF">
      <w:pPr>
        <w:bidi w:val="0"/>
        <w:rPr>
          <w:rFonts w:hint="eastAsia"/>
          <w:color w:val="000000" w:themeColor="text1"/>
          <w:highlight w:val="none"/>
          <w14:textFill>
            <w14:solidFill>
              <w14:schemeClr w14:val="tx1"/>
            </w14:solidFill>
          </w14:textFill>
        </w:rPr>
      </w:pPr>
    </w:p>
    <w:p w14:paraId="7DCF1A06">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投标人名称（盖章）：</w:t>
      </w:r>
      <w:r>
        <w:rPr>
          <w:rFonts w:hint="eastAsia"/>
          <w:color w:val="000000" w:themeColor="text1"/>
          <w:highlight w:val="none"/>
          <w:lang w:val="en-US" w:eastAsia="zh-CN"/>
          <w14:textFill>
            <w14:solidFill>
              <w14:schemeClr w14:val="tx1"/>
            </w14:solidFill>
          </w14:textFill>
        </w:rPr>
        <w:t xml:space="preserve">        </w:t>
      </w:r>
    </w:p>
    <w:p w14:paraId="74D56160">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4F452B4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为方便投标人识别企业规模类型，工业和信息化部组织开发了中小企业规模类型自测小程序，在国务院客户端和工业和信息化部网站上均有链接，投标人可填写企业所属的行业和指标数据自动生成企业规模类型测试结果。</w:t>
      </w:r>
    </w:p>
    <w:p w14:paraId="7041F3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注2：从业人员、营业收入、资产总额填报上一年度数据，无上一年度数据的新成立企业可不填报。</w:t>
      </w:r>
    </w:p>
    <w:p w14:paraId="47C699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注3：投标人如不提供此声明函，</w:t>
      </w:r>
      <w:r>
        <w:rPr>
          <w:rFonts w:hint="eastAsia"/>
          <w:color w:val="000000" w:themeColor="text1"/>
          <w:highlight w:val="none"/>
          <w:lang w:val="en-US" w:eastAsia="zh-CN"/>
          <w14:textFill>
            <w14:solidFill>
              <w14:schemeClr w14:val="tx1"/>
            </w14:solidFill>
          </w14:textFill>
        </w:rPr>
        <w:t>不享受中小企业扶持政策</w:t>
      </w:r>
      <w:r>
        <w:rPr>
          <w:rFonts w:hint="eastAsia"/>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br w:type="page"/>
      </w:r>
    </w:p>
    <w:p w14:paraId="76DFC790">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w:t>
      </w:r>
      <w:r>
        <w:rPr>
          <w:rFonts w:hint="eastAsia"/>
          <w:b/>
          <w:bCs/>
          <w:color w:val="000000" w:themeColor="text1"/>
          <w:highlight w:val="none"/>
          <w:lang w:val="en-US"/>
          <w14:textFill>
            <w14:solidFill>
              <w14:schemeClr w14:val="tx1"/>
            </w14:solidFill>
          </w14:textFill>
        </w:rPr>
        <w:t>残疾人福利性单位声明函</w:t>
      </w:r>
    </w:p>
    <w:p w14:paraId="5F1CC224">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本单位郑重声明，根据《财政部 民政部 中国残疾人联合会关于促进残疾人就业政府采购政策的通知》（财库</w:t>
      </w:r>
      <w:r>
        <w:rPr>
          <w:rFonts w:hint="eastAsia"/>
          <w:color w:val="000000" w:themeColor="text1"/>
          <w:highlight w:val="none"/>
          <w:lang w:eastAsia="zh-CN"/>
          <w14:textFill>
            <w14:solidFill>
              <w14:schemeClr w14:val="tx1"/>
            </w14:solidFill>
          </w14:textFill>
        </w:rPr>
        <w:t>〔2017〕141号</w:t>
      </w:r>
      <w:r>
        <w:rPr>
          <w:rFonts w:hint="eastAsia"/>
          <w:color w:val="000000" w:themeColor="text1"/>
          <w:highlight w:val="none"/>
          <w14:textFill>
            <w14:solidFill>
              <w14:schemeClr w14:val="tx1"/>
            </w14:solidFill>
          </w14:textFill>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42A838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我公司对上述声明的真实性负责。如有虚假，将依法承担相应责任。</w:t>
      </w:r>
    </w:p>
    <w:p w14:paraId="58C722F7">
      <w:pPr>
        <w:bidi w:val="0"/>
        <w:rPr>
          <w:color w:val="000000" w:themeColor="text1"/>
          <w:highlight w:val="none"/>
          <w14:textFill>
            <w14:solidFill>
              <w14:schemeClr w14:val="tx1"/>
            </w14:solidFill>
          </w14:textFill>
        </w:rPr>
      </w:pPr>
    </w:p>
    <w:p w14:paraId="7FF21605">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单位名称：（盖章）</w:t>
      </w:r>
    </w:p>
    <w:p w14:paraId="2618CC69">
      <w:pPr>
        <w:keepNext w:val="0"/>
        <w:keepLines w:val="0"/>
        <w:pageBreakBefore w:val="0"/>
        <w:widowControl w:val="0"/>
        <w:kinsoku/>
        <w:wordWrap w:val="0"/>
        <w:overflowPunct/>
        <w:topLinePunct w:val="0"/>
        <w:autoSpaceDE/>
        <w:autoSpaceDN/>
        <w:bidi w:val="0"/>
        <w:adjustRightInd/>
        <w:snapToGrid/>
        <w:ind w:firstLine="0" w:firstLineChars="0"/>
        <w:jc w:val="right"/>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6C86F7D3">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注：非残疾人福利性单位无须提供。</w:t>
      </w:r>
    </w:p>
    <w:p w14:paraId="55A52ED9">
      <w:pPr>
        <w:bidi w:val="0"/>
        <w:rPr>
          <w:rFonts w:hint="eastAsia"/>
          <w:color w:val="000000" w:themeColor="text1"/>
          <w:highlight w:val="none"/>
          <w14:textFill>
            <w14:solidFill>
              <w14:schemeClr w14:val="tx1"/>
            </w14:solidFill>
          </w14:textFill>
        </w:rPr>
      </w:pPr>
    </w:p>
    <w:p w14:paraId="7FE95A99">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（三）属于监狱企业的证明文件</w:t>
      </w:r>
    </w:p>
    <w:p w14:paraId="462C92E2">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提供由省级以上监狱管理局、戒毒管理局（含新疆生产建设兵团）出具的属于监狱企业的证明文件。</w:t>
      </w:r>
    </w:p>
    <w:p w14:paraId="427F2AB7">
      <w:pPr>
        <w:bidi w:val="0"/>
        <w:rPr>
          <w:rFonts w:hint="eastAsia"/>
          <w:color w:val="000000" w:themeColor="text1"/>
          <w:highlight w:val="none"/>
          <w:lang w:val="en-US" w:eastAsia="zh-CN"/>
          <w14:textFill>
            <w14:solidFill>
              <w14:schemeClr w14:val="tx1"/>
            </w14:solidFill>
          </w14:textFill>
        </w:rPr>
      </w:pPr>
    </w:p>
    <w:p w14:paraId="5F894B3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注：非监狱企业无须提供。</w:t>
      </w:r>
    </w:p>
    <w:p w14:paraId="6978151E">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51778D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788C936B">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目录六、技术</w:t>
      </w:r>
      <w:r>
        <w:rPr>
          <w:rFonts w:hint="eastAsia"/>
          <w:color w:val="000000" w:themeColor="text1"/>
          <w:highlight w:val="none"/>
          <w:lang w:val="en-US" w:eastAsia="zh-CN"/>
          <w14:textFill>
            <w14:solidFill>
              <w14:schemeClr w14:val="tx1"/>
            </w14:solidFill>
          </w14:textFill>
        </w:rPr>
        <w:t>条款偏离</w:t>
      </w:r>
      <w:r>
        <w:rPr>
          <w:rFonts w:hint="eastAsia"/>
          <w:color w:val="000000" w:themeColor="text1"/>
          <w:highlight w:val="none"/>
          <w:lang w:val="zh-CN"/>
          <w14:textFill>
            <w14:solidFill>
              <w14:schemeClr w14:val="tx1"/>
            </w14:solidFill>
          </w14:textFill>
        </w:rPr>
        <w:t>表格式</w:t>
      </w:r>
    </w:p>
    <w:p w14:paraId="097B61D5">
      <w:pPr>
        <w:bidi w:val="0"/>
        <w:ind w:left="0" w:leftChars="0" w:firstLine="0" w:firstLineChars="0"/>
        <w:jc w:val="center"/>
        <w:rPr>
          <w:b/>
          <w:bCs/>
          <w:color w:val="000000" w:themeColor="text1"/>
          <w:highlight w:val="none"/>
          <w:lang w:val="zh-CN"/>
          <w14:textFill>
            <w14:solidFill>
              <w14:schemeClr w14:val="tx1"/>
            </w14:solidFill>
          </w14:textFill>
        </w:rPr>
      </w:pPr>
      <w:r>
        <w:rPr>
          <w:rFonts w:hint="eastAsia"/>
          <w:b/>
          <w:bCs/>
          <w:color w:val="000000" w:themeColor="text1"/>
          <w:highlight w:val="none"/>
          <w:lang w:val="zh-CN"/>
          <w14:textFill>
            <w14:solidFill>
              <w14:schemeClr w14:val="tx1"/>
            </w14:solidFill>
          </w14:textFill>
        </w:rPr>
        <w:t>技术条款偏离表</w:t>
      </w:r>
    </w:p>
    <w:tbl>
      <w:tblPr>
        <w:tblStyle w:val="13"/>
        <w:tblW w:w="5009" w:type="pct"/>
        <w:jc w:val="center"/>
        <w:tblLayout w:type="autofit"/>
        <w:tblCellMar>
          <w:top w:w="0" w:type="dxa"/>
          <w:left w:w="0" w:type="dxa"/>
          <w:bottom w:w="0" w:type="dxa"/>
          <w:right w:w="0" w:type="dxa"/>
        </w:tblCellMar>
      </w:tblPr>
      <w:tblGrid>
        <w:gridCol w:w="843"/>
        <w:gridCol w:w="3346"/>
        <w:gridCol w:w="3215"/>
        <w:gridCol w:w="249"/>
        <w:gridCol w:w="1445"/>
      </w:tblGrid>
      <w:tr w14:paraId="1398AE0F">
        <w:tblPrEx>
          <w:tblCellMar>
            <w:top w:w="0" w:type="dxa"/>
            <w:left w:w="0" w:type="dxa"/>
            <w:bottom w:w="0" w:type="dxa"/>
            <w:right w:w="0" w:type="dxa"/>
          </w:tblCellMar>
        </w:tblPrEx>
        <w:trPr>
          <w:trHeight w:val="227" w:hRule="atLeast"/>
          <w:jc w:val="center"/>
        </w:trPr>
        <w:tc>
          <w:tcPr>
            <w:tcW w:w="2301" w:type="pct"/>
            <w:gridSpan w:val="2"/>
            <w:tcBorders>
              <w:top w:val="single" w:color="auto" w:sz="4" w:space="0"/>
              <w:left w:val="single" w:color="auto" w:sz="4" w:space="0"/>
              <w:bottom w:val="single" w:color="auto" w:sz="4" w:space="0"/>
              <w:right w:val="single" w:color="auto" w:sz="4" w:space="0"/>
            </w:tcBorders>
            <w:noWrap w:val="0"/>
            <w:vAlign w:val="center"/>
          </w:tcPr>
          <w:p w14:paraId="5F60BBC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tcBorders>
              <w:top w:val="single" w:color="auto" w:sz="4" w:space="0"/>
              <w:left w:val="single" w:color="auto" w:sz="4" w:space="0"/>
              <w:bottom w:val="single" w:color="auto" w:sz="4" w:space="0"/>
              <w:right w:val="single" w:color="auto" w:sz="4" w:space="0"/>
            </w:tcBorders>
            <w:noWrap w:val="0"/>
            <w:vAlign w:val="center"/>
          </w:tcPr>
          <w:p w14:paraId="40A9F8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1" w:type="pct"/>
            <w:gridSpan w:val="2"/>
            <w:tcBorders>
              <w:top w:val="single" w:color="auto" w:sz="4" w:space="0"/>
              <w:left w:val="single" w:color="auto" w:sz="4" w:space="0"/>
              <w:bottom w:val="single" w:color="auto" w:sz="4" w:space="0"/>
              <w:right w:val="single" w:color="auto" w:sz="4" w:space="0"/>
            </w:tcBorders>
            <w:noWrap w:val="0"/>
            <w:vAlign w:val="center"/>
          </w:tcPr>
          <w:p w14:paraId="253334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64AE8EDC">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668D4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38" w:type="pct"/>
            <w:tcBorders>
              <w:top w:val="single" w:color="auto" w:sz="4" w:space="0"/>
              <w:left w:val="single" w:color="auto" w:sz="4" w:space="0"/>
              <w:bottom w:val="single" w:color="auto" w:sz="4" w:space="0"/>
              <w:right w:val="single" w:color="auto" w:sz="4" w:space="0"/>
            </w:tcBorders>
            <w:noWrap w:val="0"/>
            <w:vAlign w:val="center"/>
          </w:tcPr>
          <w:p w14:paraId="62451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招标要求的技术条款</w:t>
            </w: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490AE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794" w:type="pct"/>
            <w:tcBorders>
              <w:top w:val="single" w:color="auto" w:sz="4" w:space="0"/>
              <w:left w:val="single" w:color="auto" w:sz="4" w:space="0"/>
              <w:bottom w:val="single" w:color="auto" w:sz="4" w:space="0"/>
              <w:right w:val="single" w:color="auto" w:sz="4" w:space="0"/>
            </w:tcBorders>
            <w:noWrap w:val="0"/>
            <w:vAlign w:val="center"/>
          </w:tcPr>
          <w:p w14:paraId="4C509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E50F10F">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71183A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30D1E6F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3A8D33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040E39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1D2A010">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0BA3D28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1338BF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25B8AB2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4F865A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546704BB">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1A50C8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7CF387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1EB27D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62733D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69974294">
      <w:pPr>
        <w:bidi w:val="0"/>
        <w:rPr>
          <w:color w:val="000000" w:themeColor="text1"/>
          <w:highlight w:val="none"/>
          <w:lang w:val="zh-CN"/>
          <w14:textFill>
            <w14:solidFill>
              <w14:schemeClr w14:val="tx1"/>
            </w14:solidFill>
          </w14:textFill>
        </w:rPr>
      </w:pPr>
    </w:p>
    <w:p w14:paraId="06A527DD">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29A63CC5">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如果行数不够，请自行增加；</w:t>
      </w:r>
    </w:p>
    <w:p w14:paraId="24140A5E">
      <w:pPr>
        <w:bidi w:val="0"/>
        <w:rPr>
          <w:color w:val="000000" w:themeColor="text1"/>
          <w:highlight w:val="none"/>
          <w:lang w:val="zh-CN"/>
          <w14:textFill>
            <w14:solidFill>
              <w14:schemeClr w14:val="tx1"/>
            </w14:solidFill>
          </w14:textFill>
        </w:rPr>
      </w:pPr>
      <w:r>
        <w:rPr>
          <w:rFonts w:hint="eastAsia"/>
          <w:color w:val="000000" w:themeColor="text1"/>
          <w:highlight w:val="none"/>
          <w:lang w:eastAsia="zh-CN"/>
          <w14:textFill>
            <w14:solidFill>
              <w14:schemeClr w14:val="tx1"/>
            </w14:solidFill>
          </w14:textFill>
        </w:rPr>
        <w:t>2.</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针对第四章采购需求的技术部分内容</w:t>
      </w:r>
      <w:r>
        <w:rPr>
          <w:rFonts w:hint="eastAsia"/>
          <w:color w:val="000000" w:themeColor="text1"/>
          <w:highlight w:val="none"/>
          <w:lang w:val="zh-CN"/>
          <w14:textFill>
            <w14:solidFill>
              <w14:schemeClr w14:val="tx1"/>
            </w14:solidFill>
          </w14:textFill>
        </w:rPr>
        <w:t>逐一说明。</w:t>
      </w:r>
    </w:p>
    <w:p w14:paraId="38791871">
      <w:pPr>
        <w:bidi w:val="0"/>
        <w:rPr>
          <w:color w:val="000000" w:themeColor="text1"/>
          <w:highlight w:val="none"/>
          <w:lang w:val="zh-CN"/>
          <w14:textFill>
            <w14:solidFill>
              <w14:schemeClr w14:val="tx1"/>
            </w14:solidFill>
          </w14:textFill>
        </w:rPr>
      </w:pPr>
    </w:p>
    <w:p w14:paraId="59DBF95A">
      <w:pPr>
        <w:bidi w:val="0"/>
        <w:rPr>
          <w:color w:val="000000" w:themeColor="text1"/>
          <w:highlight w:val="none"/>
          <w:lang w:val="zh-CN"/>
          <w14:textFill>
            <w14:solidFill>
              <w14:schemeClr w14:val="tx1"/>
            </w14:solidFill>
          </w14:textFill>
        </w:rPr>
      </w:pPr>
    </w:p>
    <w:p w14:paraId="1342DE6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附：证明材料1，证明材料2……（如招标文件要求提供佐证材料的，须将证明材料列于技术条款偏离表之下）</w:t>
      </w:r>
    </w:p>
    <w:p w14:paraId="33292A26">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2C2F4D62">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目录七、商务条款</w:t>
      </w:r>
      <w:r>
        <w:rPr>
          <w:rFonts w:hint="eastAsia"/>
          <w:color w:val="000000" w:themeColor="text1"/>
          <w:highlight w:val="none"/>
          <w:lang w:val="en-US" w:eastAsia="zh-CN"/>
          <w14:textFill>
            <w14:solidFill>
              <w14:schemeClr w14:val="tx1"/>
            </w14:solidFill>
          </w14:textFill>
        </w:rPr>
        <w:t>偏离</w:t>
      </w:r>
      <w:r>
        <w:rPr>
          <w:rFonts w:hint="eastAsia"/>
          <w:color w:val="000000" w:themeColor="text1"/>
          <w:highlight w:val="none"/>
          <w:lang w:val="zh-CN"/>
          <w14:textFill>
            <w14:solidFill>
              <w14:schemeClr w14:val="tx1"/>
            </w14:solidFill>
          </w14:textFill>
        </w:rPr>
        <w:t>表格式</w:t>
      </w:r>
    </w:p>
    <w:p w14:paraId="7FABA88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zh-CN"/>
          <w14:textFill>
            <w14:solidFill>
              <w14:schemeClr w14:val="tx1"/>
            </w14:solidFill>
          </w14:textFill>
        </w:rPr>
        <w:t>商务条款</w:t>
      </w:r>
      <w:r>
        <w:rPr>
          <w:rFonts w:hint="eastAsia" w:ascii="Times New Roman" w:hAnsi="Times New Roman" w:eastAsia="宋体"/>
          <w:b/>
          <w:bCs/>
          <w:color w:val="000000" w:themeColor="text1"/>
          <w:highlight w:val="none"/>
          <w:lang w:val="en-US" w:eastAsia="zh-CN"/>
          <w14:textFill>
            <w14:solidFill>
              <w14:schemeClr w14:val="tx1"/>
            </w14:solidFill>
          </w14:textFill>
        </w:rPr>
        <w:t>偏离</w:t>
      </w:r>
      <w:r>
        <w:rPr>
          <w:rFonts w:hint="eastAsia" w:ascii="Times New Roman" w:hAnsi="Times New Roman" w:eastAsia="宋体"/>
          <w:b/>
          <w:bCs/>
          <w:color w:val="000000" w:themeColor="text1"/>
          <w:highlight w:val="none"/>
          <w:lang w:val="zh-CN"/>
          <w14:textFill>
            <w14:solidFill>
              <w14:schemeClr w14:val="tx1"/>
            </w14:solidFill>
          </w14:textFill>
        </w:rPr>
        <w:t>表</w:t>
      </w:r>
    </w:p>
    <w:tbl>
      <w:tblPr>
        <w:tblStyle w:val="13"/>
        <w:tblW w:w="5019" w:type="pct"/>
        <w:jc w:val="center"/>
        <w:tblLayout w:type="autofit"/>
        <w:tblCellMar>
          <w:top w:w="0" w:type="dxa"/>
          <w:left w:w="0" w:type="dxa"/>
          <w:bottom w:w="0" w:type="dxa"/>
          <w:right w:w="0" w:type="dxa"/>
        </w:tblCellMar>
      </w:tblPr>
      <w:tblGrid>
        <w:gridCol w:w="1123"/>
        <w:gridCol w:w="3076"/>
        <w:gridCol w:w="241"/>
        <w:gridCol w:w="2981"/>
        <w:gridCol w:w="104"/>
        <w:gridCol w:w="1576"/>
        <w:gridCol w:w="16"/>
      </w:tblGrid>
      <w:tr w14:paraId="1FFDCB01">
        <w:tblPrEx>
          <w:tblCellMar>
            <w:top w:w="0" w:type="dxa"/>
            <w:left w:w="0" w:type="dxa"/>
            <w:bottom w:w="0" w:type="dxa"/>
            <w:right w:w="0" w:type="dxa"/>
          </w:tblCellMar>
        </w:tblPrEx>
        <w:trPr>
          <w:trHeight w:val="227" w:hRule="atLeast"/>
          <w:jc w:val="center"/>
        </w:trPr>
        <w:tc>
          <w:tcPr>
            <w:tcW w:w="2302" w:type="pct"/>
            <w:gridSpan w:val="2"/>
            <w:tcBorders>
              <w:top w:val="single" w:color="auto" w:sz="4" w:space="0"/>
              <w:left w:val="single" w:color="auto" w:sz="4" w:space="0"/>
              <w:bottom w:val="single" w:color="auto" w:sz="4" w:space="0"/>
              <w:right w:val="single" w:color="auto" w:sz="4" w:space="0"/>
            </w:tcBorders>
            <w:noWrap w:val="0"/>
            <w:vAlign w:val="center"/>
          </w:tcPr>
          <w:p w14:paraId="1CEB17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gridSpan w:val="2"/>
            <w:tcBorders>
              <w:top w:val="single" w:color="auto" w:sz="4" w:space="0"/>
              <w:left w:val="single" w:color="auto" w:sz="4" w:space="0"/>
              <w:bottom w:val="single" w:color="auto" w:sz="4" w:space="0"/>
              <w:right w:val="single" w:color="auto" w:sz="4" w:space="0"/>
            </w:tcBorders>
            <w:noWrap w:val="0"/>
            <w:vAlign w:val="center"/>
          </w:tcPr>
          <w:p w14:paraId="1B90C1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14:paraId="7A85F5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314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04E8D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18" w:type="pct"/>
            <w:gridSpan w:val="2"/>
            <w:tcBorders>
              <w:left w:val="single" w:color="auto" w:sz="4" w:space="0"/>
              <w:right w:val="single" w:color="auto" w:sz="4" w:space="0"/>
            </w:tcBorders>
            <w:noWrap w:val="0"/>
            <w:vAlign w:val="center"/>
          </w:tcPr>
          <w:p w14:paraId="3A86A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招标文件要求的商务条款</w:t>
            </w:r>
          </w:p>
        </w:tc>
        <w:tc>
          <w:tcPr>
            <w:tcW w:w="1691" w:type="pct"/>
            <w:gridSpan w:val="2"/>
            <w:tcBorders>
              <w:left w:val="single" w:color="auto" w:sz="4" w:space="0"/>
              <w:right w:val="single" w:color="auto" w:sz="4" w:space="0"/>
            </w:tcBorders>
            <w:noWrap w:val="0"/>
            <w:vAlign w:val="center"/>
          </w:tcPr>
          <w:p w14:paraId="1C4B7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864" w:type="pct"/>
            <w:tcBorders>
              <w:left w:val="single" w:color="auto" w:sz="4" w:space="0"/>
              <w:right w:val="single" w:color="auto" w:sz="4" w:space="0"/>
            </w:tcBorders>
            <w:noWrap w:val="0"/>
            <w:vAlign w:val="center"/>
          </w:tcPr>
          <w:p w14:paraId="1208A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F15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1B2A35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071E3C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35C8F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21CBFF3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889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5624C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4E77A7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78F63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0FECED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4A38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24DBD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1902C1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4AC66F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5AE30F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2F5ED7AA">
      <w:pPr>
        <w:bidi w:val="0"/>
        <w:rPr>
          <w:color w:val="000000" w:themeColor="text1"/>
          <w:highlight w:val="none"/>
          <w:lang w:val="zh-CN"/>
          <w14:textFill>
            <w14:solidFill>
              <w14:schemeClr w14:val="tx1"/>
            </w14:solidFill>
          </w14:textFill>
        </w:rPr>
      </w:pPr>
    </w:p>
    <w:p w14:paraId="6B693BA0">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7262E390">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14:textFill>
            <w14:solidFill>
              <w14:schemeClr w14:val="tx1"/>
            </w14:solidFill>
          </w14:textFill>
        </w:rPr>
        <w:t>如果行数不够，请自行增加。</w:t>
      </w:r>
    </w:p>
    <w:p w14:paraId="5793763C">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针对第四章采购需求的商务部分内容</w:t>
      </w:r>
      <w:r>
        <w:rPr>
          <w:rFonts w:hint="eastAsia"/>
          <w:color w:val="000000" w:themeColor="text1"/>
          <w:highlight w:val="none"/>
          <w:lang w:val="zh-CN"/>
          <w14:textFill>
            <w14:solidFill>
              <w14:schemeClr w14:val="tx1"/>
            </w14:solidFill>
          </w14:textFill>
        </w:rPr>
        <w:t>逐一说明。</w:t>
      </w:r>
    </w:p>
    <w:p w14:paraId="3ADA7DC5">
      <w:pPr>
        <w:bidi w:val="0"/>
        <w:rPr>
          <w:rFonts w:hint="eastAsia"/>
          <w:color w:val="000000" w:themeColor="text1"/>
          <w:highlight w:val="none"/>
          <w:lang w:val="zh-CN"/>
          <w14:textFill>
            <w14:solidFill>
              <w14:schemeClr w14:val="tx1"/>
            </w14:solidFill>
          </w14:textFill>
        </w:rPr>
      </w:pPr>
    </w:p>
    <w:p w14:paraId="1151167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附：证明材料1，证明材料2……（如招标文件要求提供佐证材料的，须将证明材料列于商务条款偏离表之下）</w:t>
      </w:r>
    </w:p>
    <w:p w14:paraId="0766440F">
      <w:pPr>
        <w:bidi w:val="0"/>
        <w:jc w:val="both"/>
        <w:rPr>
          <w:rFonts w:hint="default"/>
          <w:color w:val="000000" w:themeColor="text1"/>
          <w:highlight w:val="none"/>
          <w:lang w:val="en-US" w:eastAsia="zh-CN"/>
          <w14:textFill>
            <w14:solidFill>
              <w14:schemeClr w14:val="tx1"/>
            </w14:solidFill>
          </w14:textFill>
        </w:rPr>
      </w:pPr>
    </w:p>
    <w:p w14:paraId="60A8B400">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18F68C9B">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目录八</w:t>
      </w:r>
      <w:r>
        <w:rPr>
          <w:rFonts w:hint="eastAsia"/>
          <w:color w:val="000000" w:themeColor="text1"/>
          <w:highlight w:val="none"/>
          <w14:textFill>
            <w14:solidFill>
              <w14:schemeClr w14:val="tx1"/>
            </w14:solidFill>
          </w14:textFill>
        </w:rPr>
        <w:t>、政府采购政策功能</w:t>
      </w:r>
    </w:p>
    <w:p w14:paraId="7870C89C">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en-US" w:eastAsia="zh-CN"/>
          <w14:textFill>
            <w14:solidFill>
              <w14:schemeClr w14:val="tx1"/>
            </w14:solidFill>
          </w14:textFill>
        </w:rPr>
        <w:t>）关于符合本国产品标准的声明函</w:t>
      </w:r>
    </w:p>
    <w:p w14:paraId="597D6390">
      <w:pPr>
        <w:bidi w:val="0"/>
        <w:rPr>
          <w:rFonts w:hint="eastAsia"/>
          <w:color w:val="000000" w:themeColor="text1"/>
          <w:highlight w:val="none"/>
          <w:lang w:val="en-US" w:eastAsia="zh-CN"/>
          <w14:textFill>
            <w14:solidFill>
              <w14:schemeClr w14:val="tx1"/>
            </w14:solidFill>
          </w14:textFill>
        </w:rPr>
      </w:pPr>
    </w:p>
    <w:p w14:paraId="66731E9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654AA26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b/>
          <w:bCs/>
          <w:color w:val="000000" w:themeColor="text1"/>
          <w:highlight w:val="none"/>
          <w:u w:val="single"/>
          <w14:textFill>
            <w14:solidFill>
              <w14:schemeClr w14:val="tx1"/>
            </w14:solidFill>
          </w14:textFill>
        </w:rPr>
        <w:t>（产品名称1）</w:t>
      </w:r>
      <w:r>
        <w:rPr>
          <w:rFonts w:hint="eastAsia"/>
          <w:b/>
          <w:bCs/>
          <w:color w:val="000000" w:themeColor="text1"/>
          <w:highlight w:val="none"/>
          <w:u w:val="single"/>
          <w:vertAlign w:val="superscript"/>
          <w14:textFill>
            <w14:solidFill>
              <w14:schemeClr w14:val="tx1"/>
            </w14:solidFill>
          </w14:textFill>
        </w:rPr>
        <w:t>1</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ascii="Times New Roman" w:hAnsi="Times New Roman" w:eastAsia="宋体"/>
          <w:b/>
          <w:bCs/>
          <w:color w:val="000000" w:themeColor="text1"/>
          <w:highlight w:val="none"/>
          <w:u w:val="singl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4</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5</w:t>
      </w:r>
      <w:r>
        <w:rPr>
          <w:rFonts w:hint="eastAsia"/>
          <w:color w:val="000000" w:themeColor="text1"/>
          <w:highlight w:val="none"/>
          <w14:textFill>
            <w14:solidFill>
              <w14:schemeClr w14:val="tx1"/>
            </w14:solidFill>
          </w14:textFill>
        </w:rPr>
        <w:t>在中国境内完成。</w:t>
      </w:r>
    </w:p>
    <w:p w14:paraId="28F648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b/>
          <w:bCs/>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w:t>
      </w:r>
      <w:r>
        <w:rPr>
          <w:rFonts w:hint="eastAsia"/>
          <w:b/>
          <w:bCs/>
          <w:strike/>
          <w:dstrike w:val="0"/>
          <w:color w:val="000000" w:themeColor="text1"/>
          <w:highlight w:val="none"/>
          <w:u w:val="single"/>
          <w:lang w:val="en-US" w:eastAsia="zh-CN"/>
          <w14:textFill>
            <w14:solidFill>
              <w14:schemeClr w14:val="tx1"/>
            </w14:solidFill>
          </w14:textFill>
        </w:rPr>
        <w:t>2</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color w:val="000000" w:themeColor="text1"/>
          <w:highlight w:val="none"/>
          <w14:textFill>
            <w14:solidFill>
              <w14:schemeClr w14:val="tx1"/>
            </w14:solidFill>
          </w14:textFill>
        </w:rPr>
        <w:t>在中国境内完成。</w:t>
      </w:r>
    </w:p>
    <w:p w14:paraId="1CA3DF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47B6C4A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本公司（单位）对上述声明内容的真实性负责。如有虚假，愿承担相应法律责任。</w:t>
      </w:r>
    </w:p>
    <w:p w14:paraId="5237964A">
      <w:pPr>
        <w:bidi w:val="0"/>
        <w:rPr>
          <w:rFonts w:hint="eastAsia"/>
          <w:color w:val="000000" w:themeColor="text1"/>
          <w:highlight w:val="none"/>
          <w14:textFill>
            <w14:solidFill>
              <w14:schemeClr w14:val="tx1"/>
            </w14:solidFill>
          </w14:textFill>
        </w:rPr>
      </w:pPr>
    </w:p>
    <w:p w14:paraId="6B8B6B41">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公司（单位）名称（盖章）：</w:t>
      </w:r>
    </w:p>
    <w:p w14:paraId="33E0D04B">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2D502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__________________</w:t>
      </w:r>
    </w:p>
    <w:p w14:paraId="485902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1.产品如有型号，请在“产品名称”栏一并填写。</w:t>
      </w:r>
    </w:p>
    <w:p w14:paraId="4EE6CB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2.生产厂名与厂址应与生产厂营业执照载明的相关信息保持一致。</w:t>
      </w:r>
    </w:p>
    <w:p w14:paraId="5AEC2C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3.该产品的中国境内生产的组件成本占比相关要求实施前，“规定比例”栏可不填，下同。</w:t>
      </w:r>
    </w:p>
    <w:p w14:paraId="760B0DB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4.该产品的关键组件要求实施前，“关键组件”栏可不填，下同。</w:t>
      </w:r>
    </w:p>
    <w:p w14:paraId="2F448DAA">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5.该产品的关键工序要求实施前，“关键工序”栏可不填，下同。</w:t>
      </w:r>
    </w:p>
    <w:p w14:paraId="0359D4DB">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6.用</w:t>
      </w:r>
      <w:r>
        <w:rPr>
          <w:rFonts w:hint="eastAsia"/>
          <w:color w:val="000000" w:themeColor="text1"/>
          <w:highlight w:val="none"/>
          <w:lang w:val="en-US" w:eastAsia="zh-CN"/>
          <w14:textFill>
            <w14:solidFill>
              <w14:schemeClr w14:val="tx1"/>
            </w14:solidFill>
          </w14:textFill>
        </w:rPr>
        <w:t>删除线</w:t>
      </w:r>
      <w:r>
        <w:rPr>
          <w:rFonts w:hint="eastAsia"/>
          <w:color w:val="000000" w:themeColor="text1"/>
          <w:highlight w:val="none"/>
          <w14:textFill>
            <w14:solidFill>
              <w14:schemeClr w14:val="tx1"/>
            </w14:solidFill>
          </w14:textFill>
        </w:rPr>
        <w:t>划除的地方无需填写。</w:t>
      </w:r>
    </w:p>
    <w:p w14:paraId="78372249">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A9B38F5">
      <w:pPr>
        <w:pStyle w:val="3"/>
        <w:bidi w:val="0"/>
        <w:ind w:left="0" w:leftChars="0" w:firstLine="0" w:firstLineChars="0"/>
        <w:rPr>
          <w:rFonts w:hint="eastAsia" w:eastAsia="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九</w:t>
      </w:r>
      <w:r>
        <w:rPr>
          <w:rFonts w:hint="eastAsia"/>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投标需要的其他证明文件及材料</w:t>
      </w:r>
    </w:p>
    <w:p w14:paraId="21255E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000000" w:themeColor="text1"/>
          <w:highlight w:val="none"/>
          <w:lang w:val="zh-CN"/>
          <w14:textFill>
            <w14:solidFill>
              <w14:schemeClr w14:val="tx1"/>
            </w14:solidFill>
          </w14:textFill>
        </w:rPr>
      </w:pPr>
      <w:r>
        <w:rPr>
          <w:rFonts w:hint="eastAsia" w:ascii="Times New Roman" w:hAnsi="Times New Roman" w:eastAsia="宋体"/>
          <w:color w:val="000000" w:themeColor="text1"/>
          <w:highlight w:val="none"/>
          <w:lang w:val="zh-CN"/>
          <w14:textFill>
            <w14:solidFill>
              <w14:schemeClr w14:val="tx1"/>
            </w14:solidFill>
          </w14:textFill>
        </w:rPr>
        <w:t>投标需要的其他证明文件及材料（若有）</w:t>
      </w:r>
    </w:p>
    <w:p w14:paraId="1787487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br w:type="page"/>
      </w:r>
    </w:p>
    <w:p w14:paraId="63C4A33E">
      <w:pPr>
        <w:pStyle w:val="3"/>
        <w:bidi w:val="0"/>
        <w:ind w:left="0" w:leftChars="0" w:firstLine="0" w:firstLineChars="0"/>
        <w:rPr>
          <w:rFonts w:hint="eastAsia"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eastAsia="宋体" w:cs="Times New Roman"/>
          <w:color w:val="000000" w:themeColor="text1"/>
          <w:highlight w:val="none"/>
          <w14:textFill>
            <w14:solidFill>
              <w14:schemeClr w14:val="tx1"/>
            </w14:solidFill>
          </w14:textFill>
        </w:rPr>
        <w:t>、属于节能、环保产品的证明文件</w:t>
      </w:r>
    </w:p>
    <w:p w14:paraId="32ACF59B">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政府采购执行环保政策情况表</w:t>
      </w:r>
    </w:p>
    <w:p w14:paraId="632838D9">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F9C6D0B">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1B43CF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05205BB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5A2A5971">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2.投标产品属于《环境标志产品政府采购品目清单》（最新一期）内的产品，投标人需提供国家确定的认证机构出具的、处于有效期之内的环境标志产品认证证书，如未提供，将不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5C5E081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16430A95">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631"/>
        <w:gridCol w:w="1713"/>
        <w:gridCol w:w="1475"/>
        <w:gridCol w:w="1806"/>
        <w:gridCol w:w="1606"/>
      </w:tblGrid>
      <w:tr w14:paraId="7BF4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restart"/>
            <w:noWrap w:val="0"/>
            <w:vAlign w:val="center"/>
          </w:tcPr>
          <w:p w14:paraId="0E07551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环境标志产品</w:t>
            </w:r>
          </w:p>
        </w:tc>
        <w:tc>
          <w:tcPr>
            <w:tcW w:w="878" w:type="pct"/>
            <w:noWrap w:val="0"/>
            <w:vAlign w:val="center"/>
          </w:tcPr>
          <w:p w14:paraId="17503AE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2" w:type="pct"/>
            <w:noWrap w:val="0"/>
            <w:vAlign w:val="center"/>
          </w:tcPr>
          <w:p w14:paraId="75768B9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4" w:type="pct"/>
            <w:noWrap w:val="0"/>
            <w:vAlign w:val="center"/>
          </w:tcPr>
          <w:p w14:paraId="5C55D04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2" w:type="pct"/>
            <w:noWrap w:val="0"/>
            <w:vAlign w:val="center"/>
          </w:tcPr>
          <w:p w14:paraId="14631E9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环境标志认证证书编号</w:t>
            </w:r>
          </w:p>
        </w:tc>
        <w:tc>
          <w:tcPr>
            <w:tcW w:w="864" w:type="pct"/>
            <w:noWrap w:val="0"/>
            <w:vAlign w:val="center"/>
          </w:tcPr>
          <w:p w14:paraId="38D2778D">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在《环境标志产品政府采购品目清单》（最新一期）中归属的编码及名称</w:t>
            </w:r>
          </w:p>
        </w:tc>
      </w:tr>
      <w:tr w14:paraId="51C3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40BEE1C5">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DF823B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4069E99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3DE241DA">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594EAE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F2A1B9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65A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01CEF688">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CC039D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0B8FD07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4F484FE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263FF052">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481D16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3840F842">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27D9E3E1">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6AC793EF">
      <w:pPr>
        <w:pStyle w:val="23"/>
        <w:ind w:left="0" w:leftChars="0" w:firstLine="0" w:firstLineChars="0"/>
        <w:outlineLvl w:val="9"/>
        <w:rPr>
          <w:rFonts w:hint="eastAsia" w:ascii="宋体" w:hAnsi="宋体" w:eastAsia="宋体" w:cs="宋体"/>
          <w:b/>
          <w:color w:val="000000" w:themeColor="text1"/>
          <w:kern w:val="0"/>
          <w:sz w:val="32"/>
          <w:highlight w:val="none"/>
          <w14:textFill>
            <w14:solidFill>
              <w14:schemeClr w14:val="tx1"/>
            </w14:solidFill>
          </w14:textFill>
        </w:rPr>
      </w:pPr>
      <w:r>
        <w:rPr>
          <w:rFonts w:hint="eastAsia" w:ascii="宋体" w:hAnsi="宋体" w:eastAsia="宋体" w:cs="宋体"/>
          <w:b/>
          <w:color w:val="000000" w:themeColor="text1"/>
          <w:kern w:val="0"/>
          <w:sz w:val="32"/>
          <w:highlight w:val="none"/>
          <w14:textFill>
            <w14:solidFill>
              <w14:schemeClr w14:val="tx1"/>
            </w14:solidFill>
          </w14:textFill>
        </w:rPr>
        <w:t>环境标志产品认证文件</w:t>
      </w:r>
    </w:p>
    <w:p w14:paraId="19A89B0D">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（提供产品在《环境标志产品政府采购清单》（最新一期）中相应的页面、处于有效期之内的环境标志产品认证证书）</w:t>
      </w:r>
    </w:p>
    <w:p w14:paraId="5CEFBA04">
      <w:pPr>
        <w:pStyle w:val="7"/>
        <w:rPr>
          <w:rFonts w:hint="eastAsia" w:ascii="宋体" w:hAnsi="宋体" w:eastAsia="宋体" w:cs="宋体"/>
          <w:color w:val="000000" w:themeColor="text1"/>
          <w:highlight w:val="none"/>
          <w14:textFill>
            <w14:solidFill>
              <w14:schemeClr w14:val="tx1"/>
            </w14:solidFill>
          </w14:textFill>
        </w:rPr>
      </w:pPr>
    </w:p>
    <w:p w14:paraId="7A0FE8CB">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1D3A2B1">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政府采购执行节能政策情况表</w:t>
      </w:r>
    </w:p>
    <w:p w14:paraId="4D71B1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A65AACF">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047C894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79F2C81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38183A9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2.投标产品属于《节能产品政府采购品目清单》（最新一期）内的产品，供投标人需提供国家确定的认证机构出具的、处于有效期之内的节能产品认证证书，如未提供，将</w:t>
      </w:r>
      <w:r>
        <w:rPr>
          <w:rFonts w:hint="eastAsia" w:ascii="宋体" w:hAnsi="宋体" w:eastAsia="宋体" w:cs="宋体"/>
          <w:color w:val="000000" w:themeColor="text1"/>
          <w:highlight w:val="none"/>
          <w:lang w:eastAsia="zh-CN"/>
          <w14:textFill>
            <w14:solidFill>
              <w14:schemeClr w14:val="tx1"/>
            </w14:solidFill>
          </w14:textFill>
        </w:rPr>
        <w:t>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1EC5E858">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73B7BFC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4.若节能、环境标志产品仅是构成投标产品的部件、组件或零件，则该投标产品不享受鼓励优惠政策。同一认证证书编号的不重复优惠。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639"/>
        <w:gridCol w:w="1719"/>
        <w:gridCol w:w="1485"/>
        <w:gridCol w:w="1812"/>
        <w:gridCol w:w="1609"/>
      </w:tblGrid>
      <w:tr w14:paraId="181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restart"/>
            <w:noWrap w:val="0"/>
            <w:vAlign w:val="center"/>
          </w:tcPr>
          <w:p w14:paraId="45AAC96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节能产品（非强制节能产品）</w:t>
            </w:r>
          </w:p>
        </w:tc>
        <w:tc>
          <w:tcPr>
            <w:tcW w:w="882" w:type="pct"/>
            <w:noWrap w:val="0"/>
            <w:vAlign w:val="center"/>
          </w:tcPr>
          <w:p w14:paraId="75965BA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5" w:type="pct"/>
            <w:noWrap w:val="0"/>
            <w:vAlign w:val="center"/>
          </w:tcPr>
          <w:p w14:paraId="5B3C6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9" w:type="pct"/>
            <w:noWrap w:val="0"/>
            <w:vAlign w:val="center"/>
          </w:tcPr>
          <w:p w14:paraId="6A91361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5" w:type="pct"/>
            <w:noWrap w:val="0"/>
            <w:vAlign w:val="center"/>
          </w:tcPr>
          <w:p w14:paraId="35C742E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节能认证证书编号</w:t>
            </w:r>
          </w:p>
        </w:tc>
        <w:tc>
          <w:tcPr>
            <w:tcW w:w="866" w:type="pct"/>
            <w:noWrap w:val="0"/>
            <w:vAlign w:val="center"/>
          </w:tcPr>
          <w:p w14:paraId="5FF2161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在《节能产品政府采购品目清单》（最新一期）中归属的编码及名称</w:t>
            </w:r>
          </w:p>
        </w:tc>
      </w:tr>
      <w:tr w14:paraId="28BD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3E7AF38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2B42A8D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6FCDD0A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A9398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261EA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0F548CF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0654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2424B72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6859165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2E8E4ED5">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D09FA7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19427040">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39E745E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060516BC">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581E2BDF">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229F4BD8">
      <w:pPr>
        <w:pStyle w:val="24"/>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节能产品认证文件</w:t>
      </w:r>
    </w:p>
    <w:p w14:paraId="1AD8104C">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（提供产品在《节能产品政府采购清单》（最新一期）中相应的页面、处于有效期之内的节能产品认证证书）</w:t>
      </w:r>
    </w:p>
    <w:p w14:paraId="309BDE1A">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EA00E01">
      <w:pPr>
        <w:pStyle w:val="3"/>
        <w:bidi w:val="0"/>
        <w:ind w:left="0" w:leftChars="0" w:firstLine="0" w:firstLineChars="0"/>
        <w:rPr>
          <w:rFonts w:hint="eastAsia"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cs="Times New Roman"/>
          <w:color w:val="000000" w:themeColor="text1"/>
          <w:highlight w:val="none"/>
          <w:lang w:val="en-US" w:eastAsia="zh-CN"/>
          <w14:textFill>
            <w14:solidFill>
              <w14:schemeClr w14:val="tx1"/>
            </w14:solidFill>
          </w14:textFill>
        </w:rPr>
        <w:t>一</w:t>
      </w:r>
      <w:r>
        <w:rPr>
          <w:rFonts w:hint="eastAsia"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实质性要求承诺书格式</w:t>
      </w:r>
    </w:p>
    <w:p w14:paraId="616699A6">
      <w:pPr>
        <w:bidi w:val="0"/>
        <w:rPr>
          <w:rFonts w:hint="default"/>
          <w:b/>
          <w:bCs/>
          <w:i/>
          <w:iCs/>
          <w:color w:val="000000" w:themeColor="text1"/>
          <w:highlight w:val="none"/>
          <w:lang w:val="en-US" w:eastAsia="zh-CN"/>
          <w14:textFill>
            <w14:solidFill>
              <w14:schemeClr w14:val="tx1"/>
            </w14:solidFill>
          </w14:textFill>
        </w:rPr>
      </w:pPr>
      <w:r>
        <w:rPr>
          <w:rFonts w:hint="eastAsia"/>
          <w:b/>
          <w:bCs/>
          <w:i/>
          <w:iCs/>
          <w:color w:val="000000" w:themeColor="text1"/>
          <w:highlight w:val="none"/>
          <w:lang w:val="en-US" w:eastAsia="zh-CN"/>
          <w14:textFill>
            <w14:solidFill>
              <w14:schemeClr w14:val="tx1"/>
            </w14:solidFill>
          </w14:textFill>
        </w:rPr>
        <w:t>以下格式仅供投标人编制投标文件时参考，请投标人综合考虑招标文件的要求及实际情况，完善和补充相关内容。因相关材料内容不符合招标文件实质性要求，造成无效投标的，责任由投标人自行承担。</w:t>
      </w:r>
    </w:p>
    <w:p w14:paraId="6DD4CC1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关于板材检测的承诺书</w:t>
      </w:r>
    </w:p>
    <w:p w14:paraId="70B35C2B">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43A6E1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888D3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我公司须提供板材有害物质及环保等级的检测报告，检测前通知采购人代表参与：</w:t>
      </w:r>
    </w:p>
    <w:p w14:paraId="211B03C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①合同签订后我公司随即采购本项目所涉及到的板材，板材到达我公司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仓库后，第一时间通知采购人，由采购人代表及我公司代表见证下，随机抽取一块或多块板材经双方代表签字后，送至南京市产品质量监督检验院或江苏省产品质量监督检验研究院进行甲醛等有害物检测。</w:t>
      </w:r>
    </w:p>
    <w:p w14:paraId="282D36A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家具生产完毕后，按要求送到安装地点，由采购人代表及我公司代表见证下，对送达安装地点的板材，随机抽取一块或多块板材经双方代表签字后，送至南京市产品质量监督检验院或江苏省产品质量监督检验研究院进行甲醛等有害物检测。</w:t>
      </w:r>
    </w:p>
    <w:p w14:paraId="5869F08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③所有家具全部安装完毕后，由采购人代表及我公司代表见证下，对任意房间的家具板材随机抽取一块或多块板材经双方代表签字后，送至南京市产品质量监督检验院或江苏省产品质量监督检验研究院进行甲醛等有害物检测。</w:t>
      </w:r>
    </w:p>
    <w:p w14:paraId="6E82E8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1FEEAA4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6E84E7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7936C323">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C43F70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5FDFF5CB">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关于所投产品所依据的各项具体标准编号及名称的说明及承诺书</w:t>
      </w:r>
    </w:p>
    <w:p w14:paraId="71B496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102673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881AEF1">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所投产品所依据的各项具体标准编号及名称如下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494"/>
        <w:gridCol w:w="5588"/>
      </w:tblGrid>
      <w:tr w14:paraId="01C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1875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1343" w:type="pct"/>
            <w:vAlign w:val="center"/>
          </w:tcPr>
          <w:p w14:paraId="061BC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3009" w:type="pct"/>
            <w:vAlign w:val="center"/>
          </w:tcPr>
          <w:p w14:paraId="3ED21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标准编号及标准名称</w:t>
            </w:r>
          </w:p>
        </w:tc>
      </w:tr>
      <w:tr w14:paraId="257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08624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1343" w:type="pct"/>
            <w:vAlign w:val="center"/>
          </w:tcPr>
          <w:p w14:paraId="572A940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3009" w:type="pct"/>
            <w:vAlign w:val="center"/>
          </w:tcPr>
          <w:p w14:paraId="4CFBE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004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1888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1343" w:type="pct"/>
            <w:vAlign w:val="center"/>
          </w:tcPr>
          <w:p w14:paraId="2C59B90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3009" w:type="pct"/>
            <w:vAlign w:val="center"/>
          </w:tcPr>
          <w:p w14:paraId="72946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572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7896A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1343" w:type="pct"/>
            <w:vAlign w:val="center"/>
          </w:tcPr>
          <w:p w14:paraId="30CC58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3009" w:type="pct"/>
            <w:vAlign w:val="center"/>
          </w:tcPr>
          <w:p w14:paraId="31412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0CF4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5806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1343" w:type="pct"/>
            <w:vAlign w:val="center"/>
          </w:tcPr>
          <w:p w14:paraId="6A08300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3009" w:type="pct"/>
            <w:vAlign w:val="center"/>
          </w:tcPr>
          <w:p w14:paraId="52A19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17C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4CC4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1343" w:type="pct"/>
            <w:vAlign w:val="center"/>
          </w:tcPr>
          <w:p w14:paraId="23B4733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3009" w:type="pct"/>
            <w:vAlign w:val="center"/>
          </w:tcPr>
          <w:p w14:paraId="588E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0E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7114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1343" w:type="pct"/>
            <w:vAlign w:val="center"/>
          </w:tcPr>
          <w:p w14:paraId="59CF038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3009" w:type="pct"/>
            <w:vAlign w:val="center"/>
          </w:tcPr>
          <w:p w14:paraId="11C19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2D2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4248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1343" w:type="pct"/>
            <w:vAlign w:val="center"/>
          </w:tcPr>
          <w:p w14:paraId="62750B5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3009" w:type="pct"/>
            <w:vAlign w:val="center"/>
          </w:tcPr>
          <w:p w14:paraId="7C44B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E47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EBBE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1343" w:type="pct"/>
            <w:vAlign w:val="center"/>
          </w:tcPr>
          <w:p w14:paraId="71F3EFD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3009" w:type="pct"/>
            <w:vAlign w:val="center"/>
          </w:tcPr>
          <w:p w14:paraId="51269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06D7EC3C">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我公司承诺，如中标本项目，上述所投产品所依据的各项具体标准编号及名称</w:t>
      </w:r>
      <w:r>
        <w:rPr>
          <w:rFonts w:hint="eastAsia" w:ascii="宋体" w:hAnsi="宋体" w:eastAsia="宋体" w:cs="宋体"/>
          <w:color w:val="000000" w:themeColor="text1"/>
          <w:highlight w:val="none"/>
          <w14:textFill>
            <w14:solidFill>
              <w14:schemeClr w14:val="tx1"/>
            </w14:solidFill>
          </w14:textFill>
        </w:rPr>
        <w:t>将构成合同不可分割的一部分</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我公司将严格执行相关标准要求。</w:t>
      </w:r>
    </w:p>
    <w:p w14:paraId="2B4F0F4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2E6A064">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746EE9">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851C5B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3B2404C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w:t>
      </w:r>
      <w:r>
        <w:rPr>
          <w:rFonts w:hint="eastAsia" w:ascii="宋体" w:hAnsi="宋体" w:eastAsia="宋体" w:cs="宋体"/>
          <w:b/>
          <w:bCs/>
          <w:color w:val="000000" w:themeColor="text1"/>
          <w:highlight w:val="none"/>
          <w14:textFill>
            <w14:solidFill>
              <w14:schemeClr w14:val="tx1"/>
            </w14:solidFill>
          </w14:textFill>
        </w:rPr>
        <w:t>关键节点供货期</w:t>
      </w:r>
      <w:r>
        <w:rPr>
          <w:rFonts w:hint="eastAsia"/>
          <w:b/>
          <w:bCs/>
          <w:color w:val="000000" w:themeColor="text1"/>
          <w:highlight w:val="none"/>
          <w:lang w:val="en-US" w:eastAsia="zh-CN"/>
          <w14:textFill>
            <w14:solidFill>
              <w14:schemeClr w14:val="tx1"/>
            </w14:solidFill>
          </w14:textFill>
        </w:rPr>
        <w:t>的</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b/>
          <w:bCs/>
          <w:color w:val="000000" w:themeColor="text1"/>
          <w:highlight w:val="none"/>
          <w:lang w:val="en-US" w:eastAsia="zh-CN"/>
          <w14:textFill>
            <w14:solidFill>
              <w14:schemeClr w14:val="tx1"/>
            </w14:solidFill>
          </w14:textFill>
        </w:rPr>
        <w:t>及</w:t>
      </w:r>
      <w:r>
        <w:rPr>
          <w:rFonts w:hint="eastAsia" w:ascii="宋体" w:hAnsi="宋体" w:eastAsia="宋体" w:cs="宋体"/>
          <w:b/>
          <w:bCs/>
          <w:color w:val="000000" w:themeColor="text1"/>
          <w:highlight w:val="none"/>
          <w14:textFill>
            <w14:solidFill>
              <w14:schemeClr w14:val="tx1"/>
            </w14:solidFill>
          </w14:textFill>
        </w:rPr>
        <w:t>《节点供货期承诺书》</w:t>
      </w:r>
    </w:p>
    <w:p w14:paraId="776B257F">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512C34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609DC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针对本项目的供货期要求作出如下《项目实施进度计划表》</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03703A">
      <w:pPr>
        <w:bidi w:val="0"/>
        <w:rPr>
          <w:rFonts w:hint="eastAsia"/>
          <w:color w:val="000000" w:themeColor="text1"/>
          <w:highlight w:val="none"/>
          <w:lang w:val="en-US" w:eastAsia="zh-CN"/>
          <w14:textFill>
            <w14:solidFill>
              <w14:schemeClr w14:val="tx1"/>
            </w14:solidFill>
          </w14:textFill>
        </w:rPr>
      </w:pPr>
    </w:p>
    <w:p w14:paraId="7CA1C7B2">
      <w:pPr>
        <w:bidi w:val="0"/>
        <w:rPr>
          <w:rFonts w:hint="eastAsia"/>
          <w:color w:val="000000" w:themeColor="text1"/>
          <w:highlight w:val="none"/>
          <w:lang w:val="en-US" w:eastAsia="zh-CN"/>
          <w14:textFill>
            <w14:solidFill>
              <w14:schemeClr w14:val="tx1"/>
            </w14:solidFill>
          </w14:textFill>
        </w:rPr>
      </w:pPr>
    </w:p>
    <w:p w14:paraId="7B194C22">
      <w:pPr>
        <w:bidi w:val="0"/>
        <w:rPr>
          <w:rFonts w:hint="eastAsia"/>
          <w:color w:val="000000" w:themeColor="text1"/>
          <w:highlight w:val="none"/>
          <w:lang w:val="en-US" w:eastAsia="zh-CN"/>
          <w14:textFill>
            <w14:solidFill>
              <w14:schemeClr w14:val="tx1"/>
            </w14:solidFill>
          </w14:textFill>
        </w:rPr>
      </w:pPr>
    </w:p>
    <w:p w14:paraId="74C5DAE0">
      <w:pPr>
        <w:bidi w:val="0"/>
        <w:rPr>
          <w:rFonts w:hint="eastAsia"/>
          <w:color w:val="000000" w:themeColor="text1"/>
          <w:highlight w:val="none"/>
          <w:lang w:val="en-US" w:eastAsia="zh-CN"/>
          <w14:textFill>
            <w14:solidFill>
              <w14:schemeClr w14:val="tx1"/>
            </w14:solidFill>
          </w14:textFill>
        </w:rPr>
      </w:pPr>
    </w:p>
    <w:p w14:paraId="4C606D12">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2.我公司承诺针对本项目的供货期要求作出如下节点供货期承诺：</w:t>
      </w:r>
    </w:p>
    <w:p w14:paraId="1F327B0B">
      <w:pPr>
        <w:bidi w:val="0"/>
        <w:rPr>
          <w:rFonts w:hint="eastAsia"/>
          <w:color w:val="000000" w:themeColor="text1"/>
          <w:highlight w:val="none"/>
          <w:lang w:val="en-US" w:eastAsia="zh-CN"/>
          <w14:textFill>
            <w14:solidFill>
              <w14:schemeClr w14:val="tx1"/>
            </w14:solidFill>
          </w14:textFill>
        </w:rPr>
      </w:pPr>
    </w:p>
    <w:p w14:paraId="25A513F2">
      <w:pPr>
        <w:bidi w:val="0"/>
        <w:rPr>
          <w:rFonts w:hint="eastAsia"/>
          <w:color w:val="000000" w:themeColor="text1"/>
          <w:highlight w:val="none"/>
          <w:lang w:val="en-US" w:eastAsia="zh-CN"/>
          <w14:textFill>
            <w14:solidFill>
              <w14:schemeClr w14:val="tx1"/>
            </w14:solidFill>
          </w14:textFill>
        </w:rPr>
      </w:pPr>
    </w:p>
    <w:p w14:paraId="00BAD62B">
      <w:pPr>
        <w:bidi w:val="0"/>
        <w:rPr>
          <w:rFonts w:hint="eastAsia"/>
          <w:color w:val="000000" w:themeColor="text1"/>
          <w:highlight w:val="none"/>
          <w:lang w:val="en-US" w:eastAsia="zh-CN"/>
          <w14:textFill>
            <w14:solidFill>
              <w14:schemeClr w14:val="tx1"/>
            </w14:solidFill>
          </w14:textFill>
        </w:rPr>
      </w:pPr>
    </w:p>
    <w:p w14:paraId="1A500047">
      <w:pPr>
        <w:bidi w:val="0"/>
        <w:rPr>
          <w:rFonts w:hint="default"/>
          <w:color w:val="000000" w:themeColor="text1"/>
          <w:highlight w:val="none"/>
          <w:lang w:val="en-US" w:eastAsia="zh-CN"/>
          <w14:textFill>
            <w14:solidFill>
              <w14:schemeClr w14:val="tx1"/>
            </w14:solidFill>
          </w14:textFill>
        </w:rPr>
      </w:pPr>
    </w:p>
    <w:p w14:paraId="7D78BEEF">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3.我公司承诺</w:t>
      </w:r>
      <w:r>
        <w:rPr>
          <w:rFonts w:hint="eastAsia" w:ascii="宋体" w:hAnsi="宋体" w:cs="宋体"/>
          <w:color w:val="000000" w:themeColor="text1"/>
          <w:highlight w:val="none"/>
          <w:lang w:val="en-US" w:eastAsia="zh-CN"/>
          <w14:textFill>
            <w14:solidFill>
              <w14:schemeClr w14:val="tx1"/>
            </w14:solidFill>
          </w14:textFill>
        </w:rPr>
        <w:t>在2026年8月1日前完成本项目所采购全部货物的生产，并送至存放仓库，</w:t>
      </w:r>
      <w:r>
        <w:rPr>
          <w:rFonts w:hint="eastAsia" w:ascii="Times New Roman" w:hAnsi="Times New Roman" w:eastAsia="宋体"/>
          <w:color w:val="000000" w:themeColor="text1"/>
          <w:highlight w:val="none"/>
          <w:lang w:val="en-US" w:eastAsia="zh-CN"/>
          <w14:textFill>
            <w14:solidFill>
              <w14:schemeClr w14:val="tx1"/>
            </w14:solidFill>
          </w14:textFill>
        </w:rPr>
        <w:t>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w:t>
      </w:r>
    </w:p>
    <w:p w14:paraId="7B0DE91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9B2E71">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30C1AC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60AF7EC8">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关于生产厂家和生产场地的详细地址及存放本次采购项目所涉及货物的仓库地址的</w:t>
      </w:r>
      <w:r>
        <w:rPr>
          <w:rFonts w:hint="eastAsia" w:ascii="宋体" w:hAnsi="宋体" w:eastAsia="宋体" w:cs="宋体"/>
          <w:b/>
          <w:bCs/>
          <w:color w:val="000000" w:themeColor="text1"/>
          <w:highlight w:val="none"/>
          <w14:textFill>
            <w14:solidFill>
              <w14:schemeClr w14:val="tx1"/>
            </w14:solidFill>
          </w14:textFill>
        </w:rPr>
        <w:t>承诺书</w:t>
      </w:r>
    </w:p>
    <w:p w14:paraId="10D26BC3">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D7344A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FCBADB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所投产品生产厂家和生产场地的详细地址如下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57"/>
        <w:gridCol w:w="3490"/>
        <w:gridCol w:w="3490"/>
      </w:tblGrid>
      <w:tr w14:paraId="2697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FA1F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838" w:type="pct"/>
            <w:vAlign w:val="center"/>
          </w:tcPr>
          <w:p w14:paraId="15BD0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1878" w:type="pct"/>
            <w:vAlign w:val="center"/>
          </w:tcPr>
          <w:p w14:paraId="66B38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生产厂家</w:t>
            </w:r>
          </w:p>
        </w:tc>
        <w:tc>
          <w:tcPr>
            <w:tcW w:w="1878" w:type="pct"/>
            <w:vAlign w:val="center"/>
          </w:tcPr>
          <w:p w14:paraId="509EC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生产场地</w:t>
            </w:r>
          </w:p>
        </w:tc>
      </w:tr>
      <w:tr w14:paraId="407B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C3E6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838" w:type="pct"/>
            <w:vAlign w:val="center"/>
          </w:tcPr>
          <w:p w14:paraId="30CE6A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1878" w:type="pct"/>
            <w:vAlign w:val="center"/>
          </w:tcPr>
          <w:p w14:paraId="767C7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1217B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C7F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5EF7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838" w:type="pct"/>
            <w:vAlign w:val="center"/>
          </w:tcPr>
          <w:p w14:paraId="79A99D8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1878" w:type="pct"/>
            <w:vAlign w:val="center"/>
          </w:tcPr>
          <w:p w14:paraId="43598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1B35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7985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29AEA6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838" w:type="pct"/>
            <w:vAlign w:val="center"/>
          </w:tcPr>
          <w:p w14:paraId="4DB9AA2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1878" w:type="pct"/>
            <w:vAlign w:val="center"/>
          </w:tcPr>
          <w:p w14:paraId="63C0C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B3B7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21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C0A3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838" w:type="pct"/>
            <w:vAlign w:val="center"/>
          </w:tcPr>
          <w:p w14:paraId="0E1AB37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1878" w:type="pct"/>
            <w:vAlign w:val="center"/>
          </w:tcPr>
          <w:p w14:paraId="06DC7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61EBB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5D8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A7A6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838" w:type="pct"/>
            <w:vAlign w:val="center"/>
          </w:tcPr>
          <w:p w14:paraId="2FAD1D5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1878" w:type="pct"/>
            <w:vAlign w:val="center"/>
          </w:tcPr>
          <w:p w14:paraId="4402A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3435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B4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27FB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838" w:type="pct"/>
            <w:vAlign w:val="center"/>
          </w:tcPr>
          <w:p w14:paraId="0ABAD33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1878" w:type="pct"/>
            <w:vAlign w:val="center"/>
          </w:tcPr>
          <w:p w14:paraId="7ADFB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4F96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68C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1D861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838" w:type="pct"/>
            <w:vAlign w:val="center"/>
          </w:tcPr>
          <w:p w14:paraId="2B0126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1878" w:type="pct"/>
            <w:vAlign w:val="center"/>
          </w:tcPr>
          <w:p w14:paraId="002E2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0983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E2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A741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838" w:type="pct"/>
            <w:vAlign w:val="center"/>
          </w:tcPr>
          <w:p w14:paraId="6AD4D8E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1878" w:type="pct"/>
            <w:vAlign w:val="center"/>
          </w:tcPr>
          <w:p w14:paraId="42CD0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7A06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48382B39">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存放本次采购项目所涉及</w:t>
      </w:r>
      <w:r>
        <w:rPr>
          <w:rFonts w:hint="eastAsia"/>
          <w:color w:val="000000" w:themeColor="text1"/>
          <w:highlight w:val="none"/>
          <w:lang w:val="en-US" w:eastAsia="zh-CN"/>
          <w14:textFill>
            <w14:solidFill>
              <w14:schemeClr w14:val="tx1"/>
            </w14:solidFill>
          </w14:textFill>
        </w:rPr>
        <w:t>货物</w:t>
      </w:r>
      <w:r>
        <w:rPr>
          <w:rFonts w:hint="eastAsia" w:ascii="Times New Roman" w:hAnsi="Times New Roman" w:eastAsia="宋体"/>
          <w:color w:val="000000" w:themeColor="text1"/>
          <w:highlight w:val="none"/>
          <w:lang w:val="en-US" w:eastAsia="zh-CN"/>
          <w14:textFill>
            <w14:solidFill>
              <w14:schemeClr w14:val="tx1"/>
            </w14:solidFill>
          </w14:textFill>
        </w:rPr>
        <w:t>的仓库地址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p>
    <w:p w14:paraId="5FCA292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w:t>
      </w:r>
      <w:r>
        <w:rPr>
          <w:rFonts w:hint="eastAsia" w:ascii="Times New Roman" w:hAnsi="Times New Roman" w:eastAsia="宋体"/>
          <w:color w:val="000000" w:themeColor="text1"/>
          <w:highlight w:val="none"/>
          <w:lang w:val="en-US" w:eastAsia="zh-CN"/>
          <w14:textFill>
            <w14:solidFill>
              <w14:schemeClr w14:val="tx1"/>
            </w14:solidFill>
          </w14:textFill>
        </w:rPr>
        <w:t>如采购人发现所承诺地址与实际地址不符，采购人有权终止合同，并要求</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给予中标金额10%的赔偿；</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承诺采购人有权在生产和存储过程中随时前往对应地址核查生产和存放情况。</w:t>
      </w:r>
    </w:p>
    <w:p w14:paraId="2DE68F0E">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AE51B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39CEB38">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04BC680F">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关于高架床（形态转换）特殊要求的</w:t>
      </w:r>
      <w:r>
        <w:rPr>
          <w:rFonts w:hint="eastAsia" w:ascii="宋体" w:hAnsi="宋体" w:eastAsia="宋体" w:cs="宋体"/>
          <w:b/>
          <w:bCs/>
          <w:color w:val="000000" w:themeColor="text1"/>
          <w:highlight w:val="none"/>
          <w14:textFill>
            <w14:solidFill>
              <w14:schemeClr w14:val="tx1"/>
            </w14:solidFill>
          </w14:textFill>
        </w:rPr>
        <w:t>承诺书</w:t>
      </w:r>
    </w:p>
    <w:p w14:paraId="6D0FC97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DA395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48EB97C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高架床采用模块化、可转换设计。其主体结构（如边立柱、中立柱、横梁、护栏）应具备在未来不更换主体框架的前提下，通过增减或调整部分组件（如床板支撑、爬梯），即可安全、稳固地转换为标准双层床（两铺位）的潜力。</w:t>
      </w:r>
    </w:p>
    <w:p w14:paraId="31B8D80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承诺在质保期内提供相应的转换组件及技术服务。</w:t>
      </w:r>
    </w:p>
    <w:p w14:paraId="4B78150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3.可转换设计方案及示意图如下：</w:t>
      </w:r>
    </w:p>
    <w:p w14:paraId="7C1637CC">
      <w:pPr>
        <w:bidi w:val="0"/>
        <w:rPr>
          <w:rFonts w:hint="default"/>
          <w:color w:val="000000" w:themeColor="text1"/>
          <w:highlight w:val="none"/>
          <w:lang w:val="en-US" w:eastAsia="zh-CN"/>
          <w14:textFill>
            <w14:solidFill>
              <w14:schemeClr w14:val="tx1"/>
            </w14:solidFill>
          </w14:textFill>
        </w:rPr>
      </w:pPr>
    </w:p>
    <w:p w14:paraId="59BAFDC5">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DD917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DF2599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4E814130">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关于宿舍间家具调配服务的</w:t>
      </w:r>
      <w:r>
        <w:rPr>
          <w:rFonts w:hint="eastAsia" w:ascii="宋体" w:hAnsi="宋体" w:eastAsia="宋体" w:cs="宋体"/>
          <w:b/>
          <w:bCs/>
          <w:color w:val="000000" w:themeColor="text1"/>
          <w:highlight w:val="none"/>
          <w14:textFill>
            <w14:solidFill>
              <w14:schemeClr w14:val="tx1"/>
            </w14:solidFill>
          </w14:textFill>
        </w:rPr>
        <w:t>承诺书</w:t>
      </w:r>
    </w:p>
    <w:p w14:paraId="5B8B7A8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0DFA01F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0F5F9B">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为保障学校在2026年秋季学期开学前后对学生宿舍资源的统筹安排，在项目实施期间免费提供宿舍间家具调配服务。</w:t>
      </w:r>
    </w:p>
    <w:p w14:paraId="529A7133">
      <w:pPr>
        <w:bidi w:val="0"/>
        <w:rPr>
          <w:rFonts w:hint="default"/>
          <w:color w:val="000000" w:themeColor="text1"/>
          <w:highlight w:val="none"/>
          <w:lang w:val="en-US" w:eastAsia="zh-CN"/>
          <w14:textFill>
            <w14:solidFill>
              <w14:schemeClr w14:val="tx1"/>
            </w14:solidFill>
          </w14:textFill>
        </w:rPr>
      </w:pPr>
    </w:p>
    <w:p w14:paraId="61308527">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4B9F8A3F">
      <w:pPr>
        <w:bidi w:val="0"/>
        <w:jc w:val="right"/>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91C0ED0">
      <w:pPr>
        <w:pStyle w:val="7"/>
        <w:ind w:left="0" w:leftChars="0" w:firstLine="0" w:firstLineChars="0"/>
        <w:rPr>
          <w:rFonts w:hint="default" w:ascii="宋体" w:hAnsi="宋体" w:eastAsia="宋体" w:cs="宋体"/>
          <w:color w:val="000000" w:themeColor="text1"/>
          <w:highlight w:val="none"/>
          <w:lang w:val="en-US" w:eastAsia="zh-CN"/>
          <w14:textFill>
            <w14:solidFill>
              <w14:schemeClr w14:val="tx1"/>
            </w14:solidFill>
          </w14:textFill>
        </w:rPr>
      </w:pPr>
    </w:p>
    <w:sectPr>
      <w:headerReference r:id="rId5" w:type="default"/>
      <w:footerReference r:id="rId6" w:type="default"/>
      <w:pgSz w:w="11906" w:h="16838"/>
      <w:pgMar w:top="1417" w:right="1417" w:bottom="1417" w:left="1417"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7C18">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4Ji04AgAAcA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ngmLTgCAABwBAAADgAAAAAAAAABACAAAAAfAQAAZHJzL2Uyb0RvYy54&#10;bWxQSwUGAAAAAAYABgBZAQAAyQUAAAAA&#10;">
              <v:fill on="f" focussize="0,0"/>
              <v:stroke on="f" weight="0.5pt"/>
              <v:imagedata o:title=""/>
              <o:lock v:ext="edit" aspectratio="f"/>
              <v:textbox inset="0mm,0mm,0mm,0mm" style="mso-fit-shape-to-text:t;">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0DD3">
    <w:pPr>
      <w:pStyle w:val="11"/>
      <w:ind w:left="0" w:leftChars="0" w:firstLine="0" w:firstLineChars="0"/>
      <w:jc w:val="left"/>
    </w:pPr>
    <w:r>
      <w:drawing>
        <wp:inline distT="0" distB="0" distL="114300" distR="114300">
          <wp:extent cx="1377315" cy="238760"/>
          <wp:effectExtent l="0" t="0" r="0" b="0"/>
          <wp:docPr id="14" name="图片 1" descr="c826bae80687e3a7b3b8bc243736336"/>
          <wp:cNvGraphicFramePr/>
          <a:graphic xmlns:a="http://schemas.openxmlformats.org/drawingml/2006/main">
            <a:graphicData uri="http://schemas.openxmlformats.org/drawingml/2006/picture">
              <pic:pic xmlns:pic="http://schemas.openxmlformats.org/drawingml/2006/picture">
                <pic:nvPicPr>
                  <pic:cNvPr id="14" name="图片 1" descr="c826bae80687e3a7b3b8bc243736336"/>
                  <pic:cNvPicPr/>
                </pic:nvPicPr>
                <pic:blipFill>
                  <a:blip r:embed="rId1"/>
                  <a:stretch>
                    <a:fillRect/>
                  </a:stretch>
                </pic:blipFill>
                <pic:spPr>
                  <a:xfrm>
                    <a:off x="0" y="0"/>
                    <a:ext cx="1377315" cy="2387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ascii="微软雅黑" w:hAnsi="微软雅黑" w:eastAsia="微软雅黑"/>
        <w:b/>
        <w:bCs/>
        <w:sz w:val="21"/>
        <w:szCs w:val="21"/>
      </w:rPr>
      <w:t>认真 高效 廉洁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4"/>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77A80"/>
    <w:rsid w:val="02086BA2"/>
    <w:rsid w:val="02430C2B"/>
    <w:rsid w:val="02B40E52"/>
    <w:rsid w:val="02FB55B4"/>
    <w:rsid w:val="04430F2A"/>
    <w:rsid w:val="04814C4D"/>
    <w:rsid w:val="05600E1D"/>
    <w:rsid w:val="05E45E21"/>
    <w:rsid w:val="08A7655C"/>
    <w:rsid w:val="08F935C9"/>
    <w:rsid w:val="0D2D1ACC"/>
    <w:rsid w:val="0E742256"/>
    <w:rsid w:val="0F0F0859"/>
    <w:rsid w:val="0FAE772A"/>
    <w:rsid w:val="101C5B14"/>
    <w:rsid w:val="102659DB"/>
    <w:rsid w:val="10916E16"/>
    <w:rsid w:val="11785740"/>
    <w:rsid w:val="1620036C"/>
    <w:rsid w:val="1A102318"/>
    <w:rsid w:val="1BBE30EE"/>
    <w:rsid w:val="1BF40817"/>
    <w:rsid w:val="1D056901"/>
    <w:rsid w:val="1DA14C96"/>
    <w:rsid w:val="1E122A78"/>
    <w:rsid w:val="1EA25BAA"/>
    <w:rsid w:val="1EA633DC"/>
    <w:rsid w:val="1F4C5B16"/>
    <w:rsid w:val="20456BFF"/>
    <w:rsid w:val="21112BDA"/>
    <w:rsid w:val="21DC5C20"/>
    <w:rsid w:val="225547B6"/>
    <w:rsid w:val="226B2757"/>
    <w:rsid w:val="22D302BB"/>
    <w:rsid w:val="241D1AAA"/>
    <w:rsid w:val="246650C5"/>
    <w:rsid w:val="24D665AE"/>
    <w:rsid w:val="25C22AD8"/>
    <w:rsid w:val="273C56F9"/>
    <w:rsid w:val="277C060A"/>
    <w:rsid w:val="28186C82"/>
    <w:rsid w:val="28B44E58"/>
    <w:rsid w:val="2AD901D4"/>
    <w:rsid w:val="2ECD5123"/>
    <w:rsid w:val="310A0D01"/>
    <w:rsid w:val="31C91528"/>
    <w:rsid w:val="33C12A99"/>
    <w:rsid w:val="35CC0114"/>
    <w:rsid w:val="361138EA"/>
    <w:rsid w:val="362969A9"/>
    <w:rsid w:val="3755217F"/>
    <w:rsid w:val="37F1421F"/>
    <w:rsid w:val="38F23743"/>
    <w:rsid w:val="3A033BAA"/>
    <w:rsid w:val="3ADD68DE"/>
    <w:rsid w:val="3BB50CB8"/>
    <w:rsid w:val="3C8B19AD"/>
    <w:rsid w:val="3EE15E23"/>
    <w:rsid w:val="413D29C9"/>
    <w:rsid w:val="42954BE0"/>
    <w:rsid w:val="437D0BB7"/>
    <w:rsid w:val="448025FD"/>
    <w:rsid w:val="472263BA"/>
    <w:rsid w:val="481F1C5E"/>
    <w:rsid w:val="482A79F0"/>
    <w:rsid w:val="487813F3"/>
    <w:rsid w:val="4A954692"/>
    <w:rsid w:val="4AF22A01"/>
    <w:rsid w:val="4DF1278B"/>
    <w:rsid w:val="4FA03DFE"/>
    <w:rsid w:val="50FE26E6"/>
    <w:rsid w:val="51EA1D46"/>
    <w:rsid w:val="53C02909"/>
    <w:rsid w:val="54522D0A"/>
    <w:rsid w:val="55F83D27"/>
    <w:rsid w:val="57561AF8"/>
    <w:rsid w:val="5B630C7D"/>
    <w:rsid w:val="5B7111D5"/>
    <w:rsid w:val="5B8A693E"/>
    <w:rsid w:val="5BCD3907"/>
    <w:rsid w:val="5E525127"/>
    <w:rsid w:val="5FE84E0C"/>
    <w:rsid w:val="5FF422AB"/>
    <w:rsid w:val="60204DC3"/>
    <w:rsid w:val="60C767CF"/>
    <w:rsid w:val="61DF3A9F"/>
    <w:rsid w:val="62DA03A5"/>
    <w:rsid w:val="631105C3"/>
    <w:rsid w:val="64794142"/>
    <w:rsid w:val="64CB576C"/>
    <w:rsid w:val="658A63AE"/>
    <w:rsid w:val="65B37FBC"/>
    <w:rsid w:val="667D410E"/>
    <w:rsid w:val="668B794B"/>
    <w:rsid w:val="68416D2E"/>
    <w:rsid w:val="68FA14F7"/>
    <w:rsid w:val="69D72936"/>
    <w:rsid w:val="6AC90043"/>
    <w:rsid w:val="6D66346F"/>
    <w:rsid w:val="6E527367"/>
    <w:rsid w:val="6E8B4399"/>
    <w:rsid w:val="6F540CD9"/>
    <w:rsid w:val="6FA70D6D"/>
    <w:rsid w:val="6FC07770"/>
    <w:rsid w:val="702567A2"/>
    <w:rsid w:val="70761190"/>
    <w:rsid w:val="70F10AD9"/>
    <w:rsid w:val="711C5003"/>
    <w:rsid w:val="72D21A65"/>
    <w:rsid w:val="74F95D5F"/>
    <w:rsid w:val="7519765C"/>
    <w:rsid w:val="76814DD7"/>
    <w:rsid w:val="77E81619"/>
    <w:rsid w:val="7863107C"/>
    <w:rsid w:val="7BBB7D3C"/>
    <w:rsid w:val="7D5D1A2F"/>
    <w:rsid w:val="7D6D6DD4"/>
    <w:rsid w:val="7E51010F"/>
    <w:rsid w:val="7EB21CF7"/>
    <w:rsid w:val="7F374A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left"/>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100" w:afterLines="0" w:afterAutospacing="0" w:line="240" w:lineRule="auto"/>
      <w:ind w:firstLine="0" w:firstLineChars="0"/>
      <w:jc w:val="center"/>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宋体"/>
      <w:b/>
      <w:sz w:val="24"/>
    </w:rPr>
  </w:style>
  <w:style w:type="paragraph" w:styleId="4">
    <w:name w:val="heading 4"/>
    <w:basedOn w:val="1"/>
    <w:next w:val="1"/>
    <w:qFormat/>
    <w:uiPriority w:val="99"/>
    <w:pPr>
      <w:keepNext/>
      <w:keepLines/>
      <w:numPr>
        <w:ilvl w:val="3"/>
        <w:numId w:val="1"/>
      </w:numPr>
      <w:spacing w:before="280" w:after="290" w:line="376" w:lineRule="auto"/>
      <w:outlineLvl w:val="3"/>
    </w:pPr>
    <w:rPr>
      <w:rFonts w:ascii="Cambria" w:hAnsi="Cambria"/>
      <w:b/>
      <w:bCs/>
      <w:kern w:val="0"/>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1"/>
    <w:pPr>
      <w:adjustRightInd w:val="0"/>
      <w:spacing w:before="100" w:after="100" w:line="300" w:lineRule="auto"/>
      <w:ind w:firstLine="1044" w:firstLineChars="200"/>
      <w:jc w:val="both"/>
    </w:pPr>
    <w:rPr>
      <w:rFonts w:ascii="Times New Roman" w:hAnsi="Times New Roman" w:cs="Times New Roman"/>
      <w:kern w:val="2"/>
      <w:sz w:val="24"/>
      <w:szCs w:val="24"/>
      <w:lang w:bidi="ar-SA"/>
    </w:rPr>
  </w:style>
  <w:style w:type="paragraph" w:styleId="8">
    <w:name w:val="Body Text Indent"/>
    <w:basedOn w:val="1"/>
    <w:next w:val="1"/>
    <w:qFormat/>
    <w:uiPriority w:val="99"/>
    <w:pPr>
      <w:spacing w:after="120"/>
      <w:ind w:left="420" w:leftChars="200"/>
    </w:pPr>
    <w:rPr>
      <w:rFonts w:ascii="Times New Roman" w:hAnsi="Times New Roman" w:eastAsia="宋体"/>
      <w:kern w:val="0"/>
    </w:rPr>
  </w:style>
  <w:style w:type="paragraph" w:styleId="9">
    <w:name w:val="Plain Text"/>
    <w:basedOn w:val="1"/>
    <w:next w:val="5"/>
    <w:qFormat/>
    <w:uiPriority w:val="0"/>
    <w:rPr>
      <w:rFonts w:ascii="宋体" w:hAnsi="宋体"/>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Emphasis"/>
    <w:qFormat/>
    <w:uiPriority w:val="20"/>
    <w:rPr>
      <w:b/>
      <w:i/>
      <w:spacing w:val="10"/>
      <w:shd w:val="clear" w:color="auto" w:fill="auto"/>
    </w:rPr>
  </w:style>
  <w:style w:type="table" w:customStyle="1" w:styleId="18">
    <w:name w:val="Table Normal"/>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2"/>
      <w:szCs w:val="22"/>
      <w:lang w:val="en-US" w:eastAsia="en-US" w:bidi="ar-SA"/>
    </w:rPr>
  </w:style>
  <w:style w:type="paragraph" w:styleId="20">
    <w:name w:val="List Paragraph"/>
    <w:basedOn w:val="1"/>
    <w:next w:val="1"/>
    <w:qFormat/>
    <w:uiPriority w:val="34"/>
    <w:pPr>
      <w:ind w:firstLine="420" w:firstLineChars="200"/>
    </w:pPr>
  </w:style>
  <w:style w:type="paragraph" w:customStyle="1" w:styleId="21">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 w:type="paragraph" w:customStyle="1" w:styleId="22">
    <w:name w:val="正文_13"/>
    <w:basedOn w:val="1"/>
    <w:qFormat/>
    <w:uiPriority w:val="0"/>
    <w:rPr>
      <w:szCs w:val="21"/>
    </w:rPr>
  </w:style>
  <w:style w:type="paragraph" w:customStyle="1" w:styleId="23">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24">
    <w:name w:val="文档说明标题"/>
    <w:next w:val="1"/>
    <w:qFormat/>
    <w:uiPriority w:val="0"/>
    <w:pPr>
      <w:keepNext w:val="0"/>
      <w:keepLines w:val="0"/>
      <w:widowControl w:val="0"/>
      <w:spacing w:before="240" w:after="240" w:line="240" w:lineRule="auto"/>
      <w:jc w:val="center"/>
      <w:outlineLvl w:val="9"/>
    </w:pPr>
    <w:rPr>
      <w:rFonts w:ascii="Times New Roman" w:hAnsi="Times New Roman" w:eastAsia="宋体" w:cs="Times New Roman"/>
      <w:b/>
      <w:sz w:val="32"/>
    </w:rPr>
  </w:style>
  <w:style w:type="paragraph" w:customStyle="1" w:styleId="25">
    <w:name w:val="正文文本 211"/>
    <w:basedOn w:val="1"/>
    <w:qFormat/>
    <w:uiPriority w:val="0"/>
    <w:pPr>
      <w:widowControl/>
      <w:jc w:val="center"/>
    </w:pPr>
    <w:rPr>
      <w:rFonts w:ascii="楷体_GB2312" w:eastAsia="楷体_GB2312"/>
      <w:sz w:val="28"/>
      <w:szCs w:val="28"/>
    </w:rPr>
  </w:style>
  <w:style w:type="paragraph" w:customStyle="1" w:styleId="26">
    <w:name w:val="正文文本12"/>
    <w:basedOn w:val="1"/>
    <w:next w:val="27"/>
    <w:unhideWhenUsed/>
    <w:qFormat/>
    <w:uiPriority w:val="0"/>
    <w:pPr>
      <w:spacing w:after="120"/>
    </w:pPr>
  </w:style>
  <w:style w:type="paragraph" w:customStyle="1" w:styleId="27">
    <w:name w:val="日期11"/>
    <w:basedOn w:val="1"/>
    <w:next w:val="1"/>
    <w:qFormat/>
    <w:uiPriority w:val="0"/>
    <w:rPr>
      <w:rFonts w:ascii="Arial" w:hAnsi="Arial" w:cs="Arial"/>
      <w:b/>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25160</Words>
  <Characters>26732</Characters>
  <Lines>0</Lines>
  <Paragraphs>0</Paragraphs>
  <TotalTime>7</TotalTime>
  <ScaleCrop>false</ScaleCrop>
  <LinksUpToDate>false</LinksUpToDate>
  <CharactersWithSpaces>26869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2025-06-29T07:27:00Z</dcterms:created>
  <dc:creator>Administrator</dc:creator>
  <cp:lastModifiedBy>招标代理</cp:lastModifiedBy>
  <cp:lastPrinted>2026-06-08T00:29:00Z</cp:lastPrinted>
  <dcterms:modified xsi:type="dcterms:W3CDTF">2026-06-15T10:08:31Z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F0FBF3A092BB432885B87168E9841808_13</vt:lpwstr>
  </property>
  <property fmtid="{D5CDD505-2E9C-101B-9397-08002B2CF9AE}" pid="4" name="KSOTemplateDocerSaveRecord">
    <vt:lpwstr>eyJoZGlkIjoiZGI4OGE1MzAzZDVmOTFjNmE2ZjdjMjE4MWFmMWJkZTAiLCJ1c2VySWQiOiIxMTc5MTU0ODc0In0=</vt:lpwstr>
  </property>
</Properties>
</file>