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2B5DC7">
      <w:pPr>
        <w:pStyle w:val="235"/>
        <w:jc w:val="center"/>
        <w:rPr>
          <w:rFonts w:ascii="Times New Roman" w:eastAsia="宋体" w:cs="Times New Roman"/>
          <w:b/>
          <w:bCs/>
          <w:color w:val="000000"/>
          <w:sz w:val="84"/>
          <w:szCs w:val="84"/>
          <w:highlight w:val="none"/>
        </w:rPr>
      </w:pPr>
      <w:bookmarkStart w:id="0" w:name="_Toc383623944"/>
      <w:bookmarkStart w:id="1" w:name="_Toc390246905"/>
      <w:bookmarkStart w:id="2" w:name="_Toc383625993"/>
      <w:bookmarkStart w:id="3" w:name="_Toc390099018"/>
      <w:bookmarkStart w:id="4" w:name="_Toc383698647"/>
      <w:bookmarkStart w:id="5" w:name="_Toc383623672"/>
      <w:bookmarkStart w:id="6" w:name="_Toc390098840"/>
      <w:bookmarkStart w:id="7" w:name="_Toc426469868"/>
      <w:bookmarkStart w:id="8" w:name="_Toc383679746"/>
      <w:bookmarkStart w:id="9" w:name="_Toc383587456"/>
      <w:r>
        <w:rPr>
          <w:rFonts w:hint="eastAsia" w:ascii="Times New Roman" w:eastAsia="宋体" w:cs="Times New Roman"/>
          <w:b/>
          <w:bCs/>
          <w:color w:val="000000"/>
          <w:sz w:val="84"/>
          <w:szCs w:val="84"/>
          <w:highlight w:val="none"/>
        </w:rPr>
        <w:t xml:space="preserve"> </w:t>
      </w:r>
    </w:p>
    <w:p w14:paraId="4356753E">
      <w:pPr>
        <w:pStyle w:val="235"/>
        <w:jc w:val="center"/>
        <w:rPr>
          <w:rFonts w:hint="eastAsia" w:ascii="Times New Roman" w:eastAsia="宋体" w:cs="Times New Roman"/>
          <w:b/>
          <w:bCs/>
          <w:color w:val="000000"/>
          <w:sz w:val="84"/>
          <w:szCs w:val="84"/>
          <w:highlight w:val="none"/>
        </w:rPr>
      </w:pPr>
    </w:p>
    <w:p w14:paraId="5598D4D1">
      <w:pPr>
        <w:pStyle w:val="235"/>
        <w:jc w:val="center"/>
        <w:rPr>
          <w:rFonts w:ascii="Times New Roman" w:eastAsia="宋体" w:cs="Times New Roman"/>
          <w:b/>
          <w:bCs/>
          <w:color w:val="000000"/>
          <w:sz w:val="84"/>
          <w:szCs w:val="84"/>
          <w:highlight w:val="none"/>
        </w:rPr>
      </w:pPr>
      <w:r>
        <w:rPr>
          <w:rFonts w:hint="eastAsia" w:ascii="Times New Roman" w:eastAsia="宋体" w:cs="Times New Roman"/>
          <w:b/>
          <w:bCs/>
          <w:color w:val="000000"/>
          <w:sz w:val="84"/>
          <w:szCs w:val="84"/>
          <w:highlight w:val="none"/>
        </w:rPr>
        <w:t>竞争性磋商文件</w:t>
      </w:r>
    </w:p>
    <w:p w14:paraId="43246709">
      <w:pPr>
        <w:pStyle w:val="235"/>
        <w:spacing w:line="540" w:lineRule="exact"/>
        <w:rPr>
          <w:rFonts w:ascii="Times New Roman" w:eastAsia="宋体" w:cs="Times New Roman"/>
          <w:b/>
          <w:bCs/>
          <w:color w:val="000000"/>
          <w:sz w:val="32"/>
          <w:szCs w:val="32"/>
          <w:highlight w:val="none"/>
        </w:rPr>
      </w:pPr>
    </w:p>
    <w:p w14:paraId="684EA8FA">
      <w:pPr>
        <w:pStyle w:val="235"/>
        <w:spacing w:line="540" w:lineRule="exact"/>
        <w:rPr>
          <w:rFonts w:ascii="Times New Roman" w:eastAsia="宋体" w:cs="Times New Roman"/>
          <w:b/>
          <w:bCs/>
          <w:color w:val="000000"/>
          <w:sz w:val="32"/>
          <w:szCs w:val="32"/>
          <w:highlight w:val="none"/>
        </w:rPr>
      </w:pPr>
    </w:p>
    <w:p w14:paraId="482D464C">
      <w:pPr>
        <w:pStyle w:val="235"/>
        <w:spacing w:line="540" w:lineRule="exact"/>
        <w:rPr>
          <w:rFonts w:ascii="Times New Roman" w:eastAsia="宋体" w:cs="Times New Roman"/>
          <w:b/>
          <w:bCs/>
          <w:color w:val="000000"/>
          <w:sz w:val="32"/>
          <w:szCs w:val="32"/>
          <w:highlight w:val="none"/>
        </w:rPr>
      </w:pPr>
      <w:r>
        <w:rPr>
          <w:rFonts w:ascii="Times New Roman" w:eastAsia="宋体" w:cs="Times New Roman"/>
          <w:b/>
          <w:bCs/>
          <w:color w:val="000000"/>
          <w:sz w:val="32"/>
          <w:szCs w:val="32"/>
          <w:highlight w:val="none"/>
        </w:rPr>
        <w:t xml:space="preserve">                  </w:t>
      </w:r>
    </w:p>
    <w:p w14:paraId="080370C0">
      <w:pPr>
        <w:pStyle w:val="235"/>
        <w:spacing w:line="540" w:lineRule="exact"/>
        <w:rPr>
          <w:rFonts w:ascii="Times New Roman" w:eastAsia="宋体" w:cs="Times New Roman"/>
          <w:b/>
          <w:bCs/>
          <w:color w:val="000000"/>
          <w:sz w:val="32"/>
          <w:szCs w:val="32"/>
          <w:highlight w:val="none"/>
        </w:rPr>
      </w:pPr>
    </w:p>
    <w:p w14:paraId="0CD92B2E">
      <w:pPr>
        <w:pStyle w:val="235"/>
        <w:spacing w:line="540" w:lineRule="exact"/>
        <w:rPr>
          <w:rFonts w:ascii="Times New Roman" w:eastAsia="宋体" w:cs="Times New Roman"/>
          <w:b/>
          <w:bCs/>
          <w:color w:val="000000"/>
          <w:sz w:val="32"/>
          <w:szCs w:val="32"/>
          <w:highlight w:val="none"/>
        </w:rPr>
      </w:pPr>
      <w:r>
        <w:rPr>
          <w:rFonts w:ascii="Times New Roman" w:eastAsia="宋体" w:cs="Times New Roman"/>
          <w:b/>
          <w:bCs/>
          <w:color w:val="000000"/>
          <w:sz w:val="32"/>
          <w:szCs w:val="32"/>
          <w:highlight w:val="none"/>
        </w:rPr>
        <w:t xml:space="preserve">                                                                                                                                                                                                                                                                                                                                                                                                                                                                                                                                                                                                                                                                                                                                                                                                                                                                                                                                                                                                                                                                                                                                                                                                                                                                                                                                                                                                                                                                                                                                                                                                       </w:t>
      </w:r>
    </w:p>
    <w:p w14:paraId="08EAE6B1">
      <w:pPr>
        <w:widowControl/>
        <w:spacing w:before="156" w:line="360" w:lineRule="auto"/>
        <w:ind w:left="1648" w:hanging="1648"/>
        <w:jc w:val="center"/>
        <w:rPr>
          <w:rFonts w:hint="eastAsia"/>
          <w:b/>
          <w:bCs/>
          <w:sz w:val="32"/>
          <w:szCs w:val="32"/>
          <w:highlight w:val="none"/>
          <w:lang w:eastAsia="zh-CN"/>
        </w:rPr>
      </w:pPr>
      <w:r>
        <w:rPr>
          <w:rFonts w:hint="eastAsia"/>
          <w:b/>
          <w:bCs/>
          <w:sz w:val="32"/>
          <w:szCs w:val="32"/>
          <w:highlight w:val="none"/>
        </w:rPr>
        <w:t>项目名称：</w:t>
      </w:r>
      <w:r>
        <w:rPr>
          <w:rFonts w:hint="eastAsia"/>
          <w:b/>
          <w:bCs/>
          <w:sz w:val="32"/>
          <w:szCs w:val="32"/>
          <w:highlight w:val="none"/>
          <w:lang w:eastAsia="zh-CN"/>
        </w:rPr>
        <w:t>泰兴市曲霞镇集镇卫生保洁服务项目</w:t>
      </w:r>
    </w:p>
    <w:p w14:paraId="4E16126A">
      <w:pPr>
        <w:widowControl/>
        <w:spacing w:before="156" w:line="360" w:lineRule="auto"/>
        <w:ind w:firstLine="1285" w:firstLineChars="400"/>
        <w:jc w:val="both"/>
        <w:rPr>
          <w:rFonts w:hint="eastAsia" w:eastAsia="宋体"/>
          <w:b/>
          <w:bCs/>
          <w:sz w:val="32"/>
          <w:szCs w:val="32"/>
          <w:highlight w:val="none"/>
          <w:lang w:eastAsia="zh-CN"/>
        </w:rPr>
      </w:pPr>
      <w:r>
        <w:rPr>
          <w:rFonts w:hint="eastAsia"/>
          <w:b/>
          <w:bCs/>
          <w:sz w:val="32"/>
          <w:szCs w:val="32"/>
          <w:highlight w:val="none"/>
        </w:rPr>
        <w:t>项目编号：</w:t>
      </w:r>
      <w:r>
        <w:rPr>
          <w:rFonts w:hint="eastAsia"/>
          <w:b/>
          <w:bCs/>
          <w:sz w:val="32"/>
          <w:szCs w:val="32"/>
          <w:highlight w:val="none"/>
          <w:lang w:eastAsia="zh-CN"/>
        </w:rPr>
        <w:t>JSZC-321283-JZXM-C2026-0001</w:t>
      </w:r>
    </w:p>
    <w:p w14:paraId="46B0B64F">
      <w:pPr>
        <w:widowControl/>
        <w:spacing w:before="156" w:line="360" w:lineRule="auto"/>
        <w:jc w:val="left"/>
        <w:rPr>
          <w:b/>
          <w:bCs/>
          <w:sz w:val="32"/>
          <w:szCs w:val="32"/>
          <w:highlight w:val="none"/>
        </w:rPr>
      </w:pPr>
      <w:r>
        <w:rPr>
          <w:b/>
          <w:bCs/>
          <w:sz w:val="32"/>
          <w:szCs w:val="32"/>
          <w:highlight w:val="none"/>
        </w:rPr>
        <w:t xml:space="preserve"> </w:t>
      </w:r>
    </w:p>
    <w:p w14:paraId="113703C7">
      <w:pPr>
        <w:widowControl/>
        <w:spacing w:before="156" w:line="360" w:lineRule="auto"/>
        <w:jc w:val="left"/>
        <w:rPr>
          <w:rFonts w:ascii="宋体" w:hAnsi="宋体"/>
          <w:b/>
          <w:bCs/>
          <w:sz w:val="36"/>
          <w:szCs w:val="36"/>
          <w:highlight w:val="none"/>
        </w:rPr>
      </w:pPr>
      <w:r>
        <w:rPr>
          <w:rFonts w:ascii="宋体" w:hAnsi="宋体"/>
          <w:b/>
          <w:bCs/>
          <w:sz w:val="36"/>
          <w:szCs w:val="36"/>
          <w:highlight w:val="none"/>
        </w:rPr>
        <w:t xml:space="preserve"> </w:t>
      </w:r>
    </w:p>
    <w:p w14:paraId="38AFF343">
      <w:pPr>
        <w:widowControl/>
        <w:spacing w:before="156" w:line="360" w:lineRule="auto"/>
        <w:jc w:val="left"/>
        <w:rPr>
          <w:rFonts w:ascii="Times New Roman" w:eastAsia="宋体" w:cs="Times New Roman"/>
          <w:b/>
          <w:color w:val="000000"/>
          <w:sz w:val="32"/>
          <w:szCs w:val="32"/>
          <w:highlight w:val="none"/>
        </w:rPr>
      </w:pPr>
      <w:r>
        <w:rPr>
          <w:rFonts w:ascii="宋体" w:hAnsi="宋体"/>
          <w:b/>
          <w:bCs/>
          <w:sz w:val="36"/>
          <w:szCs w:val="36"/>
          <w:highlight w:val="none"/>
        </w:rPr>
        <w:t xml:space="preserve"> </w:t>
      </w:r>
    </w:p>
    <w:p w14:paraId="64EB52B2">
      <w:pPr>
        <w:pStyle w:val="235"/>
        <w:spacing w:line="540" w:lineRule="exact"/>
        <w:ind w:firstLine="643"/>
        <w:jc w:val="center"/>
        <w:rPr>
          <w:rFonts w:ascii="Times New Roman" w:eastAsia="宋体" w:cs="Times New Roman"/>
          <w:b/>
          <w:color w:val="000000"/>
          <w:sz w:val="32"/>
          <w:szCs w:val="32"/>
          <w:highlight w:val="none"/>
        </w:rPr>
      </w:pPr>
    </w:p>
    <w:p w14:paraId="5210B2DC">
      <w:pPr>
        <w:pStyle w:val="235"/>
        <w:spacing w:line="540" w:lineRule="exact"/>
        <w:ind w:firstLine="643"/>
        <w:jc w:val="center"/>
        <w:rPr>
          <w:rFonts w:ascii="Times New Roman" w:eastAsia="宋体" w:cs="Times New Roman"/>
          <w:b/>
          <w:color w:val="000000"/>
          <w:sz w:val="32"/>
          <w:szCs w:val="32"/>
          <w:highlight w:val="none"/>
        </w:rPr>
      </w:pPr>
    </w:p>
    <w:p w14:paraId="203763D7">
      <w:pPr>
        <w:pStyle w:val="235"/>
        <w:spacing w:line="540" w:lineRule="exact"/>
        <w:ind w:firstLine="643"/>
        <w:jc w:val="center"/>
        <w:rPr>
          <w:rFonts w:ascii="Times New Roman" w:eastAsia="宋体" w:cs="Times New Roman"/>
          <w:b/>
          <w:color w:val="000000"/>
          <w:sz w:val="32"/>
          <w:szCs w:val="32"/>
          <w:highlight w:val="none"/>
        </w:rPr>
      </w:pPr>
    </w:p>
    <w:p w14:paraId="7C796827">
      <w:pPr>
        <w:spacing w:before="120" w:after="120" w:line="360" w:lineRule="auto"/>
        <w:jc w:val="center"/>
        <w:outlineLvl w:val="0"/>
        <w:rPr>
          <w:rFonts w:hint="eastAsia" w:ascii="宋体" w:hAnsi="宋体" w:eastAsia="宋体" w:cs="宋体"/>
          <w:b/>
          <w:bCs/>
          <w:sz w:val="32"/>
          <w:szCs w:val="32"/>
          <w:highlight w:val="none"/>
          <w:lang w:eastAsia="zh-CN"/>
        </w:rPr>
      </w:pPr>
      <w:bookmarkStart w:id="10" w:name="_Toc11357"/>
      <w:r>
        <w:rPr>
          <w:rFonts w:hint="eastAsia" w:ascii="宋体" w:hAnsi="宋体" w:cs="宋体"/>
          <w:b/>
          <w:bCs/>
          <w:sz w:val="32"/>
          <w:szCs w:val="32"/>
          <w:highlight w:val="none"/>
        </w:rPr>
        <w:t>采购人：</w:t>
      </w:r>
      <w:bookmarkEnd w:id="10"/>
      <w:r>
        <w:rPr>
          <w:rFonts w:hint="eastAsia"/>
          <w:b/>
          <w:bCs/>
          <w:sz w:val="32"/>
          <w:szCs w:val="32"/>
          <w:highlight w:val="none"/>
          <w:lang w:eastAsia="zh-CN"/>
        </w:rPr>
        <w:t>泰兴市曲霞镇人民政府</w:t>
      </w:r>
    </w:p>
    <w:p w14:paraId="5566ED38">
      <w:pPr>
        <w:spacing w:before="120" w:after="120" w:line="360" w:lineRule="auto"/>
        <w:jc w:val="center"/>
        <w:outlineLvl w:val="0"/>
        <w:rPr>
          <w:rFonts w:hint="eastAsia" w:ascii="宋体" w:hAnsi="宋体" w:eastAsia="宋体" w:cs="宋体"/>
          <w:sz w:val="32"/>
          <w:szCs w:val="32"/>
          <w:highlight w:val="none"/>
          <w:lang w:eastAsia="zh-CN"/>
        </w:rPr>
      </w:pPr>
      <w:r>
        <w:rPr>
          <w:rFonts w:hint="eastAsia" w:ascii="宋体" w:hAnsi="宋体" w:cs="宋体"/>
          <w:b/>
          <w:bCs/>
          <w:sz w:val="32"/>
          <w:szCs w:val="32"/>
          <w:highlight w:val="none"/>
        </w:rPr>
        <w:t>采购代理机构：</w:t>
      </w:r>
      <w:r>
        <w:rPr>
          <w:rFonts w:hint="eastAsia" w:ascii="宋体" w:hAnsi="宋体" w:cs="宋体"/>
          <w:b/>
          <w:bCs/>
          <w:sz w:val="32"/>
          <w:szCs w:val="32"/>
          <w:highlight w:val="none"/>
          <w:lang w:eastAsia="zh-CN"/>
        </w:rPr>
        <w:t>江苏嘉泽项目管理有限公司</w:t>
      </w:r>
    </w:p>
    <w:p w14:paraId="4677B0C3">
      <w:pPr>
        <w:widowControl/>
        <w:jc w:val="center"/>
        <w:rPr>
          <w:rFonts w:hint="eastAsia" w:ascii="宋体" w:hAnsi="宋体" w:cs="宋体"/>
          <w:highlight w:val="none"/>
        </w:rPr>
      </w:pPr>
      <w:r>
        <w:rPr>
          <w:rFonts w:hint="eastAsia" w:ascii="宋体" w:hAnsi="宋体" w:cs="宋体"/>
          <w:b/>
          <w:bCs/>
          <w:sz w:val="32"/>
          <w:szCs w:val="32"/>
          <w:highlight w:val="none"/>
        </w:rPr>
        <w:t>2026年</w:t>
      </w:r>
      <w:r>
        <w:rPr>
          <w:rFonts w:hint="eastAsia" w:ascii="宋体" w:hAnsi="宋体" w:cs="宋体"/>
          <w:b/>
          <w:bCs/>
          <w:sz w:val="32"/>
          <w:szCs w:val="32"/>
          <w:highlight w:val="none"/>
          <w:lang w:val="en-US" w:eastAsia="zh-CN"/>
        </w:rPr>
        <w:t>5</w:t>
      </w:r>
      <w:r>
        <w:rPr>
          <w:rFonts w:hint="eastAsia" w:ascii="宋体" w:hAnsi="宋体" w:cs="宋体"/>
          <w:b/>
          <w:bCs/>
          <w:sz w:val="32"/>
          <w:szCs w:val="32"/>
          <w:highlight w:val="none"/>
        </w:rPr>
        <w:t>月</w:t>
      </w:r>
    </w:p>
    <w:p w14:paraId="5ADF3FB0">
      <w:pPr>
        <w:widowControl/>
        <w:jc w:val="center"/>
        <w:rPr>
          <w:rFonts w:hint="eastAsia" w:ascii="宋体" w:hAnsi="宋体"/>
          <w:b/>
          <w:sz w:val="32"/>
          <w:szCs w:val="32"/>
          <w:highlight w:val="none"/>
        </w:rPr>
      </w:pPr>
      <w:r>
        <w:rPr>
          <w:rFonts w:ascii="黑体" w:hAnsi="黑体" w:eastAsia="黑体"/>
          <w:b/>
          <w:highlight w:val="none"/>
        </w:rPr>
        <w:br w:type="page" w:clear="all"/>
      </w:r>
      <w:bookmarkEnd w:id="0"/>
      <w:bookmarkEnd w:id="1"/>
      <w:bookmarkEnd w:id="2"/>
      <w:bookmarkEnd w:id="3"/>
      <w:bookmarkEnd w:id="4"/>
      <w:bookmarkEnd w:id="5"/>
      <w:bookmarkEnd w:id="6"/>
      <w:bookmarkEnd w:id="7"/>
      <w:bookmarkEnd w:id="8"/>
      <w:bookmarkEnd w:id="9"/>
      <w:bookmarkStart w:id="11" w:name="_Toc426469869"/>
      <w:bookmarkStart w:id="12" w:name="_Toc382813966"/>
      <w:bookmarkStart w:id="13" w:name="_Toc20823272"/>
      <w:bookmarkStart w:id="14" w:name="_Toc523127445"/>
      <w:bookmarkStart w:id="15" w:name="_Toc479757206"/>
      <w:bookmarkStart w:id="16" w:name="_Toc16938516"/>
      <w:bookmarkStart w:id="17" w:name="_Toc382812472"/>
      <w:bookmarkStart w:id="18" w:name="_Toc382813885"/>
      <w:bookmarkStart w:id="19" w:name="_Toc513029200"/>
      <w:r>
        <w:rPr>
          <w:rFonts w:hint="eastAsia" w:ascii="方正仿宋_GB2312" w:hAnsi="方正仿宋_GB2312" w:eastAsia="方正仿宋_GB2312" w:cs="方正仿宋_GB2312"/>
          <w:b/>
          <w:sz w:val="44"/>
          <w:szCs w:val="44"/>
          <w:highlight w:val="none"/>
        </w:rPr>
        <w:t>第一章 竞争性磋商公告</w:t>
      </w:r>
    </w:p>
    <w:p w14:paraId="522A9040">
      <w:pPr>
        <w:pBdr>
          <w:top w:val="single" w:color="000000" w:sz="4" w:space="1"/>
          <w:left w:val="single" w:color="000000" w:sz="4" w:space="4"/>
          <w:bottom w:val="single" w:color="000000" w:sz="4" w:space="1"/>
          <w:right w:val="single" w:color="000000" w:sz="4" w:space="4"/>
        </w:pBdr>
        <w:spacing w:line="500" w:lineRule="exact"/>
        <w:rPr>
          <w:rFonts w:ascii="仿宋_GB2312" w:hAnsi="宋体" w:eastAsia="仿宋_GB2312"/>
          <w:sz w:val="28"/>
          <w:szCs w:val="28"/>
          <w:highlight w:val="none"/>
        </w:rPr>
      </w:pPr>
      <w:r>
        <w:rPr>
          <w:rFonts w:hint="eastAsia" w:ascii="仿宋_GB2312" w:hAnsi="宋体" w:eastAsia="仿宋_GB2312"/>
          <w:sz w:val="28"/>
          <w:szCs w:val="28"/>
          <w:highlight w:val="none"/>
        </w:rPr>
        <w:t>项目概况</w:t>
      </w:r>
    </w:p>
    <w:p w14:paraId="55C5A16A">
      <w:pPr>
        <w:pBdr>
          <w:top w:val="single" w:color="000000" w:sz="4" w:space="1"/>
          <w:left w:val="single" w:color="000000" w:sz="4" w:space="4"/>
          <w:bottom w:val="single" w:color="000000" w:sz="4" w:space="1"/>
          <w:right w:val="single" w:color="000000" w:sz="4" w:space="4"/>
        </w:pBdr>
        <w:spacing w:line="500" w:lineRule="exact"/>
        <w:ind w:firstLine="560"/>
        <w:rPr>
          <w:rFonts w:ascii="仿宋_GB2312" w:hAnsi="宋体" w:eastAsia="仿宋_GB2312"/>
          <w:sz w:val="28"/>
          <w:szCs w:val="28"/>
          <w:highlight w:val="none"/>
          <w:u w:val="single"/>
        </w:rPr>
      </w:pPr>
      <w:r>
        <w:rPr>
          <w:rFonts w:hint="eastAsia" w:ascii="仿宋_GB2312" w:hAnsi="宋体" w:eastAsia="仿宋_GB2312"/>
          <w:sz w:val="28"/>
          <w:szCs w:val="28"/>
          <w:highlight w:val="none"/>
          <w:u w:val="single"/>
          <w:lang w:eastAsia="zh-CN"/>
        </w:rPr>
        <w:t>泰兴市曲霞镇集镇卫生保洁服务</w:t>
      </w:r>
      <w:r>
        <w:rPr>
          <w:rFonts w:hint="eastAsia" w:ascii="仿宋_GB2312" w:hAnsi="宋体" w:eastAsia="仿宋_GB2312"/>
          <w:sz w:val="28"/>
          <w:szCs w:val="28"/>
          <w:highlight w:val="none"/>
          <w:u w:val="single"/>
          <w:lang w:val="en-US" w:eastAsia="zh-CN"/>
        </w:rPr>
        <w:t>项目</w:t>
      </w:r>
      <w:r>
        <w:rPr>
          <w:rFonts w:hint="eastAsia" w:ascii="仿宋_GB2312" w:hAnsi="宋体" w:eastAsia="仿宋_GB2312"/>
          <w:sz w:val="28"/>
          <w:szCs w:val="28"/>
          <w:highlight w:val="none"/>
          <w:u w:val="single"/>
          <w:lang w:eastAsia="zh-CN"/>
        </w:rPr>
        <w:t>JSZC-321283-JZXM-C2026-0001</w:t>
      </w:r>
      <w:r>
        <w:rPr>
          <w:rFonts w:hint="eastAsia" w:ascii="仿宋_GB2312" w:hAnsi="宋体" w:eastAsia="仿宋_GB2312"/>
          <w:sz w:val="28"/>
          <w:szCs w:val="28"/>
          <w:highlight w:val="none"/>
          <w:u w:val="single"/>
        </w:rPr>
        <w:t>的潜在供应商应在“苏采云”政府采购一体化平台获取采购文件，并于</w:t>
      </w:r>
      <w:r>
        <w:rPr>
          <w:rFonts w:hint="eastAsia" w:ascii="仿宋_GB2312" w:hAnsi="宋体" w:eastAsia="仿宋_GB2312"/>
          <w:sz w:val="28"/>
          <w:szCs w:val="28"/>
          <w:highlight w:val="none"/>
          <w:u w:val="single"/>
        </w:rPr>
        <w:t>2026-</w:t>
      </w:r>
      <w:r>
        <w:rPr>
          <w:rFonts w:hint="eastAsia" w:ascii="仿宋_GB2312" w:hAnsi="宋体" w:eastAsia="仿宋_GB2312"/>
          <w:sz w:val="28"/>
          <w:szCs w:val="28"/>
          <w:highlight w:val="none"/>
          <w:u w:val="single"/>
          <w:lang w:val="en-US" w:eastAsia="zh-CN"/>
        </w:rPr>
        <w:t>06</w:t>
      </w:r>
      <w:r>
        <w:rPr>
          <w:rFonts w:hint="eastAsia" w:ascii="仿宋_GB2312" w:hAnsi="宋体" w:eastAsia="仿宋_GB2312"/>
          <w:sz w:val="28"/>
          <w:szCs w:val="28"/>
          <w:highlight w:val="none"/>
          <w:u w:val="single"/>
        </w:rPr>
        <w:t>-</w:t>
      </w:r>
      <w:r>
        <w:rPr>
          <w:rFonts w:hint="eastAsia" w:ascii="仿宋_GB2312" w:hAnsi="宋体" w:eastAsia="仿宋_GB2312"/>
          <w:sz w:val="28"/>
          <w:szCs w:val="28"/>
          <w:highlight w:val="none"/>
          <w:u w:val="single"/>
          <w:lang w:val="en-US" w:eastAsia="zh-CN"/>
        </w:rPr>
        <w:t>11 14</w:t>
      </w:r>
      <w:r>
        <w:rPr>
          <w:rFonts w:hint="eastAsia" w:ascii="仿宋_GB2312" w:hAnsi="宋体" w:eastAsia="仿宋_GB2312"/>
          <w:sz w:val="28"/>
          <w:szCs w:val="28"/>
          <w:highlight w:val="none"/>
          <w:u w:val="single"/>
        </w:rPr>
        <w:t>:</w:t>
      </w:r>
      <w:r>
        <w:rPr>
          <w:rFonts w:hint="eastAsia" w:ascii="仿宋_GB2312" w:hAnsi="宋体" w:eastAsia="仿宋_GB2312"/>
          <w:sz w:val="28"/>
          <w:szCs w:val="28"/>
          <w:highlight w:val="none"/>
          <w:u w:val="single"/>
          <w:lang w:val="en-US" w:eastAsia="zh-CN"/>
        </w:rPr>
        <w:t>3</w:t>
      </w:r>
      <w:r>
        <w:rPr>
          <w:rFonts w:hint="eastAsia" w:ascii="仿宋_GB2312" w:hAnsi="宋体" w:eastAsia="仿宋_GB2312"/>
          <w:sz w:val="28"/>
          <w:szCs w:val="28"/>
          <w:highlight w:val="none"/>
          <w:u w:val="single"/>
        </w:rPr>
        <w:t>0</w:t>
      </w:r>
      <w:r>
        <w:rPr>
          <w:rFonts w:hint="eastAsia" w:ascii="仿宋_GB2312" w:hAnsi="宋体" w:eastAsia="仿宋_GB2312"/>
          <w:sz w:val="28"/>
          <w:szCs w:val="28"/>
          <w:highlight w:val="none"/>
          <w:u w:val="single"/>
        </w:rPr>
        <w:t>（北京时间）前提交响应文件。</w:t>
      </w:r>
    </w:p>
    <w:p w14:paraId="78FEA52D">
      <w:pPr>
        <w:spacing w:line="560" w:lineRule="exact"/>
        <w:ind w:firstLine="560"/>
        <w:rPr>
          <w:rFonts w:ascii="黑体" w:hAnsi="黑体" w:eastAsia="黑体"/>
          <w:sz w:val="28"/>
          <w:szCs w:val="28"/>
          <w:highlight w:val="none"/>
        </w:rPr>
      </w:pPr>
      <w:r>
        <w:rPr>
          <w:rFonts w:hint="eastAsia" w:ascii="黑体" w:hAnsi="黑体" w:eastAsia="黑体"/>
          <w:sz w:val="28"/>
          <w:szCs w:val="28"/>
          <w:highlight w:val="none"/>
        </w:rPr>
        <w:t>一、项目基本情况</w:t>
      </w:r>
    </w:p>
    <w:p w14:paraId="72E56FC2">
      <w:pPr>
        <w:spacing w:line="540" w:lineRule="exact"/>
        <w:ind w:firstLine="560"/>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rPr>
        <w:t>1.项目编号：</w:t>
      </w:r>
      <w:r>
        <w:rPr>
          <w:rFonts w:hint="eastAsia" w:ascii="仿宋_GB2312" w:hAnsi="宋体" w:eastAsia="仿宋_GB2312"/>
          <w:sz w:val="28"/>
          <w:szCs w:val="28"/>
          <w:highlight w:val="none"/>
          <w:lang w:eastAsia="zh-CN"/>
        </w:rPr>
        <w:t>JSZC-321283-JZXM-C2026-0001</w:t>
      </w:r>
    </w:p>
    <w:p w14:paraId="0ECD5568">
      <w:pPr>
        <w:spacing w:line="540" w:lineRule="exact"/>
        <w:ind w:firstLine="560"/>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rPr>
        <w:t>2.项目名称：</w:t>
      </w:r>
      <w:r>
        <w:rPr>
          <w:rFonts w:hint="eastAsia" w:ascii="仿宋_GB2312" w:hAnsi="宋体" w:eastAsia="仿宋_GB2312"/>
          <w:sz w:val="28"/>
          <w:szCs w:val="28"/>
          <w:highlight w:val="none"/>
          <w:lang w:eastAsia="zh-CN"/>
        </w:rPr>
        <w:t>泰兴市曲霞镇集镇卫生保洁服务项目</w:t>
      </w:r>
    </w:p>
    <w:p w14:paraId="1DCA45E2">
      <w:pPr>
        <w:spacing w:line="540" w:lineRule="exact"/>
        <w:ind w:firstLine="560"/>
        <w:rPr>
          <w:rFonts w:ascii="仿宋_GB2312" w:hAnsi="宋体" w:eastAsia="仿宋_GB2312"/>
          <w:sz w:val="28"/>
          <w:szCs w:val="28"/>
          <w:highlight w:val="none"/>
        </w:rPr>
      </w:pPr>
      <w:r>
        <w:rPr>
          <w:rFonts w:hint="eastAsia" w:ascii="仿宋_GB2312" w:hAnsi="宋体" w:eastAsia="仿宋_GB2312"/>
          <w:sz w:val="28"/>
          <w:szCs w:val="28"/>
          <w:highlight w:val="none"/>
        </w:rPr>
        <w:t>3.采购方式：竞争性磋商</w:t>
      </w:r>
    </w:p>
    <w:p w14:paraId="7938A5C8">
      <w:pPr>
        <w:spacing w:line="540" w:lineRule="exact"/>
        <w:ind w:firstLine="560"/>
        <w:rPr>
          <w:rFonts w:hint="eastAsia" w:ascii="仿宋_GB2312" w:hAnsi="宋体" w:eastAsia="仿宋_GB2312"/>
          <w:sz w:val="28"/>
          <w:szCs w:val="28"/>
          <w:highlight w:val="none"/>
          <w:u w:val="none"/>
          <w:lang w:eastAsia="zh-CN"/>
        </w:rPr>
      </w:pPr>
      <w:bookmarkStart w:id="20" w:name="OLE_LINK15"/>
      <w:bookmarkStart w:id="21" w:name="OLE_LINK16"/>
      <w:bookmarkStart w:id="22" w:name="OLE_LINK29"/>
      <w:r>
        <w:rPr>
          <w:rFonts w:hint="eastAsia" w:ascii="仿宋_GB2312" w:hAnsi="宋体" w:eastAsia="仿宋_GB2312"/>
          <w:sz w:val="28"/>
          <w:szCs w:val="28"/>
          <w:highlight w:val="none"/>
        </w:rPr>
        <w:t>4.</w:t>
      </w:r>
      <w:r>
        <w:rPr>
          <w:rFonts w:hint="eastAsia" w:ascii="仿宋_GB2312" w:hAnsi="宋体" w:eastAsia="仿宋_GB2312"/>
          <w:sz w:val="28"/>
          <w:szCs w:val="28"/>
          <w:highlight w:val="none"/>
          <w:u w:val="none"/>
        </w:rPr>
        <w:t>预算金额：</w:t>
      </w:r>
      <w:r>
        <w:rPr>
          <w:rFonts w:hint="eastAsia" w:ascii="仿宋_GB2312" w:hAnsi="宋体" w:eastAsia="仿宋_GB2312"/>
          <w:sz w:val="28"/>
          <w:szCs w:val="28"/>
          <w:highlight w:val="none"/>
          <w:u w:val="none"/>
          <w:lang w:val="en-US" w:eastAsia="zh-CN"/>
        </w:rPr>
        <w:t>115.5</w:t>
      </w:r>
      <w:r>
        <w:rPr>
          <w:rFonts w:hint="eastAsia" w:ascii="仿宋_GB2312" w:hAnsi="宋体" w:eastAsia="仿宋_GB2312"/>
          <w:sz w:val="28"/>
          <w:szCs w:val="28"/>
          <w:highlight w:val="none"/>
          <w:u w:val="none"/>
          <w:lang w:eastAsia="zh-CN"/>
        </w:rPr>
        <w:t>万元</w:t>
      </w:r>
    </w:p>
    <w:p w14:paraId="52E281E7">
      <w:pPr>
        <w:spacing w:line="540" w:lineRule="exact"/>
        <w:ind w:firstLine="560"/>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rPr>
        <w:t>5.最高限价：</w:t>
      </w:r>
      <w:bookmarkEnd w:id="20"/>
      <w:bookmarkEnd w:id="21"/>
      <w:r>
        <w:rPr>
          <w:rFonts w:hint="eastAsia" w:ascii="仿宋_GB2312" w:hAnsi="宋体" w:eastAsia="仿宋_GB2312"/>
          <w:sz w:val="28"/>
          <w:szCs w:val="28"/>
          <w:highlight w:val="none"/>
          <w:lang w:val="en-US" w:eastAsia="zh-CN"/>
        </w:rPr>
        <w:t>103</w:t>
      </w:r>
      <w:r>
        <w:rPr>
          <w:rFonts w:hint="eastAsia" w:ascii="仿宋_GB2312" w:hAnsi="宋体" w:eastAsia="仿宋_GB2312"/>
          <w:sz w:val="28"/>
          <w:szCs w:val="28"/>
          <w:highlight w:val="none"/>
          <w:lang w:eastAsia="zh-CN"/>
        </w:rPr>
        <w:t>万元（投标报价超过最高限价的为无效报价）</w:t>
      </w:r>
    </w:p>
    <w:bookmarkEnd w:id="22"/>
    <w:p w14:paraId="4E5C67C7">
      <w:pPr>
        <w:spacing w:line="540" w:lineRule="exact"/>
        <w:ind w:firstLine="560"/>
        <w:rPr>
          <w:rFonts w:hint="eastAsia" w:ascii="仿宋_GB2312" w:hAnsi="宋体" w:eastAsia="仿宋_GB2312"/>
          <w:sz w:val="28"/>
          <w:szCs w:val="28"/>
          <w:highlight w:val="none"/>
        </w:rPr>
      </w:pPr>
      <w:bookmarkStart w:id="23" w:name="OLE_LINK8"/>
      <w:bookmarkStart w:id="24" w:name="OLE_LINK7"/>
      <w:r>
        <w:rPr>
          <w:rFonts w:hint="eastAsia" w:ascii="仿宋_GB2312" w:hAnsi="宋体" w:eastAsia="仿宋_GB2312"/>
          <w:sz w:val="28"/>
          <w:szCs w:val="28"/>
          <w:highlight w:val="none"/>
        </w:rPr>
        <w:t>6.采购需求：</w:t>
      </w:r>
      <w:bookmarkStart w:id="25" w:name="OLE_LINK121"/>
      <w:bookmarkStart w:id="26" w:name="OLE_LINK172"/>
      <w:bookmarkStart w:id="27" w:name="OLE_LINK33"/>
      <w:bookmarkStart w:id="28" w:name="OLE_LINK52"/>
      <w:bookmarkStart w:id="29" w:name="OLE_LINK32"/>
      <w:r>
        <w:rPr>
          <w:rFonts w:hint="eastAsia" w:ascii="仿宋_GB2312" w:hAnsi="宋体" w:eastAsia="仿宋_GB2312"/>
          <w:sz w:val="28"/>
          <w:szCs w:val="28"/>
          <w:highlight w:val="none"/>
          <w:lang w:eastAsia="zh-CN"/>
        </w:rPr>
        <w:t>①霞幕圩大街(主大街)、政府院内、中心街、状元街、老通靖路、陈潮广场、西则桥桥下小广场、农贸市场安置区(南至德泉饭店、北至二环路、西至典当路、东至曲霞小学)、产业园区内部三条道</w:t>
      </w:r>
      <w:r>
        <w:rPr>
          <w:rFonts w:hint="eastAsia" w:ascii="仿宋_GB2312" w:hAnsi="宋体" w:eastAsia="仿宋_GB2312"/>
          <w:sz w:val="28"/>
          <w:szCs w:val="28"/>
          <w:highlight w:val="none"/>
          <w:lang w:eastAsia="zh-CN"/>
        </w:rPr>
        <w:t>路、根曲线南延、育才路、镇区停车场和滨水栈道的道路清扫保洁作业；②景观河(曲霞泵站到丁家坝),府后河(6号中沟至7号中沟)的河道河坡保洁作业；③农贸市场日常管理、安全管理和农产品质量检测；④农贸市场内外，农贸市场内部公厕，政府斜对面公厕，西则桥桥下公厕的管护和保洁作业；⑤一号中转站和二号中转站的日常保洁、安全管理和机械的维修保养以及垃圾收集转运作业；⑥园区内三条路两侧绿化，西则桥向西至老德国饭店道路两侧绿化，景观河、府后河两侧、陈潮广场、桥下广场、农贸市场安置区和老通靖路绿化、镇区绿化、镇区花箱的修剪养护保洁作业；⑦集镇区洒水作业以及洒水车的保险保养和维修；⑧政府、医院、学校、企业、农贸市场安置区、霞幕圩大街和沿街垃圾桶的垃圾收集清运作业。（具体详见第五章采购需求）。</w:t>
      </w:r>
    </w:p>
    <w:bookmarkEnd w:id="25"/>
    <w:bookmarkEnd w:id="26"/>
    <w:bookmarkEnd w:id="27"/>
    <w:bookmarkEnd w:id="28"/>
    <w:bookmarkEnd w:id="29"/>
    <w:p w14:paraId="18EEAE80">
      <w:pPr>
        <w:spacing w:line="540" w:lineRule="exact"/>
        <w:ind w:firstLine="560"/>
        <w:rPr>
          <w:rFonts w:hint="default" w:ascii="仿宋_GB2312" w:hAnsi="宋体" w:eastAsia="仿宋_GB2312"/>
          <w:sz w:val="28"/>
          <w:szCs w:val="28"/>
          <w:highlight w:val="none"/>
          <w:lang w:val="en-US" w:eastAsia="zh-CN"/>
        </w:rPr>
      </w:pPr>
      <w:r>
        <w:rPr>
          <w:rFonts w:hint="eastAsia" w:ascii="仿宋_GB2312" w:hAnsi="宋体" w:eastAsia="仿宋_GB2312"/>
          <w:sz w:val="28"/>
          <w:szCs w:val="28"/>
          <w:highlight w:val="none"/>
        </w:rPr>
        <w:t>7.</w:t>
      </w:r>
      <w:bookmarkStart w:id="30" w:name="OLE_LINK201"/>
      <w:bookmarkStart w:id="31" w:name="OLE_LINK202"/>
      <w:r>
        <w:rPr>
          <w:rFonts w:hint="eastAsia" w:ascii="仿宋_GB2312" w:hAnsi="宋体" w:eastAsia="仿宋_GB2312"/>
          <w:sz w:val="28"/>
          <w:szCs w:val="28"/>
          <w:highlight w:val="none"/>
        </w:rPr>
        <w:t>合同履行期限：</w:t>
      </w:r>
      <w:bookmarkEnd w:id="30"/>
      <w:bookmarkEnd w:id="31"/>
      <w:r>
        <w:rPr>
          <w:rFonts w:hint="eastAsia" w:ascii="仿宋_GB2312" w:hAnsi="宋体" w:eastAsia="仿宋_GB2312"/>
          <w:sz w:val="28"/>
          <w:szCs w:val="28"/>
          <w:highlight w:val="none"/>
          <w:lang w:eastAsia="zh-CN"/>
        </w:rPr>
        <w:t>自合同签订之日起一年。</w:t>
      </w:r>
    </w:p>
    <w:bookmarkEnd w:id="23"/>
    <w:bookmarkEnd w:id="24"/>
    <w:p w14:paraId="65DC41F8">
      <w:pPr>
        <w:spacing w:line="540" w:lineRule="exact"/>
        <w:ind w:firstLine="560"/>
        <w:rPr>
          <w:rFonts w:ascii="仿宋_GB2312" w:hAnsi="宋体" w:eastAsia="仿宋_GB2312"/>
          <w:sz w:val="28"/>
          <w:szCs w:val="28"/>
          <w:highlight w:val="none"/>
        </w:rPr>
      </w:pPr>
      <w:r>
        <w:rPr>
          <w:rFonts w:hint="eastAsia" w:ascii="仿宋_GB2312" w:hAnsi="宋体" w:eastAsia="仿宋_GB2312"/>
          <w:sz w:val="28"/>
          <w:szCs w:val="28"/>
          <w:highlight w:val="none"/>
        </w:rPr>
        <w:t>8.本项目不接受联合体。</w:t>
      </w:r>
    </w:p>
    <w:p w14:paraId="7587C170">
      <w:pPr>
        <w:spacing w:line="560" w:lineRule="exact"/>
        <w:ind w:firstLine="560"/>
        <w:rPr>
          <w:rFonts w:ascii="黑体" w:hAnsi="黑体" w:eastAsia="黑体"/>
          <w:sz w:val="28"/>
          <w:szCs w:val="28"/>
          <w:highlight w:val="none"/>
        </w:rPr>
      </w:pPr>
      <w:r>
        <w:rPr>
          <w:rFonts w:hint="eastAsia" w:ascii="黑体" w:hAnsi="黑体" w:eastAsia="黑体"/>
          <w:sz w:val="28"/>
          <w:szCs w:val="28"/>
          <w:highlight w:val="none"/>
        </w:rPr>
        <w:t>二、申请人的资格要求</w:t>
      </w:r>
    </w:p>
    <w:p w14:paraId="3A68A595">
      <w:pPr>
        <w:spacing w:line="560" w:lineRule="exact"/>
        <w:ind w:firstLine="560"/>
        <w:rPr>
          <w:rFonts w:ascii="仿宋_GB2312" w:hAnsi="宋体" w:eastAsia="仿宋_GB2312"/>
          <w:sz w:val="28"/>
          <w:szCs w:val="28"/>
          <w:highlight w:val="none"/>
        </w:rPr>
      </w:pPr>
      <w:r>
        <w:rPr>
          <w:rFonts w:hint="eastAsia" w:ascii="仿宋_GB2312" w:hAnsi="宋体" w:eastAsia="仿宋_GB2312"/>
          <w:sz w:val="28"/>
          <w:szCs w:val="28"/>
          <w:highlight w:val="none"/>
        </w:rPr>
        <w:t>1.满足《中华人民共和国政府采购法》第二十二条规定；</w:t>
      </w:r>
    </w:p>
    <w:p w14:paraId="75056E46">
      <w:pPr>
        <w:spacing w:line="560" w:lineRule="exact"/>
        <w:ind w:firstLine="560"/>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rPr>
        <w:t>2.落实政府采购政策需满足的资格要求：</w:t>
      </w:r>
      <w:bookmarkStart w:id="32" w:name="OLE_LINK48"/>
      <w:bookmarkStart w:id="33" w:name="OLE_LINK47"/>
      <w:r>
        <w:rPr>
          <w:rFonts w:hint="eastAsia" w:ascii="仿宋_GB2312" w:hAnsi="宋体" w:eastAsia="仿宋_GB2312"/>
          <w:sz w:val="28"/>
          <w:szCs w:val="28"/>
          <w:highlight w:val="none"/>
          <w:lang w:eastAsia="zh-CN"/>
        </w:rPr>
        <w:t>本项目为专门面向中小企业的项目，供应商应为中小微企业或监狱企业或残疾人福利性单位；</w:t>
      </w:r>
    </w:p>
    <w:bookmarkEnd w:id="32"/>
    <w:bookmarkEnd w:id="33"/>
    <w:p w14:paraId="6AFB21C2">
      <w:pPr>
        <w:spacing w:line="480" w:lineRule="exact"/>
        <w:ind w:firstLine="560"/>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rPr>
        <w:t>3.本项目的特定资格要求：</w:t>
      </w:r>
      <w:r>
        <w:rPr>
          <w:rFonts w:hint="eastAsia" w:ascii="仿宋_GB2312" w:hAnsi="宋体" w:eastAsia="仿宋_GB2312"/>
          <w:sz w:val="28"/>
          <w:szCs w:val="28"/>
          <w:highlight w:val="none"/>
          <w:lang w:eastAsia="zh-CN"/>
        </w:rPr>
        <w:t>无</w:t>
      </w:r>
    </w:p>
    <w:p w14:paraId="23546890">
      <w:pPr>
        <w:spacing w:line="560" w:lineRule="exact"/>
        <w:ind w:firstLine="560"/>
        <w:rPr>
          <w:rFonts w:ascii="黑体" w:hAnsi="黑体" w:eastAsia="黑体"/>
          <w:sz w:val="28"/>
          <w:szCs w:val="28"/>
          <w:highlight w:val="none"/>
        </w:rPr>
      </w:pPr>
      <w:r>
        <w:rPr>
          <w:rFonts w:hint="eastAsia" w:ascii="黑体" w:hAnsi="黑体" w:eastAsia="黑体"/>
          <w:sz w:val="28"/>
          <w:szCs w:val="28"/>
          <w:highlight w:val="none"/>
        </w:rPr>
        <w:t>三、获取采购文件</w:t>
      </w:r>
    </w:p>
    <w:p w14:paraId="7574B64C">
      <w:pPr>
        <w:spacing w:line="560" w:lineRule="exact"/>
        <w:ind w:firstLine="560"/>
        <w:rPr>
          <w:rFonts w:ascii="仿宋_GB2312" w:hAnsi="宋体" w:eastAsia="仿宋_GB2312"/>
          <w:sz w:val="28"/>
          <w:szCs w:val="28"/>
          <w:highlight w:val="none"/>
        </w:rPr>
      </w:pPr>
      <w:r>
        <w:rPr>
          <w:rFonts w:hint="eastAsia" w:ascii="仿宋_GB2312" w:hAnsi="宋体" w:eastAsia="仿宋_GB2312"/>
          <w:sz w:val="28"/>
          <w:szCs w:val="28"/>
          <w:highlight w:val="none"/>
        </w:rPr>
        <w:t>获取时间：自磋商文件公告发布之日起5个工作日。</w:t>
      </w:r>
    </w:p>
    <w:p w14:paraId="6E24EABB">
      <w:pPr>
        <w:spacing w:line="560" w:lineRule="exact"/>
        <w:ind w:firstLine="560"/>
        <w:rPr>
          <w:rFonts w:hint="eastAsia" w:ascii="仿宋_GB2312" w:hAnsi="宋体" w:eastAsia="仿宋_GB2312"/>
          <w:sz w:val="28"/>
          <w:szCs w:val="28"/>
          <w:highlight w:val="none"/>
        </w:rPr>
      </w:pPr>
      <w:r>
        <w:rPr>
          <w:rFonts w:hint="eastAsia" w:ascii="仿宋_GB2312" w:hAnsi="宋体" w:eastAsia="仿宋_GB2312"/>
          <w:sz w:val="28"/>
          <w:szCs w:val="28"/>
          <w:highlight w:val="none"/>
        </w:rPr>
        <w:t>地点：“苏采云”政府采购一体化平台</w:t>
      </w:r>
    </w:p>
    <w:p w14:paraId="36591B8C">
      <w:pPr>
        <w:spacing w:line="560" w:lineRule="exact"/>
        <w:ind w:firstLine="560"/>
        <w:rPr>
          <w:rFonts w:ascii="仿宋_GB2312" w:hAnsi="宋体" w:eastAsia="仿宋_GB2312"/>
          <w:sz w:val="28"/>
          <w:szCs w:val="28"/>
          <w:highlight w:val="none"/>
        </w:rPr>
      </w:pPr>
      <w:r>
        <w:rPr>
          <w:rFonts w:hint="eastAsia" w:ascii="仿宋_GB2312" w:hAnsi="宋体" w:eastAsia="仿宋_GB2312"/>
          <w:sz w:val="28"/>
          <w:szCs w:val="28"/>
          <w:highlight w:val="none"/>
        </w:rPr>
        <w:t>获取方式：线上获取</w:t>
      </w:r>
    </w:p>
    <w:p w14:paraId="58496BE8">
      <w:pPr>
        <w:spacing w:line="560" w:lineRule="exact"/>
        <w:ind w:firstLine="560"/>
        <w:rPr>
          <w:rFonts w:ascii="仿宋_GB2312" w:hAnsi="宋体" w:eastAsia="仿宋_GB2312"/>
          <w:sz w:val="28"/>
          <w:szCs w:val="28"/>
          <w:highlight w:val="none"/>
        </w:rPr>
      </w:pPr>
      <w:r>
        <w:rPr>
          <w:rFonts w:hint="eastAsia" w:ascii="仿宋_GB2312" w:hAnsi="宋体" w:eastAsia="仿宋_GB2312"/>
          <w:sz w:val="28"/>
          <w:szCs w:val="28"/>
          <w:highlight w:val="none"/>
        </w:rPr>
        <w:t>售价：免费</w:t>
      </w:r>
    </w:p>
    <w:p w14:paraId="35C299A7">
      <w:pPr>
        <w:spacing w:line="560" w:lineRule="exact"/>
        <w:ind w:firstLine="560"/>
        <w:rPr>
          <w:rFonts w:ascii="黑体" w:hAnsi="黑体" w:eastAsia="黑体"/>
          <w:sz w:val="28"/>
          <w:szCs w:val="28"/>
          <w:highlight w:val="none"/>
        </w:rPr>
      </w:pPr>
      <w:r>
        <w:rPr>
          <w:rFonts w:hint="eastAsia" w:ascii="黑体" w:hAnsi="黑体" w:eastAsia="黑体"/>
          <w:sz w:val="28"/>
          <w:szCs w:val="28"/>
          <w:highlight w:val="none"/>
        </w:rPr>
        <w:t>四、提交首次响应文件</w:t>
      </w:r>
    </w:p>
    <w:p w14:paraId="48930BA1">
      <w:pPr>
        <w:spacing w:line="560" w:lineRule="exact"/>
        <w:ind w:firstLine="560"/>
        <w:rPr>
          <w:rFonts w:ascii="仿宋_GB2312" w:hAnsi="宋体" w:eastAsia="仿宋_GB2312"/>
          <w:sz w:val="28"/>
          <w:szCs w:val="28"/>
          <w:highlight w:val="none"/>
        </w:rPr>
      </w:pPr>
      <w:r>
        <w:rPr>
          <w:rFonts w:hint="eastAsia" w:ascii="仿宋_GB2312" w:hAnsi="宋体" w:eastAsia="仿宋_GB2312"/>
          <w:sz w:val="28"/>
          <w:szCs w:val="28"/>
          <w:highlight w:val="none"/>
        </w:rPr>
        <w:t>提交首次响应文件截止时间：</w:t>
      </w:r>
      <w:r>
        <w:rPr>
          <w:rFonts w:hint="eastAsia" w:ascii="仿宋_GB2312" w:hAnsi="宋体" w:eastAsia="仿宋_GB2312"/>
          <w:sz w:val="28"/>
          <w:szCs w:val="28"/>
          <w:highlight w:val="none"/>
        </w:rPr>
        <w:t>2026-</w:t>
      </w:r>
      <w:r>
        <w:rPr>
          <w:rFonts w:hint="eastAsia" w:ascii="仿宋_GB2312" w:hAnsi="宋体" w:eastAsia="仿宋_GB2312"/>
          <w:sz w:val="28"/>
          <w:szCs w:val="28"/>
          <w:highlight w:val="none"/>
          <w:lang w:val="en-US" w:eastAsia="zh-CN"/>
        </w:rPr>
        <w:t>06</w:t>
      </w:r>
      <w:r>
        <w:rPr>
          <w:rFonts w:hint="eastAsia" w:ascii="仿宋_GB2312" w:hAnsi="宋体" w:eastAsia="仿宋_GB2312"/>
          <w:sz w:val="28"/>
          <w:szCs w:val="28"/>
          <w:highlight w:val="none"/>
        </w:rPr>
        <w:t>-</w:t>
      </w:r>
      <w:r>
        <w:rPr>
          <w:rFonts w:hint="eastAsia" w:ascii="仿宋_GB2312" w:hAnsi="宋体" w:eastAsia="仿宋_GB2312"/>
          <w:sz w:val="28"/>
          <w:szCs w:val="28"/>
          <w:highlight w:val="none"/>
          <w:lang w:val="en-US" w:eastAsia="zh-CN"/>
        </w:rPr>
        <w:t xml:space="preserve">11  </w:t>
      </w:r>
      <w:r>
        <w:rPr>
          <w:rFonts w:ascii="仿宋_GB2312" w:hAnsi="宋体" w:eastAsia="仿宋_GB2312"/>
          <w:sz w:val="28"/>
          <w:szCs w:val="28"/>
          <w:highlight w:val="none"/>
        </w:rPr>
        <w:t xml:space="preserve"> </w:t>
      </w:r>
      <w:r>
        <w:rPr>
          <w:rFonts w:hint="eastAsia" w:ascii="仿宋_GB2312" w:hAnsi="宋体" w:eastAsia="仿宋_GB2312"/>
          <w:sz w:val="28"/>
          <w:szCs w:val="28"/>
          <w:highlight w:val="none"/>
          <w:lang w:val="en-US" w:eastAsia="zh-CN"/>
        </w:rPr>
        <w:t>14</w:t>
      </w:r>
      <w:r>
        <w:rPr>
          <w:rFonts w:hint="eastAsia" w:ascii="仿宋_GB2312" w:hAnsi="宋体" w:eastAsia="仿宋_GB2312"/>
          <w:sz w:val="28"/>
          <w:szCs w:val="28"/>
          <w:highlight w:val="none"/>
        </w:rPr>
        <w:t>:</w:t>
      </w:r>
      <w:r>
        <w:rPr>
          <w:rFonts w:hint="eastAsia" w:ascii="仿宋_GB2312" w:hAnsi="宋体" w:eastAsia="仿宋_GB2312"/>
          <w:sz w:val="28"/>
          <w:szCs w:val="28"/>
          <w:highlight w:val="none"/>
          <w:lang w:val="en-US" w:eastAsia="zh-CN"/>
        </w:rPr>
        <w:t>3</w:t>
      </w:r>
      <w:r>
        <w:rPr>
          <w:rFonts w:hint="eastAsia" w:ascii="仿宋_GB2312" w:hAnsi="宋体" w:eastAsia="仿宋_GB2312"/>
          <w:sz w:val="28"/>
          <w:szCs w:val="28"/>
          <w:highlight w:val="none"/>
        </w:rPr>
        <w:t>0</w:t>
      </w:r>
      <w:r>
        <w:rPr>
          <w:rFonts w:hint="eastAsia" w:ascii="仿宋_GB2312" w:hAnsi="宋体" w:eastAsia="仿宋_GB2312"/>
          <w:sz w:val="28"/>
          <w:szCs w:val="28"/>
          <w:highlight w:val="none"/>
        </w:rPr>
        <w:t>（北京时间）；</w:t>
      </w:r>
    </w:p>
    <w:p w14:paraId="1832DAED">
      <w:pPr>
        <w:spacing w:line="560" w:lineRule="exact"/>
        <w:ind w:firstLine="560"/>
        <w:rPr>
          <w:rFonts w:ascii="仿宋_GB2312" w:hAnsi="宋体" w:eastAsia="仿宋_GB2312"/>
          <w:sz w:val="28"/>
          <w:szCs w:val="28"/>
          <w:highlight w:val="none"/>
        </w:rPr>
      </w:pPr>
      <w:r>
        <w:rPr>
          <w:rFonts w:hint="eastAsia" w:ascii="仿宋_GB2312" w:hAnsi="宋体" w:eastAsia="仿宋_GB2312"/>
          <w:sz w:val="28"/>
          <w:szCs w:val="28"/>
          <w:highlight w:val="none"/>
        </w:rPr>
        <w:t>地点：“苏采云”政府采购一体化平台</w:t>
      </w:r>
    </w:p>
    <w:p w14:paraId="43AAE71B">
      <w:pPr>
        <w:spacing w:line="560" w:lineRule="exact"/>
        <w:ind w:firstLine="560"/>
        <w:rPr>
          <w:rFonts w:ascii="黑体" w:hAnsi="黑体" w:eastAsia="黑体"/>
          <w:sz w:val="28"/>
          <w:szCs w:val="28"/>
          <w:highlight w:val="none"/>
        </w:rPr>
      </w:pPr>
      <w:r>
        <w:rPr>
          <w:rFonts w:hint="eastAsia" w:ascii="黑体" w:hAnsi="黑体" w:eastAsia="黑体"/>
          <w:sz w:val="28"/>
          <w:szCs w:val="28"/>
          <w:highlight w:val="none"/>
        </w:rPr>
        <w:t>五、开启</w:t>
      </w:r>
    </w:p>
    <w:p w14:paraId="6EA3865B">
      <w:pPr>
        <w:spacing w:line="560" w:lineRule="exact"/>
        <w:ind w:firstLine="560"/>
        <w:rPr>
          <w:rFonts w:ascii="仿宋_GB2312" w:hAnsi="宋体" w:eastAsia="仿宋_GB2312"/>
          <w:sz w:val="28"/>
          <w:szCs w:val="28"/>
          <w:highlight w:val="none"/>
        </w:rPr>
      </w:pPr>
      <w:r>
        <w:rPr>
          <w:rFonts w:hint="eastAsia" w:ascii="仿宋_GB2312" w:hAnsi="宋体" w:eastAsia="仿宋_GB2312"/>
          <w:sz w:val="28"/>
          <w:szCs w:val="28"/>
          <w:highlight w:val="none"/>
        </w:rPr>
        <w:t>时间：</w:t>
      </w:r>
      <w:r>
        <w:rPr>
          <w:rFonts w:hint="eastAsia" w:ascii="仿宋_GB2312" w:hAnsi="宋体" w:eastAsia="仿宋_GB2312"/>
          <w:sz w:val="28"/>
          <w:szCs w:val="28"/>
          <w:highlight w:val="none"/>
        </w:rPr>
        <w:t>2026-</w:t>
      </w:r>
      <w:r>
        <w:rPr>
          <w:rFonts w:hint="eastAsia" w:ascii="仿宋_GB2312" w:hAnsi="宋体" w:eastAsia="仿宋_GB2312"/>
          <w:sz w:val="28"/>
          <w:szCs w:val="28"/>
          <w:highlight w:val="none"/>
          <w:lang w:val="en-US" w:eastAsia="zh-CN"/>
        </w:rPr>
        <w:t>06</w:t>
      </w:r>
      <w:r>
        <w:rPr>
          <w:rFonts w:hint="eastAsia" w:ascii="仿宋_GB2312" w:hAnsi="宋体" w:eastAsia="仿宋_GB2312"/>
          <w:sz w:val="28"/>
          <w:szCs w:val="28"/>
          <w:highlight w:val="none"/>
        </w:rPr>
        <w:t>-</w:t>
      </w:r>
      <w:r>
        <w:rPr>
          <w:rFonts w:hint="eastAsia" w:ascii="仿宋_GB2312" w:hAnsi="宋体" w:eastAsia="仿宋_GB2312"/>
          <w:sz w:val="28"/>
          <w:szCs w:val="28"/>
          <w:highlight w:val="none"/>
          <w:lang w:val="en-US" w:eastAsia="zh-CN"/>
        </w:rPr>
        <w:t xml:space="preserve">11  </w:t>
      </w:r>
      <w:r>
        <w:rPr>
          <w:rFonts w:ascii="仿宋_GB2312" w:hAnsi="宋体" w:eastAsia="仿宋_GB2312"/>
          <w:sz w:val="28"/>
          <w:szCs w:val="28"/>
          <w:highlight w:val="none"/>
        </w:rPr>
        <w:t xml:space="preserve"> </w:t>
      </w:r>
      <w:r>
        <w:rPr>
          <w:rFonts w:hint="eastAsia" w:ascii="仿宋_GB2312" w:hAnsi="宋体" w:eastAsia="仿宋_GB2312"/>
          <w:sz w:val="28"/>
          <w:szCs w:val="28"/>
          <w:highlight w:val="none"/>
          <w:lang w:val="en-US" w:eastAsia="zh-CN"/>
        </w:rPr>
        <w:t>14</w:t>
      </w:r>
      <w:r>
        <w:rPr>
          <w:rFonts w:hint="eastAsia" w:ascii="仿宋_GB2312" w:hAnsi="宋体" w:eastAsia="仿宋_GB2312"/>
          <w:sz w:val="28"/>
          <w:szCs w:val="28"/>
          <w:highlight w:val="none"/>
        </w:rPr>
        <w:t>:</w:t>
      </w:r>
      <w:r>
        <w:rPr>
          <w:rFonts w:hint="eastAsia" w:ascii="仿宋_GB2312" w:hAnsi="宋体" w:eastAsia="仿宋_GB2312"/>
          <w:sz w:val="28"/>
          <w:szCs w:val="28"/>
          <w:highlight w:val="none"/>
          <w:lang w:val="en-US" w:eastAsia="zh-CN"/>
        </w:rPr>
        <w:t>3</w:t>
      </w:r>
      <w:r>
        <w:rPr>
          <w:rFonts w:hint="eastAsia" w:ascii="仿宋_GB2312" w:hAnsi="宋体" w:eastAsia="仿宋_GB2312"/>
          <w:sz w:val="28"/>
          <w:szCs w:val="28"/>
          <w:highlight w:val="none"/>
        </w:rPr>
        <w:t>0</w:t>
      </w:r>
      <w:r>
        <w:rPr>
          <w:rFonts w:hint="eastAsia" w:ascii="仿宋_GB2312" w:hAnsi="宋体" w:eastAsia="仿宋_GB2312"/>
          <w:sz w:val="28"/>
          <w:szCs w:val="28"/>
          <w:highlight w:val="none"/>
        </w:rPr>
        <w:t>（北京时间）；</w:t>
      </w:r>
    </w:p>
    <w:p w14:paraId="26181D3B">
      <w:pPr>
        <w:spacing w:line="560" w:lineRule="exact"/>
        <w:ind w:firstLine="560"/>
        <w:rPr>
          <w:rFonts w:hint="eastAsia" w:ascii="仿宋_GB2312" w:hAnsi="宋体" w:eastAsia="仿宋_GB2312"/>
          <w:sz w:val="28"/>
          <w:szCs w:val="28"/>
          <w:highlight w:val="none"/>
        </w:rPr>
      </w:pPr>
      <w:r>
        <w:rPr>
          <w:rFonts w:hint="eastAsia" w:ascii="仿宋_GB2312" w:hAnsi="宋体" w:eastAsia="仿宋_GB2312"/>
          <w:sz w:val="28"/>
          <w:szCs w:val="28"/>
          <w:highlight w:val="none"/>
        </w:rPr>
        <w:t>地点：“苏采云”政府采购一体化平台</w:t>
      </w:r>
    </w:p>
    <w:p w14:paraId="7856A32D">
      <w:pPr>
        <w:spacing w:line="560" w:lineRule="exact"/>
        <w:ind w:firstLine="560"/>
        <w:rPr>
          <w:rFonts w:ascii="黑体" w:hAnsi="黑体" w:eastAsia="黑体"/>
          <w:sz w:val="28"/>
          <w:szCs w:val="28"/>
          <w:highlight w:val="none"/>
        </w:rPr>
      </w:pPr>
      <w:r>
        <w:rPr>
          <w:rFonts w:hint="eastAsia" w:ascii="黑体" w:hAnsi="黑体" w:eastAsia="黑体"/>
          <w:sz w:val="28"/>
          <w:szCs w:val="28"/>
          <w:highlight w:val="none"/>
        </w:rPr>
        <w:t>六、公告期限</w:t>
      </w:r>
    </w:p>
    <w:p w14:paraId="4DCA4CD4">
      <w:pPr>
        <w:spacing w:line="560" w:lineRule="exact"/>
        <w:ind w:firstLine="560"/>
        <w:rPr>
          <w:rFonts w:ascii="仿宋_GB2312" w:hAnsi="宋体" w:eastAsia="仿宋_GB2312"/>
          <w:sz w:val="28"/>
          <w:szCs w:val="28"/>
          <w:highlight w:val="none"/>
        </w:rPr>
      </w:pPr>
      <w:r>
        <w:rPr>
          <w:rFonts w:hint="eastAsia" w:ascii="仿宋_GB2312" w:hAnsi="宋体" w:eastAsia="仿宋_GB2312"/>
          <w:sz w:val="28"/>
          <w:szCs w:val="28"/>
          <w:highlight w:val="none"/>
        </w:rPr>
        <w:t>自本公告发布之日起5个工作日。</w:t>
      </w:r>
    </w:p>
    <w:p w14:paraId="346C8C80">
      <w:pPr>
        <w:spacing w:line="560" w:lineRule="exact"/>
        <w:ind w:firstLine="560"/>
        <w:rPr>
          <w:rFonts w:hint="eastAsia" w:ascii="黑体" w:hAnsi="黑体" w:eastAsia="黑体"/>
          <w:sz w:val="28"/>
          <w:szCs w:val="28"/>
          <w:highlight w:val="none"/>
        </w:rPr>
      </w:pPr>
      <w:r>
        <w:rPr>
          <w:rFonts w:hint="eastAsia" w:ascii="黑体" w:hAnsi="黑体" w:eastAsia="黑体"/>
          <w:sz w:val="28"/>
          <w:szCs w:val="28"/>
          <w:highlight w:val="none"/>
        </w:rPr>
        <w:t>七、其他补充事宜</w:t>
      </w:r>
    </w:p>
    <w:p w14:paraId="74810BDD">
      <w:pPr>
        <w:spacing w:line="560" w:lineRule="exact"/>
        <w:ind w:firstLine="560"/>
        <w:rPr>
          <w:rFonts w:hint="eastAsia" w:ascii="仿宋_GB2312" w:hAnsi="宋体" w:eastAsia="仿宋_GB2312"/>
          <w:sz w:val="28"/>
          <w:szCs w:val="28"/>
          <w:highlight w:val="none"/>
        </w:rPr>
      </w:pPr>
      <w:r>
        <w:rPr>
          <w:rFonts w:hint="eastAsia" w:ascii="仿宋_GB2312" w:hAnsi="宋体" w:eastAsia="仿宋_GB2312"/>
          <w:sz w:val="28"/>
          <w:szCs w:val="28"/>
          <w:highlight w:val="none"/>
        </w:rPr>
        <w:t>1.磋商保证金：无。</w:t>
      </w:r>
    </w:p>
    <w:p w14:paraId="4B812479">
      <w:pPr>
        <w:spacing w:line="560" w:lineRule="exact"/>
        <w:ind w:firstLine="560"/>
        <w:rPr>
          <w:rFonts w:hint="eastAsia" w:ascii="仿宋_GB2312" w:hAnsi="宋体" w:eastAsia="仿宋_GB2312"/>
          <w:sz w:val="28"/>
          <w:szCs w:val="28"/>
          <w:highlight w:val="none"/>
        </w:rPr>
      </w:pPr>
      <w:r>
        <w:rPr>
          <w:rFonts w:hint="eastAsia" w:ascii="仿宋_GB2312" w:hAnsi="宋体" w:eastAsia="仿宋_GB2312"/>
          <w:sz w:val="28"/>
          <w:szCs w:val="28"/>
          <w:highlight w:val="none"/>
        </w:rPr>
        <w:t>2.采购信息发布媒介：江苏政府采购网（www.ccgp-jiangsu.gov.cn）</w:t>
      </w:r>
    </w:p>
    <w:p w14:paraId="20FE1E66">
      <w:pPr>
        <w:spacing w:line="460" w:lineRule="exact"/>
        <w:ind w:firstLine="562"/>
        <w:rPr>
          <w:rFonts w:ascii="仿宋_GB2312" w:hAnsi="宋体" w:eastAsia="仿宋_GB2312"/>
          <w:b/>
          <w:sz w:val="28"/>
          <w:szCs w:val="28"/>
          <w:highlight w:val="none"/>
        </w:rPr>
      </w:pPr>
      <w:r>
        <w:rPr>
          <w:rFonts w:hint="eastAsia" w:ascii="仿宋_GB2312" w:hAnsi="宋体" w:eastAsia="仿宋_GB2312"/>
          <w:b/>
          <w:sz w:val="28"/>
          <w:szCs w:val="28"/>
          <w:highlight w:val="none"/>
        </w:rPr>
        <w:t>3.注意事项：</w:t>
      </w:r>
    </w:p>
    <w:p w14:paraId="10CC8BFB">
      <w:pPr>
        <w:spacing w:line="460" w:lineRule="exact"/>
        <w:ind w:firstLine="562"/>
        <w:rPr>
          <w:rFonts w:ascii="仿宋_GB2312" w:hAnsi="宋体" w:eastAsia="仿宋_GB2312"/>
          <w:b/>
          <w:sz w:val="28"/>
          <w:szCs w:val="28"/>
          <w:highlight w:val="none"/>
        </w:rPr>
      </w:pPr>
      <w:r>
        <w:rPr>
          <w:rFonts w:hint="eastAsia" w:ascii="仿宋_GB2312" w:hAnsi="宋体" w:eastAsia="仿宋_GB2312"/>
          <w:b/>
          <w:sz w:val="28"/>
          <w:szCs w:val="28"/>
          <w:highlight w:val="none"/>
        </w:rPr>
        <w:t>（1）潜在供应商登录“</w:t>
      </w:r>
      <w:bookmarkStart w:id="34" w:name="OLE_LINK176"/>
      <w:r>
        <w:rPr>
          <w:rFonts w:hint="eastAsia" w:ascii="仿宋_GB2312" w:hAnsi="宋体" w:eastAsia="仿宋_GB2312"/>
          <w:b/>
          <w:sz w:val="28"/>
          <w:szCs w:val="28"/>
          <w:highlight w:val="none"/>
        </w:rPr>
        <w:t>江苏省政府采购管理交易系统（苏采云）</w:t>
      </w:r>
      <w:bookmarkEnd w:id="34"/>
      <w:r>
        <w:rPr>
          <w:rFonts w:hint="eastAsia" w:ascii="仿宋_GB2312" w:hAnsi="宋体" w:eastAsia="仿宋_GB2312"/>
          <w:b/>
          <w:sz w:val="28"/>
          <w:szCs w:val="28"/>
          <w:highlight w:val="none"/>
        </w:rPr>
        <w:t>”须持经注册的CA证书。未注册、领取CA和办理电子签章的潜在供应商，请至泰州市高港区泰州大道188号(中国医药城会展交易中心W3馆西南角)公共资源交易大厅政务CA窗口办理，电话：0523-81568158。</w:t>
      </w:r>
    </w:p>
    <w:p w14:paraId="6D2FD356">
      <w:pPr>
        <w:spacing w:line="460" w:lineRule="exact"/>
        <w:ind w:firstLine="562"/>
        <w:rPr>
          <w:rFonts w:ascii="仿宋_GB2312" w:hAnsi="宋体" w:eastAsia="仿宋_GB2312"/>
          <w:b/>
          <w:sz w:val="28"/>
          <w:szCs w:val="28"/>
          <w:highlight w:val="none"/>
        </w:rPr>
      </w:pPr>
      <w:r>
        <w:rPr>
          <w:rFonts w:hint="eastAsia" w:ascii="仿宋_GB2312" w:hAnsi="宋体" w:eastAsia="仿宋_GB2312"/>
          <w:b/>
          <w:sz w:val="28"/>
          <w:szCs w:val="28"/>
          <w:highlight w:val="none"/>
        </w:rPr>
        <w:t>（2）本项目采用电子化投标，供应商应根据《江苏省政府采购管理交易系统（苏采云）供应商操作手册》（“泰州市政府采购网—下载中心”下载）规定，制作、上传电子投标文件（技术支持电话：0523-87633965、0523-86897512；客服QQ709339244、QQ：1810179072）。</w:t>
      </w:r>
    </w:p>
    <w:p w14:paraId="6FCAA23E">
      <w:pPr>
        <w:spacing w:line="460" w:lineRule="exact"/>
        <w:ind w:firstLine="562"/>
        <w:rPr>
          <w:rFonts w:ascii="仿宋_GB2312" w:hAnsi="宋体" w:eastAsia="仿宋_GB2312"/>
          <w:b/>
          <w:sz w:val="28"/>
          <w:szCs w:val="28"/>
          <w:highlight w:val="none"/>
        </w:rPr>
      </w:pPr>
      <w:r>
        <w:rPr>
          <w:rFonts w:hint="eastAsia" w:ascii="仿宋_GB2312" w:hAnsi="宋体" w:eastAsia="仿宋_GB2312"/>
          <w:b/>
          <w:sz w:val="28"/>
          <w:szCs w:val="28"/>
          <w:highlight w:val="none"/>
        </w:rPr>
        <w:t>（3）有关本次招标的事项若存在变动或修改，敬请及时关注“江苏政府采购网”发布的更正公告。</w:t>
      </w:r>
    </w:p>
    <w:p w14:paraId="0F830E5E">
      <w:pPr>
        <w:spacing w:line="560" w:lineRule="exact"/>
        <w:ind w:firstLine="562"/>
        <w:rPr>
          <w:rFonts w:hint="eastAsia" w:ascii="仿宋_GB2312" w:hAnsi="宋体" w:eastAsia="仿宋_GB2312"/>
          <w:b/>
          <w:sz w:val="28"/>
          <w:szCs w:val="28"/>
          <w:highlight w:val="none"/>
        </w:rPr>
      </w:pPr>
      <w:r>
        <w:rPr>
          <w:rFonts w:hint="eastAsia" w:ascii="仿宋_GB2312" w:hAnsi="宋体" w:eastAsia="仿宋_GB2312"/>
          <w:b/>
          <w:sz w:val="28"/>
          <w:szCs w:val="28"/>
          <w:highlight w:val="none"/>
        </w:rPr>
        <w:t>如潜在供应商未按上述要求操作，将自行承担所产生的风险。</w:t>
      </w:r>
    </w:p>
    <w:p w14:paraId="237B5882">
      <w:pPr>
        <w:spacing w:line="560" w:lineRule="exact"/>
        <w:ind w:firstLine="560"/>
        <w:rPr>
          <w:rFonts w:ascii="黑体" w:hAnsi="黑体" w:eastAsia="黑体"/>
          <w:sz w:val="28"/>
          <w:szCs w:val="28"/>
          <w:highlight w:val="none"/>
        </w:rPr>
      </w:pPr>
      <w:r>
        <w:rPr>
          <w:rFonts w:hint="eastAsia" w:ascii="黑体" w:hAnsi="黑体" w:eastAsia="黑体"/>
          <w:sz w:val="28"/>
          <w:szCs w:val="28"/>
          <w:highlight w:val="none"/>
        </w:rPr>
        <w:t>八、凡对本次采购提出询问，请按以下方式联系</w:t>
      </w:r>
    </w:p>
    <w:p w14:paraId="319FB167">
      <w:pPr>
        <w:pStyle w:val="221"/>
        <w:spacing w:before="0" w:beforeAutospacing="0" w:after="0" w:afterAutospacing="0" w:line="520" w:lineRule="exact"/>
        <w:ind w:firstLine="561"/>
        <w:rPr>
          <w:rFonts w:ascii="仿宋_GB2312" w:eastAsia="仿宋_GB2312" w:cs="Times New Roman"/>
          <w:sz w:val="28"/>
          <w:szCs w:val="28"/>
          <w:highlight w:val="none"/>
        </w:rPr>
      </w:pPr>
      <w:r>
        <w:rPr>
          <w:rFonts w:hint="eastAsia" w:ascii="仿宋_GB2312" w:eastAsia="仿宋_GB2312" w:cs="Times New Roman"/>
          <w:sz w:val="28"/>
          <w:szCs w:val="28"/>
          <w:highlight w:val="none"/>
        </w:rPr>
        <w:t>1.采购人信息</w:t>
      </w:r>
    </w:p>
    <w:p w14:paraId="23200FD9">
      <w:pPr>
        <w:pStyle w:val="221"/>
        <w:spacing w:before="0" w:beforeAutospacing="0" w:after="0" w:afterAutospacing="0" w:line="520" w:lineRule="exact"/>
        <w:ind w:firstLine="561"/>
        <w:rPr>
          <w:rFonts w:hint="eastAsia" w:ascii="仿宋_GB2312" w:eastAsia="仿宋_GB2312"/>
          <w:sz w:val="28"/>
          <w:szCs w:val="28"/>
          <w:highlight w:val="none"/>
          <w:lang w:eastAsia="zh-CN"/>
        </w:rPr>
      </w:pPr>
      <w:r>
        <w:rPr>
          <w:rFonts w:hint="eastAsia" w:ascii="仿宋_GB2312" w:eastAsia="仿宋_GB2312" w:cs="Times New Roman"/>
          <w:sz w:val="28"/>
          <w:szCs w:val="28"/>
          <w:highlight w:val="none"/>
        </w:rPr>
        <w:t>名称：</w:t>
      </w:r>
      <w:r>
        <w:rPr>
          <w:rFonts w:hint="eastAsia" w:ascii="仿宋_GB2312" w:eastAsia="仿宋_GB2312"/>
          <w:sz w:val="28"/>
          <w:szCs w:val="28"/>
          <w:highlight w:val="none"/>
          <w:lang w:eastAsia="zh-CN"/>
        </w:rPr>
        <w:t>泰兴市曲霞镇人民政府</w:t>
      </w:r>
    </w:p>
    <w:p w14:paraId="7D2D776D">
      <w:pPr>
        <w:pStyle w:val="221"/>
        <w:spacing w:before="0" w:beforeAutospacing="0" w:after="0" w:afterAutospacing="0" w:line="520" w:lineRule="exact"/>
        <w:ind w:firstLine="561"/>
        <w:rPr>
          <w:rFonts w:hint="eastAsia" w:ascii="仿宋_GB2312" w:eastAsia="仿宋_GB2312" w:cs="Times New Roman"/>
          <w:sz w:val="28"/>
          <w:szCs w:val="28"/>
          <w:highlight w:val="none"/>
          <w:lang w:eastAsia="zh-CN"/>
        </w:rPr>
      </w:pPr>
      <w:r>
        <w:rPr>
          <w:rFonts w:hint="eastAsia" w:ascii="仿宋_GB2312" w:eastAsia="仿宋_GB2312" w:cs="Times New Roman"/>
          <w:sz w:val="28"/>
          <w:szCs w:val="28"/>
          <w:highlight w:val="none"/>
        </w:rPr>
        <w:t>地址：</w:t>
      </w:r>
      <w:r>
        <w:rPr>
          <w:rFonts w:hint="eastAsia" w:ascii="仿宋_GB2312" w:eastAsia="仿宋_GB2312"/>
          <w:sz w:val="28"/>
          <w:szCs w:val="28"/>
          <w:highlight w:val="none"/>
          <w:lang w:eastAsia="zh-CN"/>
        </w:rPr>
        <w:t>泰兴市曲霞镇</w:t>
      </w:r>
    </w:p>
    <w:p w14:paraId="1651A7C1">
      <w:pPr>
        <w:pStyle w:val="221"/>
        <w:spacing w:before="0" w:beforeAutospacing="0" w:after="0" w:afterAutospacing="0" w:line="520" w:lineRule="exact"/>
        <w:ind w:firstLine="561"/>
        <w:rPr>
          <w:rFonts w:hint="eastAsia" w:ascii="仿宋_GB2312" w:eastAsia="仿宋_GB2312" w:cs="Times New Roman"/>
          <w:sz w:val="28"/>
          <w:szCs w:val="28"/>
          <w:highlight w:val="none"/>
          <w:lang w:eastAsia="zh-CN"/>
        </w:rPr>
      </w:pPr>
      <w:r>
        <w:rPr>
          <w:rFonts w:hint="eastAsia" w:ascii="仿宋_GB2312" w:eastAsia="仿宋_GB2312" w:cs="Times New Roman"/>
          <w:sz w:val="28"/>
          <w:szCs w:val="28"/>
          <w:highlight w:val="none"/>
        </w:rPr>
        <w:t>联系方式：</w:t>
      </w:r>
      <w:r>
        <w:rPr>
          <w:rFonts w:hint="eastAsia" w:ascii="仿宋_GB2312" w:eastAsia="仿宋_GB2312"/>
          <w:sz w:val="28"/>
          <w:szCs w:val="28"/>
          <w:highlight w:val="none"/>
          <w:lang w:eastAsia="zh-CN"/>
        </w:rPr>
        <w:t>18252656656</w:t>
      </w:r>
    </w:p>
    <w:p w14:paraId="7F6542D0">
      <w:pPr>
        <w:pStyle w:val="221"/>
        <w:spacing w:before="0" w:beforeAutospacing="0" w:after="0" w:afterAutospacing="0" w:line="520" w:lineRule="exact"/>
        <w:ind w:firstLine="561"/>
        <w:rPr>
          <w:rFonts w:hint="eastAsia" w:ascii="仿宋_GB2312" w:eastAsia="仿宋_GB2312" w:cs="Times New Roman"/>
          <w:sz w:val="28"/>
          <w:szCs w:val="28"/>
          <w:highlight w:val="none"/>
        </w:rPr>
      </w:pPr>
      <w:r>
        <w:rPr>
          <w:rFonts w:hint="eastAsia" w:ascii="仿宋_GB2312" w:eastAsia="仿宋_GB2312" w:cs="Times New Roman"/>
          <w:sz w:val="28"/>
          <w:szCs w:val="28"/>
          <w:highlight w:val="none"/>
        </w:rPr>
        <w:t>2.采购代理机构信息</w:t>
      </w:r>
    </w:p>
    <w:p w14:paraId="20924182">
      <w:pPr>
        <w:pStyle w:val="221"/>
        <w:spacing w:before="0" w:beforeAutospacing="0" w:after="0" w:afterAutospacing="0" w:line="520" w:lineRule="exact"/>
        <w:ind w:firstLine="561"/>
        <w:jc w:val="both"/>
        <w:rPr>
          <w:rFonts w:hint="eastAsia" w:ascii="仿宋_GB2312" w:eastAsia="仿宋_GB2312" w:cs="Times New Roman"/>
          <w:sz w:val="28"/>
          <w:szCs w:val="28"/>
          <w:highlight w:val="none"/>
          <w:lang w:eastAsia="zh-CN"/>
        </w:rPr>
      </w:pPr>
      <w:r>
        <w:rPr>
          <w:rFonts w:hint="eastAsia" w:ascii="仿宋_GB2312" w:eastAsia="仿宋_GB2312" w:cs="Times New Roman"/>
          <w:sz w:val="28"/>
          <w:szCs w:val="28"/>
          <w:highlight w:val="none"/>
        </w:rPr>
        <w:t>名称：</w:t>
      </w:r>
      <w:r>
        <w:rPr>
          <w:rFonts w:hint="eastAsia" w:ascii="仿宋_GB2312" w:eastAsia="仿宋_GB2312" w:cs="Times New Roman"/>
          <w:sz w:val="28"/>
          <w:szCs w:val="28"/>
          <w:highlight w:val="none"/>
          <w:lang w:eastAsia="zh-CN"/>
        </w:rPr>
        <w:t>江苏嘉泽项目管理有限公司</w:t>
      </w:r>
    </w:p>
    <w:p w14:paraId="0055E431">
      <w:pPr>
        <w:pStyle w:val="221"/>
        <w:spacing w:before="0" w:beforeAutospacing="0" w:after="0" w:afterAutospacing="0" w:line="520" w:lineRule="exact"/>
        <w:ind w:firstLine="561"/>
        <w:jc w:val="both"/>
        <w:rPr>
          <w:rFonts w:hint="eastAsia" w:ascii="仿宋_GB2312" w:eastAsia="仿宋_GB2312" w:cs="Times New Roman"/>
          <w:sz w:val="28"/>
          <w:szCs w:val="28"/>
          <w:highlight w:val="none"/>
          <w:lang w:eastAsia="zh-CN"/>
        </w:rPr>
      </w:pPr>
      <w:r>
        <w:rPr>
          <w:rFonts w:hint="eastAsia" w:ascii="仿宋_GB2312" w:eastAsia="仿宋_GB2312" w:cs="Times New Roman"/>
          <w:sz w:val="28"/>
          <w:szCs w:val="28"/>
          <w:highlight w:val="none"/>
        </w:rPr>
        <w:t>地址：</w:t>
      </w:r>
      <w:r>
        <w:rPr>
          <w:rFonts w:hint="eastAsia" w:ascii="仿宋_GB2312" w:eastAsia="仿宋_GB2312" w:cs="Times New Roman"/>
          <w:sz w:val="28"/>
          <w:szCs w:val="28"/>
          <w:highlight w:val="none"/>
          <w:lang w:eastAsia="zh-CN"/>
        </w:rPr>
        <w:t>泰兴市根思中路71号四楼</w:t>
      </w:r>
    </w:p>
    <w:p w14:paraId="48EF08E4">
      <w:pPr>
        <w:pStyle w:val="221"/>
        <w:spacing w:before="0" w:beforeAutospacing="0" w:after="0" w:afterAutospacing="0" w:line="520" w:lineRule="exact"/>
        <w:ind w:firstLine="561"/>
        <w:jc w:val="both"/>
        <w:rPr>
          <w:rFonts w:hint="eastAsia" w:ascii="仿宋_GB2312" w:eastAsia="仿宋_GB2312" w:cs="Times New Roman"/>
          <w:sz w:val="28"/>
          <w:szCs w:val="28"/>
          <w:highlight w:val="none"/>
          <w:lang w:eastAsia="zh-CN"/>
        </w:rPr>
      </w:pPr>
      <w:bookmarkStart w:id="35" w:name="OLE_LINK173"/>
      <w:bookmarkStart w:id="36" w:name="OLE_LINK130"/>
      <w:r>
        <w:rPr>
          <w:rFonts w:hint="eastAsia" w:ascii="仿宋_GB2312" w:eastAsia="仿宋_GB2312" w:cs="Times New Roman"/>
          <w:sz w:val="28"/>
          <w:szCs w:val="28"/>
          <w:highlight w:val="none"/>
        </w:rPr>
        <w:t>联系方式</w:t>
      </w:r>
      <w:bookmarkEnd w:id="35"/>
      <w:bookmarkEnd w:id="36"/>
      <w:r>
        <w:rPr>
          <w:rFonts w:hint="eastAsia" w:ascii="仿宋_GB2312" w:eastAsia="仿宋_GB2312" w:cs="Times New Roman"/>
          <w:sz w:val="28"/>
          <w:szCs w:val="28"/>
          <w:highlight w:val="none"/>
        </w:rPr>
        <w:t>：</w:t>
      </w:r>
      <w:r>
        <w:rPr>
          <w:rFonts w:hint="eastAsia" w:ascii="仿宋_GB2312" w:eastAsia="仿宋_GB2312" w:cs="Times New Roman"/>
          <w:sz w:val="28"/>
          <w:szCs w:val="28"/>
          <w:highlight w:val="none"/>
          <w:lang w:eastAsia="zh-CN"/>
        </w:rPr>
        <w:t>15905267335</w:t>
      </w:r>
    </w:p>
    <w:p w14:paraId="023DFE35">
      <w:pPr>
        <w:pStyle w:val="221"/>
        <w:spacing w:before="0" w:beforeAutospacing="0" w:after="0" w:afterAutospacing="0" w:line="520" w:lineRule="exact"/>
        <w:ind w:firstLine="561"/>
        <w:jc w:val="both"/>
        <w:rPr>
          <w:rFonts w:hint="eastAsia" w:ascii="仿宋_GB2312" w:eastAsia="仿宋_GB2312" w:cs="Times New Roman"/>
          <w:sz w:val="28"/>
          <w:szCs w:val="28"/>
          <w:highlight w:val="none"/>
        </w:rPr>
      </w:pPr>
      <w:r>
        <w:rPr>
          <w:rFonts w:hint="eastAsia" w:ascii="仿宋_GB2312" w:eastAsia="仿宋_GB2312" w:cs="Times New Roman"/>
          <w:sz w:val="28"/>
          <w:szCs w:val="28"/>
          <w:highlight w:val="none"/>
        </w:rPr>
        <w:t>3.项目联系方式</w:t>
      </w:r>
    </w:p>
    <w:p w14:paraId="09344171">
      <w:pPr>
        <w:pStyle w:val="221"/>
        <w:spacing w:before="0" w:beforeAutospacing="0" w:after="0" w:afterAutospacing="0" w:line="520" w:lineRule="exact"/>
        <w:ind w:firstLine="561"/>
        <w:jc w:val="both"/>
        <w:rPr>
          <w:rFonts w:hint="eastAsia" w:ascii="仿宋_GB2312" w:eastAsia="仿宋_GB2312" w:cs="Times New Roman"/>
          <w:sz w:val="28"/>
          <w:szCs w:val="28"/>
          <w:highlight w:val="none"/>
          <w:lang w:eastAsia="zh-CN"/>
        </w:rPr>
      </w:pPr>
      <w:r>
        <w:rPr>
          <w:rFonts w:hint="eastAsia" w:ascii="仿宋_GB2312" w:eastAsia="仿宋_GB2312" w:cs="Times New Roman"/>
          <w:sz w:val="28"/>
          <w:szCs w:val="28"/>
          <w:highlight w:val="none"/>
        </w:rPr>
        <w:t>项目联系人：</w:t>
      </w:r>
      <w:r>
        <w:rPr>
          <w:rFonts w:hint="eastAsia" w:ascii="仿宋_GB2312" w:eastAsia="仿宋_GB2312"/>
          <w:sz w:val="28"/>
          <w:szCs w:val="28"/>
          <w:highlight w:val="none"/>
          <w:lang w:eastAsia="zh-CN"/>
        </w:rPr>
        <w:t>泰兴市曲霞镇人民政府</w:t>
      </w:r>
      <w:r>
        <w:rPr>
          <w:rFonts w:hint="eastAsia" w:ascii="仿宋_GB2312" w:eastAsia="仿宋_GB2312" w:cs="Times New Roman"/>
          <w:sz w:val="28"/>
          <w:szCs w:val="28"/>
          <w:highlight w:val="none"/>
        </w:rPr>
        <w:t xml:space="preserve">  </w:t>
      </w:r>
      <w:r>
        <w:rPr>
          <w:rFonts w:hint="eastAsia" w:ascii="仿宋_GB2312" w:eastAsia="仿宋_GB2312" w:cs="Times New Roman"/>
          <w:sz w:val="28"/>
          <w:szCs w:val="28"/>
          <w:highlight w:val="none"/>
          <w:lang w:eastAsia="zh-CN"/>
        </w:rPr>
        <w:t>孙军</w:t>
      </w:r>
    </w:p>
    <w:p w14:paraId="4F8D9263">
      <w:pPr>
        <w:pStyle w:val="221"/>
        <w:spacing w:before="0" w:beforeAutospacing="0" w:after="0" w:afterAutospacing="0" w:line="520" w:lineRule="exact"/>
        <w:ind w:firstLine="561"/>
        <w:jc w:val="both"/>
        <w:rPr>
          <w:rFonts w:hint="eastAsia" w:ascii="仿宋_GB2312" w:eastAsia="仿宋_GB2312" w:cs="Times New Roman"/>
          <w:sz w:val="28"/>
          <w:szCs w:val="28"/>
          <w:highlight w:val="none"/>
          <w:lang w:eastAsia="zh-CN"/>
        </w:rPr>
      </w:pPr>
      <w:r>
        <w:rPr>
          <w:rFonts w:hint="eastAsia" w:ascii="仿宋_GB2312" w:eastAsia="仿宋_GB2312"/>
          <w:sz w:val="28"/>
          <w:szCs w:val="28"/>
          <w:highlight w:val="none"/>
        </w:rPr>
        <w:t>联系方式</w:t>
      </w:r>
      <w:r>
        <w:rPr>
          <w:rFonts w:hint="eastAsia" w:ascii="仿宋_GB2312" w:eastAsia="仿宋_GB2312" w:cs="Times New Roman"/>
          <w:sz w:val="28"/>
          <w:szCs w:val="28"/>
          <w:highlight w:val="none"/>
        </w:rPr>
        <w:t>：</w:t>
      </w:r>
      <w:r>
        <w:rPr>
          <w:rFonts w:hint="eastAsia" w:ascii="仿宋_GB2312" w:eastAsia="仿宋_GB2312"/>
          <w:sz w:val="28"/>
          <w:szCs w:val="28"/>
          <w:highlight w:val="none"/>
          <w:lang w:eastAsia="zh-CN"/>
        </w:rPr>
        <w:t>18252656656</w:t>
      </w:r>
    </w:p>
    <w:p w14:paraId="77221845">
      <w:pPr>
        <w:pStyle w:val="221"/>
        <w:spacing w:before="0" w:beforeAutospacing="0" w:after="0" w:afterAutospacing="0" w:line="520" w:lineRule="exact"/>
        <w:ind w:firstLine="561"/>
        <w:jc w:val="both"/>
        <w:rPr>
          <w:rFonts w:hint="eastAsia" w:ascii="仿宋_GB2312" w:eastAsia="仿宋_GB2312" w:cs="Times New Roman"/>
          <w:sz w:val="28"/>
          <w:szCs w:val="28"/>
          <w:highlight w:val="none"/>
          <w:lang w:eastAsia="zh-CN"/>
        </w:rPr>
      </w:pPr>
      <w:r>
        <w:rPr>
          <w:rFonts w:hint="eastAsia" w:ascii="仿宋_GB2312" w:eastAsia="仿宋_GB2312" w:cs="Times New Roman"/>
          <w:sz w:val="28"/>
          <w:szCs w:val="28"/>
          <w:highlight w:val="none"/>
        </w:rPr>
        <w:t>项目联系人：</w:t>
      </w:r>
      <w:r>
        <w:rPr>
          <w:rFonts w:hint="eastAsia" w:ascii="仿宋_GB2312" w:eastAsia="仿宋_GB2312" w:cs="Times New Roman"/>
          <w:sz w:val="28"/>
          <w:szCs w:val="28"/>
          <w:highlight w:val="none"/>
          <w:lang w:eastAsia="zh-CN"/>
        </w:rPr>
        <w:t>江苏嘉泽项目管理有限公司</w:t>
      </w:r>
      <w:r>
        <w:rPr>
          <w:rFonts w:hint="eastAsia" w:ascii="仿宋_GB2312" w:eastAsia="仿宋_GB2312" w:cs="Times New Roman"/>
          <w:sz w:val="28"/>
          <w:szCs w:val="28"/>
          <w:highlight w:val="none"/>
        </w:rPr>
        <w:t xml:space="preserve">  </w:t>
      </w:r>
      <w:r>
        <w:rPr>
          <w:rFonts w:hint="eastAsia" w:ascii="仿宋_GB2312" w:eastAsia="仿宋_GB2312" w:cs="Times New Roman"/>
          <w:sz w:val="28"/>
          <w:szCs w:val="28"/>
          <w:highlight w:val="none"/>
          <w:lang w:eastAsia="zh-CN"/>
        </w:rPr>
        <w:t>孟娟</w:t>
      </w:r>
    </w:p>
    <w:p w14:paraId="0A81A730">
      <w:pPr>
        <w:spacing w:line="520" w:lineRule="exact"/>
        <w:ind w:firstLine="560"/>
        <w:rPr>
          <w:rFonts w:hint="eastAsia" w:ascii="仿宋_GB2312" w:hAnsi="宋体" w:eastAsia="仿宋_GB2312"/>
          <w:sz w:val="28"/>
          <w:szCs w:val="28"/>
          <w:highlight w:val="none"/>
          <w:lang w:eastAsia="zh-CN"/>
        </w:rPr>
      </w:pPr>
      <w:r>
        <w:rPr>
          <w:rFonts w:hint="eastAsia" w:ascii="仿宋_GB2312" w:eastAsia="仿宋_GB2312"/>
          <w:sz w:val="28"/>
          <w:szCs w:val="28"/>
          <w:highlight w:val="none"/>
        </w:rPr>
        <w:t>联系方式</w:t>
      </w:r>
      <w:r>
        <w:rPr>
          <w:rFonts w:hint="eastAsia" w:ascii="仿宋_GB2312" w:hAnsi="宋体" w:eastAsia="仿宋_GB2312"/>
          <w:sz w:val="28"/>
          <w:szCs w:val="28"/>
          <w:highlight w:val="none"/>
        </w:rPr>
        <w:t>：</w:t>
      </w:r>
      <w:r>
        <w:rPr>
          <w:rFonts w:hint="eastAsia" w:ascii="仿宋_GB2312" w:hAnsi="宋体" w:eastAsia="仿宋_GB2312"/>
          <w:sz w:val="28"/>
          <w:szCs w:val="28"/>
          <w:highlight w:val="none"/>
          <w:lang w:eastAsia="zh-CN"/>
        </w:rPr>
        <w:t>15905267335</w:t>
      </w:r>
    </w:p>
    <w:p w14:paraId="4DC7E167">
      <w:pPr>
        <w:widowControl/>
        <w:jc w:val="center"/>
        <w:rPr>
          <w:rFonts w:hint="eastAsia" w:ascii="方正小标宋_GBK" w:hAnsi="宋体" w:eastAsia="方正小标宋_GBK"/>
          <w:b/>
          <w:sz w:val="32"/>
          <w:szCs w:val="32"/>
          <w:highlight w:val="none"/>
        </w:rPr>
      </w:pPr>
      <w:r>
        <w:rPr>
          <w:rFonts w:ascii="宋体" w:hAnsi="宋体"/>
          <w:b/>
          <w:sz w:val="32"/>
          <w:szCs w:val="32"/>
          <w:highlight w:val="none"/>
        </w:rPr>
        <w:br w:type="page" w:clear="all"/>
      </w:r>
      <w:r>
        <w:rPr>
          <w:rFonts w:hint="eastAsia" w:ascii="方正仿宋_GB2312" w:hAnsi="方正仿宋_GB2312" w:eastAsia="方正仿宋_GB2312" w:cs="方正仿宋_GB2312"/>
          <w:b/>
          <w:sz w:val="44"/>
          <w:szCs w:val="44"/>
          <w:highlight w:val="none"/>
        </w:rPr>
        <w:t>第二章 供应商须知</w:t>
      </w:r>
      <w:bookmarkEnd w:id="11"/>
    </w:p>
    <w:p w14:paraId="56EF89D9">
      <w:pPr>
        <w:rPr>
          <w:rFonts w:ascii="仿宋_GB2312" w:hAnsi="宋体" w:eastAsia="仿宋_GB2312"/>
          <w:sz w:val="28"/>
          <w:szCs w:val="28"/>
          <w:highlight w:val="none"/>
        </w:rPr>
      </w:pPr>
      <w:r>
        <w:rPr>
          <w:rFonts w:hint="eastAsia" w:ascii="仿宋_GB2312" w:hAnsi="宋体" w:eastAsia="仿宋_GB2312"/>
          <w:sz w:val="28"/>
          <w:szCs w:val="28"/>
          <w:highlight w:val="none"/>
        </w:rPr>
        <w:t>供应商须知前附表</w:t>
      </w:r>
    </w:p>
    <w:tbl>
      <w:tblPr>
        <w:tblStyle w:val="34"/>
        <w:tblW w:w="953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5"/>
        <w:gridCol w:w="2551"/>
        <w:gridCol w:w="6"/>
        <w:gridCol w:w="5840"/>
      </w:tblGrid>
      <w:tr w14:paraId="60B4DA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trPr>
        <w:tc>
          <w:tcPr>
            <w:tcW w:w="1135" w:type="dxa"/>
            <w:noWrap w:val="0"/>
            <w:vAlign w:val="center"/>
          </w:tcPr>
          <w:p w14:paraId="05DE2977">
            <w:pPr>
              <w:spacing w:line="36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条款号</w:t>
            </w:r>
          </w:p>
        </w:tc>
        <w:tc>
          <w:tcPr>
            <w:tcW w:w="2551" w:type="dxa"/>
            <w:noWrap w:val="0"/>
            <w:vAlign w:val="center"/>
          </w:tcPr>
          <w:p w14:paraId="49825B20">
            <w:pPr>
              <w:spacing w:line="36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条 款 名 称</w:t>
            </w:r>
          </w:p>
        </w:tc>
        <w:tc>
          <w:tcPr>
            <w:tcW w:w="5846" w:type="dxa"/>
            <w:gridSpan w:val="2"/>
            <w:noWrap w:val="0"/>
            <w:vAlign w:val="center"/>
          </w:tcPr>
          <w:p w14:paraId="2CED2975">
            <w:pPr>
              <w:spacing w:line="36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编  列  内  容</w:t>
            </w:r>
          </w:p>
        </w:tc>
      </w:tr>
      <w:tr w14:paraId="0673CA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1135" w:type="dxa"/>
            <w:noWrap w:val="0"/>
            <w:vAlign w:val="center"/>
          </w:tcPr>
          <w:p w14:paraId="1F593653">
            <w:pPr>
              <w:spacing w:line="360" w:lineRule="exact"/>
              <w:jc w:val="center"/>
              <w:rPr>
                <w:rFonts w:hint="eastAsia" w:ascii="仿宋" w:hAnsi="仿宋" w:eastAsia="仿宋" w:cs="仿宋"/>
                <w:highlight w:val="none"/>
              </w:rPr>
            </w:pPr>
            <w:r>
              <w:rPr>
                <w:rFonts w:hint="eastAsia" w:ascii="仿宋" w:hAnsi="仿宋" w:eastAsia="仿宋" w:cs="仿宋"/>
                <w:highlight w:val="none"/>
              </w:rPr>
              <w:t>1.1.2</w:t>
            </w:r>
          </w:p>
        </w:tc>
        <w:tc>
          <w:tcPr>
            <w:tcW w:w="2551" w:type="dxa"/>
            <w:noWrap w:val="0"/>
            <w:vAlign w:val="center"/>
          </w:tcPr>
          <w:p w14:paraId="47B54892">
            <w:pPr>
              <w:spacing w:line="360" w:lineRule="exact"/>
              <w:jc w:val="center"/>
              <w:rPr>
                <w:rFonts w:hint="eastAsia" w:ascii="仿宋" w:hAnsi="仿宋" w:eastAsia="仿宋" w:cs="仿宋"/>
                <w:highlight w:val="none"/>
              </w:rPr>
            </w:pPr>
            <w:r>
              <w:rPr>
                <w:rFonts w:hint="eastAsia" w:ascii="仿宋" w:hAnsi="仿宋" w:eastAsia="仿宋" w:cs="仿宋"/>
                <w:highlight w:val="none"/>
              </w:rPr>
              <w:t>采购人</w:t>
            </w:r>
          </w:p>
        </w:tc>
        <w:tc>
          <w:tcPr>
            <w:tcW w:w="5846" w:type="dxa"/>
            <w:gridSpan w:val="2"/>
            <w:noWrap w:val="0"/>
            <w:vAlign w:val="center"/>
          </w:tcPr>
          <w:p w14:paraId="4B734DC1">
            <w:pPr>
              <w:spacing w:line="360" w:lineRule="exact"/>
              <w:jc w:val="left"/>
              <w:rPr>
                <w:rFonts w:hint="eastAsia" w:ascii="仿宋" w:hAnsi="仿宋" w:eastAsia="仿宋" w:cs="仿宋"/>
                <w:highlight w:val="none"/>
              </w:rPr>
            </w:pPr>
            <w:r>
              <w:rPr>
                <w:rFonts w:hint="eastAsia" w:ascii="仿宋" w:hAnsi="仿宋" w:eastAsia="仿宋" w:cs="仿宋"/>
                <w:highlight w:val="none"/>
              </w:rPr>
              <w:t>见竞争性磋商公告</w:t>
            </w:r>
          </w:p>
        </w:tc>
      </w:tr>
      <w:tr w14:paraId="771D0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1135" w:type="dxa"/>
            <w:noWrap w:val="0"/>
            <w:vAlign w:val="center"/>
          </w:tcPr>
          <w:p w14:paraId="50602C0C">
            <w:pPr>
              <w:spacing w:line="360" w:lineRule="exact"/>
              <w:jc w:val="center"/>
              <w:rPr>
                <w:rFonts w:hint="eastAsia" w:ascii="仿宋" w:hAnsi="仿宋" w:eastAsia="仿宋" w:cs="仿宋"/>
                <w:highlight w:val="none"/>
              </w:rPr>
            </w:pPr>
            <w:r>
              <w:rPr>
                <w:rFonts w:hint="eastAsia" w:ascii="仿宋" w:hAnsi="仿宋" w:eastAsia="仿宋" w:cs="仿宋"/>
                <w:highlight w:val="none"/>
              </w:rPr>
              <w:t>1.1.3</w:t>
            </w:r>
          </w:p>
        </w:tc>
        <w:tc>
          <w:tcPr>
            <w:tcW w:w="2551" w:type="dxa"/>
            <w:noWrap w:val="0"/>
            <w:vAlign w:val="center"/>
          </w:tcPr>
          <w:p w14:paraId="3D469D76">
            <w:pPr>
              <w:spacing w:line="360" w:lineRule="exact"/>
              <w:jc w:val="center"/>
              <w:rPr>
                <w:rFonts w:hint="eastAsia" w:ascii="仿宋" w:hAnsi="仿宋" w:eastAsia="仿宋" w:cs="仿宋"/>
                <w:highlight w:val="none"/>
              </w:rPr>
            </w:pPr>
            <w:r>
              <w:rPr>
                <w:rFonts w:hint="eastAsia" w:ascii="仿宋" w:hAnsi="仿宋" w:eastAsia="仿宋" w:cs="仿宋"/>
                <w:highlight w:val="none"/>
              </w:rPr>
              <w:t>采购代理机构</w:t>
            </w:r>
          </w:p>
        </w:tc>
        <w:tc>
          <w:tcPr>
            <w:tcW w:w="5846" w:type="dxa"/>
            <w:gridSpan w:val="2"/>
            <w:noWrap w:val="0"/>
            <w:vAlign w:val="center"/>
          </w:tcPr>
          <w:p w14:paraId="6E70C09C">
            <w:pPr>
              <w:spacing w:line="360" w:lineRule="exact"/>
              <w:jc w:val="left"/>
              <w:rPr>
                <w:rFonts w:hint="eastAsia" w:ascii="仿宋" w:hAnsi="仿宋" w:eastAsia="仿宋" w:cs="仿宋"/>
                <w:highlight w:val="none"/>
              </w:rPr>
            </w:pPr>
            <w:r>
              <w:rPr>
                <w:rFonts w:hint="eastAsia" w:ascii="仿宋" w:hAnsi="仿宋" w:eastAsia="仿宋" w:cs="仿宋"/>
                <w:highlight w:val="none"/>
              </w:rPr>
              <w:t>见竞争性磋商公告</w:t>
            </w:r>
          </w:p>
        </w:tc>
      </w:tr>
      <w:tr w14:paraId="4DC014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trPr>
        <w:tc>
          <w:tcPr>
            <w:tcW w:w="1135" w:type="dxa"/>
            <w:noWrap w:val="0"/>
            <w:vAlign w:val="center"/>
          </w:tcPr>
          <w:p w14:paraId="0DDB1C03">
            <w:pPr>
              <w:spacing w:line="360" w:lineRule="exact"/>
              <w:jc w:val="center"/>
              <w:rPr>
                <w:rFonts w:hint="eastAsia" w:ascii="仿宋" w:hAnsi="仿宋" w:eastAsia="仿宋" w:cs="仿宋"/>
                <w:highlight w:val="none"/>
              </w:rPr>
            </w:pPr>
            <w:r>
              <w:rPr>
                <w:rFonts w:hint="eastAsia" w:ascii="仿宋" w:hAnsi="仿宋" w:eastAsia="仿宋" w:cs="仿宋"/>
                <w:highlight w:val="none"/>
              </w:rPr>
              <w:t>1.1.4</w:t>
            </w:r>
          </w:p>
        </w:tc>
        <w:tc>
          <w:tcPr>
            <w:tcW w:w="2551" w:type="dxa"/>
            <w:noWrap w:val="0"/>
            <w:vAlign w:val="center"/>
          </w:tcPr>
          <w:p w14:paraId="4873F386">
            <w:pPr>
              <w:spacing w:line="360" w:lineRule="exact"/>
              <w:jc w:val="center"/>
              <w:rPr>
                <w:rFonts w:hint="eastAsia" w:ascii="仿宋" w:hAnsi="仿宋" w:eastAsia="仿宋" w:cs="仿宋"/>
                <w:highlight w:val="none"/>
              </w:rPr>
            </w:pPr>
            <w:r>
              <w:rPr>
                <w:rFonts w:hint="eastAsia" w:ascii="仿宋" w:hAnsi="仿宋" w:eastAsia="仿宋" w:cs="仿宋"/>
                <w:highlight w:val="none"/>
              </w:rPr>
              <w:t>项目名称及项目编号</w:t>
            </w:r>
          </w:p>
        </w:tc>
        <w:tc>
          <w:tcPr>
            <w:tcW w:w="5846" w:type="dxa"/>
            <w:gridSpan w:val="2"/>
            <w:noWrap w:val="0"/>
            <w:vAlign w:val="center"/>
          </w:tcPr>
          <w:p w14:paraId="4E38B419">
            <w:pPr>
              <w:spacing w:line="360" w:lineRule="exact"/>
              <w:jc w:val="left"/>
              <w:rPr>
                <w:rFonts w:hint="eastAsia" w:ascii="仿宋" w:hAnsi="仿宋" w:eastAsia="仿宋" w:cs="仿宋"/>
                <w:highlight w:val="none"/>
              </w:rPr>
            </w:pPr>
            <w:r>
              <w:rPr>
                <w:rFonts w:hint="eastAsia" w:ascii="仿宋" w:hAnsi="仿宋" w:eastAsia="仿宋" w:cs="仿宋"/>
                <w:highlight w:val="none"/>
              </w:rPr>
              <w:t>见竞争性磋商公告</w:t>
            </w:r>
          </w:p>
        </w:tc>
      </w:tr>
      <w:tr w14:paraId="29446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trPr>
        <w:tc>
          <w:tcPr>
            <w:tcW w:w="1135" w:type="dxa"/>
            <w:noWrap w:val="0"/>
            <w:vAlign w:val="center"/>
          </w:tcPr>
          <w:p w14:paraId="136288E9">
            <w:pPr>
              <w:spacing w:line="380" w:lineRule="exact"/>
              <w:jc w:val="center"/>
              <w:rPr>
                <w:rFonts w:hint="eastAsia" w:ascii="仿宋" w:hAnsi="仿宋" w:eastAsia="仿宋" w:cs="仿宋"/>
                <w:highlight w:val="none"/>
              </w:rPr>
            </w:pPr>
            <w:r>
              <w:rPr>
                <w:rFonts w:hint="eastAsia" w:ascii="仿宋" w:hAnsi="仿宋" w:eastAsia="仿宋" w:cs="仿宋"/>
                <w:highlight w:val="none"/>
              </w:rPr>
              <w:t>1.2.1</w:t>
            </w:r>
          </w:p>
        </w:tc>
        <w:tc>
          <w:tcPr>
            <w:tcW w:w="2551" w:type="dxa"/>
            <w:noWrap w:val="0"/>
            <w:vAlign w:val="center"/>
          </w:tcPr>
          <w:p w14:paraId="14D739AF">
            <w:pPr>
              <w:spacing w:line="380" w:lineRule="exact"/>
              <w:jc w:val="center"/>
              <w:rPr>
                <w:rFonts w:hint="eastAsia" w:ascii="仿宋" w:hAnsi="仿宋" w:eastAsia="仿宋" w:cs="仿宋"/>
                <w:highlight w:val="none"/>
              </w:rPr>
            </w:pPr>
            <w:r>
              <w:rPr>
                <w:rFonts w:hint="eastAsia" w:ascii="仿宋" w:hAnsi="仿宋" w:eastAsia="仿宋" w:cs="仿宋"/>
                <w:highlight w:val="none"/>
              </w:rPr>
              <w:t>付款方式</w:t>
            </w:r>
          </w:p>
        </w:tc>
        <w:tc>
          <w:tcPr>
            <w:tcW w:w="5846" w:type="dxa"/>
            <w:gridSpan w:val="2"/>
            <w:noWrap w:val="0"/>
            <w:vAlign w:val="center"/>
          </w:tcPr>
          <w:p w14:paraId="67D7FAB8">
            <w:pPr>
              <w:pStyle w:val="200"/>
              <w:spacing w:after="0" w:line="36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招标人根据相关要求，制定管理标准和考核细则。中标人必须无条件接受招标人考核，考核后按季度发放上一季度考核后的服务费(先作业后付款)。</w:t>
            </w:r>
          </w:p>
        </w:tc>
      </w:tr>
      <w:tr w14:paraId="1E91D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trPr>
        <w:tc>
          <w:tcPr>
            <w:tcW w:w="1135" w:type="dxa"/>
            <w:noWrap w:val="0"/>
            <w:vAlign w:val="center"/>
          </w:tcPr>
          <w:p w14:paraId="7AD838FE">
            <w:pPr>
              <w:spacing w:line="360" w:lineRule="exact"/>
              <w:jc w:val="center"/>
              <w:rPr>
                <w:rFonts w:hint="eastAsia" w:ascii="仿宋" w:hAnsi="仿宋" w:eastAsia="仿宋" w:cs="仿宋"/>
                <w:highlight w:val="none"/>
              </w:rPr>
            </w:pPr>
            <w:r>
              <w:rPr>
                <w:rFonts w:hint="eastAsia" w:ascii="仿宋" w:hAnsi="仿宋" w:eastAsia="仿宋" w:cs="仿宋"/>
                <w:highlight w:val="none"/>
              </w:rPr>
              <w:t>1.3.1</w:t>
            </w:r>
          </w:p>
        </w:tc>
        <w:tc>
          <w:tcPr>
            <w:tcW w:w="2551" w:type="dxa"/>
            <w:noWrap w:val="0"/>
            <w:vAlign w:val="center"/>
          </w:tcPr>
          <w:p w14:paraId="1F093E39">
            <w:pPr>
              <w:spacing w:line="360" w:lineRule="exact"/>
              <w:jc w:val="center"/>
              <w:rPr>
                <w:rFonts w:hint="eastAsia" w:ascii="仿宋" w:hAnsi="仿宋" w:eastAsia="仿宋" w:cs="仿宋"/>
                <w:highlight w:val="none"/>
              </w:rPr>
            </w:pPr>
            <w:r>
              <w:rPr>
                <w:rFonts w:hint="eastAsia" w:ascii="仿宋" w:hAnsi="仿宋" w:eastAsia="仿宋" w:cs="仿宋"/>
                <w:highlight w:val="none"/>
              </w:rPr>
              <w:t>采购范围</w:t>
            </w:r>
          </w:p>
        </w:tc>
        <w:tc>
          <w:tcPr>
            <w:tcW w:w="5846" w:type="dxa"/>
            <w:gridSpan w:val="2"/>
            <w:noWrap w:val="0"/>
            <w:vAlign w:val="center"/>
          </w:tcPr>
          <w:p w14:paraId="304CFB64">
            <w:pPr>
              <w:spacing w:line="420" w:lineRule="exact"/>
              <w:jc w:val="left"/>
              <w:rPr>
                <w:rFonts w:hint="eastAsia" w:ascii="仿宋" w:hAnsi="仿宋" w:eastAsia="仿宋" w:cs="仿宋"/>
                <w:highlight w:val="none"/>
              </w:rPr>
            </w:pPr>
            <w:r>
              <w:rPr>
                <w:rFonts w:hint="eastAsia" w:ascii="仿宋" w:hAnsi="仿宋" w:eastAsia="仿宋" w:cs="仿宋"/>
                <w:highlight w:val="none"/>
              </w:rPr>
              <w:t>见第五章采购需求</w:t>
            </w:r>
          </w:p>
        </w:tc>
      </w:tr>
      <w:tr w14:paraId="563C97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8" w:hRule="atLeast"/>
        </w:trPr>
        <w:tc>
          <w:tcPr>
            <w:tcW w:w="1135" w:type="dxa"/>
            <w:noWrap w:val="0"/>
            <w:vAlign w:val="center"/>
          </w:tcPr>
          <w:p w14:paraId="07DC9341">
            <w:pPr>
              <w:spacing w:line="360" w:lineRule="exact"/>
              <w:jc w:val="center"/>
              <w:rPr>
                <w:rFonts w:hint="eastAsia" w:ascii="仿宋" w:hAnsi="仿宋" w:eastAsia="仿宋" w:cs="仿宋"/>
                <w:highlight w:val="none"/>
              </w:rPr>
            </w:pPr>
            <w:r>
              <w:rPr>
                <w:rFonts w:hint="eastAsia" w:ascii="仿宋" w:hAnsi="仿宋" w:eastAsia="仿宋" w:cs="仿宋"/>
                <w:highlight w:val="none"/>
              </w:rPr>
              <w:t>1.3.2</w:t>
            </w:r>
          </w:p>
        </w:tc>
        <w:tc>
          <w:tcPr>
            <w:tcW w:w="2551" w:type="dxa"/>
            <w:noWrap w:val="0"/>
            <w:vAlign w:val="center"/>
          </w:tcPr>
          <w:p w14:paraId="171CE79F">
            <w:pPr>
              <w:spacing w:line="360" w:lineRule="exact"/>
              <w:jc w:val="center"/>
              <w:rPr>
                <w:rFonts w:hint="eastAsia" w:ascii="仿宋" w:hAnsi="仿宋" w:eastAsia="仿宋" w:cs="仿宋"/>
                <w:highlight w:val="none"/>
              </w:rPr>
            </w:pPr>
            <w:r>
              <w:rPr>
                <w:rFonts w:hint="eastAsia" w:ascii="仿宋" w:hAnsi="仿宋" w:eastAsia="仿宋" w:cs="仿宋"/>
                <w:highlight w:val="none"/>
              </w:rPr>
              <w:t>合同履行期限</w:t>
            </w:r>
          </w:p>
        </w:tc>
        <w:tc>
          <w:tcPr>
            <w:tcW w:w="5846" w:type="dxa"/>
            <w:gridSpan w:val="2"/>
            <w:noWrap w:val="0"/>
            <w:vAlign w:val="center"/>
          </w:tcPr>
          <w:p w14:paraId="6F27390C">
            <w:pPr>
              <w:spacing w:line="420" w:lineRule="exact"/>
              <w:jc w:val="left"/>
              <w:rPr>
                <w:rFonts w:hint="eastAsia" w:ascii="仿宋" w:hAnsi="仿宋" w:eastAsia="仿宋" w:cs="仿宋"/>
                <w:highlight w:val="none"/>
                <w:lang w:val="en-US" w:eastAsia="zh-CN"/>
              </w:rPr>
            </w:pPr>
            <w:r>
              <w:rPr>
                <w:rFonts w:hint="eastAsia" w:ascii="仿宋" w:hAnsi="仿宋" w:eastAsia="仿宋" w:cs="仿宋"/>
                <w:highlight w:val="none"/>
                <w:lang w:val="en-US" w:eastAsia="zh-CN"/>
              </w:rPr>
              <w:t>见竞争性磋商公告</w:t>
            </w:r>
          </w:p>
        </w:tc>
      </w:tr>
      <w:tr w14:paraId="4CC0B8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8" w:hRule="atLeast"/>
        </w:trPr>
        <w:tc>
          <w:tcPr>
            <w:tcW w:w="1135" w:type="dxa"/>
            <w:noWrap w:val="0"/>
            <w:vAlign w:val="center"/>
          </w:tcPr>
          <w:p w14:paraId="4F61ABA4">
            <w:pPr>
              <w:spacing w:line="360" w:lineRule="exact"/>
              <w:jc w:val="center"/>
              <w:rPr>
                <w:rFonts w:hint="eastAsia" w:ascii="仿宋" w:hAnsi="仿宋" w:eastAsia="仿宋" w:cs="仿宋"/>
                <w:highlight w:val="none"/>
              </w:rPr>
            </w:pPr>
            <w:r>
              <w:rPr>
                <w:rFonts w:hint="eastAsia" w:ascii="仿宋" w:hAnsi="仿宋" w:eastAsia="仿宋" w:cs="仿宋"/>
                <w:highlight w:val="none"/>
              </w:rPr>
              <w:t>1.4.2</w:t>
            </w:r>
          </w:p>
        </w:tc>
        <w:tc>
          <w:tcPr>
            <w:tcW w:w="2551" w:type="dxa"/>
            <w:noWrap w:val="0"/>
            <w:vAlign w:val="center"/>
          </w:tcPr>
          <w:p w14:paraId="0D61A5D7">
            <w:pPr>
              <w:spacing w:line="360" w:lineRule="exact"/>
              <w:jc w:val="center"/>
              <w:rPr>
                <w:rFonts w:hint="eastAsia" w:ascii="仿宋" w:hAnsi="仿宋" w:eastAsia="仿宋" w:cs="仿宋"/>
                <w:highlight w:val="none"/>
              </w:rPr>
            </w:pPr>
            <w:r>
              <w:rPr>
                <w:rFonts w:hint="eastAsia" w:ascii="仿宋" w:hAnsi="仿宋" w:eastAsia="仿宋" w:cs="仿宋"/>
                <w:highlight w:val="none"/>
              </w:rPr>
              <w:t>要求供应商具备的特定资格要求</w:t>
            </w:r>
          </w:p>
        </w:tc>
        <w:tc>
          <w:tcPr>
            <w:tcW w:w="5846" w:type="dxa"/>
            <w:gridSpan w:val="2"/>
            <w:noWrap w:val="0"/>
            <w:vAlign w:val="center"/>
          </w:tcPr>
          <w:p w14:paraId="7F79CA2B">
            <w:pPr>
              <w:spacing w:line="420" w:lineRule="exact"/>
              <w:jc w:val="left"/>
              <w:rPr>
                <w:rFonts w:hint="eastAsia" w:ascii="仿宋" w:hAnsi="仿宋" w:eastAsia="仿宋" w:cs="仿宋"/>
                <w:highlight w:val="none"/>
              </w:rPr>
            </w:pPr>
            <w:r>
              <w:rPr>
                <w:rFonts w:hint="eastAsia" w:ascii="仿宋" w:hAnsi="仿宋" w:eastAsia="仿宋" w:cs="仿宋"/>
                <w:highlight w:val="none"/>
              </w:rPr>
              <w:t>见竞争性磋商公告</w:t>
            </w:r>
          </w:p>
        </w:tc>
      </w:tr>
      <w:tr w14:paraId="541289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5" w:type="dxa"/>
            <w:noWrap w:val="0"/>
            <w:vAlign w:val="center"/>
          </w:tcPr>
          <w:p w14:paraId="63C44131">
            <w:pPr>
              <w:spacing w:line="360" w:lineRule="exact"/>
              <w:jc w:val="center"/>
              <w:rPr>
                <w:rFonts w:hint="eastAsia" w:ascii="仿宋" w:hAnsi="仿宋" w:eastAsia="仿宋" w:cs="仿宋"/>
                <w:highlight w:val="none"/>
              </w:rPr>
            </w:pPr>
            <w:r>
              <w:rPr>
                <w:rFonts w:hint="eastAsia" w:ascii="仿宋" w:hAnsi="仿宋" w:eastAsia="仿宋" w:cs="仿宋"/>
                <w:highlight w:val="none"/>
              </w:rPr>
              <w:t>2.1</w:t>
            </w:r>
          </w:p>
        </w:tc>
        <w:tc>
          <w:tcPr>
            <w:tcW w:w="2551" w:type="dxa"/>
            <w:noWrap w:val="0"/>
            <w:vAlign w:val="center"/>
          </w:tcPr>
          <w:p w14:paraId="277827D3">
            <w:pPr>
              <w:spacing w:line="360" w:lineRule="exact"/>
              <w:jc w:val="center"/>
              <w:rPr>
                <w:rFonts w:hint="eastAsia" w:ascii="仿宋" w:hAnsi="仿宋" w:eastAsia="仿宋" w:cs="仿宋"/>
                <w:highlight w:val="none"/>
              </w:rPr>
            </w:pPr>
            <w:r>
              <w:rPr>
                <w:rFonts w:hint="eastAsia" w:ascii="仿宋" w:hAnsi="仿宋" w:eastAsia="仿宋" w:cs="仿宋"/>
                <w:highlight w:val="none"/>
              </w:rPr>
              <w:t>构成竞争性磋商文件的其他材料</w:t>
            </w:r>
          </w:p>
        </w:tc>
        <w:tc>
          <w:tcPr>
            <w:tcW w:w="5846" w:type="dxa"/>
            <w:gridSpan w:val="2"/>
            <w:noWrap w:val="0"/>
            <w:vAlign w:val="center"/>
          </w:tcPr>
          <w:p w14:paraId="7E2D6B62">
            <w:pPr>
              <w:spacing w:line="360" w:lineRule="exact"/>
              <w:jc w:val="left"/>
              <w:rPr>
                <w:rFonts w:hint="eastAsia" w:ascii="仿宋" w:hAnsi="仿宋" w:eastAsia="仿宋" w:cs="仿宋"/>
                <w:highlight w:val="none"/>
              </w:rPr>
            </w:pPr>
            <w:r>
              <w:rPr>
                <w:rFonts w:hint="eastAsia" w:ascii="仿宋" w:hAnsi="仿宋" w:eastAsia="仿宋" w:cs="仿宋"/>
                <w:highlight w:val="none"/>
              </w:rPr>
              <w:t>无</w:t>
            </w:r>
          </w:p>
        </w:tc>
      </w:tr>
      <w:tr w14:paraId="117838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1135" w:type="dxa"/>
            <w:noWrap w:val="0"/>
            <w:vAlign w:val="center"/>
          </w:tcPr>
          <w:p w14:paraId="6930548C">
            <w:pPr>
              <w:spacing w:line="360" w:lineRule="exact"/>
              <w:jc w:val="center"/>
              <w:rPr>
                <w:rFonts w:hint="eastAsia" w:ascii="仿宋" w:hAnsi="仿宋" w:eastAsia="仿宋" w:cs="仿宋"/>
                <w:highlight w:val="none"/>
              </w:rPr>
            </w:pPr>
            <w:r>
              <w:rPr>
                <w:rFonts w:hint="eastAsia" w:ascii="仿宋" w:hAnsi="仿宋" w:eastAsia="仿宋" w:cs="仿宋"/>
                <w:highlight w:val="none"/>
              </w:rPr>
              <w:t>2.2</w:t>
            </w:r>
          </w:p>
        </w:tc>
        <w:tc>
          <w:tcPr>
            <w:tcW w:w="2551" w:type="dxa"/>
            <w:noWrap w:val="0"/>
            <w:vAlign w:val="center"/>
          </w:tcPr>
          <w:p w14:paraId="2BFD41F3">
            <w:pPr>
              <w:spacing w:line="360" w:lineRule="exact"/>
              <w:jc w:val="center"/>
              <w:rPr>
                <w:rFonts w:hint="eastAsia" w:ascii="仿宋" w:hAnsi="仿宋" w:eastAsia="仿宋" w:cs="仿宋"/>
                <w:spacing w:val="-10"/>
                <w:highlight w:val="none"/>
              </w:rPr>
            </w:pPr>
            <w:r>
              <w:rPr>
                <w:rFonts w:hint="eastAsia" w:ascii="仿宋" w:hAnsi="仿宋" w:eastAsia="仿宋" w:cs="仿宋"/>
                <w:spacing w:val="-10"/>
                <w:highlight w:val="none"/>
              </w:rPr>
              <w:t>供应商要求澄清竞争性磋商文件的截止时间</w:t>
            </w:r>
          </w:p>
        </w:tc>
        <w:tc>
          <w:tcPr>
            <w:tcW w:w="5846" w:type="dxa"/>
            <w:gridSpan w:val="2"/>
            <w:noWrap w:val="0"/>
            <w:vAlign w:val="center"/>
          </w:tcPr>
          <w:p w14:paraId="781FC0B6">
            <w:pPr>
              <w:spacing w:line="440" w:lineRule="exact"/>
              <w:rPr>
                <w:rFonts w:hint="eastAsia" w:ascii="仿宋" w:hAnsi="仿宋" w:eastAsia="仿宋" w:cs="仿宋"/>
                <w:spacing w:val="-10"/>
                <w:highlight w:val="none"/>
              </w:rPr>
            </w:pPr>
            <w:r>
              <w:rPr>
                <w:rFonts w:hint="eastAsia" w:ascii="仿宋" w:hAnsi="仿宋" w:eastAsia="仿宋" w:cs="仿宋"/>
                <w:spacing w:val="-10"/>
                <w:highlight w:val="none"/>
              </w:rPr>
              <w:t>2026年</w:t>
            </w:r>
            <w:r>
              <w:rPr>
                <w:rFonts w:hint="eastAsia" w:ascii="仿宋" w:hAnsi="仿宋" w:eastAsia="仿宋" w:cs="仿宋"/>
                <w:spacing w:val="-10"/>
                <w:highlight w:val="none"/>
                <w:lang w:val="en-US" w:eastAsia="zh-CN"/>
              </w:rPr>
              <w:t>6</w:t>
            </w:r>
            <w:r>
              <w:rPr>
                <w:rFonts w:hint="eastAsia" w:ascii="仿宋" w:hAnsi="仿宋" w:eastAsia="仿宋" w:cs="仿宋"/>
                <w:spacing w:val="-10"/>
                <w:highlight w:val="none"/>
              </w:rPr>
              <w:t>月</w:t>
            </w:r>
            <w:r>
              <w:rPr>
                <w:rFonts w:hint="eastAsia" w:ascii="仿宋" w:hAnsi="仿宋" w:eastAsia="仿宋" w:cs="仿宋"/>
                <w:spacing w:val="-10"/>
                <w:highlight w:val="none"/>
                <w:lang w:val="en-US" w:eastAsia="zh-CN"/>
              </w:rPr>
              <w:t>8</w:t>
            </w:r>
            <w:r>
              <w:rPr>
                <w:rFonts w:hint="eastAsia" w:ascii="仿宋" w:hAnsi="仿宋" w:eastAsia="仿宋" w:cs="仿宋"/>
                <w:spacing w:val="-10"/>
                <w:highlight w:val="none"/>
              </w:rPr>
              <w:t>日17时30分</w:t>
            </w:r>
          </w:p>
        </w:tc>
      </w:tr>
      <w:tr w14:paraId="118958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trPr>
        <w:tc>
          <w:tcPr>
            <w:tcW w:w="1135" w:type="dxa"/>
            <w:noWrap w:val="0"/>
            <w:vAlign w:val="center"/>
          </w:tcPr>
          <w:p w14:paraId="6EFB8DF8">
            <w:pPr>
              <w:spacing w:line="380" w:lineRule="exact"/>
              <w:jc w:val="center"/>
              <w:rPr>
                <w:rFonts w:hint="eastAsia" w:ascii="仿宋" w:hAnsi="仿宋" w:eastAsia="仿宋" w:cs="仿宋"/>
                <w:highlight w:val="none"/>
              </w:rPr>
            </w:pPr>
            <w:r>
              <w:rPr>
                <w:rFonts w:hint="eastAsia" w:ascii="仿宋" w:hAnsi="仿宋" w:eastAsia="仿宋" w:cs="仿宋"/>
                <w:highlight w:val="none"/>
              </w:rPr>
              <w:t>3.1</w:t>
            </w:r>
          </w:p>
        </w:tc>
        <w:tc>
          <w:tcPr>
            <w:tcW w:w="2551" w:type="dxa"/>
            <w:noWrap w:val="0"/>
            <w:vAlign w:val="center"/>
          </w:tcPr>
          <w:p w14:paraId="329D0B53">
            <w:pPr>
              <w:spacing w:line="380" w:lineRule="exact"/>
              <w:jc w:val="center"/>
              <w:rPr>
                <w:rFonts w:hint="eastAsia" w:ascii="仿宋" w:hAnsi="仿宋" w:eastAsia="仿宋" w:cs="仿宋"/>
                <w:highlight w:val="none"/>
              </w:rPr>
            </w:pPr>
            <w:r>
              <w:rPr>
                <w:rFonts w:hint="eastAsia" w:ascii="仿宋" w:hAnsi="仿宋" w:eastAsia="仿宋" w:cs="仿宋"/>
                <w:highlight w:val="none"/>
              </w:rPr>
              <w:t>响应文件的组成</w:t>
            </w:r>
          </w:p>
        </w:tc>
        <w:tc>
          <w:tcPr>
            <w:tcW w:w="5846" w:type="dxa"/>
            <w:gridSpan w:val="2"/>
            <w:noWrap w:val="0"/>
            <w:vAlign w:val="center"/>
          </w:tcPr>
          <w:p w14:paraId="2E592FD0">
            <w:pPr>
              <w:spacing w:line="360" w:lineRule="exact"/>
              <w:rPr>
                <w:rFonts w:hint="eastAsia" w:ascii="仿宋" w:hAnsi="仿宋" w:eastAsia="仿宋" w:cs="仿宋"/>
                <w:highlight w:val="none"/>
              </w:rPr>
            </w:pPr>
            <w:r>
              <w:rPr>
                <w:rFonts w:hint="eastAsia" w:ascii="仿宋" w:hAnsi="仿宋" w:eastAsia="仿宋" w:cs="仿宋"/>
                <w:highlight w:val="none"/>
              </w:rPr>
              <w:t>（1）响应函；</w:t>
            </w:r>
          </w:p>
          <w:p w14:paraId="679999B2">
            <w:pPr>
              <w:spacing w:line="360" w:lineRule="exact"/>
              <w:rPr>
                <w:rFonts w:hint="eastAsia" w:ascii="仿宋" w:hAnsi="仿宋" w:eastAsia="仿宋" w:cs="仿宋"/>
                <w:highlight w:val="none"/>
              </w:rPr>
            </w:pPr>
            <w:r>
              <w:rPr>
                <w:rFonts w:hint="eastAsia" w:ascii="仿宋" w:hAnsi="仿宋" w:eastAsia="仿宋" w:cs="仿宋"/>
                <w:highlight w:val="none"/>
              </w:rPr>
              <w:t>（2）供应商基本资格条件承诺函；</w:t>
            </w:r>
          </w:p>
          <w:p w14:paraId="031E9F6D">
            <w:pPr>
              <w:spacing w:line="360" w:lineRule="exact"/>
              <w:rPr>
                <w:rFonts w:hint="eastAsia" w:ascii="仿宋" w:hAnsi="仿宋" w:eastAsia="仿宋" w:cs="仿宋"/>
                <w:highlight w:val="none"/>
              </w:rPr>
            </w:pPr>
            <w:r>
              <w:rPr>
                <w:rFonts w:hint="eastAsia" w:ascii="仿宋" w:hAnsi="仿宋" w:eastAsia="仿宋" w:cs="仿宋"/>
                <w:highlight w:val="none"/>
              </w:rPr>
              <w:t>（3）中小企业声明函（如有）；</w:t>
            </w:r>
          </w:p>
          <w:p w14:paraId="3EAD135C">
            <w:pPr>
              <w:spacing w:line="360" w:lineRule="exact"/>
              <w:rPr>
                <w:rFonts w:hint="eastAsia" w:ascii="仿宋" w:hAnsi="仿宋" w:eastAsia="仿宋" w:cs="仿宋"/>
                <w:highlight w:val="none"/>
              </w:rPr>
            </w:pPr>
            <w:r>
              <w:rPr>
                <w:rFonts w:hint="eastAsia" w:ascii="仿宋" w:hAnsi="仿宋" w:eastAsia="仿宋" w:cs="仿宋"/>
                <w:highlight w:val="none"/>
              </w:rPr>
              <w:t>（4）报价明细表及分析说明；</w:t>
            </w:r>
          </w:p>
          <w:p w14:paraId="46811E92">
            <w:pPr>
              <w:spacing w:line="360" w:lineRule="exact"/>
              <w:rPr>
                <w:rFonts w:hint="eastAsia" w:ascii="仿宋" w:hAnsi="仿宋" w:eastAsia="仿宋" w:cs="仿宋"/>
                <w:highlight w:val="none"/>
              </w:rPr>
            </w:pPr>
            <w:r>
              <w:rPr>
                <w:rFonts w:hint="eastAsia" w:ascii="仿宋" w:hAnsi="仿宋" w:eastAsia="仿宋" w:cs="仿宋"/>
                <w:highlight w:val="none"/>
              </w:rPr>
              <w:t>（5）采购需求响应表；</w:t>
            </w:r>
          </w:p>
          <w:p w14:paraId="66E73D68">
            <w:pPr>
              <w:spacing w:line="360" w:lineRule="exact"/>
              <w:rPr>
                <w:rFonts w:hint="eastAsia" w:ascii="仿宋" w:hAnsi="仿宋" w:eastAsia="仿宋" w:cs="仿宋"/>
                <w:highlight w:val="none"/>
              </w:rPr>
            </w:pPr>
            <w:r>
              <w:rPr>
                <w:rFonts w:hint="eastAsia" w:ascii="仿宋" w:hAnsi="仿宋" w:eastAsia="仿宋" w:cs="仿宋"/>
                <w:highlight w:val="none"/>
              </w:rPr>
              <w:t>（6）供应商认为需要列入响应文件的其他材料。</w:t>
            </w:r>
          </w:p>
        </w:tc>
      </w:tr>
      <w:tr w14:paraId="5110CF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2" w:hRule="atLeast"/>
        </w:trPr>
        <w:tc>
          <w:tcPr>
            <w:tcW w:w="1135" w:type="dxa"/>
            <w:noWrap w:val="0"/>
            <w:vAlign w:val="center"/>
          </w:tcPr>
          <w:p w14:paraId="6C24DCD7">
            <w:pPr>
              <w:spacing w:line="360" w:lineRule="exact"/>
              <w:jc w:val="center"/>
              <w:rPr>
                <w:rFonts w:hint="eastAsia" w:ascii="仿宋" w:hAnsi="仿宋" w:eastAsia="仿宋" w:cs="仿宋"/>
                <w:highlight w:val="none"/>
              </w:rPr>
            </w:pPr>
            <w:r>
              <w:rPr>
                <w:rFonts w:hint="eastAsia" w:ascii="仿宋" w:hAnsi="仿宋" w:eastAsia="仿宋" w:cs="仿宋"/>
                <w:highlight w:val="none"/>
              </w:rPr>
              <w:t>3.2.3</w:t>
            </w:r>
          </w:p>
        </w:tc>
        <w:tc>
          <w:tcPr>
            <w:tcW w:w="2551" w:type="dxa"/>
            <w:noWrap w:val="0"/>
            <w:vAlign w:val="center"/>
          </w:tcPr>
          <w:p w14:paraId="2B84D3F5">
            <w:pPr>
              <w:jc w:val="center"/>
              <w:rPr>
                <w:rFonts w:hint="eastAsia" w:ascii="仿宋" w:hAnsi="仿宋" w:eastAsia="仿宋" w:cs="仿宋"/>
                <w:highlight w:val="none"/>
              </w:rPr>
            </w:pPr>
            <w:r>
              <w:rPr>
                <w:rFonts w:hint="eastAsia" w:ascii="仿宋" w:hAnsi="仿宋" w:eastAsia="仿宋" w:cs="仿宋"/>
                <w:highlight w:val="none"/>
              </w:rPr>
              <w:t>报价的其他要求</w:t>
            </w:r>
          </w:p>
        </w:tc>
        <w:tc>
          <w:tcPr>
            <w:tcW w:w="5846" w:type="dxa"/>
            <w:gridSpan w:val="2"/>
            <w:noWrap w:val="0"/>
            <w:vAlign w:val="center"/>
          </w:tcPr>
          <w:p w14:paraId="179279AB">
            <w:pPr>
              <w:spacing w:line="360" w:lineRule="exact"/>
              <w:rPr>
                <w:rFonts w:hint="eastAsia" w:ascii="仿宋" w:hAnsi="仿宋" w:eastAsia="仿宋" w:cs="仿宋"/>
                <w:highlight w:val="none"/>
              </w:rPr>
            </w:pPr>
            <w:r>
              <w:rPr>
                <w:rFonts w:hint="eastAsia" w:ascii="仿宋" w:hAnsi="仿宋" w:eastAsia="仿宋" w:cs="仿宋"/>
                <w:highlight w:val="none"/>
              </w:rPr>
              <w:t>1.按照磋商小组的要求，在规定的时间内通过“苏采云”系统提交最后报价。</w:t>
            </w:r>
            <w:bookmarkStart w:id="176" w:name="_GoBack"/>
            <w:bookmarkEnd w:id="176"/>
          </w:p>
          <w:p w14:paraId="70A453DA">
            <w:pPr>
              <w:spacing w:line="360" w:lineRule="exact"/>
              <w:rPr>
                <w:rFonts w:hint="eastAsia" w:ascii="仿宋" w:hAnsi="仿宋" w:eastAsia="仿宋" w:cs="仿宋"/>
                <w:b/>
                <w:highlight w:val="none"/>
              </w:rPr>
            </w:pPr>
            <w:r>
              <w:rPr>
                <w:rFonts w:hint="eastAsia" w:ascii="仿宋" w:hAnsi="仿宋" w:eastAsia="仿宋" w:cs="仿宋"/>
                <w:b/>
                <w:highlight w:val="none"/>
              </w:rPr>
              <w:t>2.报价不得高于最高限价，否则作无效标处理。</w:t>
            </w:r>
          </w:p>
        </w:tc>
      </w:tr>
      <w:tr w14:paraId="0E4625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35" w:type="dxa"/>
            <w:noWrap w:val="0"/>
            <w:vAlign w:val="center"/>
          </w:tcPr>
          <w:p w14:paraId="37AD8F28">
            <w:pPr>
              <w:spacing w:line="360" w:lineRule="exact"/>
              <w:jc w:val="center"/>
              <w:rPr>
                <w:rFonts w:hint="eastAsia" w:ascii="仿宋" w:hAnsi="仿宋" w:eastAsia="仿宋" w:cs="仿宋"/>
                <w:highlight w:val="none"/>
              </w:rPr>
            </w:pPr>
            <w:r>
              <w:rPr>
                <w:rFonts w:hint="eastAsia" w:ascii="仿宋" w:hAnsi="仿宋" w:eastAsia="仿宋" w:cs="仿宋"/>
                <w:highlight w:val="none"/>
              </w:rPr>
              <w:t>3.3.3</w:t>
            </w:r>
          </w:p>
        </w:tc>
        <w:tc>
          <w:tcPr>
            <w:tcW w:w="2551" w:type="dxa"/>
            <w:noWrap w:val="0"/>
            <w:vAlign w:val="center"/>
          </w:tcPr>
          <w:p w14:paraId="4E8EDF61">
            <w:pPr>
              <w:jc w:val="center"/>
              <w:rPr>
                <w:rFonts w:hint="eastAsia" w:ascii="仿宋" w:hAnsi="仿宋" w:eastAsia="仿宋" w:cs="仿宋"/>
                <w:highlight w:val="none"/>
              </w:rPr>
            </w:pPr>
            <w:r>
              <w:rPr>
                <w:rFonts w:hint="eastAsia" w:ascii="仿宋" w:hAnsi="仿宋" w:eastAsia="仿宋" w:cs="仿宋"/>
                <w:highlight w:val="none"/>
              </w:rPr>
              <w:t>响应文件的份数</w:t>
            </w:r>
          </w:p>
        </w:tc>
        <w:tc>
          <w:tcPr>
            <w:tcW w:w="5846" w:type="dxa"/>
            <w:gridSpan w:val="2"/>
            <w:noWrap w:val="0"/>
            <w:vAlign w:val="center"/>
          </w:tcPr>
          <w:p w14:paraId="5BDCBBF2">
            <w:pPr>
              <w:spacing w:line="440" w:lineRule="exact"/>
              <w:rPr>
                <w:rFonts w:hint="eastAsia" w:ascii="仿宋" w:hAnsi="仿宋" w:eastAsia="仿宋" w:cs="仿宋"/>
                <w:highlight w:val="none"/>
              </w:rPr>
            </w:pPr>
            <w:r>
              <w:rPr>
                <w:rFonts w:hint="eastAsia" w:ascii="仿宋" w:hAnsi="仿宋" w:eastAsia="仿宋" w:cs="仿宋"/>
                <w:highlight w:val="none"/>
              </w:rPr>
              <w:t>电子响应文件壹份；</w:t>
            </w:r>
          </w:p>
        </w:tc>
      </w:tr>
      <w:tr w14:paraId="7477F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1135" w:type="dxa"/>
            <w:noWrap w:val="0"/>
            <w:vAlign w:val="center"/>
          </w:tcPr>
          <w:p w14:paraId="1270A644">
            <w:pPr>
              <w:spacing w:line="360" w:lineRule="exact"/>
              <w:jc w:val="center"/>
              <w:rPr>
                <w:rFonts w:hint="eastAsia" w:ascii="仿宋" w:hAnsi="仿宋" w:eastAsia="仿宋" w:cs="仿宋"/>
                <w:highlight w:val="none"/>
              </w:rPr>
            </w:pPr>
            <w:r>
              <w:rPr>
                <w:rFonts w:hint="eastAsia" w:ascii="仿宋" w:hAnsi="仿宋" w:eastAsia="仿宋" w:cs="仿宋"/>
                <w:highlight w:val="none"/>
              </w:rPr>
              <w:t>3.3.4</w:t>
            </w:r>
          </w:p>
        </w:tc>
        <w:tc>
          <w:tcPr>
            <w:tcW w:w="2551" w:type="dxa"/>
            <w:noWrap w:val="0"/>
            <w:vAlign w:val="center"/>
          </w:tcPr>
          <w:p w14:paraId="59C67386">
            <w:pPr>
              <w:jc w:val="center"/>
              <w:rPr>
                <w:rFonts w:hint="eastAsia" w:ascii="仿宋" w:hAnsi="仿宋" w:eastAsia="仿宋" w:cs="仿宋"/>
                <w:highlight w:val="none"/>
              </w:rPr>
            </w:pPr>
            <w:r>
              <w:rPr>
                <w:rFonts w:hint="eastAsia" w:ascii="仿宋" w:hAnsi="仿宋" w:eastAsia="仿宋" w:cs="仿宋"/>
                <w:highlight w:val="none"/>
              </w:rPr>
              <w:t>响应文件的签署</w:t>
            </w:r>
          </w:p>
        </w:tc>
        <w:tc>
          <w:tcPr>
            <w:tcW w:w="5846" w:type="dxa"/>
            <w:gridSpan w:val="2"/>
            <w:noWrap w:val="0"/>
            <w:vAlign w:val="center"/>
          </w:tcPr>
          <w:p w14:paraId="70863518">
            <w:pPr>
              <w:spacing w:line="360" w:lineRule="exact"/>
              <w:rPr>
                <w:rFonts w:hint="eastAsia" w:ascii="仿宋" w:hAnsi="仿宋" w:eastAsia="仿宋" w:cs="仿宋"/>
                <w:highlight w:val="none"/>
              </w:rPr>
            </w:pPr>
            <w:r>
              <w:rPr>
                <w:rFonts w:hint="eastAsia" w:ascii="仿宋" w:hAnsi="仿宋" w:eastAsia="仿宋" w:cs="仿宋"/>
                <w:highlight w:val="none"/>
              </w:rPr>
              <w:t>响应函、供应商基本资格条件承诺函、中小企业声明函（若需）须加盖供应商法人章并经法定代表人或经其授权的代表签字或签章。授权代表签字或签章时，须将《法定代表人授权书》及其附件编制在响应文件中。</w:t>
            </w:r>
          </w:p>
        </w:tc>
      </w:tr>
      <w:tr w14:paraId="5439C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trPr>
        <w:tc>
          <w:tcPr>
            <w:tcW w:w="1135" w:type="dxa"/>
            <w:noWrap w:val="0"/>
            <w:vAlign w:val="center"/>
          </w:tcPr>
          <w:p w14:paraId="3C80ED46">
            <w:pPr>
              <w:spacing w:line="360" w:lineRule="exact"/>
              <w:jc w:val="center"/>
              <w:rPr>
                <w:rFonts w:hint="eastAsia" w:ascii="仿宋" w:hAnsi="仿宋" w:eastAsia="仿宋" w:cs="仿宋"/>
                <w:highlight w:val="none"/>
              </w:rPr>
            </w:pPr>
            <w:r>
              <w:rPr>
                <w:rFonts w:hint="eastAsia" w:ascii="仿宋" w:hAnsi="仿宋" w:eastAsia="仿宋" w:cs="仿宋"/>
                <w:highlight w:val="none"/>
              </w:rPr>
              <w:t>4.1.1</w:t>
            </w:r>
          </w:p>
        </w:tc>
        <w:tc>
          <w:tcPr>
            <w:tcW w:w="2551" w:type="dxa"/>
            <w:noWrap w:val="0"/>
            <w:vAlign w:val="center"/>
          </w:tcPr>
          <w:p w14:paraId="2FEABE9A">
            <w:pPr>
              <w:jc w:val="center"/>
              <w:rPr>
                <w:rFonts w:hint="eastAsia" w:ascii="仿宋" w:hAnsi="仿宋" w:eastAsia="仿宋" w:cs="仿宋"/>
                <w:highlight w:val="none"/>
              </w:rPr>
            </w:pPr>
            <w:r>
              <w:rPr>
                <w:rFonts w:hint="eastAsia" w:ascii="仿宋" w:hAnsi="仿宋" w:eastAsia="仿宋" w:cs="仿宋"/>
                <w:highlight w:val="none"/>
              </w:rPr>
              <w:t>响应文件开启时间和地点</w:t>
            </w:r>
          </w:p>
        </w:tc>
        <w:tc>
          <w:tcPr>
            <w:tcW w:w="5846" w:type="dxa"/>
            <w:gridSpan w:val="2"/>
            <w:noWrap w:val="0"/>
            <w:vAlign w:val="center"/>
          </w:tcPr>
          <w:p w14:paraId="1958D740">
            <w:pPr>
              <w:spacing w:line="360" w:lineRule="exact"/>
              <w:jc w:val="left"/>
              <w:rPr>
                <w:rFonts w:hint="eastAsia" w:ascii="仿宋" w:hAnsi="仿宋" w:eastAsia="仿宋" w:cs="仿宋"/>
                <w:highlight w:val="none"/>
              </w:rPr>
            </w:pPr>
            <w:r>
              <w:rPr>
                <w:rFonts w:hint="eastAsia" w:ascii="仿宋" w:hAnsi="仿宋" w:eastAsia="仿宋" w:cs="仿宋"/>
                <w:highlight w:val="none"/>
              </w:rPr>
              <w:t>开启时间：同提交首次响应文件截止时间</w:t>
            </w:r>
          </w:p>
          <w:p w14:paraId="5F0E33DD">
            <w:pPr>
              <w:spacing w:line="360" w:lineRule="exact"/>
              <w:jc w:val="left"/>
              <w:rPr>
                <w:rFonts w:hint="eastAsia" w:ascii="仿宋" w:hAnsi="仿宋" w:eastAsia="仿宋" w:cs="仿宋"/>
                <w:highlight w:val="none"/>
              </w:rPr>
            </w:pPr>
            <w:r>
              <w:rPr>
                <w:rFonts w:hint="eastAsia" w:ascii="仿宋" w:hAnsi="仿宋" w:eastAsia="仿宋" w:cs="仿宋"/>
                <w:highlight w:val="none"/>
              </w:rPr>
              <w:t>地点：“苏采云”系统“开标大厅”</w:t>
            </w:r>
          </w:p>
        </w:tc>
      </w:tr>
      <w:tr w14:paraId="54D0A4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trPr>
        <w:tc>
          <w:tcPr>
            <w:tcW w:w="1135" w:type="dxa"/>
            <w:noWrap w:val="0"/>
            <w:vAlign w:val="center"/>
          </w:tcPr>
          <w:p w14:paraId="59BB4FBD">
            <w:pPr>
              <w:spacing w:line="360" w:lineRule="exact"/>
              <w:jc w:val="center"/>
              <w:rPr>
                <w:rFonts w:hint="eastAsia" w:ascii="仿宋" w:hAnsi="仿宋" w:eastAsia="仿宋" w:cs="仿宋"/>
                <w:highlight w:val="none"/>
              </w:rPr>
            </w:pPr>
            <w:r>
              <w:rPr>
                <w:rFonts w:hint="eastAsia" w:ascii="仿宋" w:hAnsi="仿宋" w:eastAsia="仿宋" w:cs="仿宋"/>
                <w:highlight w:val="none"/>
              </w:rPr>
              <w:t>5.1.1</w:t>
            </w:r>
          </w:p>
        </w:tc>
        <w:tc>
          <w:tcPr>
            <w:tcW w:w="2551" w:type="dxa"/>
            <w:noWrap w:val="0"/>
            <w:vAlign w:val="center"/>
          </w:tcPr>
          <w:p w14:paraId="6935DB2E">
            <w:pPr>
              <w:spacing w:line="360" w:lineRule="exact"/>
              <w:jc w:val="center"/>
              <w:rPr>
                <w:rFonts w:hint="eastAsia" w:ascii="仿宋" w:hAnsi="仿宋" w:eastAsia="仿宋" w:cs="仿宋"/>
                <w:highlight w:val="none"/>
              </w:rPr>
            </w:pPr>
            <w:r>
              <w:rPr>
                <w:rFonts w:hint="eastAsia" w:ascii="仿宋" w:hAnsi="仿宋" w:eastAsia="仿宋" w:cs="仿宋"/>
                <w:highlight w:val="none"/>
              </w:rPr>
              <w:t>竞争性磋商小组</w:t>
            </w:r>
          </w:p>
        </w:tc>
        <w:tc>
          <w:tcPr>
            <w:tcW w:w="5846" w:type="dxa"/>
            <w:gridSpan w:val="2"/>
            <w:noWrap w:val="0"/>
            <w:vAlign w:val="center"/>
          </w:tcPr>
          <w:p w14:paraId="00F7510C">
            <w:pPr>
              <w:spacing w:line="360" w:lineRule="exact"/>
              <w:jc w:val="left"/>
              <w:rPr>
                <w:rFonts w:hint="eastAsia" w:ascii="仿宋" w:hAnsi="仿宋" w:eastAsia="仿宋" w:cs="仿宋"/>
                <w:highlight w:val="none"/>
              </w:rPr>
            </w:pPr>
            <w:r>
              <w:rPr>
                <w:rFonts w:hint="eastAsia" w:ascii="仿宋" w:hAnsi="仿宋" w:eastAsia="仿宋" w:cs="仿宋"/>
                <w:highlight w:val="none"/>
              </w:rPr>
              <w:t>小组人数：3 人及以上单数。</w:t>
            </w:r>
          </w:p>
        </w:tc>
      </w:tr>
      <w:tr w14:paraId="099A0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5" w:type="dxa"/>
            <w:noWrap w:val="0"/>
            <w:vAlign w:val="center"/>
          </w:tcPr>
          <w:p w14:paraId="44653ABF">
            <w:pPr>
              <w:spacing w:line="360" w:lineRule="exact"/>
              <w:jc w:val="center"/>
              <w:rPr>
                <w:rFonts w:hint="eastAsia" w:ascii="仿宋" w:hAnsi="仿宋" w:eastAsia="仿宋" w:cs="仿宋"/>
                <w:highlight w:val="none"/>
              </w:rPr>
            </w:pPr>
            <w:r>
              <w:rPr>
                <w:rFonts w:hint="eastAsia" w:ascii="仿宋" w:hAnsi="仿宋" w:eastAsia="仿宋" w:cs="仿宋"/>
                <w:highlight w:val="none"/>
              </w:rPr>
              <w:t>7.1</w:t>
            </w:r>
          </w:p>
        </w:tc>
        <w:tc>
          <w:tcPr>
            <w:tcW w:w="2551" w:type="dxa"/>
            <w:noWrap w:val="0"/>
            <w:vAlign w:val="center"/>
          </w:tcPr>
          <w:p w14:paraId="4E6B88F8">
            <w:pPr>
              <w:spacing w:line="340" w:lineRule="exact"/>
              <w:jc w:val="center"/>
              <w:rPr>
                <w:rFonts w:hint="eastAsia" w:ascii="仿宋" w:hAnsi="仿宋" w:eastAsia="仿宋" w:cs="仿宋"/>
                <w:highlight w:val="none"/>
              </w:rPr>
            </w:pPr>
            <w:r>
              <w:rPr>
                <w:rFonts w:hint="eastAsia" w:ascii="仿宋" w:hAnsi="仿宋" w:eastAsia="仿宋" w:cs="仿宋"/>
                <w:highlight w:val="none"/>
              </w:rPr>
              <w:t>签订合同的</w:t>
            </w:r>
          </w:p>
          <w:p w14:paraId="7CA49BE7">
            <w:pPr>
              <w:spacing w:line="340" w:lineRule="exact"/>
              <w:jc w:val="center"/>
              <w:rPr>
                <w:rFonts w:hint="eastAsia" w:ascii="仿宋" w:hAnsi="仿宋" w:eastAsia="仿宋" w:cs="仿宋"/>
                <w:highlight w:val="none"/>
              </w:rPr>
            </w:pPr>
            <w:r>
              <w:rPr>
                <w:rFonts w:hint="eastAsia" w:ascii="仿宋" w:hAnsi="仿宋" w:eastAsia="仿宋" w:cs="仿宋"/>
                <w:highlight w:val="none"/>
              </w:rPr>
              <w:t>时间要求</w:t>
            </w:r>
          </w:p>
        </w:tc>
        <w:tc>
          <w:tcPr>
            <w:tcW w:w="5846" w:type="dxa"/>
            <w:gridSpan w:val="2"/>
            <w:noWrap w:val="0"/>
            <w:vAlign w:val="center"/>
          </w:tcPr>
          <w:p w14:paraId="3C54927C">
            <w:pPr>
              <w:spacing w:line="360" w:lineRule="exact"/>
              <w:jc w:val="left"/>
              <w:rPr>
                <w:rFonts w:hint="eastAsia" w:ascii="仿宋" w:hAnsi="仿宋" w:eastAsia="仿宋" w:cs="仿宋"/>
                <w:highlight w:val="none"/>
                <w:lang w:eastAsia="zh-CN"/>
              </w:rPr>
            </w:pPr>
            <w:r>
              <w:rPr>
                <w:rFonts w:hint="eastAsia" w:ascii="仿宋" w:hAnsi="仿宋" w:eastAsia="仿宋" w:cs="仿宋"/>
                <w:highlight w:val="none"/>
                <w:lang w:eastAsia="zh-CN"/>
              </w:rPr>
              <w:t>自</w:t>
            </w:r>
            <w:r>
              <w:rPr>
                <w:rFonts w:hint="eastAsia" w:ascii="仿宋" w:hAnsi="仿宋" w:eastAsia="仿宋" w:cs="仿宋"/>
                <w:highlight w:val="none"/>
                <w:lang w:val="en-US" w:eastAsia="zh-CN"/>
              </w:rPr>
              <w:t>中标</w:t>
            </w:r>
            <w:r>
              <w:rPr>
                <w:rFonts w:hint="eastAsia" w:ascii="仿宋" w:hAnsi="仿宋" w:eastAsia="仿宋" w:cs="仿宋"/>
                <w:highlight w:val="none"/>
                <w:lang w:eastAsia="zh-CN"/>
              </w:rPr>
              <w:t>通知书发出之日起 30 日内</w:t>
            </w:r>
          </w:p>
        </w:tc>
      </w:tr>
      <w:tr w14:paraId="1E25F1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1135" w:type="dxa"/>
            <w:noWrap w:val="0"/>
            <w:vAlign w:val="center"/>
          </w:tcPr>
          <w:p w14:paraId="3DC422B2">
            <w:pPr>
              <w:spacing w:line="360" w:lineRule="exact"/>
              <w:jc w:val="center"/>
              <w:rPr>
                <w:rFonts w:hint="eastAsia" w:ascii="仿宋" w:hAnsi="仿宋" w:eastAsia="仿宋" w:cs="仿宋"/>
                <w:highlight w:val="none"/>
              </w:rPr>
            </w:pPr>
            <w:r>
              <w:rPr>
                <w:rFonts w:hint="eastAsia" w:ascii="仿宋" w:hAnsi="仿宋" w:eastAsia="仿宋" w:cs="仿宋"/>
                <w:highlight w:val="none"/>
              </w:rPr>
              <w:t>8.1</w:t>
            </w:r>
          </w:p>
        </w:tc>
        <w:tc>
          <w:tcPr>
            <w:tcW w:w="2551" w:type="dxa"/>
            <w:noWrap w:val="0"/>
            <w:vAlign w:val="center"/>
          </w:tcPr>
          <w:p w14:paraId="14C72C68">
            <w:pPr>
              <w:jc w:val="center"/>
              <w:rPr>
                <w:rFonts w:hint="eastAsia" w:ascii="仿宋" w:hAnsi="仿宋" w:eastAsia="仿宋" w:cs="仿宋"/>
                <w:highlight w:val="none"/>
              </w:rPr>
            </w:pPr>
            <w:r>
              <w:rPr>
                <w:rFonts w:hint="eastAsia" w:ascii="仿宋" w:hAnsi="仿宋" w:eastAsia="仿宋" w:cs="仿宋"/>
                <w:highlight w:val="none"/>
              </w:rPr>
              <w:t>履约保证金</w:t>
            </w:r>
          </w:p>
        </w:tc>
        <w:tc>
          <w:tcPr>
            <w:tcW w:w="5846" w:type="dxa"/>
            <w:gridSpan w:val="2"/>
            <w:noWrap w:val="0"/>
            <w:vAlign w:val="center"/>
          </w:tcPr>
          <w:p w14:paraId="4CDB84C1">
            <w:pPr>
              <w:pStyle w:val="242"/>
              <w:spacing w:line="360" w:lineRule="exact"/>
              <w:ind w:left="0"/>
              <w:rPr>
                <w:rFonts w:hint="eastAsia" w:ascii="仿宋" w:hAnsi="仿宋" w:eastAsia="仿宋" w:cs="仿宋"/>
                <w:szCs w:val="24"/>
                <w:highlight w:val="none"/>
              </w:rPr>
            </w:pPr>
            <w:r>
              <w:rPr>
                <w:rFonts w:hint="eastAsia" w:ascii="仿宋" w:hAnsi="仿宋" w:eastAsia="仿宋" w:cs="仿宋"/>
                <w:szCs w:val="24"/>
                <w:highlight w:val="none"/>
              </w:rPr>
              <w:t>（1）履约保证金形式:支票、汇票、本票或者金融机构、担保机构出具的保函等非现金形式。</w:t>
            </w:r>
          </w:p>
          <w:p w14:paraId="350C634E">
            <w:pPr>
              <w:pStyle w:val="242"/>
              <w:spacing w:line="360" w:lineRule="exact"/>
              <w:ind w:left="0"/>
              <w:jc w:val="left"/>
              <w:rPr>
                <w:rFonts w:hint="eastAsia" w:ascii="仿宋" w:hAnsi="仿宋" w:eastAsia="仿宋" w:cs="仿宋"/>
                <w:szCs w:val="24"/>
                <w:highlight w:val="none"/>
              </w:rPr>
            </w:pPr>
            <w:r>
              <w:rPr>
                <w:rFonts w:hint="eastAsia" w:ascii="仿宋" w:hAnsi="仿宋" w:eastAsia="仿宋" w:cs="仿宋"/>
                <w:szCs w:val="24"/>
                <w:highlight w:val="none"/>
              </w:rPr>
              <w:t>（2）金额：合同价的10%</w:t>
            </w:r>
          </w:p>
          <w:p w14:paraId="79CEBFB3">
            <w:pPr>
              <w:pStyle w:val="242"/>
              <w:spacing w:line="360" w:lineRule="exact"/>
              <w:ind w:left="0"/>
              <w:jc w:val="left"/>
              <w:rPr>
                <w:rFonts w:hint="eastAsia" w:ascii="仿宋" w:hAnsi="仿宋" w:eastAsia="仿宋" w:cs="仿宋"/>
                <w:szCs w:val="24"/>
                <w:highlight w:val="none"/>
              </w:rPr>
            </w:pPr>
            <w:r>
              <w:rPr>
                <w:rFonts w:hint="eastAsia" w:ascii="仿宋" w:hAnsi="仿宋" w:eastAsia="仿宋" w:cs="仿宋"/>
                <w:szCs w:val="24"/>
                <w:highlight w:val="none"/>
              </w:rPr>
              <w:t>（3）缴纳时间：在确定成交供应商之后，签订采购合同前。</w:t>
            </w:r>
          </w:p>
          <w:p w14:paraId="0A2AFAC7">
            <w:pPr>
              <w:pStyle w:val="242"/>
              <w:spacing w:line="360" w:lineRule="exact"/>
              <w:ind w:left="0"/>
              <w:jc w:val="left"/>
              <w:rPr>
                <w:rFonts w:hint="eastAsia" w:ascii="仿宋" w:hAnsi="仿宋" w:eastAsia="仿宋" w:cs="仿宋"/>
                <w:highlight w:val="none"/>
              </w:rPr>
            </w:pPr>
            <w:r>
              <w:rPr>
                <w:rFonts w:hint="eastAsia" w:ascii="仿宋" w:hAnsi="仿宋" w:eastAsia="仿宋" w:cs="仿宋"/>
                <w:szCs w:val="24"/>
                <w:highlight w:val="none"/>
              </w:rPr>
              <w:t>（4）退还时间：</w:t>
            </w:r>
            <w:r>
              <w:rPr>
                <w:rFonts w:hint="eastAsia" w:ascii="仿宋" w:hAnsi="仿宋" w:eastAsia="仿宋" w:cs="仿宋"/>
                <w:szCs w:val="24"/>
                <w:highlight w:val="none"/>
                <w:lang w:eastAsia="zh-CN"/>
              </w:rPr>
              <w:t>合同履约结束验收合格后退还</w:t>
            </w:r>
            <w:r>
              <w:rPr>
                <w:rFonts w:hint="eastAsia" w:ascii="仿宋" w:hAnsi="仿宋" w:eastAsia="仿宋" w:cs="仿宋"/>
                <w:szCs w:val="24"/>
                <w:highlight w:val="none"/>
              </w:rPr>
              <w:t>（无息）。</w:t>
            </w:r>
          </w:p>
        </w:tc>
      </w:tr>
      <w:tr w14:paraId="2D8B8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trPr>
        <w:tc>
          <w:tcPr>
            <w:tcW w:w="1135" w:type="dxa"/>
            <w:noWrap w:val="0"/>
            <w:vAlign w:val="center"/>
          </w:tcPr>
          <w:p w14:paraId="4A7A2B12">
            <w:pPr>
              <w:spacing w:line="360" w:lineRule="exact"/>
              <w:jc w:val="center"/>
              <w:rPr>
                <w:rFonts w:hint="eastAsia" w:ascii="仿宋" w:hAnsi="仿宋" w:eastAsia="仿宋" w:cs="仿宋"/>
                <w:highlight w:val="none"/>
              </w:rPr>
            </w:pPr>
            <w:r>
              <w:rPr>
                <w:rFonts w:hint="eastAsia" w:ascii="仿宋" w:hAnsi="仿宋" w:eastAsia="仿宋" w:cs="仿宋"/>
                <w:highlight w:val="none"/>
              </w:rPr>
              <w:t>9</w:t>
            </w:r>
          </w:p>
        </w:tc>
        <w:tc>
          <w:tcPr>
            <w:tcW w:w="8397" w:type="dxa"/>
            <w:gridSpan w:val="3"/>
            <w:noWrap w:val="0"/>
            <w:vAlign w:val="center"/>
          </w:tcPr>
          <w:p w14:paraId="0E056F6D">
            <w:pPr>
              <w:spacing w:line="360" w:lineRule="exact"/>
              <w:jc w:val="center"/>
              <w:rPr>
                <w:rFonts w:hint="eastAsia" w:ascii="仿宋" w:hAnsi="仿宋" w:eastAsia="仿宋" w:cs="仿宋"/>
                <w:highlight w:val="none"/>
              </w:rPr>
            </w:pPr>
            <w:r>
              <w:rPr>
                <w:rFonts w:hint="eastAsia" w:ascii="仿宋" w:hAnsi="仿宋" w:eastAsia="仿宋" w:cs="仿宋"/>
                <w:highlight w:val="none"/>
              </w:rPr>
              <w:t>需要补充的其他内容</w:t>
            </w:r>
          </w:p>
        </w:tc>
      </w:tr>
      <w:tr w14:paraId="552397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trPr>
        <w:tc>
          <w:tcPr>
            <w:tcW w:w="1135" w:type="dxa"/>
            <w:noWrap w:val="0"/>
            <w:vAlign w:val="center"/>
          </w:tcPr>
          <w:p w14:paraId="4BA63175">
            <w:pPr>
              <w:spacing w:line="360" w:lineRule="exact"/>
              <w:jc w:val="center"/>
              <w:rPr>
                <w:rFonts w:hint="eastAsia" w:ascii="仿宋" w:hAnsi="仿宋" w:eastAsia="仿宋" w:cs="仿宋"/>
                <w:highlight w:val="none"/>
              </w:rPr>
            </w:pPr>
            <w:r>
              <w:rPr>
                <w:rFonts w:hint="eastAsia" w:ascii="仿宋" w:hAnsi="仿宋" w:eastAsia="仿宋" w:cs="仿宋"/>
                <w:highlight w:val="none"/>
              </w:rPr>
              <w:t>9.1</w:t>
            </w:r>
          </w:p>
        </w:tc>
        <w:tc>
          <w:tcPr>
            <w:tcW w:w="2557" w:type="dxa"/>
            <w:gridSpan w:val="2"/>
            <w:noWrap w:val="0"/>
            <w:vAlign w:val="center"/>
          </w:tcPr>
          <w:p w14:paraId="54AAA909">
            <w:pPr>
              <w:spacing w:line="360" w:lineRule="exact"/>
              <w:jc w:val="center"/>
              <w:rPr>
                <w:rFonts w:hint="eastAsia" w:ascii="仿宋" w:hAnsi="仿宋" w:eastAsia="仿宋" w:cs="仿宋"/>
                <w:highlight w:val="none"/>
              </w:rPr>
            </w:pPr>
            <w:r>
              <w:rPr>
                <w:rFonts w:hint="eastAsia" w:ascii="仿宋" w:hAnsi="仿宋" w:eastAsia="仿宋" w:cs="仿宋"/>
                <w:highlight w:val="none"/>
              </w:rPr>
              <w:t>质疑和投诉</w:t>
            </w:r>
          </w:p>
        </w:tc>
        <w:tc>
          <w:tcPr>
            <w:tcW w:w="5840" w:type="dxa"/>
            <w:noWrap w:val="0"/>
            <w:vAlign w:val="center"/>
          </w:tcPr>
          <w:p w14:paraId="4FCCF395">
            <w:pPr>
              <w:spacing w:line="360" w:lineRule="exact"/>
              <w:jc w:val="left"/>
              <w:rPr>
                <w:rFonts w:hint="eastAsia" w:ascii="仿宋" w:hAnsi="仿宋" w:eastAsia="仿宋" w:cs="仿宋"/>
                <w:highlight w:val="none"/>
              </w:rPr>
            </w:pPr>
            <w:r>
              <w:rPr>
                <w:rFonts w:hint="eastAsia" w:ascii="仿宋" w:hAnsi="仿宋" w:eastAsia="仿宋" w:cs="仿宋"/>
                <w:highlight w:val="none"/>
              </w:rPr>
              <w:t>按照《政府采购质疑和投诉办法》（财政部第94号令）处理</w:t>
            </w:r>
          </w:p>
        </w:tc>
      </w:tr>
      <w:tr w14:paraId="57C055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 w:hRule="atLeast"/>
        </w:trPr>
        <w:tc>
          <w:tcPr>
            <w:tcW w:w="1135" w:type="dxa"/>
            <w:noWrap w:val="0"/>
            <w:vAlign w:val="center"/>
          </w:tcPr>
          <w:p w14:paraId="4C8C3C80">
            <w:pPr>
              <w:spacing w:line="360" w:lineRule="exact"/>
              <w:jc w:val="center"/>
              <w:rPr>
                <w:rFonts w:hint="eastAsia" w:ascii="仿宋" w:hAnsi="仿宋" w:eastAsia="仿宋" w:cs="仿宋"/>
                <w:highlight w:val="none"/>
              </w:rPr>
            </w:pPr>
            <w:r>
              <w:rPr>
                <w:rFonts w:hint="eastAsia" w:ascii="仿宋" w:hAnsi="仿宋" w:eastAsia="仿宋" w:cs="仿宋"/>
                <w:highlight w:val="none"/>
              </w:rPr>
              <w:t>9.2</w:t>
            </w:r>
          </w:p>
        </w:tc>
        <w:tc>
          <w:tcPr>
            <w:tcW w:w="2557" w:type="dxa"/>
            <w:gridSpan w:val="2"/>
            <w:noWrap w:val="0"/>
            <w:vAlign w:val="center"/>
          </w:tcPr>
          <w:p w14:paraId="1C059762">
            <w:pPr>
              <w:spacing w:line="360" w:lineRule="exact"/>
              <w:jc w:val="center"/>
              <w:rPr>
                <w:rFonts w:hint="eastAsia" w:ascii="仿宋" w:hAnsi="仿宋" w:eastAsia="仿宋" w:cs="仿宋"/>
                <w:highlight w:val="none"/>
              </w:rPr>
            </w:pPr>
            <w:r>
              <w:rPr>
                <w:rFonts w:hint="eastAsia" w:ascii="仿宋" w:hAnsi="仿宋" w:eastAsia="仿宋" w:cs="仿宋"/>
                <w:highlight w:val="none"/>
              </w:rPr>
              <w:t>文件的解释</w:t>
            </w:r>
          </w:p>
        </w:tc>
        <w:tc>
          <w:tcPr>
            <w:tcW w:w="5840" w:type="dxa"/>
            <w:noWrap w:val="0"/>
            <w:vAlign w:val="center"/>
          </w:tcPr>
          <w:p w14:paraId="7D63562A">
            <w:pPr>
              <w:spacing w:line="360" w:lineRule="exact"/>
              <w:rPr>
                <w:rFonts w:hint="eastAsia" w:ascii="仿宋" w:hAnsi="仿宋" w:eastAsia="仿宋" w:cs="仿宋"/>
                <w:highlight w:val="none"/>
              </w:rPr>
            </w:pPr>
            <w:r>
              <w:rPr>
                <w:rFonts w:hint="eastAsia" w:ascii="仿宋" w:hAnsi="仿宋" w:eastAsia="仿宋" w:cs="仿宋"/>
                <w:highlight w:val="none"/>
              </w:rPr>
              <w:t>由采购人负责</w:t>
            </w:r>
          </w:p>
        </w:tc>
      </w:tr>
      <w:tr w14:paraId="1F3A0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trPr>
        <w:tc>
          <w:tcPr>
            <w:tcW w:w="1135" w:type="dxa"/>
            <w:noWrap w:val="0"/>
            <w:vAlign w:val="center"/>
          </w:tcPr>
          <w:p w14:paraId="62205AAB">
            <w:pPr>
              <w:spacing w:line="360" w:lineRule="exact"/>
              <w:jc w:val="center"/>
              <w:rPr>
                <w:rFonts w:hint="eastAsia" w:ascii="仿宋" w:hAnsi="仿宋" w:eastAsia="仿宋" w:cs="仿宋"/>
                <w:highlight w:val="none"/>
              </w:rPr>
            </w:pPr>
            <w:r>
              <w:rPr>
                <w:rFonts w:hint="eastAsia" w:ascii="仿宋" w:hAnsi="仿宋" w:eastAsia="仿宋" w:cs="仿宋"/>
                <w:highlight w:val="none"/>
              </w:rPr>
              <w:t>9.3</w:t>
            </w:r>
          </w:p>
        </w:tc>
        <w:tc>
          <w:tcPr>
            <w:tcW w:w="2557" w:type="dxa"/>
            <w:gridSpan w:val="2"/>
            <w:noWrap w:val="0"/>
            <w:vAlign w:val="center"/>
          </w:tcPr>
          <w:p w14:paraId="7D84F4E3">
            <w:pPr>
              <w:spacing w:line="360" w:lineRule="exact"/>
              <w:jc w:val="center"/>
              <w:rPr>
                <w:rFonts w:hint="eastAsia" w:ascii="仿宋" w:hAnsi="仿宋" w:eastAsia="仿宋" w:cs="仿宋"/>
                <w:highlight w:val="none"/>
              </w:rPr>
            </w:pPr>
            <w:r>
              <w:rPr>
                <w:rFonts w:hint="eastAsia" w:ascii="仿宋" w:hAnsi="仿宋" w:eastAsia="仿宋" w:cs="仿宋"/>
                <w:highlight w:val="none"/>
              </w:rPr>
              <w:t>落实政府采购政策</w:t>
            </w:r>
          </w:p>
        </w:tc>
        <w:tc>
          <w:tcPr>
            <w:tcW w:w="5840" w:type="dxa"/>
            <w:noWrap w:val="0"/>
            <w:vAlign w:val="center"/>
          </w:tcPr>
          <w:p w14:paraId="04A15859">
            <w:pPr>
              <w:pStyle w:val="237"/>
              <w:spacing w:line="38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本项目为专门面向中小企业的项目。根据《政府采购促进中小企业发展管理办法》（财库【2020】46号及苏财购【2022】45号文）规定，供应商应当提供《中小企业声明函》。</w:t>
            </w:r>
          </w:p>
        </w:tc>
      </w:tr>
      <w:tr w14:paraId="14E66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trPr>
        <w:tc>
          <w:tcPr>
            <w:tcW w:w="1135" w:type="dxa"/>
            <w:noWrap w:val="0"/>
            <w:vAlign w:val="center"/>
          </w:tcPr>
          <w:p w14:paraId="7F3AA816">
            <w:pPr>
              <w:spacing w:line="360" w:lineRule="exact"/>
              <w:jc w:val="center"/>
              <w:rPr>
                <w:rFonts w:hint="eastAsia" w:ascii="仿宋" w:hAnsi="仿宋" w:eastAsia="仿宋" w:cs="仿宋"/>
                <w:highlight w:val="none"/>
              </w:rPr>
            </w:pPr>
            <w:r>
              <w:rPr>
                <w:rFonts w:hint="eastAsia" w:ascii="仿宋" w:hAnsi="仿宋" w:eastAsia="仿宋" w:cs="仿宋"/>
                <w:highlight w:val="none"/>
              </w:rPr>
              <w:t>9.4</w:t>
            </w:r>
          </w:p>
        </w:tc>
        <w:tc>
          <w:tcPr>
            <w:tcW w:w="2557" w:type="dxa"/>
            <w:gridSpan w:val="2"/>
            <w:noWrap w:val="0"/>
            <w:vAlign w:val="center"/>
          </w:tcPr>
          <w:p w14:paraId="17D60277">
            <w:pPr>
              <w:spacing w:line="360" w:lineRule="exact"/>
              <w:jc w:val="center"/>
              <w:rPr>
                <w:rFonts w:hint="eastAsia" w:ascii="仿宋" w:hAnsi="仿宋" w:eastAsia="仿宋" w:cs="仿宋"/>
                <w:highlight w:val="none"/>
              </w:rPr>
            </w:pPr>
            <w:r>
              <w:rPr>
                <w:rFonts w:hint="eastAsia" w:ascii="仿宋" w:hAnsi="仿宋" w:eastAsia="仿宋" w:cs="仿宋"/>
                <w:highlight w:val="none"/>
              </w:rPr>
              <w:t>参加磋商的要求</w:t>
            </w:r>
          </w:p>
        </w:tc>
        <w:tc>
          <w:tcPr>
            <w:tcW w:w="5840" w:type="dxa"/>
            <w:noWrap w:val="0"/>
            <w:vAlign w:val="top"/>
          </w:tcPr>
          <w:p w14:paraId="7B6113A1">
            <w:pPr>
              <w:pStyle w:val="237"/>
              <w:spacing w:line="3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首次响应文件开启之后，请各供应商关注苏采云开标大厅并在规定的时间内提交磋商函。未按照磋商小组的要求参加磋商导致的后果由供应商自行承担。</w:t>
            </w:r>
          </w:p>
        </w:tc>
      </w:tr>
      <w:tr w14:paraId="43031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trPr>
        <w:tc>
          <w:tcPr>
            <w:tcW w:w="1135" w:type="dxa"/>
            <w:noWrap w:val="0"/>
            <w:vAlign w:val="center"/>
          </w:tcPr>
          <w:p w14:paraId="0B83B640">
            <w:pPr>
              <w:spacing w:line="360" w:lineRule="exact"/>
              <w:jc w:val="center"/>
              <w:rPr>
                <w:rFonts w:hint="eastAsia" w:ascii="仿宋" w:hAnsi="仿宋" w:eastAsia="仿宋" w:cs="仿宋"/>
                <w:highlight w:val="none"/>
              </w:rPr>
            </w:pPr>
            <w:r>
              <w:rPr>
                <w:rFonts w:hint="eastAsia" w:ascii="仿宋" w:hAnsi="仿宋" w:eastAsia="仿宋" w:cs="仿宋"/>
                <w:highlight w:val="none"/>
              </w:rPr>
              <w:t>9.5</w:t>
            </w:r>
          </w:p>
        </w:tc>
        <w:tc>
          <w:tcPr>
            <w:tcW w:w="2557" w:type="dxa"/>
            <w:gridSpan w:val="2"/>
            <w:noWrap w:val="0"/>
            <w:vAlign w:val="center"/>
          </w:tcPr>
          <w:p w14:paraId="527B930E">
            <w:pPr>
              <w:spacing w:line="360" w:lineRule="exact"/>
              <w:jc w:val="center"/>
              <w:rPr>
                <w:rFonts w:hint="eastAsia" w:ascii="仿宋" w:hAnsi="仿宋" w:eastAsia="仿宋" w:cs="仿宋"/>
                <w:highlight w:val="none"/>
              </w:rPr>
            </w:pPr>
            <w:r>
              <w:rPr>
                <w:rFonts w:hint="eastAsia" w:ascii="仿宋" w:hAnsi="仿宋" w:eastAsia="仿宋" w:cs="仿宋"/>
                <w:highlight w:val="none"/>
              </w:rPr>
              <w:t>招标代理服务费</w:t>
            </w:r>
          </w:p>
        </w:tc>
        <w:tc>
          <w:tcPr>
            <w:tcW w:w="5840" w:type="dxa"/>
            <w:noWrap w:val="0"/>
            <w:vAlign w:val="top"/>
          </w:tcPr>
          <w:p w14:paraId="0D70B2F6">
            <w:pPr>
              <w:spacing w:line="360" w:lineRule="exact"/>
              <w:jc w:val="left"/>
              <w:rPr>
                <w:rFonts w:hint="eastAsia" w:ascii="仿宋" w:hAnsi="仿宋" w:eastAsia="仿宋" w:cs="仿宋"/>
                <w:highlight w:val="none"/>
              </w:rPr>
            </w:pPr>
            <w:r>
              <w:rPr>
                <w:rFonts w:hint="eastAsia" w:ascii="仿宋" w:hAnsi="仿宋" w:eastAsia="仿宋" w:cs="仿宋"/>
                <w:highlight w:val="none"/>
              </w:rPr>
              <w:t>本项目招标代理服务费按照计价格【2002】1980号文件及发改价格【2011】534号文件规定的</w:t>
            </w:r>
            <w:r>
              <w:rPr>
                <w:rFonts w:hint="eastAsia" w:ascii="仿宋" w:hAnsi="仿宋" w:eastAsia="仿宋" w:cs="仿宋"/>
                <w:highlight w:val="none"/>
                <w:lang w:val="en-US" w:eastAsia="zh-CN"/>
              </w:rPr>
              <w:t>60</w:t>
            </w:r>
            <w:r>
              <w:rPr>
                <w:rFonts w:hint="eastAsia" w:ascii="仿宋" w:hAnsi="仿宋" w:eastAsia="仿宋" w:cs="仿宋"/>
                <w:highlight w:val="none"/>
              </w:rPr>
              <w:t>%计取</w:t>
            </w:r>
            <w:r>
              <w:rPr>
                <w:rFonts w:hint="eastAsia" w:ascii="仿宋" w:hAnsi="仿宋" w:eastAsia="仿宋" w:cs="仿宋"/>
                <w:highlight w:val="none"/>
                <w:lang w:eastAsia="zh-CN"/>
              </w:rPr>
              <w:t>，</w:t>
            </w:r>
            <w:r>
              <w:rPr>
                <w:rFonts w:hint="eastAsia" w:ascii="仿宋" w:hAnsi="仿宋" w:eastAsia="仿宋" w:cs="仿宋"/>
                <w:highlight w:val="none"/>
                <w:lang w:val="en-US" w:eastAsia="zh-CN"/>
              </w:rPr>
              <w:t>该费用</w:t>
            </w:r>
            <w:r>
              <w:rPr>
                <w:rFonts w:hint="eastAsia" w:ascii="仿宋" w:hAnsi="仿宋" w:eastAsia="仿宋" w:cs="仿宋"/>
                <w:highlight w:val="none"/>
              </w:rPr>
              <w:t>由成交人在领取中标通知书前支付。</w:t>
            </w:r>
            <w:r>
              <w:rPr>
                <w:rFonts w:hint="eastAsia" w:ascii="仿宋" w:hAnsi="仿宋" w:eastAsia="仿宋" w:cs="仿宋"/>
                <w:highlight w:val="none"/>
                <w:lang w:val="en-US" w:eastAsia="zh-CN"/>
              </w:rPr>
              <w:t>以上费用包含在供应商总报价中，</w:t>
            </w:r>
            <w:r>
              <w:rPr>
                <w:rFonts w:hint="eastAsia" w:ascii="仿宋" w:hAnsi="仿宋" w:eastAsia="仿宋" w:cs="仿宋"/>
                <w:highlight w:val="none"/>
              </w:rPr>
              <w:t>采购人不另外支付。</w:t>
            </w:r>
          </w:p>
          <w:p w14:paraId="5DAEC0B0">
            <w:pPr>
              <w:spacing w:line="360" w:lineRule="exact"/>
              <w:jc w:val="left"/>
              <w:rPr>
                <w:rFonts w:hint="eastAsia" w:ascii="仿宋" w:hAnsi="仿宋" w:eastAsia="仿宋" w:cs="仿宋"/>
                <w:highlight w:val="none"/>
                <w:lang w:val="en-US" w:eastAsia="zh-CN"/>
              </w:rPr>
            </w:pPr>
            <w:r>
              <w:rPr>
                <w:rFonts w:hint="eastAsia" w:ascii="仿宋" w:hAnsi="仿宋" w:eastAsia="仿宋" w:cs="仿宋"/>
                <w:highlight w:val="none"/>
              </w:rPr>
              <w:t>评审费按苏财购〔2016〕48号规定计取</w:t>
            </w:r>
            <w:r>
              <w:rPr>
                <w:rFonts w:hint="eastAsia" w:ascii="仿宋" w:hAnsi="仿宋" w:eastAsia="仿宋" w:cs="仿宋"/>
                <w:highlight w:val="none"/>
                <w:lang w:eastAsia="zh-CN"/>
              </w:rPr>
              <w:t>，</w:t>
            </w:r>
            <w:r>
              <w:rPr>
                <w:rFonts w:hint="eastAsia" w:ascii="仿宋" w:hAnsi="仿宋" w:eastAsia="仿宋" w:cs="仿宋"/>
                <w:highlight w:val="none"/>
                <w:lang w:val="en-US" w:eastAsia="zh-CN"/>
              </w:rPr>
              <w:t>由采购人支付。</w:t>
            </w:r>
          </w:p>
        </w:tc>
      </w:tr>
      <w:tr w14:paraId="0DD57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trPr>
        <w:tc>
          <w:tcPr>
            <w:tcW w:w="1135" w:type="dxa"/>
            <w:noWrap w:val="0"/>
            <w:vAlign w:val="center"/>
          </w:tcPr>
          <w:p w14:paraId="2F991698">
            <w:pPr>
              <w:spacing w:line="360" w:lineRule="exact"/>
              <w:jc w:val="center"/>
              <w:rPr>
                <w:rFonts w:hint="eastAsia" w:ascii="仿宋" w:hAnsi="仿宋" w:eastAsia="仿宋" w:cs="仿宋"/>
                <w:highlight w:val="none"/>
              </w:rPr>
            </w:pPr>
            <w:r>
              <w:rPr>
                <w:rFonts w:hint="eastAsia" w:ascii="仿宋" w:hAnsi="仿宋" w:eastAsia="仿宋" w:cs="仿宋"/>
                <w:highlight w:val="none"/>
              </w:rPr>
              <w:t>9.6</w:t>
            </w:r>
          </w:p>
        </w:tc>
        <w:tc>
          <w:tcPr>
            <w:tcW w:w="2557" w:type="dxa"/>
            <w:gridSpan w:val="2"/>
            <w:noWrap w:val="0"/>
            <w:vAlign w:val="center"/>
          </w:tcPr>
          <w:p w14:paraId="19711F49">
            <w:pPr>
              <w:spacing w:line="360" w:lineRule="exact"/>
              <w:jc w:val="center"/>
              <w:rPr>
                <w:rFonts w:hint="eastAsia" w:ascii="仿宋" w:hAnsi="仿宋" w:eastAsia="仿宋" w:cs="仿宋"/>
                <w:highlight w:val="none"/>
              </w:rPr>
            </w:pPr>
            <w:r>
              <w:rPr>
                <w:rFonts w:hint="eastAsia" w:ascii="仿宋" w:hAnsi="仿宋" w:eastAsia="仿宋" w:cs="仿宋"/>
                <w:highlight w:val="none"/>
              </w:rPr>
              <w:t>标的所属行业</w:t>
            </w:r>
          </w:p>
        </w:tc>
        <w:tc>
          <w:tcPr>
            <w:tcW w:w="5840" w:type="dxa"/>
            <w:noWrap w:val="0"/>
            <w:vAlign w:val="center"/>
          </w:tcPr>
          <w:p w14:paraId="6A6F4F81">
            <w:pPr>
              <w:spacing w:line="360" w:lineRule="exact"/>
              <w:rPr>
                <w:rFonts w:hint="eastAsia" w:ascii="仿宋" w:hAnsi="仿宋" w:eastAsia="仿宋" w:cs="仿宋"/>
                <w:highlight w:val="none"/>
              </w:rPr>
            </w:pPr>
            <w:r>
              <w:rPr>
                <w:rFonts w:hint="eastAsia" w:ascii="仿宋" w:hAnsi="仿宋" w:eastAsia="仿宋" w:cs="仿宋"/>
                <w:highlight w:val="none"/>
                <w:u w:val="single"/>
              </w:rPr>
              <w:t>商务服务业</w:t>
            </w:r>
          </w:p>
        </w:tc>
      </w:tr>
      <w:tr w14:paraId="4D7A1A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trPr>
        <w:tc>
          <w:tcPr>
            <w:tcW w:w="1135" w:type="dxa"/>
            <w:vMerge w:val="restart"/>
            <w:noWrap w:val="0"/>
            <w:vAlign w:val="center"/>
          </w:tcPr>
          <w:p w14:paraId="1B34FC6F">
            <w:pPr>
              <w:spacing w:line="360" w:lineRule="exact"/>
              <w:jc w:val="center"/>
              <w:rPr>
                <w:rFonts w:hint="eastAsia" w:ascii="仿宋" w:hAnsi="仿宋" w:eastAsia="仿宋" w:cs="仿宋"/>
              </w:rPr>
            </w:pPr>
            <w:r>
              <w:rPr>
                <w:rFonts w:hint="eastAsia" w:ascii="仿宋" w:hAnsi="仿宋" w:eastAsia="仿宋" w:cs="仿宋"/>
              </w:rPr>
              <w:t>9.7</w:t>
            </w:r>
          </w:p>
        </w:tc>
        <w:tc>
          <w:tcPr>
            <w:tcW w:w="2557" w:type="dxa"/>
            <w:gridSpan w:val="2"/>
            <w:vMerge w:val="restart"/>
            <w:noWrap w:val="0"/>
            <w:vAlign w:val="center"/>
          </w:tcPr>
          <w:p w14:paraId="300DF8C8">
            <w:pPr>
              <w:spacing w:line="360" w:lineRule="exact"/>
              <w:jc w:val="center"/>
              <w:rPr>
                <w:rFonts w:hint="eastAsia" w:ascii="仿宋" w:hAnsi="仿宋" w:eastAsia="仿宋" w:cs="仿宋"/>
                <w:b/>
              </w:rPr>
            </w:pPr>
            <w:r>
              <w:rPr>
                <w:rFonts w:hint="eastAsia" w:ascii="仿宋" w:hAnsi="仿宋" w:eastAsia="仿宋" w:cs="仿宋"/>
                <w:b/>
              </w:rPr>
              <w:t>其他</w:t>
            </w:r>
          </w:p>
        </w:tc>
        <w:tc>
          <w:tcPr>
            <w:tcW w:w="5840" w:type="dxa"/>
            <w:noWrap w:val="0"/>
            <w:vAlign w:val="center"/>
          </w:tcPr>
          <w:p w14:paraId="02C47B6E">
            <w:pPr>
              <w:spacing w:line="360" w:lineRule="exact"/>
              <w:rPr>
                <w:rFonts w:hint="eastAsia" w:ascii="仿宋" w:hAnsi="仿宋" w:eastAsia="仿宋" w:cs="仿宋"/>
                <w:b/>
                <w:lang w:eastAsia="zh-CN"/>
              </w:rPr>
            </w:pPr>
            <w:r>
              <w:rPr>
                <w:rFonts w:hint="eastAsia" w:ascii="仿宋" w:hAnsi="仿宋" w:eastAsia="仿宋" w:cs="仿宋"/>
                <w:b/>
                <w:lang w:eastAsia="zh-CN"/>
              </w:rPr>
              <w:t>供应商须自成交通知书发出之日起30天内签订服务合同，合同签订后，未按照采购人的要求在规定的时间内委派相关人员履行合同的，甲方有权立即解除合同，由此产生的所有费用及损失由供应商承担。</w:t>
            </w:r>
          </w:p>
        </w:tc>
      </w:tr>
      <w:tr w14:paraId="5ABEE0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trPr>
        <w:tc>
          <w:tcPr>
            <w:tcW w:w="1135" w:type="dxa"/>
            <w:vMerge w:val="continue"/>
            <w:noWrap w:val="0"/>
            <w:vAlign w:val="center"/>
          </w:tcPr>
          <w:p w14:paraId="3CE73932">
            <w:pPr>
              <w:spacing w:line="360" w:lineRule="exact"/>
              <w:jc w:val="center"/>
              <w:rPr>
                <w:rFonts w:hint="eastAsia" w:ascii="仿宋" w:hAnsi="仿宋" w:eastAsia="仿宋" w:cs="仿宋"/>
              </w:rPr>
            </w:pPr>
            <w:bookmarkStart w:id="37" w:name="_Toc426469871"/>
            <w:bookmarkStart w:id="38" w:name="_Toc367784995"/>
          </w:p>
        </w:tc>
        <w:tc>
          <w:tcPr>
            <w:tcW w:w="2557" w:type="dxa"/>
            <w:gridSpan w:val="2"/>
            <w:vMerge w:val="continue"/>
            <w:noWrap w:val="0"/>
            <w:vAlign w:val="center"/>
          </w:tcPr>
          <w:p w14:paraId="25DF4193">
            <w:pPr>
              <w:spacing w:line="360" w:lineRule="exact"/>
              <w:jc w:val="center"/>
              <w:rPr>
                <w:rFonts w:hint="eastAsia" w:ascii="仿宋" w:hAnsi="仿宋" w:eastAsia="仿宋" w:cs="仿宋"/>
                <w:b/>
              </w:rPr>
            </w:pPr>
          </w:p>
        </w:tc>
        <w:tc>
          <w:tcPr>
            <w:tcW w:w="5840" w:type="dxa"/>
            <w:noWrap w:val="0"/>
            <w:vAlign w:val="center"/>
          </w:tcPr>
          <w:p w14:paraId="08276015">
            <w:pPr>
              <w:spacing w:line="360" w:lineRule="exact"/>
              <w:rPr>
                <w:rFonts w:hint="eastAsia" w:ascii="仿宋" w:hAnsi="仿宋" w:eastAsia="仿宋" w:cs="仿宋"/>
                <w:b/>
                <w:lang w:eastAsia="zh-CN"/>
              </w:rPr>
            </w:pPr>
            <w:r>
              <w:rPr>
                <w:rFonts w:hint="eastAsia" w:ascii="仿宋" w:hAnsi="仿宋" w:eastAsia="仿宋" w:cs="仿宋"/>
                <w:b/>
                <w:lang w:eastAsia="zh-CN"/>
              </w:rPr>
              <w:t>中标人应按照国务院《保障农民工工资支付条例》及地方相关规定要求支付农民工工资，如不按照文件规定发放农民工工资，将暂停支付工程款，直至中标人按规定要求整改完成后再支付工程款。为确保按月足额拨付农民工工资，中标人须开设农民工专户，用于保障农民工工资款的拨付和农民工工资支付。每次拨付工程款，按工程款的20%拨至农民工工资专户；如不足，中标人需向发包人提出书面申请，按申请金额拨至农民工工资专户，人工费用拨付周期不得超过1个月。</w:t>
            </w:r>
          </w:p>
        </w:tc>
      </w:tr>
    </w:tbl>
    <w:p w14:paraId="3AD5FE1D">
      <w:pPr>
        <w:spacing w:line="560" w:lineRule="exact"/>
        <w:rPr>
          <w:rFonts w:ascii="黑体" w:hAnsi="黑体" w:eastAsia="黑体"/>
          <w:b/>
          <w:sz w:val="32"/>
          <w:szCs w:val="32"/>
        </w:rPr>
      </w:pPr>
      <w:r>
        <w:rPr>
          <w:rFonts w:ascii="黑体" w:hAnsi="黑体" w:eastAsia="黑体"/>
          <w:b/>
          <w:sz w:val="32"/>
          <w:szCs w:val="32"/>
        </w:rPr>
        <w:t>1.</w:t>
      </w:r>
      <w:r>
        <w:rPr>
          <w:rFonts w:hint="eastAsia" w:ascii="黑体" w:hAnsi="黑体" w:eastAsia="黑体"/>
          <w:b/>
          <w:sz w:val="32"/>
          <w:szCs w:val="32"/>
        </w:rPr>
        <w:t>总则</w:t>
      </w:r>
      <w:bookmarkEnd w:id="37"/>
      <w:bookmarkEnd w:id="38"/>
    </w:p>
    <w:p w14:paraId="2D9EAFD1">
      <w:pPr>
        <w:spacing w:line="560" w:lineRule="exact"/>
        <w:rPr>
          <w:rFonts w:ascii="楷体_GB2312" w:hAnsi="楷体" w:eastAsia="楷体_GB2312"/>
          <w:b/>
          <w:sz w:val="28"/>
          <w:szCs w:val="28"/>
        </w:rPr>
      </w:pPr>
      <w:r>
        <w:rPr>
          <w:rFonts w:hint="eastAsia" w:ascii="宋体" w:hAnsi="宋体" w:cs="宋体"/>
          <w:b/>
          <w:sz w:val="28"/>
          <w:szCs w:val="28"/>
        </w:rPr>
        <w:t>1.1</w:t>
      </w:r>
      <w:r>
        <w:rPr>
          <w:rFonts w:hint="eastAsia" w:ascii="楷体_GB2312" w:hAnsi="楷体" w:eastAsia="楷体_GB2312"/>
          <w:b/>
          <w:sz w:val="28"/>
          <w:szCs w:val="28"/>
        </w:rPr>
        <w:t>项目概况</w:t>
      </w:r>
    </w:p>
    <w:p w14:paraId="49D36F54">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1.1.1根据《中华人民共和国政府采购法》《中华人民共和国政府采购法实施条例》等有关法律、法规和规章的规定，本项目已具备采购条件，现对本项目进行竞争性磋商采购。</w:t>
      </w:r>
    </w:p>
    <w:p w14:paraId="4F8C0271">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1.1.2 采购人：见供应商须知前附表。</w:t>
      </w:r>
    </w:p>
    <w:p w14:paraId="2DE46BF7">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1.1.3 采购代理机构：见供应商须知前附表。</w:t>
      </w:r>
    </w:p>
    <w:p w14:paraId="3A69E7E8">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1.1.4 项目名称及项目编号：见供应商须知前附表。</w:t>
      </w:r>
    </w:p>
    <w:p w14:paraId="2C3B1C7E">
      <w:pPr>
        <w:spacing w:line="560" w:lineRule="exact"/>
        <w:rPr>
          <w:rFonts w:ascii="楷体_GB2312" w:hAnsi="楷体" w:eastAsia="楷体_GB2312"/>
          <w:b/>
          <w:sz w:val="28"/>
          <w:szCs w:val="28"/>
        </w:rPr>
      </w:pPr>
      <w:r>
        <w:rPr>
          <w:rFonts w:hint="eastAsia" w:ascii="宋体" w:hAnsi="宋体" w:cs="宋体"/>
          <w:b/>
          <w:sz w:val="28"/>
          <w:szCs w:val="28"/>
        </w:rPr>
        <w:t>1.2</w:t>
      </w:r>
      <w:r>
        <w:rPr>
          <w:rFonts w:hint="eastAsia" w:ascii="楷体_GB2312" w:hAnsi="楷体" w:eastAsia="楷体_GB2312"/>
          <w:b/>
          <w:sz w:val="28"/>
          <w:szCs w:val="28"/>
        </w:rPr>
        <w:t>付款方式</w:t>
      </w:r>
    </w:p>
    <w:p w14:paraId="6DF04659">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1.2.1付款方式：见供应商须知前附表。</w:t>
      </w:r>
    </w:p>
    <w:p w14:paraId="759BA4BA">
      <w:pPr>
        <w:spacing w:line="560" w:lineRule="exact"/>
        <w:rPr>
          <w:rFonts w:ascii="楷体_GB2312" w:hAnsi="楷体" w:eastAsia="楷体_GB2312"/>
          <w:b/>
          <w:sz w:val="28"/>
          <w:szCs w:val="28"/>
        </w:rPr>
      </w:pPr>
      <w:r>
        <w:rPr>
          <w:rFonts w:hint="eastAsia" w:ascii="宋体" w:hAnsi="宋体" w:cs="宋体"/>
          <w:b/>
          <w:sz w:val="28"/>
          <w:szCs w:val="28"/>
        </w:rPr>
        <w:t>1.3</w:t>
      </w:r>
      <w:r>
        <w:rPr>
          <w:rFonts w:hint="eastAsia" w:ascii="楷体_GB2312" w:hAnsi="楷体" w:eastAsia="楷体_GB2312"/>
          <w:b/>
          <w:sz w:val="28"/>
          <w:szCs w:val="28"/>
        </w:rPr>
        <w:t>采购范围与合同履行期限</w:t>
      </w:r>
    </w:p>
    <w:p w14:paraId="7CF13A66">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1.3.1 采购范围：见供应商须知前附表。</w:t>
      </w:r>
    </w:p>
    <w:p w14:paraId="49E6163E">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1.3.2 合同履行期限：见供应商须知前附表。</w:t>
      </w:r>
    </w:p>
    <w:p w14:paraId="033481B1">
      <w:pPr>
        <w:spacing w:line="560" w:lineRule="exact"/>
        <w:rPr>
          <w:rFonts w:ascii="楷体_GB2312" w:hAnsi="楷体" w:eastAsia="楷体_GB2312"/>
          <w:b/>
          <w:sz w:val="28"/>
          <w:szCs w:val="28"/>
        </w:rPr>
      </w:pPr>
      <w:r>
        <w:rPr>
          <w:rFonts w:hint="eastAsia" w:ascii="宋体" w:hAnsi="宋体" w:cs="宋体"/>
          <w:b/>
          <w:sz w:val="28"/>
          <w:szCs w:val="28"/>
        </w:rPr>
        <w:t>1.4</w:t>
      </w:r>
      <w:r>
        <w:rPr>
          <w:rFonts w:hint="eastAsia" w:ascii="楷体_GB2312" w:hAnsi="楷体" w:eastAsia="楷体_GB2312"/>
          <w:b/>
          <w:sz w:val="28"/>
          <w:szCs w:val="28"/>
        </w:rPr>
        <w:t>供应商资格要求</w:t>
      </w:r>
    </w:p>
    <w:p w14:paraId="68482D84">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1.4.1 供应商参加政府采购活动应当具备下列条件：</w:t>
      </w:r>
    </w:p>
    <w:p w14:paraId="6A696E23">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（1）具有独立承担民事责任的能力；</w:t>
      </w:r>
    </w:p>
    <w:p w14:paraId="6432FCEA">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（2）具有良好的商业信誉和健全的财务会计制度；</w:t>
      </w:r>
    </w:p>
    <w:p w14:paraId="1F11108B">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（3）具有履行合同所必需的设备和专业技术能力；</w:t>
      </w:r>
    </w:p>
    <w:p w14:paraId="74F3E681">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（4）有依法缴纳税收和社会保障资金的良好记录；</w:t>
      </w:r>
    </w:p>
    <w:p w14:paraId="44A98156">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（5）参加政府采购活动前三年内，在经营活动中没有重大违法记录；</w:t>
      </w:r>
    </w:p>
    <w:p w14:paraId="329D088D">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（6）法律、行政法规规定的其他条件。</w:t>
      </w:r>
    </w:p>
    <w:p w14:paraId="6319C74C">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1.4.2根据采购项目特殊要求，要求供应商具备的特定资格要求：见供应商须知前附表。</w:t>
      </w:r>
    </w:p>
    <w:p w14:paraId="6C712E66">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1.4.3供应商不得存在下列情形之一：</w:t>
      </w:r>
    </w:p>
    <w:p w14:paraId="3A8EF823">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（l）与采购人或采购代理机构存在隶属关系或者其他利害关系；</w:t>
      </w:r>
    </w:p>
    <w:p w14:paraId="6611201E">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（2）为采购项目提供了整体设计、规范编制或者项目管理、监理、检测等服务；</w:t>
      </w:r>
    </w:p>
    <w:p w14:paraId="09C77686">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（3）单位负责人为同一人或者存在直接控股、管理关系的不同供应商，参加同一合同项下的政府采购活动。</w:t>
      </w:r>
    </w:p>
    <w:p w14:paraId="23D45B25">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（4）以联合体形式参加政府采购活动的，联合体各方再单独参加或者与其他供应商另外组成联合体参加同一合同项下的政府采购活动。</w:t>
      </w:r>
    </w:p>
    <w:p w14:paraId="605E0C93">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（5）法律、行政法规规定的其他条件。</w:t>
      </w:r>
    </w:p>
    <w:p w14:paraId="33032BA1">
      <w:pPr>
        <w:spacing w:line="560" w:lineRule="exact"/>
        <w:rPr>
          <w:rFonts w:ascii="楷体_GB2312" w:hAnsi="楷体" w:eastAsia="楷体_GB2312"/>
          <w:b/>
          <w:sz w:val="28"/>
          <w:szCs w:val="28"/>
        </w:rPr>
      </w:pPr>
      <w:r>
        <w:rPr>
          <w:rFonts w:hint="eastAsia" w:ascii="宋体" w:hAnsi="宋体" w:cs="宋体"/>
          <w:b/>
          <w:sz w:val="28"/>
          <w:szCs w:val="28"/>
        </w:rPr>
        <w:t>1.5</w:t>
      </w:r>
      <w:r>
        <w:rPr>
          <w:rFonts w:hint="eastAsia" w:ascii="楷体_GB2312" w:hAnsi="楷体" w:eastAsia="楷体_GB2312"/>
          <w:b/>
          <w:sz w:val="28"/>
          <w:szCs w:val="28"/>
        </w:rPr>
        <w:t>费用承担</w:t>
      </w:r>
    </w:p>
    <w:p w14:paraId="5AEDD36D">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无论采购结果如何，供应商为准备和参加采购活动发生的费用自理。</w:t>
      </w:r>
    </w:p>
    <w:p w14:paraId="55DE592C">
      <w:pPr>
        <w:spacing w:line="560" w:lineRule="exact"/>
        <w:rPr>
          <w:rFonts w:ascii="楷体_GB2312" w:hAnsi="楷体" w:eastAsia="楷体_GB2312"/>
          <w:b/>
          <w:sz w:val="28"/>
          <w:szCs w:val="28"/>
        </w:rPr>
      </w:pPr>
      <w:r>
        <w:rPr>
          <w:rFonts w:hint="eastAsia" w:ascii="宋体" w:hAnsi="宋体" w:cs="宋体"/>
          <w:b/>
          <w:sz w:val="28"/>
          <w:szCs w:val="28"/>
        </w:rPr>
        <w:t>1.6</w:t>
      </w:r>
      <w:r>
        <w:rPr>
          <w:rFonts w:hint="eastAsia" w:ascii="楷体_GB2312" w:hAnsi="楷体" w:eastAsia="楷体_GB2312"/>
          <w:b/>
          <w:sz w:val="28"/>
          <w:szCs w:val="28"/>
        </w:rPr>
        <w:t>语言文字</w:t>
      </w:r>
    </w:p>
    <w:p w14:paraId="2D75A3A1">
      <w:pPr>
        <w:spacing w:line="560" w:lineRule="exact"/>
        <w:ind w:firstLine="560"/>
        <w:rPr>
          <w:rFonts w:ascii="宋体" w:hAnsi="宋体"/>
          <w:sz w:val="28"/>
          <w:szCs w:val="28"/>
        </w:rPr>
      </w:pPr>
      <w:r>
        <w:rPr>
          <w:rFonts w:hint="eastAsia" w:ascii="仿宋_GB2312" w:hAnsi="宋体" w:eastAsia="仿宋_GB2312" w:cs="宋体"/>
          <w:sz w:val="28"/>
          <w:szCs w:val="28"/>
        </w:rPr>
        <w:t>响应文件使用的语言文字为中文。专用术语使用外文的，应附有中文注释</w:t>
      </w:r>
      <w:r>
        <w:rPr>
          <w:rFonts w:hint="eastAsia" w:ascii="宋体" w:hAnsi="宋体" w:cs="宋体"/>
          <w:sz w:val="28"/>
          <w:szCs w:val="28"/>
        </w:rPr>
        <w:t>。</w:t>
      </w:r>
    </w:p>
    <w:p w14:paraId="65F5B3BE">
      <w:pPr>
        <w:spacing w:line="560" w:lineRule="exact"/>
        <w:rPr>
          <w:rFonts w:ascii="楷体_GB2312" w:hAnsi="楷体" w:eastAsia="楷体_GB2312"/>
          <w:b/>
          <w:sz w:val="28"/>
          <w:szCs w:val="28"/>
        </w:rPr>
      </w:pPr>
      <w:r>
        <w:rPr>
          <w:rFonts w:hint="eastAsia" w:ascii="宋体" w:hAnsi="宋体" w:cs="宋体"/>
          <w:b/>
          <w:sz w:val="28"/>
          <w:szCs w:val="28"/>
        </w:rPr>
        <w:t>1.7</w:t>
      </w:r>
      <w:r>
        <w:rPr>
          <w:rFonts w:hint="eastAsia" w:ascii="楷体_GB2312" w:hAnsi="楷体" w:eastAsia="楷体_GB2312"/>
          <w:b/>
          <w:sz w:val="28"/>
          <w:szCs w:val="28"/>
        </w:rPr>
        <w:t>计量单位</w:t>
      </w:r>
    </w:p>
    <w:p w14:paraId="648E4CD2">
      <w:pPr>
        <w:spacing w:line="560" w:lineRule="exact"/>
        <w:ind w:firstLine="560"/>
        <w:rPr>
          <w:rFonts w:ascii="宋体" w:hAnsi="宋体"/>
          <w:sz w:val="28"/>
          <w:szCs w:val="28"/>
        </w:rPr>
      </w:pPr>
      <w:r>
        <w:rPr>
          <w:rFonts w:hint="eastAsia" w:ascii="仿宋_GB2312" w:hAnsi="宋体" w:eastAsia="仿宋_GB2312" w:cs="宋体"/>
          <w:sz w:val="28"/>
          <w:szCs w:val="28"/>
        </w:rPr>
        <w:t>所有计量均采用中华人民共和国法定计量单位。</w:t>
      </w:r>
    </w:p>
    <w:p w14:paraId="519E2ECF">
      <w:pPr>
        <w:spacing w:line="560" w:lineRule="exact"/>
        <w:rPr>
          <w:rFonts w:ascii="黑体" w:hAnsi="黑体" w:eastAsia="黑体"/>
          <w:b/>
          <w:sz w:val="32"/>
          <w:szCs w:val="32"/>
        </w:rPr>
      </w:pPr>
      <w:r>
        <w:rPr>
          <w:rFonts w:ascii="黑体" w:hAnsi="黑体" w:eastAsia="黑体"/>
          <w:b/>
          <w:sz w:val="32"/>
          <w:szCs w:val="32"/>
        </w:rPr>
        <w:t xml:space="preserve">2. </w:t>
      </w:r>
      <w:r>
        <w:rPr>
          <w:rFonts w:hint="eastAsia" w:ascii="黑体" w:hAnsi="黑体" w:eastAsia="黑体" w:cs="宋体"/>
          <w:b/>
          <w:sz w:val="32"/>
          <w:szCs w:val="32"/>
        </w:rPr>
        <w:t>竞争性磋商文件</w:t>
      </w:r>
    </w:p>
    <w:p w14:paraId="787B411D">
      <w:pPr>
        <w:spacing w:line="560" w:lineRule="exact"/>
        <w:rPr>
          <w:rFonts w:ascii="宋体" w:hAnsi="宋体"/>
          <w:b/>
          <w:sz w:val="28"/>
          <w:szCs w:val="28"/>
        </w:rPr>
      </w:pPr>
      <w:r>
        <w:rPr>
          <w:rFonts w:hint="eastAsia" w:ascii="楷体" w:hAnsi="楷体" w:eastAsia="楷体" w:cs="宋体"/>
          <w:b/>
          <w:sz w:val="28"/>
          <w:szCs w:val="28"/>
        </w:rPr>
        <w:t>2.1竞争性</w:t>
      </w:r>
      <w:r>
        <w:rPr>
          <w:rFonts w:hint="eastAsia" w:ascii="楷体_GB2312" w:hAnsi="楷体" w:eastAsia="楷体_GB2312"/>
          <w:b/>
          <w:sz w:val="28"/>
          <w:szCs w:val="28"/>
        </w:rPr>
        <w:t>磋商文件的组成</w:t>
      </w:r>
    </w:p>
    <w:p w14:paraId="52DC6B39">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2.1.1 本竞争性磋商文件包括：</w:t>
      </w:r>
    </w:p>
    <w:p w14:paraId="43FCC038">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（1）竞争性磋商公告；</w:t>
      </w:r>
    </w:p>
    <w:p w14:paraId="08143A73">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（2）供应商须知；</w:t>
      </w:r>
    </w:p>
    <w:p w14:paraId="566B94D5">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（3）竞争性磋商；</w:t>
      </w:r>
    </w:p>
    <w:p w14:paraId="6B7FDDF7">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（4）合同条款及格式（仅供参考）；</w:t>
      </w:r>
    </w:p>
    <w:p w14:paraId="004C2AD0">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 xml:space="preserve">（5）采购需求； </w:t>
      </w:r>
    </w:p>
    <w:p w14:paraId="3900A0EC">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（6）响应文件的编制要求及参考格式；</w:t>
      </w:r>
    </w:p>
    <w:p w14:paraId="5A960A75">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（7）供应商须知前附表规定的构成竞争性磋商文件的其他材料。</w:t>
      </w:r>
    </w:p>
    <w:p w14:paraId="42C62664">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2.1.2根据本章第2.2款和第2.3款对竞争性磋商文件所作的澄清、修改，构成竞争性磋商文件的组成部分。</w:t>
      </w:r>
    </w:p>
    <w:p w14:paraId="5381C91A">
      <w:pPr>
        <w:spacing w:line="560" w:lineRule="exact"/>
        <w:rPr>
          <w:rFonts w:ascii="楷体_GB2312" w:hAnsi="楷体" w:eastAsia="楷体_GB2312"/>
          <w:b/>
          <w:sz w:val="28"/>
          <w:szCs w:val="28"/>
        </w:rPr>
      </w:pPr>
      <w:r>
        <w:rPr>
          <w:rFonts w:hint="eastAsia" w:ascii="楷体" w:hAnsi="楷体" w:eastAsia="楷体" w:cs="宋体"/>
          <w:b/>
          <w:sz w:val="28"/>
          <w:szCs w:val="28"/>
        </w:rPr>
        <w:t>2.2竞争性</w:t>
      </w:r>
      <w:r>
        <w:rPr>
          <w:rFonts w:hint="eastAsia" w:ascii="楷体_GB2312" w:hAnsi="楷体" w:eastAsia="楷体_GB2312"/>
          <w:b/>
          <w:sz w:val="28"/>
          <w:szCs w:val="28"/>
        </w:rPr>
        <w:t>磋商文件的</w:t>
      </w:r>
      <w:r>
        <w:rPr>
          <w:rFonts w:hint="eastAsia" w:ascii="楷体" w:hAnsi="楷体" w:eastAsia="楷体" w:cs="宋体"/>
          <w:b/>
          <w:sz w:val="28"/>
          <w:szCs w:val="28"/>
        </w:rPr>
        <w:t>澄</w:t>
      </w:r>
      <w:r>
        <w:rPr>
          <w:rFonts w:hint="eastAsia" w:ascii="楷体_GB2312" w:hAnsi="楷体" w:eastAsia="楷体_GB2312"/>
          <w:b/>
          <w:sz w:val="28"/>
          <w:szCs w:val="28"/>
        </w:rPr>
        <w:t xml:space="preserve">清 </w:t>
      </w:r>
    </w:p>
    <w:p w14:paraId="24FC9C8C">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p>
    <w:p w14:paraId="075B0E7C">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竞争性磋商文件的澄清将在提交首次响应文件截止时间5日前在原公告信息发布媒体公开发布,但不指明问题的来源。如果澄清发布的时间距提交首次响应文件截止时间不足5日，并且澄清内容影响响应文件编制的，将相应延长提交首次响应文件截止时间。</w:t>
      </w:r>
    </w:p>
    <w:p w14:paraId="41D379A7">
      <w:pPr>
        <w:spacing w:line="560" w:lineRule="exact"/>
        <w:rPr>
          <w:rFonts w:ascii="楷体_GB2312" w:hAnsi="楷体" w:eastAsia="楷体_GB2312"/>
          <w:b/>
          <w:sz w:val="28"/>
          <w:szCs w:val="28"/>
        </w:rPr>
      </w:pPr>
      <w:r>
        <w:rPr>
          <w:rFonts w:hint="eastAsia" w:ascii="楷体" w:hAnsi="楷体" w:eastAsia="楷体" w:cs="宋体"/>
          <w:b/>
          <w:sz w:val="28"/>
          <w:szCs w:val="28"/>
        </w:rPr>
        <w:t>2.3</w:t>
      </w:r>
      <w:r>
        <w:rPr>
          <w:rFonts w:hint="eastAsia" w:ascii="楷体" w:hAnsi="楷体" w:eastAsia="楷体"/>
          <w:b/>
          <w:sz w:val="28"/>
          <w:szCs w:val="28"/>
        </w:rPr>
        <w:t>竞争</w:t>
      </w:r>
      <w:r>
        <w:rPr>
          <w:rFonts w:hint="eastAsia" w:ascii="楷体" w:hAnsi="楷体" w:eastAsia="楷体" w:cs="宋体"/>
          <w:b/>
          <w:sz w:val="28"/>
          <w:szCs w:val="28"/>
        </w:rPr>
        <w:t>性</w:t>
      </w:r>
      <w:r>
        <w:rPr>
          <w:rFonts w:hint="eastAsia" w:ascii="楷体_GB2312" w:hAnsi="楷体" w:eastAsia="楷体_GB2312"/>
          <w:b/>
          <w:sz w:val="28"/>
          <w:szCs w:val="28"/>
        </w:rPr>
        <w:t>磋商文件的修改</w:t>
      </w:r>
    </w:p>
    <w:p w14:paraId="0982EA2E">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采购人可以对已发出的竞争性磋商文件进行必要的修改，修改后的内容是竞争性磋商文件的组成部分，并将在原公告信息发布媒体公开发布。如果修改竞争性磋商文件的时间距提交首次响应文件截止时间不足5日，并且修改内容影响响应文件编制的，将相应延长提交首次响应文件截止时间。</w:t>
      </w:r>
    </w:p>
    <w:p w14:paraId="4B9F4FBB">
      <w:pPr>
        <w:spacing w:line="560" w:lineRule="exact"/>
        <w:rPr>
          <w:rFonts w:ascii="楷体_GB2312" w:hAnsi="楷体" w:eastAsia="楷体_GB2312"/>
          <w:b/>
          <w:sz w:val="28"/>
          <w:szCs w:val="28"/>
        </w:rPr>
      </w:pPr>
      <w:r>
        <w:rPr>
          <w:rFonts w:hint="eastAsia" w:ascii="楷体" w:hAnsi="楷体" w:eastAsia="楷体" w:cs="宋体"/>
          <w:b/>
          <w:sz w:val="28"/>
          <w:szCs w:val="28"/>
        </w:rPr>
        <w:t>2.4竞争性</w:t>
      </w:r>
      <w:r>
        <w:rPr>
          <w:rFonts w:hint="eastAsia" w:ascii="楷体_GB2312" w:hAnsi="楷体" w:eastAsia="楷体_GB2312"/>
          <w:b/>
          <w:sz w:val="28"/>
          <w:szCs w:val="28"/>
        </w:rPr>
        <w:t>磋商文件的重新发布</w:t>
      </w:r>
    </w:p>
    <w:p w14:paraId="2DEDBFA3">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竞争性磋商文件的澄清或修改涉及到申请人的资格条件、采购标的等实质性内容时，将重新发布竞争性磋商公告。</w:t>
      </w:r>
    </w:p>
    <w:p w14:paraId="18EDCE78">
      <w:pPr>
        <w:spacing w:line="560" w:lineRule="exact"/>
        <w:rPr>
          <w:rFonts w:ascii="黑体" w:hAnsi="黑体" w:eastAsia="黑体"/>
          <w:b/>
          <w:sz w:val="28"/>
          <w:szCs w:val="28"/>
        </w:rPr>
      </w:pPr>
      <w:r>
        <w:rPr>
          <w:rFonts w:ascii="黑体" w:hAnsi="黑体" w:eastAsia="黑体"/>
          <w:b/>
          <w:sz w:val="28"/>
          <w:szCs w:val="28"/>
        </w:rPr>
        <w:t xml:space="preserve">3. </w:t>
      </w:r>
      <w:r>
        <w:rPr>
          <w:rFonts w:hint="eastAsia" w:ascii="黑体" w:hAnsi="黑体" w:eastAsia="黑体"/>
          <w:b/>
          <w:sz w:val="28"/>
          <w:szCs w:val="28"/>
        </w:rPr>
        <w:t>响应文件</w:t>
      </w:r>
    </w:p>
    <w:p w14:paraId="392E42A4">
      <w:pPr>
        <w:spacing w:line="560" w:lineRule="exact"/>
        <w:rPr>
          <w:rFonts w:ascii="楷体_GB2312" w:hAnsi="楷体" w:eastAsia="楷体_GB2312"/>
          <w:b/>
          <w:sz w:val="28"/>
          <w:szCs w:val="28"/>
        </w:rPr>
      </w:pPr>
      <w:r>
        <w:rPr>
          <w:rFonts w:hint="eastAsia" w:ascii="宋体" w:hAnsi="宋体" w:cs="宋体"/>
          <w:b/>
          <w:sz w:val="28"/>
          <w:szCs w:val="28"/>
        </w:rPr>
        <w:t>3.1</w:t>
      </w:r>
      <w:r>
        <w:rPr>
          <w:rFonts w:hint="eastAsia" w:ascii="楷体_GB2312" w:hAnsi="楷体" w:eastAsia="楷体_GB2312"/>
          <w:b/>
          <w:sz w:val="28"/>
          <w:szCs w:val="28"/>
        </w:rPr>
        <w:t>响应文件的组成</w:t>
      </w:r>
    </w:p>
    <w:p w14:paraId="7D9AB1F0">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响应文件的组成：见供应商须知前附表。</w:t>
      </w:r>
    </w:p>
    <w:p w14:paraId="3A1BCA88">
      <w:pPr>
        <w:spacing w:line="560" w:lineRule="exact"/>
        <w:rPr>
          <w:rFonts w:ascii="楷体_GB2312" w:hAnsi="楷体" w:eastAsia="楷体_GB2312"/>
          <w:b/>
          <w:sz w:val="28"/>
          <w:szCs w:val="28"/>
        </w:rPr>
      </w:pPr>
      <w:r>
        <w:rPr>
          <w:rFonts w:hint="eastAsia" w:ascii="宋体" w:hAnsi="宋体" w:cs="宋体"/>
          <w:b/>
          <w:sz w:val="28"/>
          <w:szCs w:val="28"/>
        </w:rPr>
        <w:t>3.2</w:t>
      </w:r>
      <w:r>
        <w:rPr>
          <w:rFonts w:hint="eastAsia" w:ascii="楷体_GB2312" w:hAnsi="楷体" w:eastAsia="楷体_GB2312"/>
          <w:b/>
          <w:sz w:val="28"/>
          <w:szCs w:val="28"/>
        </w:rPr>
        <w:t>报价</w:t>
      </w:r>
    </w:p>
    <w:p w14:paraId="2AD96971">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3.2.1供应商应按竞争性磋商小组经过谈判后提供的竞争性磋商文件中规定的供货及服务要求、责任范围和合同条件，以人民币进行报价。</w:t>
      </w:r>
    </w:p>
    <w:p w14:paraId="4A67A355">
      <w:pPr>
        <w:spacing w:line="560" w:lineRule="exact"/>
        <w:ind w:firstLine="560"/>
        <w:rPr>
          <w:rFonts w:hint="eastAsia" w:ascii="仿宋_GB2312" w:hAnsi="宋体" w:eastAsia="仿宋_GB2312" w:cs="宋体"/>
          <w:sz w:val="28"/>
          <w:szCs w:val="28"/>
        </w:rPr>
      </w:pPr>
      <w:r>
        <w:rPr>
          <w:rFonts w:hint="eastAsia" w:ascii="仿宋_GB2312" w:hAnsi="宋体" w:eastAsia="仿宋_GB2312" w:cs="宋体"/>
          <w:sz w:val="28"/>
          <w:szCs w:val="28"/>
        </w:rPr>
        <w:t>3.2.2供应商须按竞争性磋商小组的要求在规定的时间内提交最后报价。</w:t>
      </w:r>
    </w:p>
    <w:p w14:paraId="28509F06">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3.2.3报价的其他要求：见供应商须知前附表。</w:t>
      </w:r>
    </w:p>
    <w:p w14:paraId="4960D168">
      <w:pPr>
        <w:spacing w:line="560" w:lineRule="exact"/>
        <w:rPr>
          <w:rFonts w:ascii="楷体_GB2312" w:hAnsi="楷体" w:eastAsia="楷体_GB2312"/>
          <w:b/>
          <w:sz w:val="28"/>
          <w:szCs w:val="28"/>
        </w:rPr>
      </w:pPr>
      <w:r>
        <w:rPr>
          <w:rFonts w:hint="eastAsia" w:ascii="宋体" w:hAnsi="宋体" w:cs="宋体"/>
          <w:b/>
          <w:sz w:val="28"/>
          <w:szCs w:val="28"/>
        </w:rPr>
        <w:t>3.3</w:t>
      </w:r>
      <w:r>
        <w:rPr>
          <w:rFonts w:hint="eastAsia" w:ascii="楷体_GB2312" w:hAnsi="楷体" w:eastAsia="楷体_GB2312"/>
          <w:b/>
          <w:sz w:val="28"/>
          <w:szCs w:val="28"/>
        </w:rPr>
        <w:t>响应文件的编制</w:t>
      </w:r>
    </w:p>
    <w:p w14:paraId="2A0291D8">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3.3.1供应商可以按照第六章“响应文件的编制要求及参考格式”要求编制响应文件。需另行增加的相关内容和材料应编入响应文件相应章节，作为响应文件的组成部分。</w:t>
      </w:r>
    </w:p>
    <w:p w14:paraId="27956019">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3.3.2供应商应对竞争性磋商文件中的资格要求、合同履行期限、 技术、服务标准和要求等内容作出响应，并根据评审因素提供相应的证明材料。</w:t>
      </w:r>
    </w:p>
    <w:p w14:paraId="435E1374">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3.3.3响应文件的数量：见供应商须知前附表。</w:t>
      </w:r>
    </w:p>
    <w:p w14:paraId="2856A3C5">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3.3.4响应文件的签署：见供应商须知前附表。</w:t>
      </w:r>
    </w:p>
    <w:p w14:paraId="5DDFCCF2">
      <w:pPr>
        <w:spacing w:line="560" w:lineRule="exact"/>
        <w:rPr>
          <w:rFonts w:ascii="楷体_GB2312" w:hAnsi="楷体" w:eastAsia="楷体_GB2312"/>
          <w:b/>
          <w:sz w:val="28"/>
          <w:szCs w:val="28"/>
        </w:rPr>
      </w:pPr>
      <w:r>
        <w:rPr>
          <w:rFonts w:hint="eastAsia" w:ascii="宋体" w:hAnsi="宋体" w:cs="宋体"/>
          <w:b/>
          <w:sz w:val="28"/>
          <w:szCs w:val="28"/>
        </w:rPr>
        <w:t>3.4</w:t>
      </w:r>
      <w:r>
        <w:rPr>
          <w:rFonts w:hint="eastAsia" w:ascii="楷体_GB2312" w:hAnsi="楷体" w:eastAsia="楷体_GB2312"/>
          <w:b/>
          <w:sz w:val="28"/>
          <w:szCs w:val="28"/>
        </w:rPr>
        <w:t>响应文件的递交</w:t>
      </w:r>
    </w:p>
    <w:p w14:paraId="31FB13BD">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供应商应充分考虑网络及系统平台可能存在的非正常情况等各种风险因素，在规定的提交首次响应文件截止时间前，通过江苏省政府采购管理交易系统（苏采云），完成响应文件的上传。</w:t>
      </w:r>
    </w:p>
    <w:p w14:paraId="2AB78498">
      <w:pPr>
        <w:spacing w:line="560" w:lineRule="exact"/>
        <w:rPr>
          <w:rFonts w:ascii="楷体_GB2312" w:hAnsi="楷体" w:eastAsia="楷体_GB2312"/>
          <w:b/>
          <w:sz w:val="28"/>
          <w:szCs w:val="28"/>
        </w:rPr>
      </w:pPr>
      <w:r>
        <w:rPr>
          <w:rFonts w:hint="eastAsia" w:ascii="宋体" w:hAnsi="宋体" w:cs="宋体"/>
          <w:b/>
          <w:sz w:val="28"/>
          <w:szCs w:val="28"/>
        </w:rPr>
        <w:t>3.5</w:t>
      </w:r>
      <w:r>
        <w:rPr>
          <w:rFonts w:hint="eastAsia" w:ascii="楷体_GB2312" w:hAnsi="楷体" w:eastAsia="楷体_GB2312"/>
          <w:b/>
          <w:sz w:val="28"/>
          <w:szCs w:val="28"/>
        </w:rPr>
        <w:t>响应文件的修改与撤回</w:t>
      </w:r>
    </w:p>
    <w:p w14:paraId="1C10FE82">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在提交首次响应文件截止时间前，供应商可以修改或撤回已递交的响应文件。修改的响应文件应按照本竞争性磋商文件规定进行编制和重新提交。</w:t>
      </w:r>
    </w:p>
    <w:p w14:paraId="1944A7B8">
      <w:pPr>
        <w:spacing w:line="560" w:lineRule="exact"/>
        <w:rPr>
          <w:rFonts w:ascii="楷体_GB2312" w:hAnsi="楷体" w:eastAsia="楷体_GB2312"/>
          <w:b/>
          <w:sz w:val="28"/>
          <w:szCs w:val="28"/>
        </w:rPr>
      </w:pPr>
      <w:r>
        <w:rPr>
          <w:rFonts w:hint="eastAsia" w:ascii="宋体" w:hAnsi="宋体" w:cs="宋体"/>
          <w:b/>
          <w:sz w:val="28"/>
          <w:szCs w:val="28"/>
        </w:rPr>
        <w:t>3.6</w:t>
      </w:r>
      <w:r>
        <w:rPr>
          <w:rFonts w:hint="eastAsia" w:ascii="楷体_GB2312" w:hAnsi="楷体" w:eastAsia="楷体_GB2312"/>
          <w:b/>
          <w:sz w:val="28"/>
          <w:szCs w:val="28"/>
        </w:rPr>
        <w:t>响应文件的确认</w:t>
      </w:r>
    </w:p>
    <w:p w14:paraId="71DD3A5C">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供应商可以通过江苏省政府采购管理交易系统（苏采云）多次上传响应文件，以规定的提交首次响应文件截止时间前，江苏省政府采购管理交易系统（苏采云）接受到的最后一份响应文件为准。</w:t>
      </w:r>
    </w:p>
    <w:p w14:paraId="7AABBF97">
      <w:pPr>
        <w:spacing w:line="560" w:lineRule="exact"/>
        <w:rPr>
          <w:rFonts w:ascii="楷体_GB2312" w:hAnsi="楷体" w:eastAsia="楷体_GB2312"/>
          <w:b/>
          <w:sz w:val="28"/>
          <w:szCs w:val="28"/>
        </w:rPr>
      </w:pPr>
      <w:r>
        <w:rPr>
          <w:rFonts w:hint="eastAsia" w:ascii="宋体" w:hAnsi="宋体" w:cs="宋体"/>
          <w:b/>
          <w:sz w:val="28"/>
          <w:szCs w:val="28"/>
        </w:rPr>
        <w:t>3.7</w:t>
      </w:r>
      <w:r>
        <w:rPr>
          <w:rFonts w:hint="eastAsia" w:ascii="楷体_GB2312" w:hAnsi="楷体" w:eastAsia="楷体_GB2312"/>
          <w:b/>
          <w:sz w:val="28"/>
          <w:szCs w:val="28"/>
        </w:rPr>
        <w:t>响应文件的拒收</w:t>
      </w:r>
    </w:p>
    <w:p w14:paraId="28E23786">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在规定的提交首次响应文件截止时间后，江苏省政府采购管理交易系统（苏采云）将不再接受响应文件的上传。</w:t>
      </w:r>
    </w:p>
    <w:p w14:paraId="5F1ECAB3">
      <w:pPr>
        <w:spacing w:line="560" w:lineRule="exact"/>
        <w:rPr>
          <w:rFonts w:ascii="黑体" w:hAnsi="黑体" w:eastAsia="黑体"/>
          <w:b/>
          <w:sz w:val="32"/>
          <w:szCs w:val="32"/>
        </w:rPr>
      </w:pPr>
      <w:r>
        <w:rPr>
          <w:rFonts w:hint="eastAsia" w:ascii="黑体" w:hAnsi="黑体" w:eastAsia="黑体"/>
          <w:b/>
          <w:sz w:val="32"/>
          <w:szCs w:val="32"/>
        </w:rPr>
        <w:t>4</w:t>
      </w:r>
      <w:r>
        <w:rPr>
          <w:rFonts w:ascii="黑体" w:hAnsi="黑体" w:eastAsia="黑体"/>
          <w:b/>
          <w:sz w:val="32"/>
          <w:szCs w:val="32"/>
        </w:rPr>
        <w:t>.</w:t>
      </w:r>
      <w:r>
        <w:rPr>
          <w:rFonts w:hint="eastAsia" w:ascii="黑体" w:hAnsi="黑体" w:eastAsia="黑体"/>
          <w:b/>
          <w:sz w:val="32"/>
          <w:szCs w:val="32"/>
        </w:rPr>
        <w:t>响应文件的开启</w:t>
      </w:r>
    </w:p>
    <w:p w14:paraId="5B02A8E5">
      <w:pPr>
        <w:spacing w:line="560" w:lineRule="exact"/>
        <w:rPr>
          <w:rFonts w:ascii="楷体_GB2312" w:hAnsi="楷体" w:eastAsia="楷体_GB2312"/>
          <w:b/>
          <w:sz w:val="28"/>
          <w:szCs w:val="28"/>
        </w:rPr>
      </w:pPr>
      <w:r>
        <w:rPr>
          <w:rFonts w:hint="eastAsia" w:ascii="宋体" w:hAnsi="宋体" w:cs="宋体"/>
          <w:b/>
          <w:sz w:val="28"/>
          <w:szCs w:val="28"/>
        </w:rPr>
        <w:t>4.1</w:t>
      </w:r>
      <w:r>
        <w:rPr>
          <w:rFonts w:hint="eastAsia" w:ascii="楷体_GB2312" w:hAnsi="楷体" w:eastAsia="楷体_GB2312"/>
          <w:b/>
          <w:sz w:val="28"/>
          <w:szCs w:val="28"/>
        </w:rPr>
        <w:t>响应文件的开启</w:t>
      </w:r>
    </w:p>
    <w:p w14:paraId="371CED2B">
      <w:pPr>
        <w:spacing w:line="560" w:lineRule="exact"/>
        <w:ind w:firstLine="560"/>
        <w:rPr>
          <w:rFonts w:hint="eastAsia" w:ascii="仿宋_GB2312" w:hAnsi="宋体" w:eastAsia="仿宋_GB2312" w:cs="宋体"/>
          <w:sz w:val="28"/>
          <w:szCs w:val="28"/>
        </w:rPr>
      </w:pPr>
      <w:r>
        <w:rPr>
          <w:rFonts w:hint="eastAsia" w:ascii="仿宋_GB2312" w:hAnsi="宋体" w:eastAsia="仿宋_GB2312" w:cs="宋体"/>
          <w:sz w:val="28"/>
          <w:szCs w:val="28"/>
        </w:rPr>
        <w:t>响应文件的开启将在“苏采云”系统“开标大厅”内公开进行，供应商应当按照《江苏省政府采购管理交易系统（苏采云）供应商操作手册》规定参加，并在规定的时间内解密响应文件。</w:t>
      </w:r>
    </w:p>
    <w:p w14:paraId="4CAE168C">
      <w:pPr>
        <w:spacing w:line="560" w:lineRule="exact"/>
        <w:rPr>
          <w:rFonts w:ascii="楷体_GB2312" w:hAnsi="楷体" w:eastAsia="楷体_GB2312"/>
          <w:b/>
          <w:sz w:val="28"/>
          <w:szCs w:val="28"/>
        </w:rPr>
      </w:pPr>
      <w:r>
        <w:rPr>
          <w:rFonts w:hint="eastAsia" w:ascii="宋体" w:hAnsi="宋体" w:cs="宋体"/>
          <w:b/>
          <w:sz w:val="28"/>
          <w:szCs w:val="28"/>
        </w:rPr>
        <w:t>4.2</w:t>
      </w:r>
      <w:r>
        <w:rPr>
          <w:rFonts w:hint="eastAsia" w:ascii="楷体" w:hAnsi="楷体" w:eastAsia="楷体"/>
          <w:b/>
          <w:sz w:val="28"/>
          <w:szCs w:val="28"/>
        </w:rPr>
        <w:t>特殊情况的处置</w:t>
      </w:r>
    </w:p>
    <w:p w14:paraId="418F1EB7">
      <w:pPr>
        <w:spacing w:line="560" w:lineRule="exact"/>
        <w:ind w:firstLine="560"/>
        <w:rPr>
          <w:rFonts w:hint="eastAsia" w:ascii="仿宋_GB2312" w:hAnsi="宋体" w:eastAsia="仿宋_GB2312" w:cs="宋体"/>
          <w:sz w:val="28"/>
          <w:szCs w:val="28"/>
        </w:rPr>
      </w:pPr>
      <w:r>
        <w:rPr>
          <w:rFonts w:hint="eastAsia" w:ascii="仿宋_GB2312" w:hAnsi="宋体" w:eastAsia="仿宋_GB2312" w:cs="宋体"/>
          <w:sz w:val="28"/>
          <w:szCs w:val="28"/>
        </w:rPr>
        <w:t>4.2.1在提交响应文件截止时间后，不见面开标系统出现下列情况之一时，响应文件未开启的，暂停开启活动；正在开启的，立即暂停，待系统恢复正常后再组织。</w:t>
      </w:r>
    </w:p>
    <w:p w14:paraId="2F2A8807">
      <w:pPr>
        <w:spacing w:line="560" w:lineRule="exact"/>
        <w:ind w:firstLine="560"/>
        <w:rPr>
          <w:rFonts w:hint="eastAsia" w:ascii="仿宋_GB2312" w:hAnsi="宋体" w:eastAsia="仿宋_GB2312" w:cs="宋体"/>
          <w:sz w:val="28"/>
          <w:szCs w:val="28"/>
        </w:rPr>
      </w:pPr>
      <w:r>
        <w:rPr>
          <w:rFonts w:hint="eastAsia" w:ascii="仿宋_GB2312" w:hAnsi="宋体" w:eastAsia="仿宋_GB2312" w:cs="宋体"/>
          <w:sz w:val="28"/>
          <w:szCs w:val="28"/>
        </w:rPr>
        <w:t xml:space="preserve">（1）系统服务器发生故障，无法访问或无法使用系统； </w:t>
      </w:r>
    </w:p>
    <w:p w14:paraId="209C6D55">
      <w:pPr>
        <w:spacing w:line="560" w:lineRule="exact"/>
        <w:ind w:firstLine="560"/>
        <w:rPr>
          <w:rFonts w:hint="eastAsia" w:ascii="仿宋_GB2312" w:hAnsi="宋体" w:eastAsia="仿宋_GB2312" w:cs="宋体"/>
          <w:sz w:val="28"/>
          <w:szCs w:val="28"/>
        </w:rPr>
      </w:pPr>
      <w:r>
        <w:rPr>
          <w:rFonts w:hint="eastAsia" w:ascii="仿宋_GB2312" w:hAnsi="宋体" w:eastAsia="仿宋_GB2312" w:cs="宋体"/>
          <w:sz w:val="28"/>
          <w:szCs w:val="28"/>
        </w:rPr>
        <w:t xml:space="preserve">（2）系统的软件或数据库出现错误，不能进行正常操作； </w:t>
      </w:r>
    </w:p>
    <w:p w14:paraId="04E1346B">
      <w:pPr>
        <w:spacing w:line="560" w:lineRule="exact"/>
        <w:ind w:firstLine="560"/>
        <w:rPr>
          <w:rFonts w:hint="eastAsia" w:ascii="仿宋_GB2312" w:hAnsi="宋体" w:eastAsia="仿宋_GB2312" w:cs="宋体"/>
          <w:sz w:val="28"/>
          <w:szCs w:val="28"/>
        </w:rPr>
      </w:pPr>
      <w:r>
        <w:rPr>
          <w:rFonts w:hint="eastAsia" w:ascii="仿宋_GB2312" w:hAnsi="宋体" w:eastAsia="仿宋_GB2312" w:cs="宋体"/>
          <w:sz w:val="28"/>
          <w:szCs w:val="28"/>
        </w:rPr>
        <w:t xml:space="preserve">（3）系统发现有安全漏洞，有潜在的泄密危险； </w:t>
      </w:r>
    </w:p>
    <w:p w14:paraId="141BBADB">
      <w:pPr>
        <w:spacing w:line="560" w:lineRule="exact"/>
        <w:ind w:firstLine="560"/>
        <w:rPr>
          <w:rFonts w:hint="eastAsia" w:ascii="仿宋_GB2312" w:hAnsi="宋体" w:eastAsia="仿宋_GB2312" w:cs="宋体"/>
          <w:sz w:val="28"/>
          <w:szCs w:val="28"/>
        </w:rPr>
      </w:pPr>
      <w:r>
        <w:rPr>
          <w:rFonts w:hint="eastAsia" w:ascii="仿宋_GB2312" w:hAnsi="宋体" w:eastAsia="仿宋_GB2312" w:cs="宋体"/>
          <w:sz w:val="28"/>
          <w:szCs w:val="28"/>
        </w:rPr>
        <w:t>（4）其他无法保证信息安全的情形。</w:t>
      </w:r>
    </w:p>
    <w:p w14:paraId="0AF74E17">
      <w:pPr>
        <w:spacing w:line="560" w:lineRule="exact"/>
        <w:ind w:firstLine="560"/>
        <w:rPr>
          <w:rFonts w:hint="eastAsia" w:ascii="仿宋_GB2312" w:hAnsi="宋体" w:eastAsia="仿宋_GB2312" w:cs="宋体"/>
          <w:sz w:val="28"/>
          <w:szCs w:val="28"/>
        </w:rPr>
      </w:pPr>
      <w:r>
        <w:rPr>
          <w:rFonts w:hint="eastAsia" w:ascii="仿宋_GB2312" w:hAnsi="宋体" w:eastAsia="仿宋_GB2312" w:cs="宋体"/>
          <w:sz w:val="28"/>
          <w:szCs w:val="28"/>
        </w:rPr>
        <w:t>4.2.2因供应商自身原因造成响应文件无法解密的，视为撤销响应文件。</w:t>
      </w:r>
    </w:p>
    <w:p w14:paraId="6BDCC760">
      <w:pPr>
        <w:spacing w:line="560" w:lineRule="exact"/>
        <w:ind w:firstLine="560"/>
        <w:rPr>
          <w:rFonts w:hint="eastAsia" w:ascii="仿宋_GB2312" w:hAnsi="宋体" w:eastAsia="仿宋_GB2312" w:cs="宋体"/>
          <w:sz w:val="28"/>
          <w:szCs w:val="28"/>
        </w:rPr>
      </w:pPr>
      <w:r>
        <w:rPr>
          <w:rFonts w:hint="eastAsia" w:ascii="仿宋_GB2312" w:hAnsi="宋体" w:eastAsia="仿宋_GB2312" w:cs="宋体"/>
          <w:sz w:val="28"/>
          <w:szCs w:val="28"/>
        </w:rPr>
        <w:t>4.2.3供应商对响应文件开启活动或开启结果等有疑义的，可向采购人提出。</w:t>
      </w:r>
    </w:p>
    <w:p w14:paraId="7C22A7C3">
      <w:pPr>
        <w:spacing w:line="560" w:lineRule="exact"/>
        <w:ind w:firstLine="560"/>
        <w:rPr>
          <w:rFonts w:hint="eastAsia" w:ascii="仿宋_GB2312" w:hAnsi="宋体" w:eastAsia="仿宋_GB2312" w:cs="宋体"/>
          <w:sz w:val="28"/>
          <w:szCs w:val="28"/>
        </w:rPr>
      </w:pPr>
      <w:r>
        <w:rPr>
          <w:rFonts w:hint="eastAsia" w:ascii="仿宋_GB2312" w:hAnsi="宋体" w:eastAsia="仿宋_GB2312" w:cs="宋体"/>
          <w:sz w:val="28"/>
          <w:szCs w:val="28"/>
        </w:rPr>
        <w:t>4.2.4供应商未在系统中确认开启结果的，视同认可开启结果。</w:t>
      </w:r>
    </w:p>
    <w:p w14:paraId="2FE335CC">
      <w:pPr>
        <w:pStyle w:val="200"/>
        <w:spacing w:after="0" w:line="560" w:lineRule="exact"/>
        <w:rPr>
          <w:rFonts w:ascii="黑体" w:hAnsi="黑体" w:eastAsia="黑体"/>
          <w:b/>
          <w:bCs/>
          <w:sz w:val="28"/>
          <w:szCs w:val="28"/>
        </w:rPr>
      </w:pPr>
      <w:r>
        <w:rPr>
          <w:rFonts w:hint="eastAsia" w:ascii="黑体" w:hAnsi="黑体" w:eastAsia="黑体"/>
          <w:b/>
          <w:bCs/>
          <w:sz w:val="28"/>
          <w:szCs w:val="28"/>
        </w:rPr>
        <w:t>5.响应文件的评审</w:t>
      </w:r>
    </w:p>
    <w:p w14:paraId="0B30B59F">
      <w:pPr>
        <w:spacing w:line="560" w:lineRule="exact"/>
        <w:rPr>
          <w:rFonts w:ascii="楷体" w:hAnsi="楷体" w:eastAsia="楷体"/>
          <w:b/>
          <w:sz w:val="28"/>
          <w:szCs w:val="28"/>
        </w:rPr>
      </w:pPr>
      <w:r>
        <w:rPr>
          <w:rFonts w:hint="eastAsia" w:ascii="宋体" w:hAnsi="宋体" w:cs="宋体"/>
          <w:b/>
          <w:sz w:val="28"/>
          <w:szCs w:val="28"/>
        </w:rPr>
        <w:t>5.1</w:t>
      </w:r>
      <w:r>
        <w:rPr>
          <w:rFonts w:hint="eastAsia" w:ascii="楷体" w:hAnsi="楷体" w:eastAsia="楷体"/>
          <w:b/>
          <w:sz w:val="28"/>
          <w:szCs w:val="28"/>
        </w:rPr>
        <w:t>竞争性磋商小组</w:t>
      </w:r>
    </w:p>
    <w:p w14:paraId="5B5761F2">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5.1.1响应文件的评审工作由采购人依法组建的竞争性磋商小组负责。磋商小组由采购人代表，以及有关技术、经济等方面的专家组成，且符合现行的政府采购相关规定。</w:t>
      </w:r>
    </w:p>
    <w:p w14:paraId="54E1EBDA">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5.1.2磋商小组成员有下列情形之一的，应当回避：</w:t>
      </w:r>
    </w:p>
    <w:p w14:paraId="7ADD0927">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（1）参加采购活动前三年内,与供应商存在劳动关系,或者担任过供应商的董事、监事,或者是供应商的控股股东或实际控制人；</w:t>
      </w:r>
    </w:p>
    <w:p w14:paraId="5B8C6BC1">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（2）与供应商的法定代表人或者负责人有夫妻、直系血亲、三代以内旁系血亲或者近姻亲关系；</w:t>
      </w:r>
    </w:p>
    <w:p w14:paraId="08E840EA">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（3）与供应商有其他可能影响政府采购活动公平、公正进行的关系；</w:t>
      </w:r>
    </w:p>
    <w:p w14:paraId="6B00134C">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（4）法律、行政法规规定的其他条件。</w:t>
      </w:r>
    </w:p>
    <w:p w14:paraId="0F984454">
      <w:pPr>
        <w:spacing w:line="560" w:lineRule="exact"/>
        <w:rPr>
          <w:rFonts w:ascii="楷体_GB2312" w:hAnsi="楷体" w:eastAsia="楷体_GB2312"/>
          <w:b/>
          <w:sz w:val="28"/>
          <w:szCs w:val="28"/>
        </w:rPr>
      </w:pPr>
      <w:r>
        <w:rPr>
          <w:rFonts w:hint="eastAsia" w:ascii="宋体" w:hAnsi="宋体" w:cs="宋体"/>
          <w:b/>
          <w:sz w:val="28"/>
          <w:szCs w:val="28"/>
        </w:rPr>
        <w:t>5.2</w:t>
      </w:r>
      <w:r>
        <w:rPr>
          <w:rFonts w:hint="eastAsia" w:ascii="楷体_GB2312" w:hAnsi="楷体" w:eastAsia="楷体_GB2312"/>
          <w:b/>
          <w:sz w:val="28"/>
          <w:szCs w:val="28"/>
        </w:rPr>
        <w:t>评审</w:t>
      </w:r>
    </w:p>
    <w:p w14:paraId="7AC6097B">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评审活动遵循公正、客观、审慎的原则。磋商小组严格按照本竞争性磋商文件第三章规定的评审程序和标准进行独立评审。本文件中没有规定的评审标准，不得作为评审依据。</w:t>
      </w:r>
    </w:p>
    <w:p w14:paraId="10878C7C">
      <w:pPr>
        <w:spacing w:line="560" w:lineRule="exact"/>
        <w:rPr>
          <w:rFonts w:hint="eastAsia" w:ascii="黑体" w:hAnsi="黑体" w:eastAsia="黑体"/>
          <w:b/>
          <w:sz w:val="32"/>
          <w:szCs w:val="32"/>
        </w:rPr>
      </w:pPr>
      <w:r>
        <w:rPr>
          <w:rFonts w:hint="eastAsia" w:ascii="黑体" w:hAnsi="黑体" w:eastAsia="黑体"/>
          <w:b/>
          <w:sz w:val="32"/>
          <w:szCs w:val="32"/>
        </w:rPr>
        <w:t>6</w:t>
      </w:r>
      <w:r>
        <w:rPr>
          <w:rFonts w:ascii="黑体" w:hAnsi="黑体" w:eastAsia="黑体"/>
          <w:b/>
          <w:sz w:val="32"/>
          <w:szCs w:val="32"/>
        </w:rPr>
        <w:t>.</w:t>
      </w:r>
      <w:r>
        <w:rPr>
          <w:rFonts w:hint="eastAsia" w:ascii="黑体" w:hAnsi="黑体" w:eastAsia="黑体"/>
          <w:b/>
          <w:sz w:val="32"/>
          <w:szCs w:val="32"/>
        </w:rPr>
        <w:t>成交</w:t>
      </w:r>
    </w:p>
    <w:p w14:paraId="64D0B070">
      <w:pPr>
        <w:spacing w:line="560" w:lineRule="exact"/>
        <w:rPr>
          <w:rFonts w:ascii="楷体" w:hAnsi="楷体" w:eastAsia="楷体"/>
          <w:b/>
          <w:sz w:val="28"/>
          <w:szCs w:val="28"/>
        </w:rPr>
      </w:pPr>
      <w:r>
        <w:rPr>
          <w:rFonts w:hint="eastAsia" w:ascii="楷体" w:hAnsi="楷体" w:eastAsia="楷体"/>
          <w:b/>
          <w:sz w:val="28"/>
          <w:szCs w:val="28"/>
        </w:rPr>
        <w:t>6.1确定成交人</w:t>
      </w:r>
    </w:p>
    <w:p w14:paraId="3B509291">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采购人从磋商小组提出的成交候选人中根据符合采购需求且评审得分最高的原则确定成交供应商，并将结果通知所有参加磋商的未成交的供应商。</w:t>
      </w:r>
    </w:p>
    <w:p w14:paraId="5BC9184E">
      <w:pPr>
        <w:spacing w:line="560" w:lineRule="exact"/>
        <w:rPr>
          <w:rFonts w:ascii="楷体" w:hAnsi="楷体" w:eastAsia="楷体"/>
          <w:b/>
          <w:sz w:val="28"/>
          <w:szCs w:val="28"/>
        </w:rPr>
      </w:pPr>
      <w:r>
        <w:rPr>
          <w:rFonts w:hint="eastAsia" w:ascii="宋体" w:hAnsi="宋体" w:cs="宋体"/>
          <w:b/>
          <w:sz w:val="28"/>
          <w:szCs w:val="28"/>
        </w:rPr>
        <w:t>6.2</w:t>
      </w:r>
      <w:r>
        <w:rPr>
          <w:rFonts w:hint="eastAsia" w:ascii="楷体" w:hAnsi="楷体" w:eastAsia="楷体"/>
          <w:b/>
          <w:sz w:val="28"/>
          <w:szCs w:val="28"/>
        </w:rPr>
        <w:t>成交公告及成交通知书</w:t>
      </w:r>
    </w:p>
    <w:p w14:paraId="6AC963BA">
      <w:pPr>
        <w:spacing w:line="560" w:lineRule="exact"/>
        <w:ind w:firstLine="560"/>
        <w:rPr>
          <w:rFonts w:ascii="宋体" w:hAnsi="宋体" w:cs="宋体"/>
          <w:sz w:val="28"/>
          <w:szCs w:val="28"/>
        </w:rPr>
      </w:pPr>
      <w:r>
        <w:rPr>
          <w:rFonts w:hint="eastAsia" w:ascii="仿宋_GB2312" w:hAnsi="宋体" w:eastAsia="仿宋_GB2312" w:cs="宋体"/>
          <w:sz w:val="28"/>
          <w:szCs w:val="28"/>
        </w:rPr>
        <w:t xml:space="preserve">自成交人确定之日起2个工作日内，在发布竞争性磋商公告的媒介上公告成交结果。同时，向成交人发出成交通知书。成交通知书对采购人和成交人具有同等法律效力。 </w:t>
      </w:r>
      <w:r>
        <w:rPr>
          <w:rFonts w:hint="eastAsia" w:ascii="宋体" w:hAnsi="宋体"/>
          <w:sz w:val="28"/>
          <w:szCs w:val="28"/>
        </w:rPr>
        <w:t xml:space="preserve"> </w:t>
      </w:r>
    </w:p>
    <w:p w14:paraId="7623DA43">
      <w:pPr>
        <w:spacing w:line="560" w:lineRule="exact"/>
        <w:rPr>
          <w:rFonts w:ascii="宋体" w:hAnsi="宋体"/>
          <w:b/>
          <w:sz w:val="28"/>
          <w:szCs w:val="32"/>
        </w:rPr>
      </w:pPr>
      <w:r>
        <w:rPr>
          <w:rFonts w:hint="eastAsia" w:ascii="黑体" w:hAnsi="黑体" w:eastAsia="黑体"/>
          <w:b/>
          <w:sz w:val="32"/>
          <w:szCs w:val="32"/>
        </w:rPr>
        <w:t>7</w:t>
      </w:r>
      <w:r>
        <w:rPr>
          <w:rFonts w:ascii="黑体" w:hAnsi="黑体" w:eastAsia="黑体"/>
          <w:b/>
          <w:sz w:val="32"/>
          <w:szCs w:val="32"/>
        </w:rPr>
        <w:t>.</w:t>
      </w:r>
      <w:r>
        <w:rPr>
          <w:rFonts w:hint="eastAsia" w:ascii="黑体" w:hAnsi="黑体" w:eastAsia="黑体"/>
          <w:b/>
          <w:sz w:val="32"/>
          <w:szCs w:val="32"/>
        </w:rPr>
        <w:t>合同</w:t>
      </w:r>
    </w:p>
    <w:p w14:paraId="3105AB87">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7.1采购人和成交人在供应商须知前附表规定的时间内，根据竞争性磋商文件和成交人的响应文件订立书面合同。成交人无正当理由拒签合同的，采购人取消其成交资格；给采购人造成损失的，成交人还应当对予以赔偿。</w:t>
      </w:r>
    </w:p>
    <w:p w14:paraId="258D0498">
      <w:pPr>
        <w:spacing w:line="560" w:lineRule="exact"/>
        <w:ind w:firstLine="560"/>
        <w:rPr>
          <w:rFonts w:ascii="仿宋_GB2312" w:hAnsi="宋体" w:eastAsia="仿宋_GB2312" w:cs="宋体"/>
          <w:sz w:val="28"/>
          <w:szCs w:val="28"/>
        </w:rPr>
      </w:pPr>
      <w:r>
        <w:rPr>
          <w:rFonts w:hint="eastAsia" w:ascii="仿宋_GB2312" w:hAnsi="宋体" w:eastAsia="仿宋_GB2312" w:cs="宋体"/>
          <w:sz w:val="28"/>
          <w:szCs w:val="28"/>
        </w:rPr>
        <w:t>7.2成交人拒绝签订政府采购合同的，采购人可以按照本章6.1条规定的原则确定其他供应商作为成交人并签订政府采购合同，也可以重新开展采购活动。</w:t>
      </w:r>
    </w:p>
    <w:bookmarkEnd w:id="12"/>
    <w:bookmarkEnd w:id="13"/>
    <w:bookmarkEnd w:id="14"/>
    <w:bookmarkEnd w:id="15"/>
    <w:bookmarkEnd w:id="16"/>
    <w:bookmarkEnd w:id="17"/>
    <w:bookmarkEnd w:id="18"/>
    <w:bookmarkEnd w:id="19"/>
    <w:p w14:paraId="7E858CD4">
      <w:pPr>
        <w:spacing w:line="560" w:lineRule="exact"/>
        <w:rPr>
          <w:rFonts w:hint="eastAsia" w:ascii="黑体" w:hAnsi="黑体" w:eastAsia="黑体"/>
          <w:b/>
          <w:sz w:val="32"/>
          <w:szCs w:val="32"/>
        </w:rPr>
      </w:pPr>
      <w:r>
        <w:rPr>
          <w:rFonts w:hint="eastAsia" w:ascii="黑体" w:hAnsi="黑体" w:eastAsia="黑体"/>
          <w:b/>
          <w:sz w:val="32"/>
          <w:szCs w:val="32"/>
        </w:rPr>
        <w:t>8.履约保证金</w:t>
      </w:r>
    </w:p>
    <w:p w14:paraId="76162BCE">
      <w:pPr>
        <w:spacing w:line="500" w:lineRule="exact"/>
        <w:ind w:firstLine="560"/>
        <w:rPr>
          <w:rFonts w:eastAsia="仿宋_GB2312"/>
          <w:sz w:val="28"/>
          <w:szCs w:val="28"/>
        </w:rPr>
      </w:pPr>
      <w:r>
        <w:rPr>
          <w:rFonts w:hint="eastAsia" w:eastAsia="仿宋_GB2312"/>
          <w:sz w:val="28"/>
          <w:szCs w:val="28"/>
        </w:rPr>
        <w:t>8.1</w:t>
      </w:r>
      <w:r>
        <w:rPr>
          <w:rFonts w:hint="eastAsia" w:eastAsia="仿宋_GB2312" w:cs="宋体"/>
          <w:sz w:val="28"/>
          <w:szCs w:val="28"/>
        </w:rPr>
        <w:t>成交供应商应按采购人须知前附表规定的履约保证金的形式、金额和提交时间向采购人提交履约保证金。</w:t>
      </w:r>
    </w:p>
    <w:p w14:paraId="253B3F09">
      <w:pPr>
        <w:spacing w:line="500" w:lineRule="exact"/>
        <w:ind w:firstLine="560"/>
        <w:rPr>
          <w:rFonts w:eastAsia="仿宋_GB2312"/>
          <w:b/>
          <w:sz w:val="28"/>
          <w:szCs w:val="28"/>
        </w:rPr>
      </w:pPr>
      <w:r>
        <w:rPr>
          <w:rFonts w:hint="eastAsia" w:eastAsia="仿宋_GB2312"/>
          <w:sz w:val="28"/>
          <w:szCs w:val="28"/>
        </w:rPr>
        <w:t>8.2</w:t>
      </w:r>
      <w:r>
        <w:rPr>
          <w:rFonts w:hint="eastAsia" w:eastAsia="仿宋_GB2312" w:cs="宋体"/>
          <w:sz w:val="28"/>
          <w:szCs w:val="28"/>
        </w:rPr>
        <w:t>成交供应商不能按本采购文件要求提交履约保证金的，视为放弃成交，给采购人造成损失的，成交供应商还应当予以赔偿。</w:t>
      </w:r>
    </w:p>
    <w:p w14:paraId="2A842EA2">
      <w:pPr>
        <w:spacing w:line="560" w:lineRule="exact"/>
        <w:rPr>
          <w:rFonts w:hint="eastAsia" w:ascii="黑体" w:hAnsi="黑体" w:eastAsia="黑体"/>
          <w:b/>
          <w:sz w:val="32"/>
          <w:szCs w:val="32"/>
        </w:rPr>
      </w:pPr>
      <w:r>
        <w:rPr>
          <w:rFonts w:hint="eastAsia" w:ascii="黑体" w:hAnsi="黑体" w:eastAsia="黑体"/>
          <w:b/>
          <w:sz w:val="32"/>
          <w:szCs w:val="32"/>
        </w:rPr>
        <w:t>9.需要补充的其他内容</w:t>
      </w:r>
    </w:p>
    <w:p w14:paraId="3584F165">
      <w:pPr>
        <w:spacing w:line="500" w:lineRule="exact"/>
        <w:ind w:firstLine="560"/>
        <w:rPr>
          <w:rFonts w:hint="eastAsia" w:eastAsia="仿宋_GB2312"/>
          <w:sz w:val="28"/>
          <w:szCs w:val="28"/>
        </w:rPr>
      </w:pPr>
      <w:r>
        <w:rPr>
          <w:rFonts w:hint="eastAsia" w:eastAsia="仿宋_GB2312"/>
          <w:sz w:val="28"/>
          <w:szCs w:val="28"/>
        </w:rPr>
        <w:t>需要补充的其他内容：见供应商须知前附表。</w:t>
      </w:r>
    </w:p>
    <w:p w14:paraId="40541391">
      <w:pPr>
        <w:widowControl/>
        <w:jc w:val="center"/>
        <w:rPr>
          <w:rFonts w:hint="eastAsia" w:ascii="方正小标宋_GBK" w:hAnsi="宋体" w:eastAsia="方正小标宋_GBK"/>
          <w:b/>
          <w:color w:val="000000"/>
          <w:sz w:val="44"/>
          <w:szCs w:val="44"/>
        </w:rPr>
      </w:pPr>
      <w:r>
        <w:rPr>
          <w:rFonts w:ascii="宋体" w:hAnsi="宋体" w:eastAsia="宋体"/>
          <w:b/>
          <w:color w:val="000000"/>
          <w:sz w:val="32"/>
          <w:szCs w:val="32"/>
        </w:rPr>
        <w:br w:type="page" w:clear="all"/>
      </w:r>
      <w:bookmarkStart w:id="39" w:name="_Toc425871381"/>
      <w:bookmarkStart w:id="40" w:name="_Toc383624013"/>
      <w:bookmarkStart w:id="41" w:name="_Toc383698715"/>
      <w:bookmarkStart w:id="42" w:name="_Toc383679815"/>
      <w:bookmarkStart w:id="43" w:name="_Toc383623741"/>
      <w:bookmarkStart w:id="44" w:name="_Toc390099086"/>
      <w:bookmarkStart w:id="45" w:name="_Toc390246973"/>
      <w:bookmarkStart w:id="46" w:name="_Toc390098908"/>
      <w:bookmarkStart w:id="47" w:name="_Toc383626062"/>
      <w:r>
        <w:rPr>
          <w:rFonts w:hint="eastAsia" w:ascii="方正仿宋_GB2312" w:hAnsi="方正仿宋_GB2312" w:eastAsia="方正仿宋_GB2312" w:cs="方正仿宋_GB2312"/>
          <w:b/>
          <w:sz w:val="44"/>
          <w:szCs w:val="44"/>
        </w:rPr>
        <w:t>第三章 竞争性磋商</w:t>
      </w:r>
    </w:p>
    <w:p w14:paraId="458F8CED">
      <w:pPr>
        <w:spacing w:line="560" w:lineRule="exact"/>
        <w:rPr>
          <w:rFonts w:hint="eastAsia" w:ascii="黑体" w:hAnsi="黑体" w:eastAsia="黑体" w:cs="宋体"/>
          <w:b/>
          <w:sz w:val="28"/>
          <w:szCs w:val="28"/>
        </w:rPr>
      </w:pPr>
      <w:r>
        <w:rPr>
          <w:rFonts w:hint="eastAsia" w:ascii="黑体" w:hAnsi="黑体" w:eastAsia="黑体" w:cs="宋体"/>
          <w:b/>
          <w:sz w:val="28"/>
          <w:szCs w:val="28"/>
        </w:rPr>
        <w:t>竞争性磋商前附表</w:t>
      </w:r>
    </w:p>
    <w:tbl>
      <w:tblPr>
        <w:tblStyle w:val="3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3"/>
        <w:gridCol w:w="526"/>
        <w:gridCol w:w="901"/>
        <w:gridCol w:w="729"/>
        <w:gridCol w:w="470"/>
        <w:gridCol w:w="6011"/>
      </w:tblGrid>
      <w:tr w14:paraId="0C8A1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5000" w:type="pct"/>
            <w:gridSpan w:val="6"/>
            <w:noWrap w:val="0"/>
            <w:vAlign w:val="center"/>
          </w:tcPr>
          <w:p w14:paraId="3DBD25CB">
            <w:pPr>
              <w:snapToGrid w:val="0"/>
              <w:spacing w:line="400" w:lineRule="exact"/>
              <w:jc w:val="center"/>
              <w:rPr>
                <w:rFonts w:hint="eastAsia" w:ascii="仿宋" w:hAnsi="仿宋" w:eastAsia="仿宋" w:cs="仿宋"/>
                <w:b/>
              </w:rPr>
            </w:pPr>
            <w:r>
              <w:rPr>
                <w:rFonts w:hint="eastAsia" w:ascii="仿宋" w:hAnsi="仿宋" w:eastAsia="仿宋" w:cs="仿宋"/>
                <w:b/>
              </w:rPr>
              <w:t>1.1资格审查</w:t>
            </w:r>
          </w:p>
        </w:tc>
      </w:tr>
      <w:tr w14:paraId="7C04D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406" w:type="pct"/>
            <w:noWrap w:val="0"/>
            <w:vAlign w:val="center"/>
          </w:tcPr>
          <w:p w14:paraId="1C221AA2">
            <w:pPr>
              <w:snapToGrid w:val="0"/>
              <w:spacing w:line="400" w:lineRule="exact"/>
              <w:jc w:val="center"/>
              <w:rPr>
                <w:rFonts w:hint="eastAsia" w:ascii="仿宋" w:hAnsi="仿宋" w:eastAsia="仿宋" w:cs="仿宋"/>
              </w:rPr>
            </w:pPr>
            <w:r>
              <w:rPr>
                <w:rFonts w:hint="eastAsia" w:ascii="仿宋" w:hAnsi="仿宋" w:eastAsia="仿宋" w:cs="仿宋"/>
              </w:rPr>
              <w:t>评审事项</w:t>
            </w:r>
          </w:p>
        </w:tc>
        <w:tc>
          <w:tcPr>
            <w:tcW w:w="1397" w:type="pct"/>
            <w:gridSpan w:val="4"/>
            <w:noWrap w:val="0"/>
            <w:vAlign w:val="center"/>
          </w:tcPr>
          <w:p w14:paraId="4EBA2F60">
            <w:pPr>
              <w:snapToGrid w:val="0"/>
              <w:spacing w:line="400" w:lineRule="exact"/>
              <w:jc w:val="center"/>
              <w:rPr>
                <w:rFonts w:hint="eastAsia" w:ascii="仿宋" w:hAnsi="仿宋" w:eastAsia="仿宋" w:cs="仿宋"/>
              </w:rPr>
            </w:pPr>
            <w:r>
              <w:rPr>
                <w:rFonts w:hint="eastAsia" w:ascii="仿宋" w:hAnsi="仿宋" w:eastAsia="仿宋" w:cs="仿宋"/>
              </w:rPr>
              <w:t>评审因素</w:t>
            </w:r>
          </w:p>
        </w:tc>
        <w:tc>
          <w:tcPr>
            <w:tcW w:w="3195" w:type="pct"/>
            <w:noWrap w:val="0"/>
            <w:vAlign w:val="center"/>
          </w:tcPr>
          <w:p w14:paraId="24EEDEA8">
            <w:pPr>
              <w:snapToGrid w:val="0"/>
              <w:spacing w:line="400" w:lineRule="exact"/>
              <w:jc w:val="center"/>
              <w:rPr>
                <w:rFonts w:hint="eastAsia" w:ascii="仿宋" w:hAnsi="仿宋" w:eastAsia="仿宋" w:cs="仿宋"/>
              </w:rPr>
            </w:pPr>
            <w:r>
              <w:rPr>
                <w:rFonts w:hint="eastAsia" w:ascii="仿宋" w:hAnsi="仿宋" w:eastAsia="仿宋" w:cs="仿宋"/>
              </w:rPr>
              <w:t>评审标准</w:t>
            </w:r>
          </w:p>
        </w:tc>
      </w:tr>
      <w:tr w14:paraId="0A2D89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406" w:type="pct"/>
            <w:vMerge w:val="restart"/>
            <w:noWrap w:val="0"/>
            <w:vAlign w:val="center"/>
          </w:tcPr>
          <w:p w14:paraId="76E9556E">
            <w:pPr>
              <w:snapToGrid w:val="0"/>
              <w:spacing w:line="400" w:lineRule="exact"/>
              <w:jc w:val="center"/>
              <w:rPr>
                <w:rFonts w:hint="eastAsia" w:ascii="仿宋" w:hAnsi="仿宋" w:eastAsia="仿宋" w:cs="仿宋"/>
              </w:rPr>
            </w:pPr>
            <w:bookmarkStart w:id="48" w:name="OLE_LINK207"/>
            <w:bookmarkStart w:id="49" w:name="OLE_LINK208"/>
            <w:bookmarkStart w:id="50" w:name="_Hlk217121357"/>
            <w:r>
              <w:rPr>
                <w:rFonts w:hint="eastAsia" w:ascii="仿宋" w:hAnsi="仿宋" w:eastAsia="仿宋" w:cs="仿宋"/>
              </w:rPr>
              <w:t>资格审查</w:t>
            </w:r>
          </w:p>
        </w:tc>
        <w:tc>
          <w:tcPr>
            <w:tcW w:w="1397" w:type="pct"/>
            <w:gridSpan w:val="4"/>
            <w:noWrap w:val="0"/>
            <w:vAlign w:val="center"/>
          </w:tcPr>
          <w:p w14:paraId="76F8DCE5">
            <w:pPr>
              <w:snapToGrid w:val="0"/>
              <w:spacing w:line="360" w:lineRule="exact"/>
              <w:jc w:val="center"/>
              <w:rPr>
                <w:rFonts w:hint="eastAsia" w:ascii="仿宋" w:hAnsi="仿宋" w:eastAsia="仿宋" w:cs="仿宋"/>
              </w:rPr>
            </w:pPr>
            <w:r>
              <w:rPr>
                <w:rFonts w:hint="eastAsia" w:ascii="仿宋" w:hAnsi="仿宋" w:eastAsia="仿宋" w:cs="仿宋"/>
              </w:rPr>
              <w:t>基本资格条件的承诺</w:t>
            </w:r>
          </w:p>
        </w:tc>
        <w:tc>
          <w:tcPr>
            <w:tcW w:w="3195" w:type="pct"/>
            <w:noWrap w:val="0"/>
            <w:vAlign w:val="center"/>
          </w:tcPr>
          <w:p w14:paraId="560AB955">
            <w:pPr>
              <w:snapToGrid w:val="0"/>
              <w:spacing w:line="360" w:lineRule="exact"/>
              <w:jc w:val="left"/>
              <w:rPr>
                <w:rFonts w:hint="eastAsia" w:ascii="仿宋" w:hAnsi="仿宋" w:eastAsia="仿宋" w:cs="仿宋"/>
              </w:rPr>
            </w:pPr>
            <w:bookmarkStart w:id="51" w:name="OLE_LINK53"/>
            <w:bookmarkStart w:id="52" w:name="OLE_LINK127"/>
            <w:bookmarkStart w:id="53" w:name="OLE_LINK122"/>
            <w:r>
              <w:rPr>
                <w:rFonts w:hint="eastAsia" w:ascii="仿宋" w:hAnsi="仿宋" w:eastAsia="仿宋" w:cs="仿宋"/>
              </w:rPr>
              <w:t>根据供应商提供的承诺书，内容完整且具有法人及法定代表人的印章。（内容及格式参照第六章《供应商基本资格条件承诺书》）</w:t>
            </w:r>
            <w:bookmarkEnd w:id="51"/>
            <w:bookmarkEnd w:id="52"/>
            <w:bookmarkEnd w:id="53"/>
          </w:p>
        </w:tc>
      </w:tr>
      <w:bookmarkEnd w:id="48"/>
      <w:bookmarkEnd w:id="49"/>
      <w:bookmarkEnd w:id="50"/>
      <w:tr w14:paraId="38F11F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406" w:type="pct"/>
            <w:vMerge w:val="continue"/>
            <w:noWrap w:val="0"/>
            <w:vAlign w:val="center"/>
          </w:tcPr>
          <w:p w14:paraId="3A935797">
            <w:pPr>
              <w:snapToGrid w:val="0"/>
              <w:spacing w:line="400" w:lineRule="exact"/>
              <w:jc w:val="center"/>
              <w:rPr>
                <w:rFonts w:hint="eastAsia" w:ascii="仿宋" w:hAnsi="仿宋" w:eastAsia="仿宋" w:cs="仿宋"/>
              </w:rPr>
            </w:pPr>
          </w:p>
        </w:tc>
        <w:tc>
          <w:tcPr>
            <w:tcW w:w="1397" w:type="pct"/>
            <w:gridSpan w:val="4"/>
            <w:noWrap w:val="0"/>
            <w:vAlign w:val="center"/>
          </w:tcPr>
          <w:p w14:paraId="415590D9">
            <w:pPr>
              <w:snapToGrid w:val="0"/>
              <w:spacing w:line="360" w:lineRule="exact"/>
              <w:jc w:val="center"/>
              <w:rPr>
                <w:rFonts w:hint="eastAsia" w:ascii="仿宋" w:hAnsi="仿宋" w:eastAsia="仿宋" w:cs="仿宋"/>
              </w:rPr>
            </w:pPr>
            <w:r>
              <w:rPr>
                <w:rFonts w:hint="eastAsia" w:ascii="仿宋" w:hAnsi="仿宋" w:eastAsia="仿宋" w:cs="仿宋"/>
              </w:rPr>
              <w:t>落实政府采购政策需满足的资格要求</w:t>
            </w:r>
          </w:p>
        </w:tc>
        <w:tc>
          <w:tcPr>
            <w:tcW w:w="3195" w:type="pct"/>
            <w:noWrap w:val="0"/>
            <w:vAlign w:val="center"/>
          </w:tcPr>
          <w:p w14:paraId="7556314D">
            <w:pPr>
              <w:snapToGrid w:val="0"/>
              <w:spacing w:line="360" w:lineRule="exact"/>
              <w:jc w:val="left"/>
              <w:rPr>
                <w:rFonts w:hint="eastAsia" w:ascii="仿宋" w:hAnsi="仿宋" w:eastAsia="仿宋" w:cs="仿宋"/>
              </w:rPr>
            </w:pPr>
            <w:r>
              <w:rPr>
                <w:rFonts w:hint="eastAsia" w:ascii="仿宋" w:hAnsi="仿宋" w:eastAsia="仿宋" w:cs="仿宋"/>
              </w:rPr>
              <w:t>本项目为专门面向中小企业的项目。（提供中小企业声明函，内容及格式参照第六章）</w:t>
            </w:r>
          </w:p>
        </w:tc>
      </w:tr>
      <w:tr w14:paraId="1326D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5000" w:type="pct"/>
            <w:gridSpan w:val="6"/>
            <w:noWrap w:val="0"/>
            <w:vAlign w:val="center"/>
          </w:tcPr>
          <w:p w14:paraId="11427BC9">
            <w:pPr>
              <w:snapToGrid w:val="0"/>
              <w:spacing w:line="400" w:lineRule="exact"/>
              <w:jc w:val="center"/>
              <w:rPr>
                <w:rFonts w:hint="eastAsia" w:ascii="仿宋" w:hAnsi="仿宋" w:eastAsia="仿宋" w:cs="仿宋"/>
                <w:b/>
              </w:rPr>
            </w:pPr>
            <w:r>
              <w:rPr>
                <w:rFonts w:hint="eastAsia" w:ascii="仿宋" w:hAnsi="仿宋" w:eastAsia="仿宋" w:cs="仿宋"/>
                <w:b/>
              </w:rPr>
              <w:t>响应文件不符合评审标准之一的，评审结论为不合格。</w:t>
            </w:r>
          </w:p>
        </w:tc>
      </w:tr>
      <w:tr w14:paraId="630465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5000" w:type="pct"/>
            <w:gridSpan w:val="6"/>
            <w:noWrap w:val="0"/>
            <w:vAlign w:val="center"/>
          </w:tcPr>
          <w:p w14:paraId="46FB11BB">
            <w:pPr>
              <w:snapToGrid w:val="0"/>
              <w:spacing w:line="400" w:lineRule="exact"/>
              <w:jc w:val="center"/>
              <w:rPr>
                <w:rFonts w:hint="eastAsia" w:ascii="仿宋" w:hAnsi="仿宋" w:eastAsia="仿宋" w:cs="仿宋"/>
                <w:b/>
              </w:rPr>
            </w:pPr>
            <w:r>
              <w:rPr>
                <w:rFonts w:hint="eastAsia" w:ascii="仿宋" w:hAnsi="仿宋" w:eastAsia="仿宋" w:cs="仿宋"/>
                <w:b/>
              </w:rPr>
              <w:t>1.2响应性评审</w:t>
            </w:r>
          </w:p>
        </w:tc>
      </w:tr>
      <w:tr w14:paraId="06C11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406" w:type="pct"/>
            <w:noWrap w:val="0"/>
            <w:vAlign w:val="center"/>
          </w:tcPr>
          <w:p w14:paraId="4764B5CB">
            <w:pPr>
              <w:snapToGrid w:val="0"/>
              <w:spacing w:line="400" w:lineRule="exact"/>
              <w:jc w:val="center"/>
              <w:rPr>
                <w:rFonts w:hint="eastAsia" w:ascii="仿宋" w:hAnsi="仿宋" w:eastAsia="仿宋" w:cs="仿宋"/>
                <w:spacing w:val="-20"/>
              </w:rPr>
            </w:pPr>
            <w:r>
              <w:rPr>
                <w:rFonts w:hint="eastAsia" w:ascii="仿宋" w:hAnsi="仿宋" w:eastAsia="仿宋" w:cs="仿宋"/>
                <w:spacing w:val="-20"/>
              </w:rPr>
              <w:t>评审事项</w:t>
            </w:r>
          </w:p>
        </w:tc>
        <w:tc>
          <w:tcPr>
            <w:tcW w:w="759" w:type="pct"/>
            <w:gridSpan w:val="2"/>
            <w:noWrap w:val="0"/>
            <w:vAlign w:val="center"/>
          </w:tcPr>
          <w:p w14:paraId="74AADB5A">
            <w:pPr>
              <w:snapToGrid w:val="0"/>
              <w:spacing w:line="400" w:lineRule="exact"/>
              <w:jc w:val="center"/>
              <w:rPr>
                <w:rFonts w:hint="eastAsia" w:ascii="仿宋" w:hAnsi="仿宋" w:eastAsia="仿宋" w:cs="仿宋"/>
                <w:spacing w:val="-20"/>
              </w:rPr>
            </w:pPr>
            <w:r>
              <w:rPr>
                <w:rFonts w:hint="eastAsia" w:ascii="仿宋" w:hAnsi="仿宋" w:eastAsia="仿宋" w:cs="仿宋"/>
                <w:spacing w:val="-20"/>
              </w:rPr>
              <w:t>评审因素</w:t>
            </w:r>
          </w:p>
        </w:tc>
        <w:tc>
          <w:tcPr>
            <w:tcW w:w="3834" w:type="pct"/>
            <w:gridSpan w:val="3"/>
            <w:noWrap w:val="0"/>
            <w:vAlign w:val="center"/>
          </w:tcPr>
          <w:p w14:paraId="0F93A3BE">
            <w:pPr>
              <w:snapToGrid w:val="0"/>
              <w:spacing w:line="400" w:lineRule="exact"/>
              <w:jc w:val="center"/>
              <w:rPr>
                <w:rFonts w:hint="eastAsia" w:ascii="仿宋" w:hAnsi="仿宋" w:eastAsia="仿宋" w:cs="仿宋"/>
              </w:rPr>
            </w:pPr>
            <w:r>
              <w:rPr>
                <w:rFonts w:hint="eastAsia" w:ascii="仿宋" w:hAnsi="仿宋" w:eastAsia="仿宋" w:cs="仿宋"/>
              </w:rPr>
              <w:t>评审标准</w:t>
            </w:r>
          </w:p>
        </w:tc>
      </w:tr>
      <w:tr w14:paraId="3A99F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406" w:type="pct"/>
            <w:vMerge w:val="restart"/>
            <w:noWrap w:val="0"/>
            <w:vAlign w:val="center"/>
          </w:tcPr>
          <w:p w14:paraId="62F25168">
            <w:pPr>
              <w:snapToGrid w:val="0"/>
              <w:spacing w:line="400" w:lineRule="exact"/>
              <w:jc w:val="center"/>
              <w:rPr>
                <w:rFonts w:hint="eastAsia" w:ascii="仿宋" w:hAnsi="仿宋" w:eastAsia="仿宋" w:cs="仿宋"/>
              </w:rPr>
            </w:pPr>
            <w:bookmarkStart w:id="54" w:name="OLE_LINK41"/>
            <w:bookmarkStart w:id="55" w:name="_Hlk207700800"/>
            <w:bookmarkStart w:id="56" w:name="OLE_LINK40"/>
            <w:r>
              <w:rPr>
                <w:rFonts w:hint="eastAsia" w:ascii="仿宋" w:hAnsi="仿宋" w:eastAsia="仿宋" w:cs="仿宋"/>
              </w:rPr>
              <w:t>响应性评审</w:t>
            </w:r>
          </w:p>
        </w:tc>
        <w:tc>
          <w:tcPr>
            <w:tcW w:w="759" w:type="pct"/>
            <w:gridSpan w:val="2"/>
            <w:noWrap w:val="0"/>
            <w:vAlign w:val="center"/>
          </w:tcPr>
          <w:p w14:paraId="38B1CE7C">
            <w:pPr>
              <w:snapToGrid w:val="0"/>
              <w:spacing w:line="400" w:lineRule="exact"/>
              <w:jc w:val="center"/>
              <w:rPr>
                <w:rFonts w:hint="eastAsia" w:ascii="仿宋" w:hAnsi="仿宋" w:eastAsia="仿宋" w:cs="仿宋"/>
              </w:rPr>
            </w:pPr>
            <w:bookmarkStart w:id="57" w:name="OLE_LINK56"/>
            <w:bookmarkStart w:id="58" w:name="OLE_LINK57"/>
            <w:r>
              <w:rPr>
                <w:rFonts w:hint="eastAsia" w:ascii="仿宋" w:hAnsi="仿宋" w:eastAsia="仿宋" w:cs="仿宋"/>
              </w:rPr>
              <w:t>报价</w:t>
            </w:r>
            <w:bookmarkEnd w:id="57"/>
            <w:bookmarkEnd w:id="58"/>
          </w:p>
        </w:tc>
        <w:tc>
          <w:tcPr>
            <w:tcW w:w="3834" w:type="pct"/>
            <w:gridSpan w:val="3"/>
            <w:noWrap w:val="0"/>
            <w:vAlign w:val="center"/>
          </w:tcPr>
          <w:p w14:paraId="5F383B86">
            <w:pPr>
              <w:snapToGrid w:val="0"/>
              <w:spacing w:line="400" w:lineRule="exact"/>
              <w:jc w:val="left"/>
              <w:rPr>
                <w:rFonts w:hint="eastAsia" w:ascii="仿宋" w:hAnsi="仿宋" w:eastAsia="仿宋" w:cs="仿宋"/>
              </w:rPr>
            </w:pPr>
            <w:bookmarkStart w:id="59" w:name="OLE_LINK58"/>
            <w:bookmarkStart w:id="60" w:name="OLE_LINK132"/>
            <w:bookmarkStart w:id="61" w:name="OLE_LINK131"/>
            <w:r>
              <w:rPr>
                <w:rFonts w:hint="eastAsia" w:ascii="仿宋" w:hAnsi="仿宋" w:eastAsia="仿宋" w:cs="仿宋"/>
              </w:rPr>
              <w:t>有且只有一个有效报价，未超过最高限价</w:t>
            </w:r>
            <w:bookmarkEnd w:id="59"/>
            <w:bookmarkEnd w:id="60"/>
            <w:bookmarkEnd w:id="61"/>
          </w:p>
        </w:tc>
      </w:tr>
      <w:bookmarkEnd w:id="54"/>
      <w:bookmarkEnd w:id="55"/>
      <w:bookmarkEnd w:id="56"/>
      <w:tr w14:paraId="1F9F3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406" w:type="pct"/>
            <w:vMerge w:val="continue"/>
            <w:noWrap w:val="0"/>
            <w:vAlign w:val="center"/>
          </w:tcPr>
          <w:p w14:paraId="52BB001E">
            <w:pPr>
              <w:snapToGrid w:val="0"/>
              <w:spacing w:line="400" w:lineRule="exact"/>
              <w:jc w:val="center"/>
              <w:rPr>
                <w:rFonts w:hint="eastAsia" w:ascii="仿宋" w:hAnsi="仿宋" w:eastAsia="仿宋" w:cs="仿宋"/>
              </w:rPr>
            </w:pPr>
          </w:p>
        </w:tc>
        <w:tc>
          <w:tcPr>
            <w:tcW w:w="759" w:type="pct"/>
            <w:gridSpan w:val="2"/>
            <w:noWrap w:val="0"/>
            <w:vAlign w:val="center"/>
          </w:tcPr>
          <w:p w14:paraId="4A79C8EB">
            <w:pPr>
              <w:snapToGrid w:val="0"/>
              <w:spacing w:line="340" w:lineRule="exact"/>
              <w:jc w:val="center"/>
              <w:rPr>
                <w:rFonts w:hint="eastAsia" w:ascii="仿宋" w:hAnsi="仿宋" w:eastAsia="仿宋" w:cs="仿宋"/>
              </w:rPr>
            </w:pPr>
            <w:bookmarkStart w:id="62" w:name="OLE_LINK68"/>
            <w:bookmarkStart w:id="63" w:name="OLE_LINK67"/>
            <w:r>
              <w:rPr>
                <w:rFonts w:hint="eastAsia" w:ascii="仿宋" w:hAnsi="仿宋" w:eastAsia="仿宋" w:cs="仿宋"/>
              </w:rPr>
              <w:t>技术要求</w:t>
            </w:r>
          </w:p>
          <w:p w14:paraId="23B65E45">
            <w:pPr>
              <w:snapToGrid w:val="0"/>
              <w:spacing w:line="340" w:lineRule="exact"/>
              <w:jc w:val="center"/>
              <w:rPr>
                <w:rFonts w:hint="eastAsia" w:ascii="仿宋" w:hAnsi="仿宋" w:eastAsia="仿宋" w:cs="仿宋"/>
              </w:rPr>
            </w:pPr>
            <w:r>
              <w:rPr>
                <w:rFonts w:hint="eastAsia" w:ascii="仿宋" w:hAnsi="仿宋" w:eastAsia="仿宋" w:cs="仿宋"/>
              </w:rPr>
              <w:t>响应</w:t>
            </w:r>
            <w:bookmarkEnd w:id="62"/>
            <w:bookmarkEnd w:id="63"/>
          </w:p>
        </w:tc>
        <w:tc>
          <w:tcPr>
            <w:tcW w:w="3834" w:type="pct"/>
            <w:gridSpan w:val="3"/>
            <w:noWrap w:val="0"/>
            <w:vAlign w:val="center"/>
          </w:tcPr>
          <w:p w14:paraId="69F3333D">
            <w:pPr>
              <w:snapToGrid w:val="0"/>
              <w:spacing w:line="340" w:lineRule="exact"/>
              <w:jc w:val="left"/>
              <w:rPr>
                <w:rFonts w:hint="eastAsia" w:ascii="仿宋" w:hAnsi="仿宋" w:eastAsia="仿宋" w:cs="仿宋"/>
              </w:rPr>
            </w:pPr>
            <w:bookmarkStart w:id="64" w:name="OLE_LINK46"/>
            <w:bookmarkStart w:id="65" w:name="OLE_LINK49"/>
            <w:r>
              <w:rPr>
                <w:rFonts w:hint="eastAsia" w:ascii="仿宋" w:hAnsi="仿宋" w:eastAsia="仿宋" w:cs="仿宋"/>
              </w:rPr>
              <w:t>如磋商后技术要求有变动的，按磋商后确定的</w:t>
            </w:r>
            <w:r>
              <w:rPr>
                <w:rFonts w:hint="eastAsia" w:ascii="仿宋" w:hAnsi="仿宋" w:eastAsia="仿宋" w:cs="仿宋"/>
                <w:lang w:val="en-US" w:eastAsia="zh-CN"/>
              </w:rPr>
              <w:t>技术</w:t>
            </w:r>
            <w:r>
              <w:rPr>
                <w:rFonts w:hint="eastAsia" w:ascii="仿宋" w:hAnsi="仿宋" w:eastAsia="仿宋" w:cs="仿宋"/>
              </w:rPr>
              <w:t>要求提供相应材料</w:t>
            </w:r>
            <w:bookmarkEnd w:id="64"/>
            <w:bookmarkEnd w:id="65"/>
          </w:p>
        </w:tc>
      </w:tr>
      <w:tr w14:paraId="3C650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406" w:type="pct"/>
            <w:vMerge w:val="continue"/>
            <w:noWrap w:val="0"/>
            <w:vAlign w:val="center"/>
          </w:tcPr>
          <w:p w14:paraId="7261AEC0">
            <w:pPr>
              <w:snapToGrid w:val="0"/>
              <w:spacing w:line="400" w:lineRule="exact"/>
              <w:jc w:val="center"/>
              <w:rPr>
                <w:rFonts w:hint="eastAsia" w:ascii="仿宋" w:hAnsi="仿宋" w:eastAsia="仿宋" w:cs="仿宋"/>
              </w:rPr>
            </w:pPr>
          </w:p>
        </w:tc>
        <w:tc>
          <w:tcPr>
            <w:tcW w:w="759" w:type="pct"/>
            <w:gridSpan w:val="2"/>
            <w:noWrap w:val="0"/>
            <w:vAlign w:val="center"/>
          </w:tcPr>
          <w:p w14:paraId="6E972389">
            <w:pPr>
              <w:snapToGrid w:val="0"/>
              <w:spacing w:line="340" w:lineRule="exact"/>
              <w:jc w:val="center"/>
              <w:rPr>
                <w:rFonts w:hint="eastAsia" w:ascii="仿宋" w:hAnsi="仿宋" w:eastAsia="仿宋" w:cs="仿宋"/>
              </w:rPr>
            </w:pPr>
            <w:bookmarkStart w:id="66" w:name="OLE_LINK59"/>
            <w:bookmarkStart w:id="67" w:name="OLE_LINK60"/>
            <w:r>
              <w:rPr>
                <w:rFonts w:hint="eastAsia" w:ascii="仿宋" w:hAnsi="仿宋" w:eastAsia="仿宋" w:cs="仿宋"/>
              </w:rPr>
              <w:t>商务要求</w:t>
            </w:r>
          </w:p>
          <w:p w14:paraId="7C94C07F">
            <w:pPr>
              <w:snapToGrid w:val="0"/>
              <w:spacing w:line="340" w:lineRule="exact"/>
              <w:jc w:val="center"/>
              <w:rPr>
                <w:rFonts w:hint="eastAsia" w:ascii="仿宋" w:hAnsi="仿宋" w:eastAsia="仿宋" w:cs="仿宋"/>
              </w:rPr>
            </w:pPr>
            <w:r>
              <w:rPr>
                <w:rFonts w:hint="eastAsia" w:ascii="仿宋" w:hAnsi="仿宋" w:eastAsia="仿宋" w:cs="仿宋"/>
              </w:rPr>
              <w:t>响应</w:t>
            </w:r>
            <w:bookmarkEnd w:id="66"/>
            <w:bookmarkEnd w:id="67"/>
          </w:p>
        </w:tc>
        <w:tc>
          <w:tcPr>
            <w:tcW w:w="3834" w:type="pct"/>
            <w:gridSpan w:val="3"/>
            <w:noWrap w:val="0"/>
            <w:vAlign w:val="center"/>
          </w:tcPr>
          <w:p w14:paraId="5135D00F">
            <w:pPr>
              <w:snapToGrid w:val="0"/>
              <w:spacing w:line="340" w:lineRule="exact"/>
              <w:jc w:val="left"/>
              <w:rPr>
                <w:rFonts w:hint="eastAsia" w:ascii="仿宋" w:hAnsi="仿宋" w:eastAsia="仿宋" w:cs="仿宋"/>
              </w:rPr>
            </w:pPr>
            <w:bookmarkStart w:id="68" w:name="OLE_LINK61"/>
            <w:bookmarkStart w:id="69" w:name="OLE_LINK43"/>
            <w:bookmarkStart w:id="70" w:name="OLE_LINK42"/>
            <w:bookmarkStart w:id="71" w:name="OLE_LINK133"/>
            <w:r>
              <w:rPr>
                <w:rFonts w:hint="eastAsia" w:ascii="仿宋" w:hAnsi="仿宋" w:eastAsia="仿宋" w:cs="仿宋"/>
              </w:rPr>
              <w:t>如磋商后商务要求有变动的，按磋商后确定的商务要求提供相应材料</w:t>
            </w:r>
            <w:bookmarkEnd w:id="68"/>
            <w:bookmarkEnd w:id="69"/>
            <w:bookmarkEnd w:id="70"/>
            <w:bookmarkEnd w:id="71"/>
          </w:p>
        </w:tc>
      </w:tr>
      <w:tr w14:paraId="2F3FE2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406" w:type="pct"/>
            <w:vMerge w:val="continue"/>
            <w:noWrap w:val="0"/>
            <w:vAlign w:val="center"/>
          </w:tcPr>
          <w:p w14:paraId="4BEE2FC6">
            <w:pPr>
              <w:snapToGrid w:val="0"/>
              <w:spacing w:line="400" w:lineRule="exact"/>
              <w:jc w:val="center"/>
              <w:rPr>
                <w:rFonts w:hint="eastAsia" w:ascii="仿宋" w:hAnsi="仿宋" w:eastAsia="仿宋" w:cs="仿宋"/>
              </w:rPr>
            </w:pPr>
          </w:p>
        </w:tc>
        <w:tc>
          <w:tcPr>
            <w:tcW w:w="759" w:type="pct"/>
            <w:gridSpan w:val="2"/>
            <w:noWrap w:val="0"/>
            <w:vAlign w:val="center"/>
          </w:tcPr>
          <w:p w14:paraId="541282A1">
            <w:pPr>
              <w:snapToGrid w:val="0"/>
              <w:spacing w:line="340" w:lineRule="exact"/>
              <w:jc w:val="center"/>
              <w:rPr>
                <w:rFonts w:hint="eastAsia" w:ascii="仿宋" w:hAnsi="仿宋" w:eastAsia="仿宋" w:cs="仿宋"/>
              </w:rPr>
            </w:pPr>
            <w:bookmarkStart w:id="72" w:name="OLE_LINK64"/>
            <w:bookmarkStart w:id="73" w:name="OLE_LINK65"/>
            <w:r>
              <w:rPr>
                <w:rFonts w:hint="eastAsia" w:ascii="仿宋" w:hAnsi="仿宋" w:eastAsia="仿宋" w:cs="仿宋"/>
              </w:rPr>
              <w:t>合同草案条款响应</w:t>
            </w:r>
            <w:bookmarkEnd w:id="72"/>
            <w:bookmarkEnd w:id="73"/>
          </w:p>
        </w:tc>
        <w:tc>
          <w:tcPr>
            <w:tcW w:w="3834" w:type="pct"/>
            <w:gridSpan w:val="3"/>
            <w:noWrap w:val="0"/>
            <w:vAlign w:val="center"/>
          </w:tcPr>
          <w:p w14:paraId="0994904C">
            <w:pPr>
              <w:snapToGrid w:val="0"/>
              <w:spacing w:line="340" w:lineRule="exact"/>
              <w:jc w:val="left"/>
              <w:rPr>
                <w:rFonts w:hint="eastAsia" w:ascii="仿宋" w:hAnsi="仿宋" w:eastAsia="仿宋" w:cs="仿宋"/>
              </w:rPr>
            </w:pPr>
            <w:bookmarkStart w:id="74" w:name="OLE_LINK134"/>
            <w:bookmarkStart w:id="75" w:name="OLE_LINK66"/>
            <w:bookmarkStart w:id="76" w:name="OLE_LINK44"/>
            <w:bookmarkStart w:id="77" w:name="OLE_LINK45"/>
            <w:r>
              <w:rPr>
                <w:rFonts w:hint="eastAsia" w:ascii="仿宋" w:hAnsi="仿宋" w:eastAsia="仿宋" w:cs="仿宋"/>
              </w:rPr>
              <w:t>如磋商后合同草案条款有变动的，按磋商后确定的合同草案条款响应</w:t>
            </w:r>
            <w:bookmarkEnd w:id="74"/>
            <w:bookmarkEnd w:id="75"/>
            <w:bookmarkEnd w:id="76"/>
            <w:bookmarkEnd w:id="77"/>
          </w:p>
        </w:tc>
      </w:tr>
      <w:tr w14:paraId="4200C1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5000" w:type="pct"/>
            <w:gridSpan w:val="6"/>
            <w:noWrap w:val="0"/>
            <w:vAlign w:val="center"/>
          </w:tcPr>
          <w:p w14:paraId="6F77B662">
            <w:pPr>
              <w:snapToGrid w:val="0"/>
              <w:spacing w:line="400" w:lineRule="exact"/>
              <w:jc w:val="center"/>
              <w:rPr>
                <w:rFonts w:hint="eastAsia" w:ascii="仿宋" w:hAnsi="仿宋" w:eastAsia="仿宋" w:cs="仿宋"/>
                <w:b/>
              </w:rPr>
            </w:pPr>
            <w:r>
              <w:rPr>
                <w:rFonts w:hint="eastAsia" w:ascii="仿宋" w:hAnsi="仿宋" w:eastAsia="仿宋" w:cs="仿宋"/>
                <w:b/>
              </w:rPr>
              <w:t>响应文件不符合评审标准之一的，评审结论为不合格。</w:t>
            </w:r>
          </w:p>
        </w:tc>
      </w:tr>
      <w:tr w14:paraId="3F565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5000" w:type="pct"/>
            <w:gridSpan w:val="6"/>
            <w:noWrap w:val="0"/>
            <w:vAlign w:val="center"/>
          </w:tcPr>
          <w:p w14:paraId="33AA7E1A">
            <w:pPr>
              <w:snapToGrid w:val="0"/>
              <w:spacing w:line="400" w:lineRule="exact"/>
              <w:jc w:val="center"/>
              <w:rPr>
                <w:rFonts w:hint="eastAsia" w:ascii="仿宋" w:hAnsi="仿宋" w:eastAsia="仿宋" w:cs="仿宋"/>
                <w:b/>
              </w:rPr>
            </w:pPr>
            <w:r>
              <w:rPr>
                <w:rFonts w:hint="eastAsia" w:ascii="仿宋" w:hAnsi="仿宋" w:eastAsia="仿宋" w:cs="仿宋"/>
                <w:b/>
              </w:rPr>
              <w:t>1.3详细评审</w:t>
            </w:r>
          </w:p>
        </w:tc>
      </w:tr>
      <w:tr w14:paraId="20FD63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 w:hRule="atLeast"/>
          <w:jc w:val="center"/>
        </w:trPr>
        <w:tc>
          <w:tcPr>
            <w:tcW w:w="686" w:type="pct"/>
            <w:gridSpan w:val="2"/>
            <w:noWrap w:val="0"/>
            <w:vAlign w:val="center"/>
          </w:tcPr>
          <w:p w14:paraId="5B199606">
            <w:pPr>
              <w:widowControl/>
              <w:snapToGrid w:val="0"/>
              <w:spacing w:line="240" w:lineRule="exact"/>
              <w:jc w:val="center"/>
              <w:rPr>
                <w:rFonts w:hint="eastAsia" w:ascii="仿宋" w:hAnsi="仿宋" w:eastAsia="仿宋" w:cs="仿宋"/>
                <w:b/>
              </w:rPr>
            </w:pPr>
            <w:r>
              <w:rPr>
                <w:rFonts w:hint="eastAsia" w:ascii="仿宋" w:hAnsi="仿宋" w:eastAsia="仿宋" w:cs="仿宋"/>
                <w:szCs w:val="21"/>
              </w:rPr>
              <w:t>评审项目</w:t>
            </w:r>
          </w:p>
        </w:tc>
        <w:tc>
          <w:tcPr>
            <w:tcW w:w="867" w:type="pct"/>
            <w:gridSpan w:val="2"/>
            <w:noWrap w:val="0"/>
            <w:vAlign w:val="center"/>
          </w:tcPr>
          <w:p w14:paraId="191459D7">
            <w:pPr>
              <w:widowControl/>
              <w:snapToGrid w:val="0"/>
              <w:spacing w:line="240" w:lineRule="exact"/>
              <w:jc w:val="center"/>
              <w:rPr>
                <w:rFonts w:hint="eastAsia" w:ascii="仿宋" w:hAnsi="仿宋" w:eastAsia="仿宋" w:cs="仿宋"/>
                <w:b/>
              </w:rPr>
            </w:pPr>
            <w:r>
              <w:rPr>
                <w:rFonts w:hint="eastAsia" w:ascii="仿宋" w:hAnsi="仿宋" w:eastAsia="仿宋" w:cs="仿宋"/>
                <w:szCs w:val="21"/>
              </w:rPr>
              <w:t>评审因素</w:t>
            </w:r>
          </w:p>
        </w:tc>
        <w:tc>
          <w:tcPr>
            <w:tcW w:w="3446" w:type="pct"/>
            <w:gridSpan w:val="2"/>
            <w:noWrap w:val="0"/>
            <w:vAlign w:val="center"/>
          </w:tcPr>
          <w:p w14:paraId="0E0EF9AC">
            <w:pPr>
              <w:widowControl/>
              <w:snapToGrid w:val="0"/>
              <w:spacing w:line="240" w:lineRule="exact"/>
              <w:jc w:val="center"/>
              <w:rPr>
                <w:rFonts w:hint="eastAsia" w:ascii="仿宋" w:hAnsi="仿宋" w:eastAsia="仿宋" w:cs="仿宋"/>
                <w:b/>
              </w:rPr>
            </w:pPr>
            <w:r>
              <w:rPr>
                <w:rFonts w:hint="eastAsia" w:ascii="仿宋" w:hAnsi="仿宋" w:eastAsia="仿宋" w:cs="仿宋"/>
                <w:szCs w:val="21"/>
              </w:rPr>
              <w:t>评审内容及标准</w:t>
            </w:r>
          </w:p>
        </w:tc>
      </w:tr>
      <w:tr w14:paraId="3E995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6" w:type="pct"/>
            <w:gridSpan w:val="2"/>
            <w:noWrap w:val="0"/>
            <w:vAlign w:val="center"/>
          </w:tcPr>
          <w:p w14:paraId="1D74FFE7">
            <w:pPr>
              <w:widowControl/>
              <w:snapToGrid w:val="0"/>
              <w:spacing w:line="350" w:lineRule="exact"/>
              <w:jc w:val="center"/>
              <w:rPr>
                <w:rFonts w:hint="eastAsia" w:ascii="仿宋" w:hAnsi="仿宋" w:eastAsia="仿宋" w:cs="仿宋"/>
                <w:szCs w:val="21"/>
              </w:rPr>
            </w:pPr>
            <w:r>
              <w:rPr>
                <w:rFonts w:hint="eastAsia" w:ascii="仿宋" w:hAnsi="仿宋" w:eastAsia="仿宋" w:cs="仿宋"/>
                <w:szCs w:val="21"/>
              </w:rPr>
              <w:t>价格部分</w:t>
            </w:r>
          </w:p>
          <w:p w14:paraId="24062102">
            <w:pPr>
              <w:snapToGrid w:val="0"/>
              <w:spacing w:line="400" w:lineRule="exact"/>
              <w:jc w:val="center"/>
              <w:rPr>
                <w:rFonts w:hint="eastAsia" w:ascii="仿宋" w:hAnsi="仿宋" w:eastAsia="仿宋" w:cs="仿宋"/>
                <w:b/>
              </w:rPr>
            </w:pPr>
            <w:r>
              <w:rPr>
                <w:rFonts w:hint="eastAsia" w:ascii="仿宋" w:hAnsi="仿宋" w:eastAsia="仿宋" w:cs="仿宋"/>
                <w:szCs w:val="21"/>
              </w:rPr>
              <w:t>（</w:t>
            </w:r>
            <w:r>
              <w:rPr>
                <w:rFonts w:hint="eastAsia" w:ascii="仿宋" w:hAnsi="仿宋" w:eastAsia="仿宋" w:cs="仿宋"/>
                <w:szCs w:val="21"/>
                <w:lang w:val="en-US" w:eastAsia="zh-CN"/>
              </w:rPr>
              <w:t>15</w:t>
            </w:r>
            <w:r>
              <w:rPr>
                <w:rFonts w:hint="eastAsia" w:ascii="仿宋" w:hAnsi="仿宋" w:eastAsia="仿宋" w:cs="仿宋"/>
                <w:szCs w:val="21"/>
              </w:rPr>
              <w:t>分）</w:t>
            </w:r>
          </w:p>
        </w:tc>
        <w:tc>
          <w:tcPr>
            <w:tcW w:w="867" w:type="pct"/>
            <w:gridSpan w:val="2"/>
            <w:noWrap w:val="0"/>
            <w:vAlign w:val="center"/>
          </w:tcPr>
          <w:p w14:paraId="3A2FF479">
            <w:pPr>
              <w:snapToGrid w:val="0"/>
              <w:spacing w:line="400" w:lineRule="exact"/>
              <w:jc w:val="center"/>
              <w:rPr>
                <w:rFonts w:hint="eastAsia" w:ascii="仿宋" w:hAnsi="仿宋" w:eastAsia="仿宋" w:cs="仿宋"/>
                <w:b/>
              </w:rPr>
            </w:pPr>
            <w:r>
              <w:rPr>
                <w:rFonts w:hint="eastAsia" w:ascii="仿宋" w:hAnsi="仿宋" w:eastAsia="仿宋" w:cs="仿宋"/>
                <w:szCs w:val="21"/>
              </w:rPr>
              <w:t>报价评审           （</w:t>
            </w:r>
            <w:r>
              <w:rPr>
                <w:rFonts w:hint="eastAsia" w:ascii="仿宋" w:hAnsi="仿宋" w:eastAsia="仿宋" w:cs="仿宋"/>
                <w:szCs w:val="21"/>
                <w:lang w:val="en-US" w:eastAsia="zh-CN"/>
              </w:rPr>
              <w:t>15</w:t>
            </w:r>
            <w:r>
              <w:rPr>
                <w:rFonts w:hint="eastAsia" w:ascii="仿宋" w:hAnsi="仿宋" w:eastAsia="仿宋" w:cs="仿宋"/>
                <w:szCs w:val="21"/>
              </w:rPr>
              <w:t>分）</w:t>
            </w:r>
          </w:p>
        </w:tc>
        <w:tc>
          <w:tcPr>
            <w:tcW w:w="3446" w:type="pct"/>
            <w:gridSpan w:val="2"/>
            <w:noWrap w:val="0"/>
            <w:vAlign w:val="center"/>
          </w:tcPr>
          <w:p w14:paraId="14E9EF78">
            <w:pPr>
              <w:snapToGrid w:val="0"/>
              <w:spacing w:line="360" w:lineRule="exact"/>
              <w:jc w:val="left"/>
              <w:rPr>
                <w:rFonts w:hint="eastAsia" w:ascii="仿宋" w:hAnsi="仿宋" w:eastAsia="仿宋" w:cs="仿宋"/>
                <w:szCs w:val="21"/>
              </w:rPr>
            </w:pPr>
            <w:r>
              <w:rPr>
                <w:rFonts w:hint="eastAsia" w:ascii="仿宋" w:hAnsi="仿宋" w:eastAsia="仿宋" w:cs="仿宋"/>
                <w:szCs w:val="21"/>
              </w:rPr>
              <w:t>价格分统一采用低价优先法计算，即满足招标文件要求且投标价格最低的投标报价为评标基准价，其价格分为满分，其他招标人的价格分统一按照下列公式计算：</w:t>
            </w:r>
          </w:p>
          <w:p w14:paraId="1A4D120A">
            <w:pPr>
              <w:snapToGrid w:val="0"/>
              <w:spacing w:line="400" w:lineRule="exact"/>
              <w:jc w:val="left"/>
              <w:rPr>
                <w:rFonts w:hint="eastAsia" w:ascii="仿宋" w:hAnsi="仿宋" w:eastAsia="仿宋" w:cs="仿宋"/>
                <w:b/>
              </w:rPr>
            </w:pPr>
            <w:r>
              <w:rPr>
                <w:rFonts w:hint="eastAsia" w:ascii="仿宋" w:hAnsi="仿宋" w:eastAsia="仿宋" w:cs="仿宋"/>
                <w:szCs w:val="21"/>
              </w:rPr>
              <w:t>投标报价得分＝（评标基准价/投标报价）×</w:t>
            </w:r>
            <w:r>
              <w:rPr>
                <w:rFonts w:hint="eastAsia" w:ascii="仿宋" w:hAnsi="仿宋" w:eastAsia="仿宋" w:cs="仿宋"/>
                <w:szCs w:val="21"/>
                <w:lang w:val="en-US" w:eastAsia="zh-CN"/>
              </w:rPr>
              <w:t>15</w:t>
            </w:r>
            <w:r>
              <w:rPr>
                <w:rFonts w:hint="eastAsia" w:ascii="仿宋" w:hAnsi="仿宋" w:eastAsia="仿宋" w:cs="仿宋"/>
                <w:szCs w:val="21"/>
              </w:rPr>
              <w:t>分。</w:t>
            </w:r>
          </w:p>
        </w:tc>
      </w:tr>
      <w:tr w14:paraId="0519C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686" w:type="pct"/>
            <w:gridSpan w:val="2"/>
            <w:vMerge w:val="restart"/>
            <w:noWrap w:val="0"/>
            <w:vAlign w:val="center"/>
          </w:tcPr>
          <w:p w14:paraId="02FE8BB8">
            <w:pPr>
              <w:widowControl/>
              <w:snapToGrid w:val="0"/>
              <w:spacing w:line="350" w:lineRule="exact"/>
              <w:jc w:val="center"/>
              <w:rPr>
                <w:rFonts w:hint="eastAsia" w:ascii="仿宋" w:hAnsi="仿宋" w:eastAsia="仿宋" w:cs="仿宋"/>
                <w:szCs w:val="21"/>
              </w:rPr>
            </w:pPr>
            <w:r>
              <w:rPr>
                <w:rFonts w:hint="eastAsia" w:ascii="仿宋" w:hAnsi="仿宋" w:eastAsia="仿宋" w:cs="仿宋"/>
                <w:szCs w:val="21"/>
              </w:rPr>
              <w:t>商务评审（</w:t>
            </w:r>
            <w:r>
              <w:rPr>
                <w:rFonts w:hint="eastAsia" w:ascii="仿宋" w:hAnsi="仿宋" w:eastAsia="仿宋" w:cs="仿宋"/>
                <w:szCs w:val="21"/>
                <w:lang w:val="en-US" w:eastAsia="zh-CN"/>
              </w:rPr>
              <w:t>41</w:t>
            </w:r>
            <w:r>
              <w:rPr>
                <w:rFonts w:hint="eastAsia" w:ascii="仿宋" w:hAnsi="仿宋" w:eastAsia="仿宋" w:cs="仿宋"/>
                <w:szCs w:val="21"/>
              </w:rPr>
              <w:t>分）</w:t>
            </w:r>
          </w:p>
        </w:tc>
        <w:tc>
          <w:tcPr>
            <w:tcW w:w="867" w:type="pct"/>
            <w:gridSpan w:val="2"/>
            <w:shd w:val="clear" w:color="auto" w:fill="auto"/>
            <w:noWrap w:val="0"/>
            <w:vAlign w:val="center"/>
          </w:tcPr>
          <w:p w14:paraId="6904DD1B">
            <w:pPr>
              <w:widowControl/>
              <w:snapToGrid w:val="0"/>
              <w:spacing w:line="350" w:lineRule="exact"/>
              <w:jc w:val="center"/>
              <w:rPr>
                <w:rFonts w:hint="eastAsia" w:ascii="仿宋" w:hAnsi="仿宋" w:eastAsia="仿宋" w:cs="仿宋"/>
                <w:szCs w:val="21"/>
                <w:lang w:val="en-US" w:eastAsia="zh-CN"/>
              </w:rPr>
            </w:pPr>
            <w:r>
              <w:rPr>
                <w:rFonts w:hint="eastAsia" w:ascii="仿宋" w:hAnsi="仿宋" w:eastAsia="仿宋" w:cs="仿宋"/>
                <w:szCs w:val="21"/>
                <w:lang w:val="en-US" w:eastAsia="zh-CN"/>
              </w:rPr>
              <w:t>企业体系认证（3分）</w:t>
            </w:r>
          </w:p>
        </w:tc>
        <w:tc>
          <w:tcPr>
            <w:tcW w:w="3446" w:type="pct"/>
            <w:gridSpan w:val="2"/>
            <w:shd w:val="clear" w:color="auto" w:fill="auto"/>
            <w:noWrap w:val="0"/>
            <w:vAlign w:val="center"/>
          </w:tcPr>
          <w:p w14:paraId="6B6E54E6">
            <w:pPr>
              <w:snapToGrid w:val="0"/>
              <w:spacing w:line="360" w:lineRule="exact"/>
              <w:jc w:val="left"/>
              <w:rPr>
                <w:rFonts w:hint="eastAsia" w:ascii="仿宋" w:hAnsi="仿宋" w:eastAsia="仿宋" w:cs="仿宋"/>
                <w:szCs w:val="21"/>
                <w:lang w:val="en-US" w:eastAsia="zh-CN"/>
              </w:rPr>
            </w:pPr>
            <w:r>
              <w:rPr>
                <w:rFonts w:hint="eastAsia" w:ascii="仿宋" w:hAnsi="仿宋" w:eastAsia="仿宋" w:cs="仿宋"/>
                <w:szCs w:val="21"/>
                <w:lang w:val="en-US" w:eastAsia="zh-CN"/>
              </w:rPr>
              <w:t>具有有效的质量管理体系认证证书、环境管理体系认证证书、职业健康安全管理体系认证证书、诚信管理体系认证证书、社会责任管理体系认证的，有一个得0.6分，最高得3分。</w:t>
            </w:r>
          </w:p>
          <w:p w14:paraId="1DE97E4E">
            <w:pPr>
              <w:snapToGrid w:val="0"/>
              <w:spacing w:line="360" w:lineRule="exact"/>
              <w:jc w:val="left"/>
              <w:rPr>
                <w:rFonts w:hint="eastAsia" w:ascii="仿宋" w:hAnsi="仿宋" w:eastAsia="仿宋" w:cs="仿宋"/>
                <w:lang w:val="en-US" w:eastAsia="zh-CN"/>
              </w:rPr>
            </w:pPr>
            <w:r>
              <w:rPr>
                <w:rFonts w:hint="eastAsia" w:ascii="仿宋" w:hAnsi="仿宋" w:eastAsia="仿宋" w:cs="仿宋"/>
                <w:szCs w:val="21"/>
                <w:lang w:val="en-US" w:eastAsia="zh-CN"/>
              </w:rPr>
              <w:t>注：响应文件中提供证书扫描件加盖公章，并提供在国家认证认可监督管理委员会网址的信息查询截图作为评审依据，未提供信息查询截图、已失效或撤销的不得分。查询网址：http://cx.cnca.cn/CertECloud/index/index/page</w:t>
            </w:r>
          </w:p>
        </w:tc>
      </w:tr>
      <w:tr w14:paraId="67A0A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90" w:hRule="atLeast"/>
          <w:jc w:val="center"/>
        </w:trPr>
        <w:tc>
          <w:tcPr>
            <w:tcW w:w="686" w:type="pct"/>
            <w:gridSpan w:val="2"/>
            <w:vMerge w:val="continue"/>
            <w:noWrap w:val="0"/>
            <w:vAlign w:val="center"/>
          </w:tcPr>
          <w:p w14:paraId="67D81DF6">
            <w:pPr>
              <w:widowControl/>
              <w:snapToGrid w:val="0"/>
              <w:spacing w:line="350" w:lineRule="exact"/>
              <w:jc w:val="center"/>
              <w:rPr>
                <w:rFonts w:hint="eastAsia" w:ascii="仿宋" w:hAnsi="仿宋" w:eastAsia="仿宋" w:cs="仿宋"/>
                <w:szCs w:val="21"/>
              </w:rPr>
            </w:pPr>
          </w:p>
        </w:tc>
        <w:tc>
          <w:tcPr>
            <w:tcW w:w="867" w:type="pct"/>
            <w:gridSpan w:val="2"/>
            <w:tcBorders>
              <w:top w:val="single" w:color="000000" w:sz="4" w:space="0"/>
              <w:left w:val="single" w:color="000000" w:sz="4" w:space="0"/>
              <w:bottom w:val="single" w:color="000000" w:sz="4" w:space="0"/>
              <w:right w:val="single" w:color="000000" w:sz="4" w:space="0"/>
            </w:tcBorders>
            <w:noWrap w:val="0"/>
            <w:vAlign w:val="center"/>
          </w:tcPr>
          <w:p w14:paraId="272419B7">
            <w:pPr>
              <w:widowControl/>
              <w:snapToGrid w:val="0"/>
              <w:spacing w:line="350" w:lineRule="exact"/>
              <w:jc w:val="center"/>
              <w:rPr>
                <w:rFonts w:hint="eastAsia" w:ascii="仿宋" w:hAnsi="仿宋" w:eastAsia="仿宋" w:cs="仿宋"/>
                <w:szCs w:val="21"/>
              </w:rPr>
            </w:pPr>
            <w:r>
              <w:rPr>
                <w:rFonts w:hint="eastAsia" w:ascii="仿宋" w:hAnsi="仿宋" w:eastAsia="仿宋" w:cs="仿宋"/>
                <w:szCs w:val="21"/>
              </w:rPr>
              <w:t>企业荣誉</w:t>
            </w:r>
          </w:p>
          <w:p w14:paraId="18D101BC">
            <w:pPr>
              <w:widowControl/>
              <w:snapToGrid w:val="0"/>
              <w:spacing w:line="350" w:lineRule="exact"/>
              <w:jc w:val="center"/>
              <w:rPr>
                <w:rFonts w:hint="eastAsia" w:ascii="仿宋" w:hAnsi="仿宋" w:eastAsia="仿宋" w:cs="仿宋"/>
                <w:szCs w:val="21"/>
                <w:lang w:val="en-US" w:eastAsia="zh-CN"/>
              </w:rPr>
            </w:pPr>
            <w:r>
              <w:rPr>
                <w:rFonts w:hint="eastAsia" w:ascii="仿宋" w:hAnsi="仿宋" w:eastAsia="仿宋" w:cs="仿宋"/>
                <w:szCs w:val="21"/>
              </w:rPr>
              <w:t>（</w:t>
            </w:r>
            <w:r>
              <w:rPr>
                <w:rFonts w:hint="eastAsia" w:ascii="仿宋" w:hAnsi="仿宋" w:eastAsia="仿宋" w:cs="仿宋"/>
                <w:szCs w:val="21"/>
                <w:lang w:val="en-US" w:eastAsia="zh-CN"/>
              </w:rPr>
              <w:t>2</w:t>
            </w:r>
            <w:r>
              <w:rPr>
                <w:rFonts w:hint="eastAsia" w:ascii="仿宋" w:hAnsi="仿宋" w:eastAsia="仿宋" w:cs="仿宋"/>
                <w:szCs w:val="21"/>
              </w:rPr>
              <w:t>分）</w:t>
            </w:r>
          </w:p>
        </w:tc>
        <w:tc>
          <w:tcPr>
            <w:tcW w:w="3446" w:type="pct"/>
            <w:gridSpan w:val="2"/>
            <w:tcBorders>
              <w:top w:val="single" w:color="000000" w:sz="4" w:space="0"/>
              <w:left w:val="single" w:color="000000" w:sz="4" w:space="0"/>
              <w:bottom w:val="single" w:color="000000" w:sz="4" w:space="0"/>
              <w:right w:val="single" w:color="000000" w:sz="4" w:space="0"/>
            </w:tcBorders>
            <w:noWrap w:val="0"/>
            <w:vAlign w:val="center"/>
          </w:tcPr>
          <w:p w14:paraId="7334F0D6">
            <w:pPr>
              <w:widowControl/>
              <w:snapToGrid w:val="0"/>
              <w:spacing w:line="350" w:lineRule="exact"/>
              <w:jc w:val="left"/>
              <w:rPr>
                <w:rFonts w:hint="eastAsia" w:ascii="仿宋" w:hAnsi="仿宋" w:eastAsia="仿宋" w:cs="仿宋"/>
                <w:szCs w:val="21"/>
                <w:lang w:val="en-US" w:eastAsia="zh-CN"/>
              </w:rPr>
            </w:pPr>
            <w:r>
              <w:rPr>
                <w:rFonts w:hint="eastAsia" w:ascii="仿宋" w:hAnsi="仿宋" w:eastAsia="仿宋" w:cs="仿宋"/>
                <w:szCs w:val="21"/>
              </w:rPr>
              <w:t>20</w:t>
            </w:r>
            <w:r>
              <w:rPr>
                <w:rFonts w:hint="eastAsia" w:ascii="仿宋" w:hAnsi="仿宋" w:eastAsia="仿宋" w:cs="仿宋"/>
                <w:szCs w:val="21"/>
                <w:lang w:val="en-US" w:eastAsia="zh-CN"/>
              </w:rPr>
              <w:t>21</w:t>
            </w:r>
            <w:r>
              <w:rPr>
                <w:rFonts w:hint="eastAsia" w:ascii="仿宋" w:hAnsi="仿宋" w:eastAsia="仿宋" w:cs="仿宋"/>
                <w:szCs w:val="21"/>
              </w:rPr>
              <w:t>年1月1日以来</w:t>
            </w:r>
            <w:r>
              <w:rPr>
                <w:rFonts w:hint="eastAsia" w:ascii="仿宋" w:hAnsi="仿宋" w:eastAsia="仿宋" w:cs="仿宋"/>
                <w:szCs w:val="21"/>
                <w:lang w:eastAsia="zh-CN"/>
              </w:rPr>
              <w:t>，投标供应商</w:t>
            </w:r>
            <w:r>
              <w:rPr>
                <w:rFonts w:hint="eastAsia" w:ascii="仿宋" w:hAnsi="仿宋" w:eastAsia="仿宋" w:cs="仿宋"/>
                <w:szCs w:val="21"/>
                <w:lang w:val="en-US" w:eastAsia="zh-CN"/>
              </w:rPr>
              <w:t>获得政府部门或职能部门颁发的道路清扫保洁市场化运营相关荣誉奖项的，每有1个</w:t>
            </w:r>
            <w:r>
              <w:rPr>
                <w:rFonts w:hint="eastAsia" w:ascii="仿宋" w:hAnsi="仿宋" w:eastAsia="仿宋" w:cs="仿宋"/>
                <w:szCs w:val="21"/>
              </w:rPr>
              <w:t>得</w:t>
            </w:r>
            <w:r>
              <w:rPr>
                <w:rFonts w:hint="eastAsia" w:ascii="仿宋" w:hAnsi="仿宋" w:eastAsia="仿宋" w:cs="仿宋"/>
                <w:szCs w:val="21"/>
                <w:lang w:val="en-US" w:eastAsia="zh-CN"/>
              </w:rPr>
              <w:t>1</w:t>
            </w:r>
            <w:r>
              <w:rPr>
                <w:rFonts w:hint="eastAsia" w:ascii="仿宋" w:hAnsi="仿宋" w:eastAsia="仿宋" w:cs="仿宋"/>
                <w:szCs w:val="21"/>
              </w:rPr>
              <w:t>分</w:t>
            </w:r>
            <w:r>
              <w:rPr>
                <w:rFonts w:hint="eastAsia" w:ascii="仿宋" w:hAnsi="仿宋" w:eastAsia="仿宋" w:cs="仿宋"/>
                <w:szCs w:val="21"/>
                <w:lang w:eastAsia="zh-CN"/>
              </w:rPr>
              <w:t>，</w:t>
            </w:r>
            <w:r>
              <w:rPr>
                <w:rFonts w:hint="eastAsia" w:ascii="仿宋" w:hAnsi="仿宋" w:eastAsia="仿宋" w:cs="仿宋"/>
                <w:szCs w:val="21"/>
                <w:lang w:val="en-US" w:eastAsia="zh-CN"/>
              </w:rPr>
              <w:t>最高得2</w:t>
            </w:r>
            <w:r>
              <w:rPr>
                <w:rFonts w:hint="eastAsia" w:ascii="仿宋" w:hAnsi="仿宋" w:eastAsia="仿宋" w:cs="仿宋"/>
                <w:szCs w:val="21"/>
              </w:rPr>
              <w:t>分</w:t>
            </w:r>
            <w:r>
              <w:rPr>
                <w:rFonts w:hint="eastAsia" w:ascii="仿宋" w:hAnsi="仿宋" w:eastAsia="仿宋" w:cs="仿宋"/>
                <w:szCs w:val="21"/>
                <w:lang w:eastAsia="zh-CN"/>
              </w:rPr>
              <w:t>。</w:t>
            </w:r>
          </w:p>
          <w:p w14:paraId="6828E61D">
            <w:pPr>
              <w:widowControl/>
              <w:snapToGrid w:val="0"/>
              <w:spacing w:line="350" w:lineRule="exact"/>
              <w:jc w:val="left"/>
              <w:rPr>
                <w:rFonts w:hint="eastAsia" w:ascii="仿宋" w:hAnsi="仿宋" w:eastAsia="仿宋" w:cs="仿宋"/>
                <w:szCs w:val="21"/>
                <w:lang w:val="en-US" w:eastAsia="zh-CN"/>
              </w:rPr>
            </w:pPr>
            <w:r>
              <w:rPr>
                <w:rFonts w:hint="eastAsia" w:ascii="仿宋" w:hAnsi="仿宋" w:eastAsia="仿宋" w:cs="仿宋"/>
                <w:szCs w:val="21"/>
                <w:lang w:val="en-US" w:eastAsia="zh-CN"/>
              </w:rPr>
              <w:t>（提供荣誉奖项红头文件</w:t>
            </w:r>
            <w:r>
              <w:rPr>
                <w:rFonts w:hint="eastAsia" w:ascii="仿宋" w:hAnsi="仿宋" w:eastAsia="仿宋" w:cs="仿宋"/>
                <w:szCs w:val="21"/>
                <w:highlight w:val="none"/>
                <w:lang w:val="en-US" w:eastAsia="zh-CN"/>
              </w:rPr>
              <w:t>或</w:t>
            </w:r>
            <w:r>
              <w:rPr>
                <w:rFonts w:hint="eastAsia" w:ascii="仿宋" w:hAnsi="仿宋" w:eastAsia="仿宋" w:cs="仿宋"/>
                <w:szCs w:val="21"/>
                <w:lang w:val="en-US" w:eastAsia="zh-CN"/>
              </w:rPr>
              <w:t>证书扫描件，并</w:t>
            </w:r>
            <w:r>
              <w:rPr>
                <w:rFonts w:hint="eastAsia" w:ascii="仿宋" w:hAnsi="仿宋" w:eastAsia="仿宋" w:cs="仿宋"/>
                <w:szCs w:val="21"/>
              </w:rPr>
              <w:t>加盖</w:t>
            </w:r>
            <w:r>
              <w:rPr>
                <w:rFonts w:hint="eastAsia" w:ascii="仿宋" w:hAnsi="仿宋" w:eastAsia="仿宋" w:cs="仿宋"/>
                <w:szCs w:val="21"/>
                <w:lang w:eastAsia="zh-CN"/>
              </w:rPr>
              <w:t>投标供应商</w:t>
            </w:r>
            <w:r>
              <w:rPr>
                <w:rFonts w:hint="eastAsia" w:ascii="仿宋" w:hAnsi="仿宋" w:eastAsia="仿宋" w:cs="仿宋"/>
                <w:szCs w:val="21"/>
              </w:rPr>
              <w:t>公章，</w:t>
            </w:r>
            <w:r>
              <w:rPr>
                <w:rFonts w:hint="eastAsia" w:ascii="仿宋" w:hAnsi="仿宋" w:eastAsia="仿宋" w:cs="仿宋"/>
                <w:szCs w:val="21"/>
                <w:lang w:eastAsia="zh-CN"/>
              </w:rPr>
              <w:t>且近三年未有被行政处罚记录，</w:t>
            </w:r>
            <w:r>
              <w:rPr>
                <w:rFonts w:hint="eastAsia" w:ascii="仿宋" w:hAnsi="仿宋" w:eastAsia="仿宋" w:cs="仿宋"/>
                <w:szCs w:val="21"/>
              </w:rPr>
              <w:t>否则不得分</w:t>
            </w:r>
            <w:r>
              <w:rPr>
                <w:rFonts w:hint="eastAsia" w:ascii="仿宋" w:hAnsi="仿宋" w:eastAsia="仿宋" w:cs="仿宋"/>
                <w:szCs w:val="21"/>
                <w:lang w:val="en-US" w:eastAsia="zh-CN"/>
              </w:rPr>
              <w:t>）</w:t>
            </w:r>
          </w:p>
        </w:tc>
      </w:tr>
      <w:tr w14:paraId="382E03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86" w:type="pct"/>
            <w:gridSpan w:val="2"/>
            <w:vMerge w:val="continue"/>
            <w:noWrap w:val="0"/>
            <w:vAlign w:val="center"/>
          </w:tcPr>
          <w:p w14:paraId="3D7C5BFD">
            <w:pPr>
              <w:widowControl/>
              <w:snapToGrid w:val="0"/>
              <w:spacing w:line="350" w:lineRule="exact"/>
              <w:jc w:val="center"/>
              <w:rPr>
                <w:rFonts w:hint="eastAsia" w:ascii="仿宋" w:hAnsi="仿宋" w:eastAsia="仿宋" w:cs="仿宋"/>
                <w:szCs w:val="21"/>
              </w:rPr>
            </w:pPr>
          </w:p>
        </w:tc>
        <w:tc>
          <w:tcPr>
            <w:tcW w:w="867" w:type="pct"/>
            <w:gridSpan w:val="2"/>
            <w:tcBorders>
              <w:top w:val="single" w:color="000000" w:sz="4" w:space="0"/>
              <w:left w:val="single" w:color="000000" w:sz="4" w:space="0"/>
              <w:bottom w:val="single" w:color="000000" w:sz="4" w:space="0"/>
              <w:right w:val="single" w:color="000000" w:sz="4" w:space="0"/>
            </w:tcBorders>
            <w:noWrap w:val="0"/>
            <w:vAlign w:val="center"/>
          </w:tcPr>
          <w:p w14:paraId="1AD30E55">
            <w:pPr>
              <w:widowControl/>
              <w:snapToGrid w:val="0"/>
              <w:spacing w:line="350" w:lineRule="exact"/>
              <w:jc w:val="center"/>
              <w:rPr>
                <w:rFonts w:hint="eastAsia" w:ascii="仿宋" w:hAnsi="仿宋" w:eastAsia="仿宋" w:cs="仿宋"/>
                <w:szCs w:val="21"/>
              </w:rPr>
            </w:pPr>
            <w:r>
              <w:rPr>
                <w:rFonts w:hint="eastAsia" w:ascii="仿宋" w:hAnsi="仿宋" w:eastAsia="仿宋" w:cs="仿宋"/>
                <w:szCs w:val="21"/>
              </w:rPr>
              <w:t>业绩</w:t>
            </w:r>
          </w:p>
          <w:p w14:paraId="73688AC0">
            <w:pPr>
              <w:widowControl/>
              <w:snapToGrid w:val="0"/>
              <w:spacing w:line="350" w:lineRule="exact"/>
              <w:jc w:val="center"/>
              <w:rPr>
                <w:rFonts w:hint="eastAsia"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lang w:val="en-US" w:eastAsia="zh-CN"/>
              </w:rPr>
              <w:t>16分</w:t>
            </w:r>
            <w:r>
              <w:rPr>
                <w:rFonts w:hint="eastAsia" w:ascii="仿宋" w:hAnsi="仿宋" w:eastAsia="仿宋" w:cs="仿宋"/>
                <w:szCs w:val="21"/>
                <w:lang w:eastAsia="zh-CN"/>
              </w:rPr>
              <w:t>）</w:t>
            </w:r>
          </w:p>
        </w:tc>
        <w:tc>
          <w:tcPr>
            <w:tcW w:w="3446" w:type="pct"/>
            <w:gridSpan w:val="2"/>
            <w:tcBorders>
              <w:top w:val="single" w:color="000000" w:sz="4" w:space="0"/>
              <w:left w:val="single" w:color="000000" w:sz="4" w:space="0"/>
              <w:bottom w:val="single" w:color="000000" w:sz="4" w:space="0"/>
              <w:right w:val="single" w:color="000000" w:sz="4" w:space="0"/>
            </w:tcBorders>
            <w:noWrap w:val="0"/>
            <w:vAlign w:val="center"/>
          </w:tcPr>
          <w:p w14:paraId="5F9DF19F">
            <w:pPr>
              <w:widowControl/>
              <w:snapToGrid w:val="0"/>
              <w:spacing w:line="350" w:lineRule="exact"/>
              <w:jc w:val="left"/>
              <w:rPr>
                <w:rFonts w:hint="eastAsia" w:ascii="仿宋" w:hAnsi="仿宋" w:eastAsia="仿宋" w:cs="仿宋"/>
                <w:szCs w:val="21"/>
              </w:rPr>
            </w:pPr>
            <w:r>
              <w:rPr>
                <w:rFonts w:hint="eastAsia" w:ascii="仿宋" w:hAnsi="仿宋" w:eastAsia="仿宋" w:cs="仿宋"/>
                <w:szCs w:val="21"/>
              </w:rPr>
              <w:t>20</w:t>
            </w:r>
            <w:r>
              <w:rPr>
                <w:rFonts w:hint="eastAsia" w:ascii="仿宋" w:hAnsi="仿宋" w:eastAsia="仿宋" w:cs="仿宋"/>
                <w:szCs w:val="21"/>
                <w:lang w:val="en-US" w:eastAsia="zh-CN"/>
              </w:rPr>
              <w:t>23</w:t>
            </w:r>
            <w:r>
              <w:rPr>
                <w:rFonts w:hint="eastAsia" w:ascii="仿宋" w:hAnsi="仿宋" w:eastAsia="仿宋" w:cs="仿宋"/>
                <w:szCs w:val="21"/>
              </w:rPr>
              <w:t>年1月1日以来（以合同签订日期为准），</w:t>
            </w:r>
            <w:r>
              <w:rPr>
                <w:rFonts w:hint="eastAsia" w:ascii="仿宋" w:hAnsi="仿宋" w:eastAsia="仿宋" w:cs="仿宋"/>
                <w:szCs w:val="21"/>
                <w:lang w:val="en-US" w:eastAsia="zh-CN"/>
              </w:rPr>
              <w:t>投标供应商</w:t>
            </w:r>
            <w:r>
              <w:rPr>
                <w:rFonts w:hint="eastAsia" w:ascii="仿宋" w:hAnsi="仿宋" w:eastAsia="仿宋" w:cs="仿宋"/>
                <w:szCs w:val="21"/>
              </w:rPr>
              <w:t>承接过或正在履行的类似</w:t>
            </w:r>
            <w:r>
              <w:rPr>
                <w:rFonts w:hint="eastAsia" w:ascii="仿宋" w:hAnsi="仿宋" w:eastAsia="仿宋" w:cs="仿宋"/>
                <w:szCs w:val="21"/>
                <w:lang w:val="en-US" w:eastAsia="zh-CN"/>
              </w:rPr>
              <w:t>本</w:t>
            </w:r>
            <w:r>
              <w:rPr>
                <w:rFonts w:hint="eastAsia" w:ascii="仿宋" w:hAnsi="仿宋" w:eastAsia="仿宋" w:cs="仿宋"/>
                <w:szCs w:val="21"/>
              </w:rPr>
              <w:t>项目业绩:</w:t>
            </w:r>
          </w:p>
          <w:p w14:paraId="47A2F072">
            <w:pPr>
              <w:widowControl/>
              <w:snapToGrid w:val="0"/>
              <w:spacing w:line="350" w:lineRule="exact"/>
              <w:jc w:val="left"/>
              <w:rPr>
                <w:rFonts w:hint="eastAsia" w:ascii="仿宋" w:hAnsi="仿宋" w:eastAsia="仿宋" w:cs="仿宋"/>
                <w:szCs w:val="21"/>
              </w:rPr>
            </w:pPr>
            <w:r>
              <w:rPr>
                <w:rFonts w:hint="eastAsia" w:ascii="仿宋" w:hAnsi="仿宋" w:eastAsia="仿宋" w:cs="仿宋"/>
                <w:szCs w:val="21"/>
              </w:rPr>
              <w:t>①具有清扫保洁项目业绩，每提供一个得</w:t>
            </w:r>
            <w:r>
              <w:rPr>
                <w:rFonts w:hint="eastAsia" w:ascii="仿宋" w:hAnsi="仿宋" w:eastAsia="仿宋" w:cs="仿宋"/>
                <w:szCs w:val="21"/>
                <w:lang w:val="en-US" w:eastAsia="zh-CN"/>
              </w:rPr>
              <w:t>2</w:t>
            </w:r>
            <w:r>
              <w:rPr>
                <w:rFonts w:hint="eastAsia" w:ascii="仿宋" w:hAnsi="仿宋" w:eastAsia="仿宋" w:cs="仿宋"/>
                <w:szCs w:val="21"/>
              </w:rPr>
              <w:t xml:space="preserve"> 分，最</w:t>
            </w:r>
            <w:r>
              <w:rPr>
                <w:rFonts w:hint="eastAsia" w:ascii="仿宋" w:hAnsi="仿宋" w:eastAsia="仿宋" w:cs="仿宋"/>
                <w:szCs w:val="21"/>
                <w:lang w:val="en-US" w:eastAsia="zh-CN"/>
              </w:rPr>
              <w:t>高</w:t>
            </w:r>
            <w:r>
              <w:rPr>
                <w:rFonts w:hint="eastAsia" w:ascii="仿宋" w:hAnsi="仿宋" w:eastAsia="仿宋" w:cs="仿宋"/>
                <w:szCs w:val="21"/>
              </w:rPr>
              <w:t>得</w:t>
            </w:r>
            <w:r>
              <w:rPr>
                <w:rFonts w:hint="eastAsia" w:ascii="仿宋" w:hAnsi="仿宋" w:eastAsia="仿宋" w:cs="仿宋"/>
                <w:szCs w:val="21"/>
                <w:lang w:val="en-US" w:eastAsia="zh-CN"/>
              </w:rPr>
              <w:t xml:space="preserve"> 4</w:t>
            </w:r>
            <w:r>
              <w:rPr>
                <w:rFonts w:hint="eastAsia" w:ascii="仿宋" w:hAnsi="仿宋" w:eastAsia="仿宋" w:cs="仿宋"/>
                <w:szCs w:val="21"/>
              </w:rPr>
              <w:t>分；</w:t>
            </w:r>
          </w:p>
          <w:p w14:paraId="0B6C8CAE">
            <w:pPr>
              <w:widowControl/>
              <w:snapToGrid w:val="0"/>
              <w:spacing w:line="350" w:lineRule="exact"/>
              <w:jc w:val="left"/>
              <w:rPr>
                <w:rFonts w:hint="eastAsia" w:ascii="仿宋" w:hAnsi="仿宋" w:eastAsia="仿宋" w:cs="仿宋"/>
                <w:szCs w:val="21"/>
              </w:rPr>
            </w:pPr>
            <w:r>
              <w:rPr>
                <w:rFonts w:hint="eastAsia" w:ascii="仿宋" w:hAnsi="仿宋" w:eastAsia="仿宋" w:cs="仿宋"/>
                <w:szCs w:val="21"/>
                <w:lang w:val="en-US" w:eastAsia="zh-CN"/>
              </w:rPr>
              <w:t>②</w:t>
            </w:r>
            <w:r>
              <w:rPr>
                <w:rFonts w:hint="eastAsia" w:ascii="仿宋" w:hAnsi="仿宋" w:eastAsia="仿宋" w:cs="仿宋"/>
                <w:szCs w:val="21"/>
              </w:rPr>
              <w:t>具有垃圾收集清运业绩，每提供一个得</w:t>
            </w:r>
            <w:r>
              <w:rPr>
                <w:rFonts w:hint="eastAsia" w:ascii="仿宋" w:hAnsi="仿宋" w:eastAsia="仿宋" w:cs="仿宋"/>
                <w:szCs w:val="21"/>
                <w:lang w:val="en-US" w:eastAsia="zh-CN"/>
              </w:rPr>
              <w:t>2</w:t>
            </w:r>
            <w:r>
              <w:rPr>
                <w:rFonts w:hint="eastAsia" w:ascii="仿宋" w:hAnsi="仿宋" w:eastAsia="仿宋" w:cs="仿宋"/>
                <w:szCs w:val="21"/>
              </w:rPr>
              <w:t xml:space="preserve"> 分，最</w:t>
            </w:r>
            <w:r>
              <w:rPr>
                <w:rFonts w:hint="eastAsia" w:ascii="仿宋" w:hAnsi="仿宋" w:eastAsia="仿宋" w:cs="仿宋"/>
                <w:szCs w:val="21"/>
                <w:lang w:val="en-US" w:eastAsia="zh-CN"/>
              </w:rPr>
              <w:t>高</w:t>
            </w:r>
            <w:r>
              <w:rPr>
                <w:rFonts w:hint="eastAsia" w:ascii="仿宋" w:hAnsi="仿宋" w:eastAsia="仿宋" w:cs="仿宋"/>
                <w:szCs w:val="21"/>
              </w:rPr>
              <w:t>得</w:t>
            </w:r>
            <w:r>
              <w:rPr>
                <w:rFonts w:hint="eastAsia" w:ascii="仿宋" w:hAnsi="仿宋" w:eastAsia="仿宋" w:cs="仿宋"/>
                <w:szCs w:val="21"/>
                <w:lang w:val="en-US" w:eastAsia="zh-CN"/>
              </w:rPr>
              <w:t xml:space="preserve"> 4</w:t>
            </w:r>
            <w:r>
              <w:rPr>
                <w:rFonts w:hint="eastAsia" w:ascii="仿宋" w:hAnsi="仿宋" w:eastAsia="仿宋" w:cs="仿宋"/>
                <w:szCs w:val="21"/>
              </w:rPr>
              <w:t>分；</w:t>
            </w:r>
          </w:p>
          <w:p w14:paraId="2CFA0746">
            <w:pPr>
              <w:widowControl/>
              <w:snapToGrid w:val="0"/>
              <w:spacing w:line="350" w:lineRule="exact"/>
              <w:jc w:val="left"/>
              <w:rPr>
                <w:rFonts w:hint="eastAsia" w:ascii="仿宋" w:hAnsi="仿宋" w:eastAsia="仿宋" w:cs="仿宋"/>
                <w:szCs w:val="21"/>
                <w:lang w:eastAsia="zh-CN"/>
              </w:rPr>
            </w:pPr>
            <w:r>
              <w:rPr>
                <w:rFonts w:hint="eastAsia" w:ascii="仿宋" w:hAnsi="仿宋" w:eastAsia="仿宋" w:cs="仿宋"/>
                <w:szCs w:val="21"/>
                <w:lang w:val="en-US" w:eastAsia="zh-CN"/>
              </w:rPr>
              <w:t>③</w:t>
            </w:r>
            <w:r>
              <w:rPr>
                <w:rFonts w:hint="eastAsia" w:ascii="仿宋" w:hAnsi="仿宋" w:eastAsia="仿宋" w:cs="仿宋"/>
                <w:szCs w:val="21"/>
              </w:rPr>
              <w:t>具有</w:t>
            </w:r>
            <w:r>
              <w:rPr>
                <w:rFonts w:hint="eastAsia" w:ascii="仿宋" w:hAnsi="仿宋" w:eastAsia="仿宋" w:cs="仿宋"/>
                <w:szCs w:val="21"/>
                <w:lang w:val="en-US" w:eastAsia="zh-CN"/>
              </w:rPr>
              <w:t>河道</w:t>
            </w:r>
            <w:r>
              <w:rPr>
                <w:rFonts w:hint="eastAsia" w:ascii="仿宋" w:hAnsi="仿宋" w:eastAsia="仿宋" w:cs="仿宋"/>
                <w:szCs w:val="21"/>
              </w:rPr>
              <w:t xml:space="preserve">保洁业绩，每提供一个得 </w:t>
            </w:r>
            <w:r>
              <w:rPr>
                <w:rFonts w:hint="eastAsia" w:ascii="仿宋" w:hAnsi="仿宋" w:eastAsia="仿宋" w:cs="仿宋"/>
                <w:szCs w:val="21"/>
                <w:lang w:val="en-US" w:eastAsia="zh-CN"/>
              </w:rPr>
              <w:t xml:space="preserve">1 </w:t>
            </w:r>
            <w:r>
              <w:rPr>
                <w:rFonts w:hint="eastAsia" w:ascii="仿宋" w:hAnsi="仿宋" w:eastAsia="仿宋" w:cs="仿宋"/>
                <w:szCs w:val="21"/>
              </w:rPr>
              <w:t>分，最多得</w:t>
            </w:r>
            <w:r>
              <w:rPr>
                <w:rFonts w:hint="eastAsia" w:ascii="仿宋" w:hAnsi="仿宋" w:eastAsia="仿宋" w:cs="仿宋"/>
                <w:szCs w:val="21"/>
                <w:lang w:val="en-US" w:eastAsia="zh-CN"/>
              </w:rPr>
              <w:t xml:space="preserve"> 2</w:t>
            </w:r>
            <w:r>
              <w:rPr>
                <w:rFonts w:hint="eastAsia" w:ascii="仿宋" w:hAnsi="仿宋" w:eastAsia="仿宋" w:cs="仿宋"/>
                <w:szCs w:val="21"/>
              </w:rPr>
              <w:t>分</w:t>
            </w:r>
            <w:r>
              <w:rPr>
                <w:rFonts w:hint="eastAsia" w:ascii="仿宋" w:hAnsi="仿宋" w:eastAsia="仿宋" w:cs="仿宋"/>
                <w:szCs w:val="21"/>
                <w:lang w:eastAsia="zh-CN"/>
              </w:rPr>
              <w:t>；</w:t>
            </w:r>
          </w:p>
          <w:p w14:paraId="2242163E">
            <w:pPr>
              <w:widowControl/>
              <w:snapToGrid w:val="0"/>
              <w:spacing w:line="350" w:lineRule="exact"/>
              <w:jc w:val="left"/>
              <w:rPr>
                <w:rFonts w:hint="eastAsia" w:ascii="仿宋" w:hAnsi="仿宋" w:eastAsia="仿宋" w:cs="仿宋"/>
                <w:szCs w:val="21"/>
                <w:lang w:eastAsia="zh-CN"/>
              </w:rPr>
            </w:pPr>
            <w:r>
              <w:rPr>
                <w:rFonts w:hint="eastAsia" w:ascii="仿宋" w:hAnsi="仿宋" w:eastAsia="仿宋" w:cs="仿宋"/>
                <w:szCs w:val="21"/>
                <w:lang w:eastAsia="zh-CN"/>
              </w:rPr>
              <w:t>④</w:t>
            </w:r>
            <w:r>
              <w:rPr>
                <w:rFonts w:hint="eastAsia" w:ascii="仿宋" w:hAnsi="仿宋" w:eastAsia="仿宋" w:cs="仿宋"/>
                <w:szCs w:val="21"/>
              </w:rPr>
              <w:t>具有</w:t>
            </w:r>
            <w:r>
              <w:rPr>
                <w:rFonts w:hint="eastAsia" w:ascii="仿宋" w:hAnsi="仿宋" w:eastAsia="仿宋" w:cs="仿宋"/>
                <w:szCs w:val="21"/>
                <w:lang w:eastAsia="zh-CN"/>
              </w:rPr>
              <w:t>农贸市场市容管理服务</w:t>
            </w:r>
            <w:r>
              <w:rPr>
                <w:rFonts w:hint="eastAsia" w:ascii="仿宋" w:hAnsi="仿宋" w:eastAsia="仿宋" w:cs="仿宋"/>
                <w:szCs w:val="21"/>
              </w:rPr>
              <w:t>业绩</w:t>
            </w:r>
            <w:r>
              <w:rPr>
                <w:rFonts w:hint="eastAsia" w:ascii="仿宋" w:hAnsi="仿宋" w:eastAsia="仿宋" w:cs="仿宋"/>
                <w:szCs w:val="21"/>
                <w:lang w:eastAsia="zh-CN"/>
              </w:rPr>
              <w:t>，</w:t>
            </w:r>
            <w:r>
              <w:rPr>
                <w:rFonts w:hint="eastAsia" w:ascii="仿宋" w:hAnsi="仿宋" w:eastAsia="仿宋" w:cs="仿宋"/>
                <w:szCs w:val="21"/>
              </w:rPr>
              <w:t xml:space="preserve">每提供一个得 </w:t>
            </w:r>
            <w:r>
              <w:rPr>
                <w:rFonts w:hint="eastAsia" w:ascii="仿宋" w:hAnsi="仿宋" w:eastAsia="仿宋" w:cs="仿宋"/>
                <w:szCs w:val="21"/>
                <w:lang w:val="en-US" w:eastAsia="zh-CN"/>
              </w:rPr>
              <w:t>1</w:t>
            </w:r>
            <w:r>
              <w:rPr>
                <w:rFonts w:hint="eastAsia" w:ascii="仿宋" w:hAnsi="仿宋" w:eastAsia="仿宋" w:cs="仿宋"/>
                <w:szCs w:val="21"/>
              </w:rPr>
              <w:t>分，最</w:t>
            </w:r>
            <w:r>
              <w:rPr>
                <w:rFonts w:hint="eastAsia" w:ascii="仿宋" w:hAnsi="仿宋" w:eastAsia="仿宋" w:cs="仿宋"/>
                <w:szCs w:val="21"/>
                <w:lang w:val="en-US" w:eastAsia="zh-CN"/>
              </w:rPr>
              <w:t>高</w:t>
            </w:r>
            <w:r>
              <w:rPr>
                <w:rFonts w:hint="eastAsia" w:ascii="仿宋" w:hAnsi="仿宋" w:eastAsia="仿宋" w:cs="仿宋"/>
                <w:szCs w:val="21"/>
              </w:rPr>
              <w:t>得</w:t>
            </w:r>
            <w:r>
              <w:rPr>
                <w:rFonts w:hint="eastAsia" w:ascii="仿宋" w:hAnsi="仿宋" w:eastAsia="仿宋" w:cs="仿宋"/>
                <w:szCs w:val="21"/>
                <w:lang w:val="en-US" w:eastAsia="zh-CN"/>
              </w:rPr>
              <w:t>2</w:t>
            </w:r>
            <w:r>
              <w:rPr>
                <w:rFonts w:hint="eastAsia" w:ascii="仿宋" w:hAnsi="仿宋" w:eastAsia="仿宋" w:cs="仿宋"/>
                <w:szCs w:val="21"/>
              </w:rPr>
              <w:t>分</w:t>
            </w:r>
            <w:r>
              <w:rPr>
                <w:rFonts w:hint="eastAsia" w:ascii="仿宋" w:hAnsi="仿宋" w:eastAsia="仿宋" w:cs="仿宋"/>
                <w:szCs w:val="21"/>
                <w:lang w:eastAsia="zh-CN"/>
              </w:rPr>
              <w:t>；</w:t>
            </w:r>
          </w:p>
          <w:p w14:paraId="65366F45">
            <w:pPr>
              <w:widowControl/>
              <w:snapToGrid w:val="0"/>
              <w:spacing w:line="350" w:lineRule="exact"/>
              <w:jc w:val="left"/>
              <w:rPr>
                <w:rFonts w:hint="eastAsia" w:ascii="仿宋" w:hAnsi="仿宋" w:eastAsia="仿宋" w:cs="仿宋"/>
                <w:szCs w:val="21"/>
                <w:lang w:val="en-US" w:eastAsia="zh-CN"/>
              </w:rPr>
            </w:pPr>
            <w:r>
              <w:rPr>
                <w:rFonts w:hint="eastAsia" w:ascii="仿宋" w:hAnsi="仿宋" w:eastAsia="仿宋" w:cs="仿宋"/>
                <w:szCs w:val="21"/>
                <w:lang w:val="en-US" w:eastAsia="zh-CN"/>
              </w:rPr>
              <w:fldChar w:fldCharType="begin"/>
            </w:r>
            <w:r>
              <w:rPr>
                <w:rFonts w:hint="eastAsia" w:ascii="仿宋" w:hAnsi="仿宋" w:eastAsia="仿宋" w:cs="仿宋"/>
                <w:szCs w:val="21"/>
                <w:lang w:val="en-US" w:eastAsia="zh-CN"/>
              </w:rPr>
              <w:instrText xml:space="preserve"> = 5 \* GB3 \* MERGEFORMAT </w:instrText>
            </w:r>
            <w:r>
              <w:rPr>
                <w:rFonts w:hint="eastAsia" w:ascii="仿宋" w:hAnsi="仿宋" w:eastAsia="仿宋" w:cs="仿宋"/>
                <w:szCs w:val="21"/>
                <w:lang w:val="en-US" w:eastAsia="zh-CN"/>
              </w:rPr>
              <w:fldChar w:fldCharType="separate"/>
            </w:r>
            <w:r>
              <w:rPr>
                <w:rFonts w:hint="eastAsia" w:ascii="仿宋" w:hAnsi="仿宋" w:eastAsia="仿宋" w:cs="仿宋"/>
                <w:szCs w:val="21"/>
                <w:lang w:val="en-US" w:eastAsia="zh-CN"/>
              </w:rPr>
              <w:t>⑤</w:t>
            </w:r>
            <w:r>
              <w:rPr>
                <w:rFonts w:hint="eastAsia" w:ascii="仿宋" w:hAnsi="仿宋" w:eastAsia="仿宋" w:cs="仿宋"/>
                <w:szCs w:val="21"/>
                <w:lang w:val="en-US" w:eastAsia="zh-CN"/>
              </w:rPr>
              <w:fldChar w:fldCharType="end"/>
            </w:r>
            <w:r>
              <w:rPr>
                <w:rFonts w:hint="eastAsia" w:ascii="仿宋" w:hAnsi="仿宋" w:eastAsia="仿宋" w:cs="仿宋"/>
                <w:szCs w:val="21"/>
              </w:rPr>
              <w:t>具有</w:t>
            </w:r>
            <w:r>
              <w:rPr>
                <w:rFonts w:hint="eastAsia" w:ascii="仿宋" w:hAnsi="仿宋" w:eastAsia="仿宋" w:cs="仿宋"/>
                <w:szCs w:val="21"/>
                <w:lang w:val="en-US" w:eastAsia="zh-CN"/>
              </w:rPr>
              <w:t>餐厨垃圾收运业绩，</w:t>
            </w:r>
            <w:r>
              <w:rPr>
                <w:rFonts w:hint="eastAsia" w:ascii="仿宋" w:hAnsi="仿宋" w:eastAsia="仿宋" w:cs="仿宋"/>
                <w:szCs w:val="21"/>
              </w:rPr>
              <w:t>每提供一个得</w:t>
            </w:r>
            <w:r>
              <w:rPr>
                <w:rFonts w:hint="eastAsia" w:ascii="仿宋" w:hAnsi="仿宋" w:eastAsia="仿宋" w:cs="仿宋"/>
                <w:szCs w:val="21"/>
                <w:lang w:val="en-US" w:eastAsia="zh-CN"/>
              </w:rPr>
              <w:t>1</w:t>
            </w:r>
            <w:r>
              <w:rPr>
                <w:rFonts w:hint="eastAsia" w:ascii="仿宋" w:hAnsi="仿宋" w:eastAsia="仿宋" w:cs="仿宋"/>
                <w:szCs w:val="21"/>
              </w:rPr>
              <w:t>分，最多得</w:t>
            </w:r>
            <w:r>
              <w:rPr>
                <w:rFonts w:hint="eastAsia" w:ascii="仿宋" w:hAnsi="仿宋" w:eastAsia="仿宋" w:cs="仿宋"/>
                <w:szCs w:val="21"/>
                <w:lang w:val="en-US" w:eastAsia="zh-CN"/>
              </w:rPr>
              <w:t>2</w:t>
            </w:r>
            <w:r>
              <w:rPr>
                <w:rFonts w:hint="eastAsia" w:ascii="仿宋" w:hAnsi="仿宋" w:eastAsia="仿宋" w:cs="仿宋"/>
                <w:szCs w:val="21"/>
              </w:rPr>
              <w:t>分</w:t>
            </w:r>
            <w:r>
              <w:rPr>
                <w:rFonts w:hint="eastAsia" w:ascii="仿宋" w:hAnsi="仿宋" w:eastAsia="仿宋" w:cs="仿宋"/>
                <w:szCs w:val="21"/>
                <w:lang w:eastAsia="zh-CN"/>
              </w:rPr>
              <w:t>；</w:t>
            </w:r>
          </w:p>
          <w:p w14:paraId="7676B899">
            <w:pPr>
              <w:widowControl/>
              <w:snapToGrid w:val="0"/>
              <w:spacing w:line="350" w:lineRule="exact"/>
              <w:jc w:val="left"/>
              <w:rPr>
                <w:rFonts w:hint="eastAsia" w:ascii="仿宋" w:hAnsi="仿宋" w:eastAsia="仿宋" w:cs="仿宋"/>
                <w:szCs w:val="21"/>
                <w:lang w:val="en-US" w:eastAsia="zh-CN"/>
              </w:rPr>
            </w:pPr>
            <w:r>
              <w:rPr>
                <w:rFonts w:hint="eastAsia" w:ascii="仿宋" w:hAnsi="仿宋" w:eastAsia="仿宋" w:cs="仿宋"/>
                <w:szCs w:val="21"/>
                <w:lang w:val="en-US" w:eastAsia="zh-CN"/>
              </w:rPr>
              <w:fldChar w:fldCharType="begin"/>
            </w:r>
            <w:r>
              <w:rPr>
                <w:rFonts w:hint="eastAsia" w:ascii="仿宋" w:hAnsi="仿宋" w:eastAsia="仿宋" w:cs="仿宋"/>
                <w:szCs w:val="21"/>
                <w:lang w:val="en-US" w:eastAsia="zh-CN"/>
              </w:rPr>
              <w:instrText xml:space="preserve"> = 6 \* GB3 \* MERGEFORMAT </w:instrText>
            </w:r>
            <w:r>
              <w:rPr>
                <w:rFonts w:hint="eastAsia" w:ascii="仿宋" w:hAnsi="仿宋" w:eastAsia="仿宋" w:cs="仿宋"/>
                <w:szCs w:val="21"/>
                <w:lang w:val="en-US" w:eastAsia="zh-CN"/>
              </w:rPr>
              <w:fldChar w:fldCharType="separate"/>
            </w:r>
            <w:r>
              <w:rPr>
                <w:rFonts w:hint="eastAsia" w:ascii="仿宋" w:hAnsi="仿宋" w:eastAsia="仿宋" w:cs="仿宋"/>
                <w:szCs w:val="21"/>
                <w:lang w:val="en-US" w:eastAsia="zh-CN"/>
              </w:rPr>
              <w:t>⑥</w:t>
            </w:r>
            <w:r>
              <w:rPr>
                <w:rFonts w:hint="eastAsia" w:ascii="仿宋" w:hAnsi="仿宋" w:eastAsia="仿宋" w:cs="仿宋"/>
                <w:szCs w:val="21"/>
                <w:lang w:val="en-US" w:eastAsia="zh-CN"/>
              </w:rPr>
              <w:fldChar w:fldCharType="end"/>
            </w:r>
            <w:r>
              <w:rPr>
                <w:rFonts w:hint="eastAsia" w:ascii="仿宋" w:hAnsi="仿宋" w:eastAsia="仿宋" w:cs="仿宋"/>
                <w:szCs w:val="21"/>
              </w:rPr>
              <w:t>具有</w:t>
            </w:r>
            <w:r>
              <w:rPr>
                <w:rFonts w:hint="eastAsia" w:ascii="仿宋" w:hAnsi="仿宋" w:eastAsia="仿宋" w:cs="仿宋"/>
                <w:szCs w:val="21"/>
                <w:lang w:val="en-US" w:eastAsia="zh-CN"/>
              </w:rPr>
              <w:t>绿化养护或含绿化服务保洁项目业绩</w:t>
            </w:r>
            <w:r>
              <w:rPr>
                <w:rFonts w:hint="eastAsia" w:ascii="仿宋" w:hAnsi="仿宋" w:eastAsia="仿宋" w:cs="仿宋"/>
                <w:szCs w:val="21"/>
              </w:rPr>
              <w:t xml:space="preserve">，每提供一个得 </w:t>
            </w:r>
            <w:r>
              <w:rPr>
                <w:rFonts w:hint="eastAsia" w:ascii="仿宋" w:hAnsi="仿宋" w:eastAsia="仿宋" w:cs="仿宋"/>
                <w:szCs w:val="21"/>
                <w:lang w:val="en-US" w:eastAsia="zh-CN"/>
              </w:rPr>
              <w:t>1</w:t>
            </w:r>
            <w:r>
              <w:rPr>
                <w:rFonts w:hint="eastAsia" w:ascii="仿宋" w:hAnsi="仿宋" w:eastAsia="仿宋" w:cs="仿宋"/>
                <w:szCs w:val="21"/>
              </w:rPr>
              <w:t>分，最多得</w:t>
            </w:r>
            <w:r>
              <w:rPr>
                <w:rFonts w:hint="eastAsia" w:ascii="仿宋" w:hAnsi="仿宋" w:eastAsia="仿宋" w:cs="仿宋"/>
                <w:szCs w:val="21"/>
                <w:lang w:val="en-US" w:eastAsia="zh-CN"/>
              </w:rPr>
              <w:t>2</w:t>
            </w:r>
            <w:r>
              <w:rPr>
                <w:rFonts w:hint="eastAsia" w:ascii="仿宋" w:hAnsi="仿宋" w:eastAsia="仿宋" w:cs="仿宋"/>
                <w:szCs w:val="21"/>
              </w:rPr>
              <w:t>分</w:t>
            </w:r>
            <w:r>
              <w:rPr>
                <w:rFonts w:hint="eastAsia" w:ascii="仿宋" w:hAnsi="仿宋" w:eastAsia="仿宋" w:cs="仿宋"/>
                <w:szCs w:val="21"/>
                <w:lang w:eastAsia="zh-CN"/>
              </w:rPr>
              <w:t>。</w:t>
            </w:r>
          </w:p>
          <w:p w14:paraId="7379AAED">
            <w:pPr>
              <w:widowControl/>
              <w:snapToGrid w:val="0"/>
              <w:spacing w:line="350" w:lineRule="exact"/>
              <w:jc w:val="left"/>
              <w:rPr>
                <w:rFonts w:hint="eastAsia" w:ascii="仿宋" w:hAnsi="仿宋" w:eastAsia="仿宋" w:cs="仿宋"/>
                <w:szCs w:val="21"/>
                <w:lang w:eastAsia="zh-CN"/>
              </w:rPr>
            </w:pPr>
            <w:r>
              <w:rPr>
                <w:rFonts w:hint="eastAsia" w:ascii="仿宋" w:hAnsi="仿宋" w:eastAsia="仿宋" w:cs="仿宋"/>
                <w:szCs w:val="21"/>
                <w:lang w:val="en-US" w:eastAsia="zh-CN"/>
              </w:rPr>
              <w:t>注：（1）</w:t>
            </w:r>
            <w:r>
              <w:rPr>
                <w:rFonts w:hint="eastAsia" w:ascii="仿宋" w:hAnsi="仿宋" w:eastAsia="仿宋" w:cs="仿宋"/>
                <w:szCs w:val="21"/>
              </w:rPr>
              <w:t>同一合同同时具</w:t>
            </w:r>
            <w:r>
              <w:rPr>
                <w:rFonts w:hint="eastAsia" w:ascii="仿宋" w:hAnsi="仿宋" w:eastAsia="仿宋" w:cs="仿宋"/>
                <w:szCs w:val="21"/>
                <w:lang w:val="en-US" w:eastAsia="zh-CN"/>
              </w:rPr>
              <w:t>有</w:t>
            </w:r>
            <w:r>
              <w:rPr>
                <w:rFonts w:hint="eastAsia" w:ascii="仿宋" w:hAnsi="仿宋" w:eastAsia="仿宋" w:cs="仿宋"/>
                <w:szCs w:val="21"/>
              </w:rPr>
              <w:t>不同服务</w:t>
            </w:r>
            <w:r>
              <w:rPr>
                <w:rFonts w:hint="eastAsia" w:ascii="仿宋" w:hAnsi="仿宋" w:eastAsia="仿宋" w:cs="仿宋"/>
                <w:szCs w:val="21"/>
                <w:lang w:val="en-US" w:eastAsia="zh-CN"/>
              </w:rPr>
              <w:t>业绩</w:t>
            </w:r>
            <w:r>
              <w:rPr>
                <w:rFonts w:hint="eastAsia" w:ascii="仿宋" w:hAnsi="仿宋" w:eastAsia="仿宋" w:cs="仿宋"/>
                <w:szCs w:val="21"/>
              </w:rPr>
              <w:t>的</w:t>
            </w:r>
            <w:r>
              <w:rPr>
                <w:rFonts w:hint="eastAsia" w:ascii="仿宋" w:hAnsi="仿宋" w:eastAsia="仿宋" w:cs="仿宋"/>
                <w:szCs w:val="21"/>
                <w:lang w:eastAsia="zh-CN"/>
              </w:rPr>
              <w:t>不</w:t>
            </w:r>
            <w:r>
              <w:rPr>
                <w:rFonts w:hint="eastAsia" w:ascii="仿宋" w:hAnsi="仿宋" w:eastAsia="仿宋" w:cs="仿宋"/>
                <w:szCs w:val="21"/>
                <w:lang w:val="en-US" w:eastAsia="zh-CN"/>
              </w:rPr>
              <w:t>可</w:t>
            </w:r>
            <w:r>
              <w:rPr>
                <w:rFonts w:hint="eastAsia" w:ascii="仿宋" w:hAnsi="仿宋" w:eastAsia="仿宋" w:cs="仿宋"/>
                <w:szCs w:val="21"/>
              </w:rPr>
              <w:t>重复得分</w:t>
            </w:r>
            <w:r>
              <w:rPr>
                <w:rFonts w:hint="eastAsia" w:ascii="仿宋" w:hAnsi="仿宋" w:eastAsia="仿宋" w:cs="仿宋"/>
                <w:szCs w:val="21"/>
                <w:lang w:eastAsia="zh-CN"/>
              </w:rPr>
              <w:t>；</w:t>
            </w:r>
          </w:p>
          <w:p w14:paraId="536F6224">
            <w:pPr>
              <w:widowControl/>
              <w:snapToGrid w:val="0"/>
              <w:spacing w:line="350" w:lineRule="exact"/>
              <w:jc w:val="left"/>
              <w:rPr>
                <w:rFonts w:hint="eastAsia"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lang w:val="en-US" w:eastAsia="zh-CN"/>
              </w:rPr>
              <w:t>2</w:t>
            </w:r>
            <w:r>
              <w:rPr>
                <w:rFonts w:hint="eastAsia" w:ascii="仿宋" w:hAnsi="仿宋" w:eastAsia="仿宋" w:cs="仿宋"/>
                <w:szCs w:val="21"/>
                <w:lang w:eastAsia="zh-CN"/>
              </w:rPr>
              <w:t>）</w:t>
            </w:r>
            <w:r>
              <w:rPr>
                <w:rFonts w:hint="eastAsia" w:ascii="仿宋" w:hAnsi="仿宋" w:eastAsia="仿宋" w:cs="仿宋"/>
                <w:szCs w:val="21"/>
                <w:lang w:val="en-US" w:eastAsia="zh-CN"/>
              </w:rPr>
              <w:t>响应文件中提供中标通知书（成交通知书）及合同等相关证明材料扫描件加盖</w:t>
            </w:r>
            <w:r>
              <w:rPr>
                <w:rFonts w:hint="eastAsia" w:ascii="仿宋" w:hAnsi="仿宋" w:eastAsia="仿宋" w:cs="仿宋"/>
                <w:szCs w:val="21"/>
              </w:rPr>
              <w:t>电子公章</w:t>
            </w:r>
            <w:r>
              <w:rPr>
                <w:rFonts w:hint="eastAsia" w:ascii="仿宋" w:hAnsi="仿宋" w:eastAsia="仿宋" w:cs="仿宋"/>
                <w:szCs w:val="21"/>
                <w:lang w:val="en-US" w:eastAsia="zh-CN"/>
              </w:rPr>
              <w:t>，否则不得分。</w:t>
            </w:r>
          </w:p>
        </w:tc>
      </w:tr>
      <w:tr w14:paraId="3F106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05" w:hRule="atLeast"/>
          <w:jc w:val="center"/>
        </w:trPr>
        <w:tc>
          <w:tcPr>
            <w:tcW w:w="686" w:type="pct"/>
            <w:gridSpan w:val="2"/>
            <w:vMerge w:val="continue"/>
            <w:noWrap w:val="0"/>
            <w:vAlign w:val="center"/>
          </w:tcPr>
          <w:p w14:paraId="2962790D">
            <w:pPr>
              <w:widowControl/>
              <w:snapToGrid w:val="0"/>
              <w:spacing w:line="350" w:lineRule="exact"/>
              <w:jc w:val="center"/>
              <w:rPr>
                <w:rFonts w:hint="eastAsia" w:ascii="仿宋" w:hAnsi="仿宋" w:eastAsia="仿宋" w:cs="仿宋"/>
                <w:szCs w:val="21"/>
              </w:rPr>
            </w:pPr>
          </w:p>
        </w:tc>
        <w:tc>
          <w:tcPr>
            <w:tcW w:w="867" w:type="pct"/>
            <w:gridSpan w:val="2"/>
            <w:tcBorders>
              <w:top w:val="single" w:color="000000" w:sz="4" w:space="0"/>
              <w:left w:val="single" w:color="000000" w:sz="4" w:space="0"/>
              <w:bottom w:val="single" w:color="000000" w:sz="4" w:space="0"/>
              <w:right w:val="single" w:color="000000" w:sz="4" w:space="0"/>
            </w:tcBorders>
            <w:noWrap w:val="0"/>
            <w:vAlign w:val="center"/>
          </w:tcPr>
          <w:p w14:paraId="3B17530A">
            <w:pPr>
              <w:widowControl/>
              <w:snapToGrid w:val="0"/>
              <w:spacing w:line="350" w:lineRule="exact"/>
              <w:jc w:val="center"/>
              <w:rPr>
                <w:rFonts w:hint="eastAsia" w:ascii="仿宋" w:hAnsi="仿宋" w:eastAsia="仿宋" w:cs="仿宋"/>
                <w:szCs w:val="21"/>
              </w:rPr>
            </w:pPr>
            <w:r>
              <w:rPr>
                <w:rFonts w:hint="eastAsia" w:ascii="仿宋" w:hAnsi="仿宋" w:eastAsia="仿宋" w:cs="仿宋"/>
                <w:szCs w:val="21"/>
                <w:lang w:val="en-US" w:eastAsia="zh-CN"/>
              </w:rPr>
              <w:t>人员配备 （8分）</w:t>
            </w:r>
          </w:p>
        </w:tc>
        <w:tc>
          <w:tcPr>
            <w:tcW w:w="3446" w:type="pct"/>
            <w:gridSpan w:val="2"/>
            <w:tcBorders>
              <w:top w:val="single" w:color="000000" w:sz="4" w:space="0"/>
              <w:left w:val="single" w:color="000000" w:sz="4" w:space="0"/>
              <w:bottom w:val="single" w:color="000000" w:sz="4" w:space="0"/>
              <w:right w:val="single" w:color="000000" w:sz="4" w:space="0"/>
            </w:tcBorders>
            <w:noWrap w:val="0"/>
            <w:vAlign w:val="center"/>
          </w:tcPr>
          <w:p w14:paraId="147EA2E7">
            <w:pPr>
              <w:widowControl/>
              <w:snapToGrid w:val="0"/>
              <w:spacing w:line="350" w:lineRule="exact"/>
              <w:jc w:val="left"/>
              <w:rPr>
                <w:rFonts w:hint="eastAsia" w:ascii="仿宋" w:hAnsi="仿宋" w:eastAsia="仿宋" w:cs="仿宋"/>
                <w:szCs w:val="21"/>
                <w:lang w:eastAsia="zh-CN"/>
              </w:rPr>
            </w:pPr>
            <w:r>
              <w:rPr>
                <w:rFonts w:hint="eastAsia" w:ascii="仿宋" w:hAnsi="仿宋" w:eastAsia="仿宋" w:cs="仿宋"/>
                <w:szCs w:val="21"/>
                <w:lang w:val="en-US" w:eastAsia="zh-CN"/>
              </w:rPr>
              <w:t>1、</w:t>
            </w:r>
            <w:r>
              <w:rPr>
                <w:rFonts w:hint="eastAsia" w:ascii="仿宋" w:hAnsi="仿宋" w:eastAsia="仿宋" w:cs="仿宋"/>
                <w:szCs w:val="21"/>
                <w:lang w:eastAsia="zh-CN"/>
              </w:rPr>
              <w:t>拟投入本项目的项目经理</w:t>
            </w:r>
            <w:r>
              <w:rPr>
                <w:rFonts w:hint="eastAsia" w:ascii="仿宋" w:hAnsi="仿宋" w:eastAsia="仿宋" w:cs="仿宋"/>
                <w:szCs w:val="21"/>
                <w:lang w:val="en-US" w:eastAsia="zh-CN"/>
              </w:rPr>
              <w:t>同时</w:t>
            </w:r>
            <w:r>
              <w:rPr>
                <w:rFonts w:hint="eastAsia" w:ascii="仿宋" w:hAnsi="仿宋" w:eastAsia="仿宋" w:cs="仿宋"/>
                <w:szCs w:val="21"/>
                <w:lang w:eastAsia="zh-CN"/>
              </w:rPr>
              <w:t>具备道路清扫保洁项目经理证书、河道保洁项目经理</w:t>
            </w:r>
            <w:r>
              <w:rPr>
                <w:rFonts w:hint="eastAsia" w:ascii="仿宋" w:hAnsi="仿宋" w:eastAsia="仿宋" w:cs="仿宋"/>
                <w:szCs w:val="21"/>
                <w:lang w:val="en-US" w:eastAsia="zh-CN"/>
              </w:rPr>
              <w:t>证书的</w:t>
            </w:r>
            <w:r>
              <w:rPr>
                <w:rFonts w:hint="eastAsia" w:ascii="仿宋" w:hAnsi="仿宋" w:eastAsia="仿宋" w:cs="仿宋"/>
                <w:szCs w:val="21"/>
                <w:lang w:eastAsia="zh-CN"/>
              </w:rPr>
              <w:t>每提供一个得</w:t>
            </w:r>
            <w:r>
              <w:rPr>
                <w:rFonts w:hint="eastAsia" w:ascii="仿宋" w:hAnsi="仿宋" w:eastAsia="仿宋" w:cs="仿宋"/>
                <w:szCs w:val="21"/>
                <w:lang w:val="en-US" w:eastAsia="zh-CN"/>
              </w:rPr>
              <w:t>1</w:t>
            </w:r>
            <w:r>
              <w:rPr>
                <w:rFonts w:hint="eastAsia" w:ascii="仿宋" w:hAnsi="仿宋" w:eastAsia="仿宋" w:cs="仿宋"/>
                <w:szCs w:val="21"/>
                <w:lang w:eastAsia="zh-CN"/>
              </w:rPr>
              <w:t>分，最</w:t>
            </w:r>
            <w:r>
              <w:rPr>
                <w:rFonts w:hint="eastAsia" w:ascii="仿宋" w:hAnsi="仿宋" w:eastAsia="仿宋" w:cs="仿宋"/>
                <w:szCs w:val="21"/>
                <w:lang w:val="en-US" w:eastAsia="zh-CN"/>
              </w:rPr>
              <w:t>高</w:t>
            </w:r>
            <w:r>
              <w:rPr>
                <w:rFonts w:hint="eastAsia" w:ascii="仿宋" w:hAnsi="仿宋" w:eastAsia="仿宋" w:cs="仿宋"/>
                <w:szCs w:val="21"/>
                <w:lang w:eastAsia="zh-CN"/>
              </w:rPr>
              <w:t>得</w:t>
            </w:r>
            <w:r>
              <w:rPr>
                <w:rFonts w:hint="eastAsia" w:ascii="仿宋" w:hAnsi="仿宋" w:eastAsia="仿宋" w:cs="仿宋"/>
                <w:szCs w:val="21"/>
                <w:lang w:val="en-US" w:eastAsia="zh-CN"/>
              </w:rPr>
              <w:t>2</w:t>
            </w:r>
            <w:r>
              <w:rPr>
                <w:rFonts w:hint="eastAsia" w:ascii="仿宋" w:hAnsi="仿宋" w:eastAsia="仿宋" w:cs="仿宋"/>
                <w:szCs w:val="21"/>
                <w:lang w:eastAsia="zh-CN"/>
              </w:rPr>
              <w:t>分；</w:t>
            </w:r>
          </w:p>
          <w:p w14:paraId="6C9DE4B1">
            <w:pPr>
              <w:widowControl/>
              <w:snapToGrid w:val="0"/>
              <w:spacing w:line="350" w:lineRule="exact"/>
              <w:jc w:val="left"/>
              <w:rPr>
                <w:rFonts w:hint="eastAsia" w:ascii="仿宋" w:hAnsi="仿宋" w:eastAsia="仿宋" w:cs="仿宋"/>
                <w:szCs w:val="21"/>
                <w:lang w:eastAsia="zh-CN"/>
              </w:rPr>
            </w:pPr>
            <w:r>
              <w:rPr>
                <w:rFonts w:hint="eastAsia" w:ascii="仿宋" w:hAnsi="仿宋" w:eastAsia="仿宋" w:cs="仿宋"/>
                <w:szCs w:val="21"/>
                <w:lang w:val="en-US" w:eastAsia="zh-CN"/>
              </w:rPr>
              <w:t>2、</w:t>
            </w:r>
            <w:r>
              <w:rPr>
                <w:rFonts w:hint="eastAsia" w:ascii="仿宋" w:hAnsi="仿宋" w:eastAsia="仿宋" w:cs="仿宋"/>
                <w:szCs w:val="21"/>
                <w:lang w:eastAsia="zh-CN"/>
              </w:rPr>
              <w:t>拟投入本项目的</w:t>
            </w:r>
            <w:r>
              <w:rPr>
                <w:rFonts w:hint="eastAsia" w:ascii="仿宋" w:hAnsi="仿宋" w:eastAsia="仿宋" w:cs="仿宋"/>
                <w:szCs w:val="21"/>
                <w:lang w:val="en-US" w:eastAsia="zh-CN"/>
              </w:rPr>
              <w:t>管理人员，具有相关部门颁发的环保或环境相关专业中级及以上职称证书每提供1个得0.5分</w:t>
            </w:r>
            <w:r>
              <w:rPr>
                <w:rFonts w:hint="eastAsia" w:ascii="仿宋" w:hAnsi="仿宋" w:eastAsia="仿宋" w:cs="仿宋"/>
                <w:szCs w:val="21"/>
                <w:lang w:eastAsia="zh-CN"/>
              </w:rPr>
              <w:t>，本项最高</w:t>
            </w:r>
            <w:r>
              <w:rPr>
                <w:rFonts w:hint="eastAsia" w:ascii="仿宋" w:hAnsi="仿宋" w:eastAsia="仿宋" w:cs="仿宋"/>
                <w:szCs w:val="21"/>
                <w:lang w:val="en-US" w:eastAsia="zh-CN"/>
              </w:rPr>
              <w:t>1</w:t>
            </w:r>
            <w:r>
              <w:rPr>
                <w:rFonts w:hint="eastAsia" w:ascii="仿宋" w:hAnsi="仿宋" w:eastAsia="仿宋" w:cs="仿宋"/>
                <w:szCs w:val="21"/>
                <w:lang w:eastAsia="zh-CN"/>
              </w:rPr>
              <w:t>分。</w:t>
            </w:r>
          </w:p>
          <w:p w14:paraId="3CED0FB5">
            <w:pPr>
              <w:widowControl/>
              <w:snapToGrid w:val="0"/>
              <w:spacing w:line="350" w:lineRule="exact"/>
              <w:jc w:val="left"/>
              <w:rPr>
                <w:rFonts w:hint="eastAsia" w:ascii="仿宋" w:hAnsi="仿宋" w:eastAsia="仿宋" w:cs="仿宋"/>
                <w:szCs w:val="21"/>
                <w:lang w:eastAsia="zh-CN"/>
              </w:rPr>
            </w:pPr>
            <w:r>
              <w:rPr>
                <w:rFonts w:hint="eastAsia" w:ascii="仿宋" w:hAnsi="仿宋" w:eastAsia="仿宋" w:cs="仿宋"/>
                <w:szCs w:val="21"/>
                <w:lang w:val="en-US" w:eastAsia="zh-CN"/>
              </w:rPr>
              <w:t>3、</w:t>
            </w:r>
            <w:r>
              <w:rPr>
                <w:rFonts w:hint="eastAsia" w:ascii="仿宋" w:hAnsi="仿宋" w:eastAsia="仿宋" w:cs="仿宋"/>
                <w:szCs w:val="21"/>
                <w:lang w:eastAsia="zh-CN"/>
              </w:rPr>
              <w:t>拟投入本项目的</w:t>
            </w:r>
            <w:r>
              <w:rPr>
                <w:rFonts w:hint="eastAsia" w:ascii="仿宋" w:hAnsi="仿宋" w:eastAsia="仿宋" w:cs="仿宋"/>
                <w:szCs w:val="21"/>
                <w:lang w:val="en-US" w:eastAsia="zh-CN"/>
              </w:rPr>
              <w:t>其他管理人员</w:t>
            </w:r>
            <w:r>
              <w:rPr>
                <w:rFonts w:hint="eastAsia" w:ascii="仿宋" w:hAnsi="仿宋" w:eastAsia="仿宋" w:cs="仿宋"/>
                <w:szCs w:val="21"/>
                <w:lang w:eastAsia="zh-CN"/>
              </w:rPr>
              <w:t>具有应急管理部门(或其授权机构)颁发的安全管理人员(或安全生产主要负责人)培训(考试)合格证书(证明)(需在有效期内)每提供一个得</w:t>
            </w:r>
            <w:r>
              <w:rPr>
                <w:rFonts w:hint="eastAsia" w:ascii="仿宋" w:hAnsi="仿宋" w:eastAsia="仿宋" w:cs="仿宋"/>
                <w:szCs w:val="21"/>
                <w:lang w:val="en-US" w:eastAsia="zh-CN"/>
              </w:rPr>
              <w:t>0.5</w:t>
            </w:r>
            <w:r>
              <w:rPr>
                <w:rFonts w:hint="eastAsia" w:ascii="仿宋" w:hAnsi="仿宋" w:eastAsia="仿宋" w:cs="仿宋"/>
                <w:szCs w:val="21"/>
                <w:lang w:eastAsia="zh-CN"/>
              </w:rPr>
              <w:t>分;本项最高得</w:t>
            </w:r>
            <w:r>
              <w:rPr>
                <w:rFonts w:hint="eastAsia" w:ascii="仿宋" w:hAnsi="仿宋" w:eastAsia="仿宋" w:cs="仿宋"/>
                <w:szCs w:val="21"/>
                <w:lang w:val="en-US" w:eastAsia="zh-CN"/>
              </w:rPr>
              <w:t>1</w:t>
            </w:r>
            <w:r>
              <w:rPr>
                <w:rFonts w:hint="eastAsia" w:ascii="仿宋" w:hAnsi="仿宋" w:eastAsia="仿宋" w:cs="仿宋"/>
                <w:szCs w:val="21"/>
                <w:lang w:eastAsia="zh-CN"/>
              </w:rPr>
              <w:t>分。</w:t>
            </w:r>
          </w:p>
          <w:p w14:paraId="7252DBFD">
            <w:pPr>
              <w:widowControl/>
              <w:snapToGrid w:val="0"/>
              <w:spacing w:line="350" w:lineRule="exact"/>
              <w:jc w:val="left"/>
              <w:rPr>
                <w:rFonts w:hint="eastAsia" w:ascii="仿宋" w:hAnsi="仿宋" w:eastAsia="仿宋" w:cs="仿宋"/>
                <w:szCs w:val="21"/>
                <w:lang w:eastAsia="zh-CN"/>
              </w:rPr>
            </w:pPr>
            <w:r>
              <w:rPr>
                <w:rFonts w:hint="eastAsia" w:ascii="仿宋" w:hAnsi="仿宋" w:eastAsia="仿宋" w:cs="仿宋"/>
                <w:szCs w:val="21"/>
                <w:lang w:val="en-US" w:eastAsia="zh-CN"/>
              </w:rPr>
              <w:t>4、</w:t>
            </w:r>
            <w:r>
              <w:rPr>
                <w:rFonts w:hint="eastAsia" w:ascii="仿宋" w:hAnsi="仿宋" w:eastAsia="仿宋" w:cs="仿宋"/>
                <w:szCs w:val="21"/>
                <w:lang w:eastAsia="zh-CN"/>
              </w:rPr>
              <w:t>项目组成员具备</w:t>
            </w:r>
            <w:r>
              <w:rPr>
                <w:rFonts w:hint="eastAsia" w:ascii="仿宋" w:hAnsi="仿宋" w:eastAsia="仿宋" w:cs="仿宋"/>
                <w:szCs w:val="21"/>
                <w:lang w:val="en-US" w:eastAsia="zh-CN"/>
              </w:rPr>
              <w:t>有效的</w:t>
            </w:r>
            <w:r>
              <w:rPr>
                <w:rFonts w:hint="eastAsia" w:ascii="仿宋" w:hAnsi="仿宋" w:eastAsia="仿宋" w:cs="仿宋"/>
                <w:szCs w:val="21"/>
                <w:lang w:eastAsia="zh-CN"/>
              </w:rPr>
              <w:t xml:space="preserve">海事局颁发的船员服务证，每提供一个得 </w:t>
            </w:r>
            <w:r>
              <w:rPr>
                <w:rFonts w:hint="eastAsia" w:ascii="仿宋" w:hAnsi="仿宋" w:eastAsia="仿宋" w:cs="仿宋"/>
                <w:szCs w:val="21"/>
                <w:lang w:val="en-US" w:eastAsia="zh-CN"/>
              </w:rPr>
              <w:t>0.5</w:t>
            </w:r>
            <w:r>
              <w:rPr>
                <w:rFonts w:hint="eastAsia" w:ascii="仿宋" w:hAnsi="仿宋" w:eastAsia="仿宋" w:cs="仿宋"/>
                <w:szCs w:val="21"/>
                <w:lang w:eastAsia="zh-CN"/>
              </w:rPr>
              <w:t>分，最</w:t>
            </w:r>
            <w:r>
              <w:rPr>
                <w:rFonts w:hint="eastAsia" w:ascii="仿宋" w:hAnsi="仿宋" w:eastAsia="仿宋" w:cs="仿宋"/>
                <w:szCs w:val="21"/>
                <w:lang w:val="en-US" w:eastAsia="zh-CN"/>
              </w:rPr>
              <w:t>高</w:t>
            </w:r>
            <w:r>
              <w:rPr>
                <w:rFonts w:hint="eastAsia" w:ascii="仿宋" w:hAnsi="仿宋" w:eastAsia="仿宋" w:cs="仿宋"/>
                <w:szCs w:val="21"/>
                <w:lang w:eastAsia="zh-CN"/>
              </w:rPr>
              <w:t>得</w:t>
            </w:r>
            <w:r>
              <w:rPr>
                <w:rFonts w:hint="eastAsia" w:ascii="仿宋" w:hAnsi="仿宋" w:eastAsia="仿宋" w:cs="仿宋"/>
                <w:szCs w:val="21"/>
                <w:lang w:val="en-US" w:eastAsia="zh-CN"/>
              </w:rPr>
              <w:t>1</w:t>
            </w:r>
            <w:r>
              <w:rPr>
                <w:rFonts w:hint="eastAsia" w:ascii="仿宋" w:hAnsi="仿宋" w:eastAsia="仿宋" w:cs="仿宋"/>
                <w:szCs w:val="21"/>
                <w:lang w:eastAsia="zh-CN"/>
              </w:rPr>
              <w:t>分。</w:t>
            </w:r>
          </w:p>
          <w:p w14:paraId="1DE48FBC">
            <w:pPr>
              <w:widowControl/>
              <w:snapToGrid w:val="0"/>
              <w:spacing w:line="350" w:lineRule="exact"/>
              <w:jc w:val="left"/>
              <w:rPr>
                <w:rFonts w:hint="eastAsia" w:ascii="仿宋" w:hAnsi="仿宋" w:eastAsia="仿宋" w:cs="仿宋"/>
                <w:szCs w:val="21"/>
                <w:lang w:val="en-US" w:eastAsia="zh-CN"/>
              </w:rPr>
            </w:pPr>
            <w:r>
              <w:rPr>
                <w:rFonts w:hint="eastAsia" w:ascii="仿宋" w:hAnsi="仿宋" w:eastAsia="仿宋" w:cs="仿宋"/>
                <w:szCs w:val="21"/>
                <w:lang w:val="en-US" w:eastAsia="zh-CN"/>
              </w:rPr>
              <w:t>5、</w:t>
            </w:r>
            <w:r>
              <w:rPr>
                <w:rFonts w:hint="eastAsia" w:ascii="仿宋" w:hAnsi="仿宋" w:eastAsia="仿宋" w:cs="仿宋"/>
                <w:szCs w:val="21"/>
                <w:lang w:eastAsia="zh-CN"/>
              </w:rPr>
              <w:t>项目组</w:t>
            </w:r>
            <w:r>
              <w:rPr>
                <w:rFonts w:hint="eastAsia" w:ascii="仿宋" w:hAnsi="仿宋" w:eastAsia="仿宋" w:cs="仿宋"/>
                <w:szCs w:val="21"/>
                <w:lang w:val="en-US" w:eastAsia="zh-CN"/>
              </w:rPr>
              <w:t>有25人以上从业人员，以6个月银行打卡工资流水或缴纳3个月社保为准，得3分。</w:t>
            </w:r>
          </w:p>
          <w:p w14:paraId="0C2610A0">
            <w:pPr>
              <w:widowControl/>
              <w:snapToGrid w:val="0"/>
              <w:spacing w:line="350" w:lineRule="exact"/>
              <w:jc w:val="left"/>
              <w:rPr>
                <w:rFonts w:hint="eastAsia" w:ascii="仿宋" w:hAnsi="仿宋" w:eastAsia="仿宋" w:cs="仿宋"/>
                <w:szCs w:val="21"/>
              </w:rPr>
            </w:pPr>
            <w:r>
              <w:rPr>
                <w:rFonts w:hint="eastAsia" w:ascii="仿宋" w:hAnsi="仿宋" w:eastAsia="仿宋" w:cs="仿宋"/>
                <w:szCs w:val="21"/>
                <w:lang w:val="en-US" w:eastAsia="zh-CN"/>
              </w:rPr>
              <w:t>注：（1）响应文件中</w:t>
            </w:r>
            <w:r>
              <w:rPr>
                <w:rFonts w:hint="eastAsia" w:ascii="仿宋" w:hAnsi="仿宋" w:eastAsia="仿宋" w:cs="仿宋"/>
                <w:szCs w:val="21"/>
                <w:lang w:eastAsia="zh-CN"/>
              </w:rPr>
              <w:t>提供</w:t>
            </w:r>
            <w:r>
              <w:rPr>
                <w:rFonts w:hint="eastAsia" w:ascii="仿宋" w:hAnsi="仿宋" w:eastAsia="仿宋" w:cs="仿宋"/>
                <w:szCs w:val="21"/>
                <w:lang w:val="en-US" w:eastAsia="zh-CN"/>
              </w:rPr>
              <w:t>相关人员证书</w:t>
            </w:r>
            <w:r>
              <w:rPr>
                <w:rFonts w:hint="eastAsia" w:ascii="仿宋" w:hAnsi="仿宋" w:eastAsia="仿宋" w:cs="仿宋"/>
                <w:szCs w:val="21"/>
                <w:lang w:eastAsia="zh-CN"/>
              </w:rPr>
              <w:t>扫描件</w:t>
            </w:r>
            <w:r>
              <w:rPr>
                <w:rFonts w:hint="eastAsia" w:ascii="仿宋" w:hAnsi="仿宋" w:eastAsia="仿宋" w:cs="仿宋"/>
                <w:szCs w:val="21"/>
                <w:lang w:val="en-US" w:eastAsia="zh-CN"/>
              </w:rPr>
              <w:t>及投标供应商为其缴纳的社会保险证明材料</w:t>
            </w:r>
            <w:r>
              <w:rPr>
                <w:rFonts w:hint="eastAsia" w:ascii="仿宋" w:hAnsi="仿宋" w:eastAsia="仿宋" w:cs="仿宋"/>
                <w:szCs w:val="21"/>
                <w:lang w:eastAsia="zh-CN"/>
              </w:rPr>
              <w:t>加盖电子公章，否则不得分。</w:t>
            </w:r>
          </w:p>
        </w:tc>
      </w:tr>
      <w:tr w14:paraId="3146D1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86" w:type="pct"/>
            <w:gridSpan w:val="2"/>
            <w:tcBorders>
              <w:bottom w:val="single" w:color="auto" w:sz="4" w:space="0"/>
            </w:tcBorders>
            <w:noWrap w:val="0"/>
            <w:vAlign w:val="center"/>
          </w:tcPr>
          <w:p w14:paraId="6FF21993">
            <w:pPr>
              <w:snapToGrid w:val="0"/>
              <w:spacing w:line="400" w:lineRule="exact"/>
              <w:jc w:val="center"/>
              <w:rPr>
                <w:rFonts w:hint="eastAsia" w:ascii="仿宋" w:hAnsi="仿宋" w:eastAsia="仿宋" w:cs="仿宋"/>
                <w:szCs w:val="21"/>
              </w:rPr>
            </w:pPr>
          </w:p>
        </w:tc>
        <w:tc>
          <w:tcPr>
            <w:tcW w:w="867" w:type="pct"/>
            <w:gridSpan w:val="2"/>
            <w:tcBorders>
              <w:top w:val="single" w:color="000000" w:sz="4" w:space="0"/>
              <w:left w:val="single" w:color="000000" w:sz="4" w:space="0"/>
              <w:bottom w:val="single" w:color="auto" w:sz="4" w:space="0"/>
              <w:right w:val="single" w:color="000000" w:sz="4" w:space="0"/>
            </w:tcBorders>
            <w:noWrap w:val="0"/>
            <w:vAlign w:val="center"/>
          </w:tcPr>
          <w:p w14:paraId="57450910">
            <w:pPr>
              <w:widowControl/>
              <w:snapToGrid w:val="0"/>
              <w:spacing w:line="350" w:lineRule="exact"/>
              <w:jc w:val="center"/>
              <w:rPr>
                <w:rFonts w:hint="eastAsia" w:ascii="仿宋" w:hAnsi="仿宋" w:eastAsia="仿宋" w:cs="仿宋"/>
                <w:szCs w:val="21"/>
              </w:rPr>
            </w:pPr>
            <w:r>
              <w:rPr>
                <w:rFonts w:hint="eastAsia" w:ascii="仿宋" w:hAnsi="仿宋" w:eastAsia="仿宋" w:cs="仿宋"/>
                <w:szCs w:val="21"/>
                <w:lang w:val="en-US" w:eastAsia="zh-CN"/>
              </w:rPr>
              <w:t>机械</w:t>
            </w:r>
            <w:r>
              <w:rPr>
                <w:rFonts w:hint="eastAsia" w:ascii="仿宋" w:hAnsi="仿宋" w:eastAsia="仿宋" w:cs="仿宋"/>
                <w:szCs w:val="21"/>
              </w:rPr>
              <w:t>配置</w:t>
            </w:r>
          </w:p>
          <w:p w14:paraId="59328777">
            <w:pPr>
              <w:widowControl/>
              <w:snapToGrid w:val="0"/>
              <w:spacing w:line="350" w:lineRule="exact"/>
              <w:jc w:val="center"/>
              <w:rPr>
                <w:rFonts w:hint="eastAsia"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lang w:val="en-US" w:eastAsia="zh-CN"/>
              </w:rPr>
              <w:t>12分</w:t>
            </w:r>
            <w:r>
              <w:rPr>
                <w:rFonts w:hint="eastAsia" w:ascii="仿宋" w:hAnsi="仿宋" w:eastAsia="仿宋" w:cs="仿宋"/>
                <w:szCs w:val="21"/>
                <w:lang w:eastAsia="zh-CN"/>
              </w:rPr>
              <w:t>）</w:t>
            </w:r>
          </w:p>
        </w:tc>
        <w:tc>
          <w:tcPr>
            <w:tcW w:w="3446" w:type="pct"/>
            <w:gridSpan w:val="2"/>
            <w:tcBorders>
              <w:top w:val="single" w:color="000000" w:sz="4" w:space="0"/>
              <w:left w:val="single" w:color="000000" w:sz="4" w:space="0"/>
              <w:bottom w:val="single" w:color="000000" w:sz="4" w:space="0"/>
              <w:right w:val="single" w:color="000000" w:sz="4" w:space="0"/>
            </w:tcBorders>
            <w:noWrap w:val="0"/>
            <w:vAlign w:val="center"/>
          </w:tcPr>
          <w:p w14:paraId="5EA3A29C">
            <w:pPr>
              <w:widowControl/>
              <w:snapToGrid w:val="0"/>
              <w:spacing w:line="350" w:lineRule="exact"/>
              <w:jc w:val="left"/>
              <w:rPr>
                <w:rFonts w:hint="eastAsia" w:ascii="仿宋" w:hAnsi="仿宋" w:eastAsia="仿宋" w:cs="仿宋"/>
                <w:szCs w:val="21"/>
                <w:lang w:eastAsia="zh-CN"/>
              </w:rPr>
            </w:pPr>
            <w:r>
              <w:rPr>
                <w:rFonts w:hint="eastAsia" w:ascii="仿宋" w:hAnsi="仿宋" w:eastAsia="仿宋" w:cs="仿宋"/>
                <w:szCs w:val="21"/>
                <w:lang w:eastAsia="zh-CN"/>
              </w:rPr>
              <w:t>（1）投标供应商</w:t>
            </w:r>
            <w:r>
              <w:rPr>
                <w:rFonts w:hint="eastAsia" w:ascii="仿宋" w:hAnsi="仿宋" w:eastAsia="仿宋" w:cs="仿宋"/>
                <w:szCs w:val="21"/>
              </w:rPr>
              <w:t>配备</w:t>
            </w:r>
            <w:r>
              <w:rPr>
                <w:rFonts w:hint="eastAsia" w:ascii="仿宋" w:hAnsi="仿宋" w:eastAsia="仿宋" w:cs="仿宋"/>
                <w:szCs w:val="21"/>
                <w:lang w:eastAsia="zh-CN"/>
              </w:rPr>
              <w:t>道路扫路车（</w:t>
            </w:r>
            <w:r>
              <w:rPr>
                <w:rFonts w:hint="eastAsia" w:ascii="仿宋" w:hAnsi="仿宋" w:eastAsia="仿宋" w:cs="仿宋"/>
                <w:szCs w:val="21"/>
                <w:lang w:val="en-US" w:eastAsia="zh-CN"/>
              </w:rPr>
              <w:t>总质量不低于18吨）</w:t>
            </w:r>
            <w:r>
              <w:rPr>
                <w:rFonts w:hint="eastAsia" w:ascii="仿宋" w:hAnsi="仿宋" w:eastAsia="仿宋" w:cs="仿宋"/>
                <w:szCs w:val="21"/>
                <w:lang w:eastAsia="zh-CN"/>
              </w:rPr>
              <w:t>有一辆得</w:t>
            </w:r>
            <w:r>
              <w:rPr>
                <w:rFonts w:hint="eastAsia" w:ascii="仿宋" w:hAnsi="仿宋" w:eastAsia="仿宋" w:cs="仿宋"/>
                <w:szCs w:val="21"/>
                <w:lang w:val="en-US" w:eastAsia="zh-CN"/>
              </w:rPr>
              <w:t>0.5</w:t>
            </w:r>
            <w:r>
              <w:rPr>
                <w:rFonts w:hint="eastAsia" w:ascii="仿宋" w:hAnsi="仿宋" w:eastAsia="仿宋" w:cs="仿宋"/>
                <w:szCs w:val="21"/>
                <w:lang w:eastAsia="zh-CN"/>
              </w:rPr>
              <w:t>分，</w:t>
            </w:r>
            <w:r>
              <w:rPr>
                <w:rFonts w:hint="eastAsia" w:ascii="仿宋" w:hAnsi="仿宋" w:eastAsia="仿宋" w:cs="仿宋"/>
                <w:szCs w:val="21"/>
              </w:rPr>
              <w:t>最</w:t>
            </w:r>
            <w:r>
              <w:rPr>
                <w:rFonts w:hint="eastAsia" w:ascii="仿宋" w:hAnsi="仿宋" w:eastAsia="仿宋" w:cs="仿宋"/>
                <w:szCs w:val="21"/>
                <w:lang w:val="en-US" w:eastAsia="zh-CN"/>
              </w:rPr>
              <w:t>高</w:t>
            </w:r>
            <w:r>
              <w:rPr>
                <w:rFonts w:hint="eastAsia" w:ascii="仿宋" w:hAnsi="仿宋" w:eastAsia="仿宋" w:cs="仿宋"/>
                <w:szCs w:val="21"/>
                <w:lang w:eastAsia="zh-CN"/>
              </w:rPr>
              <w:t>得</w:t>
            </w:r>
            <w:r>
              <w:rPr>
                <w:rFonts w:hint="eastAsia" w:ascii="仿宋" w:hAnsi="仿宋" w:eastAsia="仿宋" w:cs="仿宋"/>
                <w:szCs w:val="21"/>
                <w:lang w:val="en-US" w:eastAsia="zh-CN"/>
              </w:rPr>
              <w:t>1</w:t>
            </w:r>
            <w:r>
              <w:rPr>
                <w:rFonts w:hint="eastAsia" w:ascii="仿宋" w:hAnsi="仿宋" w:eastAsia="仿宋" w:cs="仿宋"/>
                <w:szCs w:val="21"/>
                <w:lang w:eastAsia="zh-CN"/>
              </w:rPr>
              <w:t>分。</w:t>
            </w:r>
          </w:p>
          <w:p w14:paraId="559177EC">
            <w:pPr>
              <w:widowControl/>
              <w:snapToGrid w:val="0"/>
              <w:spacing w:line="350" w:lineRule="exact"/>
              <w:jc w:val="left"/>
              <w:rPr>
                <w:rFonts w:hint="eastAsia" w:ascii="仿宋" w:hAnsi="仿宋" w:eastAsia="仿宋" w:cs="仿宋"/>
                <w:szCs w:val="21"/>
                <w:lang w:eastAsia="zh-CN"/>
              </w:rPr>
            </w:pPr>
            <w:r>
              <w:rPr>
                <w:rFonts w:hint="eastAsia" w:ascii="仿宋" w:hAnsi="仿宋" w:eastAsia="仿宋" w:cs="仿宋"/>
                <w:szCs w:val="21"/>
                <w:lang w:eastAsia="zh-CN"/>
              </w:rPr>
              <w:t>（2）投标供应商</w:t>
            </w:r>
            <w:r>
              <w:rPr>
                <w:rFonts w:hint="eastAsia" w:ascii="仿宋" w:hAnsi="仿宋" w:eastAsia="仿宋" w:cs="仿宋"/>
                <w:szCs w:val="21"/>
              </w:rPr>
              <w:t>配备</w:t>
            </w:r>
            <w:r>
              <w:rPr>
                <w:rFonts w:hint="eastAsia" w:ascii="仿宋" w:hAnsi="仿宋" w:eastAsia="仿宋" w:cs="仿宋"/>
                <w:szCs w:val="21"/>
                <w:lang w:eastAsia="zh-CN"/>
              </w:rPr>
              <w:t>高压冲洗车（</w:t>
            </w:r>
            <w:r>
              <w:rPr>
                <w:rFonts w:hint="eastAsia" w:ascii="仿宋" w:hAnsi="仿宋" w:eastAsia="仿宋" w:cs="仿宋"/>
                <w:szCs w:val="21"/>
                <w:lang w:val="en-US" w:eastAsia="zh-CN"/>
              </w:rPr>
              <w:t>总质量不低于18吨）</w:t>
            </w:r>
            <w:r>
              <w:rPr>
                <w:rFonts w:hint="eastAsia" w:ascii="仿宋" w:hAnsi="仿宋" w:eastAsia="仿宋" w:cs="仿宋"/>
                <w:szCs w:val="21"/>
                <w:lang w:eastAsia="zh-CN"/>
              </w:rPr>
              <w:t>有一辆得</w:t>
            </w:r>
            <w:r>
              <w:rPr>
                <w:rFonts w:hint="eastAsia" w:ascii="仿宋" w:hAnsi="仿宋" w:eastAsia="仿宋" w:cs="仿宋"/>
                <w:szCs w:val="21"/>
                <w:lang w:val="en-US" w:eastAsia="zh-CN"/>
              </w:rPr>
              <w:t>0.5</w:t>
            </w:r>
            <w:r>
              <w:rPr>
                <w:rFonts w:hint="eastAsia" w:ascii="仿宋" w:hAnsi="仿宋" w:eastAsia="仿宋" w:cs="仿宋"/>
                <w:szCs w:val="21"/>
                <w:lang w:eastAsia="zh-CN"/>
              </w:rPr>
              <w:t>分，</w:t>
            </w:r>
            <w:r>
              <w:rPr>
                <w:rFonts w:hint="eastAsia" w:ascii="仿宋" w:hAnsi="仿宋" w:eastAsia="仿宋" w:cs="仿宋"/>
                <w:szCs w:val="21"/>
              </w:rPr>
              <w:t>最</w:t>
            </w:r>
            <w:r>
              <w:rPr>
                <w:rFonts w:hint="eastAsia" w:ascii="仿宋" w:hAnsi="仿宋" w:eastAsia="仿宋" w:cs="仿宋"/>
                <w:szCs w:val="21"/>
                <w:lang w:val="en-US" w:eastAsia="zh-CN"/>
              </w:rPr>
              <w:t>高</w:t>
            </w:r>
            <w:r>
              <w:rPr>
                <w:rFonts w:hint="eastAsia" w:ascii="仿宋" w:hAnsi="仿宋" w:eastAsia="仿宋" w:cs="仿宋"/>
                <w:szCs w:val="21"/>
                <w:lang w:eastAsia="zh-CN"/>
              </w:rPr>
              <w:t>得</w:t>
            </w:r>
            <w:r>
              <w:rPr>
                <w:rFonts w:hint="eastAsia" w:ascii="仿宋" w:hAnsi="仿宋" w:eastAsia="仿宋" w:cs="仿宋"/>
                <w:szCs w:val="21"/>
                <w:lang w:val="en-US" w:eastAsia="zh-CN"/>
              </w:rPr>
              <w:t>1</w:t>
            </w:r>
            <w:r>
              <w:rPr>
                <w:rFonts w:hint="eastAsia" w:ascii="仿宋" w:hAnsi="仿宋" w:eastAsia="仿宋" w:cs="仿宋"/>
                <w:szCs w:val="21"/>
                <w:lang w:eastAsia="zh-CN"/>
              </w:rPr>
              <w:t>分。</w:t>
            </w:r>
          </w:p>
          <w:p w14:paraId="2060CD3D">
            <w:pPr>
              <w:widowControl/>
              <w:snapToGrid w:val="0"/>
              <w:spacing w:line="350" w:lineRule="exact"/>
              <w:jc w:val="left"/>
              <w:rPr>
                <w:rFonts w:hint="eastAsia" w:ascii="仿宋" w:hAnsi="仿宋" w:eastAsia="仿宋" w:cs="仿宋"/>
                <w:szCs w:val="21"/>
                <w:lang w:eastAsia="zh-CN"/>
              </w:rPr>
            </w:pPr>
            <w:r>
              <w:rPr>
                <w:rFonts w:hint="eastAsia" w:ascii="仿宋" w:hAnsi="仿宋" w:eastAsia="仿宋" w:cs="仿宋"/>
                <w:szCs w:val="21"/>
                <w:lang w:eastAsia="zh-CN"/>
              </w:rPr>
              <w:t>（</w:t>
            </w:r>
            <w:r>
              <w:rPr>
                <w:rFonts w:hint="eastAsia" w:ascii="仿宋" w:hAnsi="仿宋" w:eastAsia="仿宋" w:cs="仿宋"/>
                <w:szCs w:val="21"/>
                <w:lang w:val="en-US" w:eastAsia="zh-CN"/>
              </w:rPr>
              <w:t>3</w:t>
            </w:r>
            <w:r>
              <w:rPr>
                <w:rFonts w:hint="eastAsia" w:ascii="仿宋" w:hAnsi="仿宋" w:eastAsia="仿宋" w:cs="仿宋"/>
                <w:szCs w:val="21"/>
                <w:lang w:eastAsia="zh-CN"/>
              </w:rPr>
              <w:t>）投标供应商</w:t>
            </w:r>
            <w:r>
              <w:rPr>
                <w:rFonts w:hint="eastAsia" w:ascii="仿宋" w:hAnsi="仿宋" w:eastAsia="仿宋" w:cs="仿宋"/>
                <w:szCs w:val="21"/>
              </w:rPr>
              <w:t>配备</w:t>
            </w:r>
            <w:r>
              <w:rPr>
                <w:rFonts w:hint="eastAsia" w:ascii="仿宋" w:hAnsi="仿宋" w:eastAsia="仿宋" w:cs="仿宋"/>
                <w:szCs w:val="21"/>
                <w:lang w:eastAsia="zh-CN"/>
              </w:rPr>
              <w:t>有交管部门正式上牌的垃圾收集车（</w:t>
            </w:r>
            <w:r>
              <w:rPr>
                <w:rFonts w:hint="eastAsia" w:ascii="仿宋" w:hAnsi="仿宋" w:eastAsia="仿宋" w:cs="仿宋"/>
                <w:szCs w:val="21"/>
                <w:lang w:val="en-US" w:eastAsia="zh-CN"/>
              </w:rPr>
              <w:t>总质量不低于1.5吨）</w:t>
            </w:r>
            <w:r>
              <w:rPr>
                <w:rFonts w:hint="eastAsia" w:ascii="仿宋" w:hAnsi="仿宋" w:eastAsia="仿宋" w:cs="仿宋"/>
                <w:szCs w:val="21"/>
                <w:lang w:eastAsia="zh-CN"/>
              </w:rPr>
              <w:t>有一辆得</w:t>
            </w:r>
            <w:r>
              <w:rPr>
                <w:rFonts w:hint="eastAsia" w:ascii="仿宋" w:hAnsi="仿宋" w:eastAsia="仿宋" w:cs="仿宋"/>
                <w:szCs w:val="21"/>
                <w:lang w:val="en-US" w:eastAsia="zh-CN"/>
              </w:rPr>
              <w:t>0.5</w:t>
            </w:r>
            <w:r>
              <w:rPr>
                <w:rFonts w:hint="eastAsia" w:ascii="仿宋" w:hAnsi="仿宋" w:eastAsia="仿宋" w:cs="仿宋"/>
                <w:szCs w:val="21"/>
                <w:lang w:eastAsia="zh-CN"/>
              </w:rPr>
              <w:t>分，</w:t>
            </w:r>
            <w:r>
              <w:rPr>
                <w:rFonts w:hint="eastAsia" w:ascii="仿宋" w:hAnsi="仿宋" w:eastAsia="仿宋" w:cs="仿宋"/>
                <w:szCs w:val="21"/>
              </w:rPr>
              <w:t>最</w:t>
            </w:r>
            <w:r>
              <w:rPr>
                <w:rFonts w:hint="eastAsia" w:ascii="仿宋" w:hAnsi="仿宋" w:eastAsia="仿宋" w:cs="仿宋"/>
                <w:szCs w:val="21"/>
                <w:lang w:val="en-US" w:eastAsia="zh-CN"/>
              </w:rPr>
              <w:t>高</w:t>
            </w:r>
            <w:r>
              <w:rPr>
                <w:rFonts w:hint="eastAsia" w:ascii="仿宋" w:hAnsi="仿宋" w:eastAsia="仿宋" w:cs="仿宋"/>
                <w:szCs w:val="21"/>
                <w:lang w:eastAsia="zh-CN"/>
              </w:rPr>
              <w:t>得</w:t>
            </w:r>
            <w:r>
              <w:rPr>
                <w:rFonts w:hint="eastAsia" w:ascii="仿宋" w:hAnsi="仿宋" w:eastAsia="仿宋" w:cs="仿宋"/>
                <w:szCs w:val="21"/>
                <w:lang w:val="en-US" w:eastAsia="zh-CN"/>
              </w:rPr>
              <w:t>1</w:t>
            </w:r>
            <w:r>
              <w:rPr>
                <w:rFonts w:hint="eastAsia" w:ascii="仿宋" w:hAnsi="仿宋" w:eastAsia="仿宋" w:cs="仿宋"/>
                <w:szCs w:val="21"/>
                <w:lang w:eastAsia="zh-CN"/>
              </w:rPr>
              <w:t>分。</w:t>
            </w:r>
          </w:p>
          <w:p w14:paraId="7D25E209">
            <w:pPr>
              <w:widowControl/>
              <w:snapToGrid w:val="0"/>
              <w:spacing w:line="350" w:lineRule="exact"/>
              <w:jc w:val="left"/>
              <w:rPr>
                <w:rFonts w:hint="eastAsia" w:ascii="仿宋" w:hAnsi="仿宋" w:eastAsia="仿宋" w:cs="仿宋"/>
                <w:szCs w:val="21"/>
                <w:lang w:eastAsia="zh-CN"/>
              </w:rPr>
            </w:pPr>
            <w:r>
              <w:rPr>
                <w:rFonts w:hint="eastAsia" w:ascii="仿宋" w:hAnsi="仿宋" w:eastAsia="仿宋" w:cs="仿宋"/>
                <w:szCs w:val="21"/>
                <w:lang w:eastAsia="zh-CN"/>
              </w:rPr>
              <w:t>（</w:t>
            </w:r>
            <w:r>
              <w:rPr>
                <w:rFonts w:hint="eastAsia" w:ascii="仿宋" w:hAnsi="仿宋" w:eastAsia="仿宋" w:cs="仿宋"/>
                <w:szCs w:val="21"/>
                <w:lang w:val="en-US" w:eastAsia="zh-CN"/>
              </w:rPr>
              <w:t>4</w:t>
            </w:r>
            <w:r>
              <w:rPr>
                <w:rFonts w:hint="eastAsia" w:ascii="仿宋" w:hAnsi="仿宋" w:eastAsia="仿宋" w:cs="仿宋"/>
                <w:szCs w:val="21"/>
                <w:lang w:eastAsia="zh-CN"/>
              </w:rPr>
              <w:t>）投标供应商</w:t>
            </w:r>
            <w:r>
              <w:rPr>
                <w:rFonts w:hint="eastAsia" w:ascii="仿宋" w:hAnsi="仿宋" w:eastAsia="仿宋" w:cs="仿宋"/>
                <w:szCs w:val="21"/>
              </w:rPr>
              <w:t>配备</w:t>
            </w:r>
            <w:r>
              <w:rPr>
                <w:rFonts w:hint="eastAsia" w:ascii="仿宋" w:hAnsi="仿宋" w:eastAsia="仿宋" w:cs="仿宋"/>
                <w:szCs w:val="21"/>
                <w:lang w:eastAsia="zh-CN"/>
              </w:rPr>
              <w:t>机械打捞船有一</w:t>
            </w:r>
            <w:r>
              <w:rPr>
                <w:rFonts w:hint="eastAsia" w:ascii="仿宋" w:hAnsi="仿宋" w:eastAsia="仿宋" w:cs="仿宋"/>
                <w:szCs w:val="21"/>
                <w:lang w:val="en-US" w:eastAsia="zh-CN"/>
              </w:rPr>
              <w:t>艘</w:t>
            </w:r>
            <w:r>
              <w:rPr>
                <w:rFonts w:hint="eastAsia" w:ascii="仿宋" w:hAnsi="仿宋" w:eastAsia="仿宋" w:cs="仿宋"/>
                <w:szCs w:val="21"/>
                <w:lang w:eastAsia="zh-CN"/>
              </w:rPr>
              <w:t>得</w:t>
            </w:r>
            <w:r>
              <w:rPr>
                <w:rFonts w:hint="eastAsia" w:ascii="仿宋" w:hAnsi="仿宋" w:eastAsia="仿宋" w:cs="仿宋"/>
                <w:szCs w:val="21"/>
                <w:lang w:val="en-US" w:eastAsia="zh-CN"/>
              </w:rPr>
              <w:t>0.5</w:t>
            </w:r>
            <w:r>
              <w:rPr>
                <w:rFonts w:hint="eastAsia" w:ascii="仿宋" w:hAnsi="仿宋" w:eastAsia="仿宋" w:cs="仿宋"/>
                <w:szCs w:val="21"/>
                <w:lang w:eastAsia="zh-CN"/>
              </w:rPr>
              <w:t>分，</w:t>
            </w:r>
            <w:r>
              <w:rPr>
                <w:rFonts w:hint="eastAsia" w:ascii="仿宋" w:hAnsi="仿宋" w:eastAsia="仿宋" w:cs="仿宋"/>
                <w:szCs w:val="21"/>
              </w:rPr>
              <w:t>最</w:t>
            </w:r>
            <w:r>
              <w:rPr>
                <w:rFonts w:hint="eastAsia" w:ascii="仿宋" w:hAnsi="仿宋" w:eastAsia="仿宋" w:cs="仿宋"/>
                <w:szCs w:val="21"/>
                <w:lang w:val="en-US" w:eastAsia="zh-CN"/>
              </w:rPr>
              <w:t>高</w:t>
            </w:r>
            <w:r>
              <w:rPr>
                <w:rFonts w:hint="eastAsia" w:ascii="仿宋" w:hAnsi="仿宋" w:eastAsia="仿宋" w:cs="仿宋"/>
                <w:szCs w:val="21"/>
                <w:lang w:eastAsia="zh-CN"/>
              </w:rPr>
              <w:t>得</w:t>
            </w:r>
            <w:r>
              <w:rPr>
                <w:rFonts w:hint="eastAsia" w:ascii="仿宋" w:hAnsi="仿宋" w:eastAsia="仿宋" w:cs="仿宋"/>
                <w:szCs w:val="21"/>
                <w:lang w:val="en-US" w:eastAsia="zh-CN"/>
              </w:rPr>
              <w:t>1</w:t>
            </w:r>
            <w:r>
              <w:rPr>
                <w:rFonts w:hint="eastAsia" w:ascii="仿宋" w:hAnsi="仿宋" w:eastAsia="仿宋" w:cs="仿宋"/>
                <w:szCs w:val="21"/>
                <w:lang w:eastAsia="zh-CN"/>
              </w:rPr>
              <w:t>分。</w:t>
            </w:r>
          </w:p>
          <w:p w14:paraId="2203B394">
            <w:pPr>
              <w:widowControl/>
              <w:snapToGrid w:val="0"/>
              <w:spacing w:line="350" w:lineRule="exact"/>
              <w:jc w:val="left"/>
              <w:rPr>
                <w:rFonts w:hint="eastAsia" w:ascii="仿宋" w:hAnsi="仿宋" w:eastAsia="仿宋" w:cs="仿宋"/>
                <w:szCs w:val="21"/>
                <w:lang w:eastAsia="zh-CN"/>
              </w:rPr>
            </w:pPr>
            <w:r>
              <w:rPr>
                <w:rFonts w:hint="eastAsia" w:ascii="仿宋" w:hAnsi="仿宋" w:eastAsia="仿宋" w:cs="仿宋"/>
                <w:szCs w:val="21"/>
                <w:lang w:eastAsia="zh-CN"/>
              </w:rPr>
              <w:t>（</w:t>
            </w:r>
            <w:r>
              <w:rPr>
                <w:rFonts w:hint="eastAsia" w:ascii="仿宋" w:hAnsi="仿宋" w:eastAsia="仿宋" w:cs="仿宋"/>
                <w:szCs w:val="21"/>
                <w:lang w:val="en-US" w:eastAsia="zh-CN"/>
              </w:rPr>
              <w:t>5</w:t>
            </w:r>
            <w:r>
              <w:rPr>
                <w:rFonts w:hint="eastAsia" w:ascii="仿宋" w:hAnsi="仿宋" w:eastAsia="仿宋" w:cs="仿宋"/>
                <w:szCs w:val="21"/>
                <w:lang w:eastAsia="zh-CN"/>
              </w:rPr>
              <w:t>）投标供应商配备环卫车15辆以上，并提供车辆购买正式发票得</w:t>
            </w:r>
            <w:r>
              <w:rPr>
                <w:rFonts w:hint="eastAsia" w:ascii="仿宋" w:hAnsi="仿宋" w:eastAsia="仿宋" w:cs="仿宋"/>
                <w:szCs w:val="21"/>
                <w:lang w:val="en-US" w:eastAsia="zh-CN"/>
              </w:rPr>
              <w:t>8</w:t>
            </w:r>
            <w:r>
              <w:rPr>
                <w:rFonts w:hint="eastAsia" w:ascii="仿宋" w:hAnsi="仿宋" w:eastAsia="仿宋" w:cs="仿宋"/>
                <w:szCs w:val="21"/>
                <w:lang w:eastAsia="zh-CN"/>
              </w:rPr>
              <w:t>分。</w:t>
            </w:r>
          </w:p>
          <w:p w14:paraId="4D1C2326">
            <w:pPr>
              <w:widowControl/>
              <w:snapToGrid w:val="0"/>
              <w:spacing w:line="350" w:lineRule="exact"/>
              <w:jc w:val="left"/>
              <w:rPr>
                <w:rFonts w:hint="eastAsia" w:ascii="仿宋" w:hAnsi="仿宋" w:eastAsia="仿宋" w:cs="仿宋"/>
                <w:szCs w:val="21"/>
              </w:rPr>
            </w:pPr>
            <w:r>
              <w:rPr>
                <w:rFonts w:hint="eastAsia" w:ascii="仿宋" w:hAnsi="仿宋" w:eastAsia="仿宋" w:cs="仿宋"/>
                <w:szCs w:val="21"/>
                <w:lang w:eastAsia="zh-CN"/>
              </w:rPr>
              <w:t>注：①如是自有设备，提供发票（发票抬头必须与投标供应商名称一致）、车辆/设备各自的照片、行驶证；如是租赁设备，提供租赁协议、车辆/设备各自的照片、行驶证（</w:t>
            </w:r>
            <w:r>
              <w:rPr>
                <w:rFonts w:hint="eastAsia" w:ascii="仿宋" w:hAnsi="仿宋" w:eastAsia="仿宋" w:cs="仿宋"/>
                <w:szCs w:val="21"/>
                <w:lang w:val="en-US" w:eastAsia="zh-CN"/>
              </w:rPr>
              <w:t>响应文件中</w:t>
            </w:r>
            <w:r>
              <w:rPr>
                <w:rFonts w:hint="eastAsia" w:ascii="仿宋" w:hAnsi="仿宋" w:eastAsia="仿宋" w:cs="仿宋"/>
                <w:szCs w:val="21"/>
              </w:rPr>
              <w:t>提供</w:t>
            </w:r>
            <w:r>
              <w:rPr>
                <w:rFonts w:hint="eastAsia" w:ascii="仿宋" w:hAnsi="仿宋" w:eastAsia="仿宋" w:cs="仿宋"/>
                <w:szCs w:val="21"/>
                <w:lang w:val="en-US" w:eastAsia="zh-CN"/>
              </w:rPr>
              <w:t>相关证明材料</w:t>
            </w:r>
            <w:r>
              <w:rPr>
                <w:rFonts w:hint="eastAsia" w:ascii="仿宋" w:hAnsi="仿宋" w:eastAsia="仿宋" w:cs="仿宋"/>
                <w:szCs w:val="21"/>
              </w:rPr>
              <w:t>扫描件加盖电子公章，否则不得分</w:t>
            </w:r>
            <w:r>
              <w:rPr>
                <w:rFonts w:hint="eastAsia" w:ascii="仿宋" w:hAnsi="仿宋" w:eastAsia="仿宋" w:cs="仿宋"/>
                <w:szCs w:val="21"/>
                <w:lang w:eastAsia="zh-CN"/>
              </w:rPr>
              <w:t>）。</w:t>
            </w:r>
          </w:p>
        </w:tc>
      </w:tr>
      <w:tr w14:paraId="12467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86" w:type="pct"/>
            <w:gridSpan w:val="2"/>
            <w:vMerge w:val="restart"/>
            <w:tcBorders>
              <w:top w:val="single" w:color="auto" w:sz="4" w:space="0"/>
            </w:tcBorders>
            <w:noWrap w:val="0"/>
            <w:vAlign w:val="center"/>
          </w:tcPr>
          <w:p w14:paraId="722E522A">
            <w:pPr>
              <w:snapToGrid w:val="0"/>
              <w:spacing w:line="400" w:lineRule="exact"/>
              <w:jc w:val="center"/>
              <w:rPr>
                <w:rFonts w:hint="eastAsia" w:ascii="仿宋" w:hAnsi="仿宋" w:eastAsia="仿宋" w:cs="仿宋"/>
                <w:szCs w:val="21"/>
              </w:rPr>
            </w:pPr>
            <w:r>
              <w:rPr>
                <w:rFonts w:hint="eastAsia" w:ascii="仿宋" w:hAnsi="仿宋" w:eastAsia="仿宋" w:cs="仿宋"/>
                <w:szCs w:val="21"/>
              </w:rPr>
              <w:t>技术评审（</w:t>
            </w:r>
            <w:r>
              <w:rPr>
                <w:rFonts w:hint="eastAsia" w:ascii="仿宋" w:hAnsi="仿宋" w:eastAsia="仿宋" w:cs="仿宋"/>
                <w:szCs w:val="21"/>
                <w:lang w:val="en-US" w:eastAsia="zh-CN"/>
              </w:rPr>
              <w:t>44</w:t>
            </w:r>
            <w:r>
              <w:rPr>
                <w:rFonts w:hint="eastAsia" w:ascii="仿宋" w:hAnsi="仿宋" w:eastAsia="仿宋" w:cs="仿宋"/>
                <w:szCs w:val="21"/>
              </w:rPr>
              <w:t>分）</w:t>
            </w:r>
          </w:p>
        </w:tc>
        <w:tc>
          <w:tcPr>
            <w:tcW w:w="867" w:type="pct"/>
            <w:gridSpan w:val="2"/>
            <w:tcBorders>
              <w:top w:val="single" w:color="auto" w:sz="4" w:space="0"/>
              <w:left w:val="single" w:color="000000" w:sz="4" w:space="0"/>
              <w:bottom w:val="single" w:color="000000" w:sz="4" w:space="0"/>
              <w:right w:val="single" w:color="000000" w:sz="4" w:space="0"/>
            </w:tcBorders>
            <w:noWrap w:val="0"/>
            <w:vAlign w:val="center"/>
          </w:tcPr>
          <w:p w14:paraId="48301AB9">
            <w:pPr>
              <w:snapToGrid w:val="0"/>
              <w:spacing w:line="400" w:lineRule="exact"/>
              <w:jc w:val="center"/>
              <w:rPr>
                <w:rFonts w:hint="eastAsia" w:ascii="仿宋" w:hAnsi="仿宋" w:eastAsia="仿宋" w:cs="仿宋"/>
                <w:szCs w:val="21"/>
                <w:lang w:val="en-US" w:eastAsia="zh-CN"/>
              </w:rPr>
            </w:pPr>
            <w:r>
              <w:rPr>
                <w:rFonts w:hint="eastAsia" w:ascii="仿宋" w:hAnsi="仿宋" w:eastAsia="仿宋" w:cs="仿宋"/>
                <w:szCs w:val="21"/>
              </w:rPr>
              <w:t>项目实施方案</w:t>
            </w:r>
            <w:r>
              <w:rPr>
                <w:rFonts w:hint="eastAsia" w:ascii="仿宋" w:hAnsi="仿宋" w:eastAsia="仿宋" w:cs="仿宋"/>
                <w:szCs w:val="21"/>
                <w:lang w:eastAsia="zh-CN"/>
              </w:rPr>
              <w:t>（</w:t>
            </w:r>
            <w:r>
              <w:rPr>
                <w:rFonts w:hint="eastAsia" w:ascii="仿宋" w:hAnsi="仿宋" w:eastAsia="仿宋" w:cs="仿宋"/>
                <w:szCs w:val="21"/>
                <w:lang w:val="en-US" w:eastAsia="zh-CN"/>
              </w:rPr>
              <w:t>8分）</w:t>
            </w:r>
          </w:p>
        </w:tc>
        <w:tc>
          <w:tcPr>
            <w:tcW w:w="3446" w:type="pct"/>
            <w:gridSpan w:val="2"/>
            <w:tcBorders>
              <w:top w:val="single" w:color="000000" w:sz="4" w:space="0"/>
              <w:left w:val="single" w:color="000000" w:sz="4" w:space="0"/>
              <w:bottom w:val="single" w:color="000000" w:sz="4" w:space="0"/>
              <w:right w:val="single" w:color="000000" w:sz="4" w:space="0"/>
            </w:tcBorders>
            <w:noWrap w:val="0"/>
            <w:vAlign w:val="center"/>
          </w:tcPr>
          <w:p w14:paraId="0D4DFB34">
            <w:pPr>
              <w:widowControl/>
              <w:snapToGrid w:val="0"/>
              <w:spacing w:line="350" w:lineRule="exact"/>
              <w:jc w:val="left"/>
              <w:rPr>
                <w:rFonts w:hint="eastAsia" w:ascii="仿宋" w:hAnsi="仿宋" w:eastAsia="仿宋" w:cs="仿宋"/>
                <w:szCs w:val="21"/>
                <w:lang w:eastAsia="zh-CN"/>
              </w:rPr>
            </w:pPr>
            <w:r>
              <w:rPr>
                <w:rFonts w:hint="eastAsia" w:ascii="仿宋" w:hAnsi="仿宋" w:eastAsia="仿宋" w:cs="仿宋"/>
                <w:szCs w:val="21"/>
                <w:lang w:eastAsia="zh-CN"/>
              </w:rPr>
              <w:t>项目实施方案合理、详细得当，项目实施人员安排合理、到位，人员满足要求、素质优良，项目进度安排合理，能提出有效的措施保障项目顺利实施等。</w:t>
            </w:r>
          </w:p>
          <w:p w14:paraId="769242F1">
            <w:pPr>
              <w:widowControl/>
              <w:snapToGrid w:val="0"/>
              <w:spacing w:line="350" w:lineRule="exact"/>
              <w:jc w:val="left"/>
              <w:rPr>
                <w:rFonts w:hint="eastAsia" w:ascii="仿宋" w:hAnsi="仿宋" w:eastAsia="仿宋" w:cs="仿宋"/>
                <w:szCs w:val="21"/>
                <w:lang w:val="en-US" w:eastAsia="zh-CN"/>
              </w:rPr>
            </w:pPr>
            <w:r>
              <w:rPr>
                <w:rFonts w:hint="eastAsia" w:ascii="仿宋" w:hAnsi="仿宋" w:eastAsia="仿宋" w:cs="仿宋"/>
                <w:szCs w:val="21"/>
                <w:lang w:val="en-US" w:eastAsia="zh-CN"/>
              </w:rPr>
              <w:t>方案细致全面、合理、完全响应需求，可行性强得8分；</w:t>
            </w:r>
          </w:p>
          <w:p w14:paraId="6DB0CF19">
            <w:pPr>
              <w:widowControl/>
              <w:snapToGrid w:val="0"/>
              <w:spacing w:line="350" w:lineRule="exact"/>
              <w:jc w:val="left"/>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方案较为完整、基本响应需求的得5分； </w:t>
            </w:r>
          </w:p>
          <w:p w14:paraId="1117BAEB">
            <w:pPr>
              <w:widowControl/>
              <w:snapToGrid w:val="0"/>
              <w:spacing w:line="350" w:lineRule="exact"/>
              <w:jc w:val="left"/>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方案不完全、响应度低、可行性低得2分； </w:t>
            </w:r>
          </w:p>
          <w:p w14:paraId="1484DF7D">
            <w:pPr>
              <w:widowControl/>
              <w:snapToGrid w:val="0"/>
              <w:spacing w:line="350" w:lineRule="exact"/>
              <w:jc w:val="left"/>
              <w:rPr>
                <w:rFonts w:hint="eastAsia" w:ascii="仿宋" w:hAnsi="仿宋" w:eastAsia="仿宋" w:cs="仿宋"/>
                <w:szCs w:val="21"/>
              </w:rPr>
            </w:pPr>
            <w:r>
              <w:rPr>
                <w:rFonts w:hint="eastAsia" w:ascii="仿宋" w:hAnsi="仿宋" w:eastAsia="仿宋" w:cs="仿宋"/>
                <w:szCs w:val="21"/>
                <w:lang w:val="en-US" w:eastAsia="zh-CN"/>
              </w:rPr>
              <w:t>提供的内容与本项目不符或不提供的不得分。</w:t>
            </w:r>
          </w:p>
        </w:tc>
      </w:tr>
      <w:tr w14:paraId="7B5794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86" w:type="pct"/>
            <w:gridSpan w:val="2"/>
            <w:vMerge w:val="continue"/>
            <w:noWrap w:val="0"/>
            <w:vAlign w:val="center"/>
          </w:tcPr>
          <w:p w14:paraId="5FB0A2E4">
            <w:pPr>
              <w:snapToGrid w:val="0"/>
              <w:spacing w:line="400" w:lineRule="exact"/>
              <w:jc w:val="center"/>
              <w:rPr>
                <w:rFonts w:hint="eastAsia" w:ascii="仿宋" w:hAnsi="仿宋" w:eastAsia="仿宋" w:cs="仿宋"/>
                <w:szCs w:val="21"/>
              </w:rPr>
            </w:pPr>
          </w:p>
        </w:tc>
        <w:tc>
          <w:tcPr>
            <w:tcW w:w="867" w:type="pct"/>
            <w:gridSpan w:val="2"/>
            <w:tcBorders>
              <w:top w:val="single" w:color="000000" w:sz="4" w:space="0"/>
              <w:left w:val="single" w:color="000000" w:sz="4" w:space="0"/>
              <w:bottom w:val="single" w:color="000000" w:sz="4" w:space="0"/>
              <w:right w:val="single" w:color="000000" w:sz="4" w:space="0"/>
            </w:tcBorders>
            <w:noWrap w:val="0"/>
            <w:vAlign w:val="center"/>
          </w:tcPr>
          <w:p w14:paraId="49C22E6E">
            <w:pPr>
              <w:snapToGrid w:val="0"/>
              <w:spacing w:line="400" w:lineRule="exact"/>
              <w:jc w:val="center"/>
              <w:rPr>
                <w:rFonts w:hint="eastAsia" w:ascii="仿宋" w:hAnsi="仿宋" w:eastAsia="仿宋" w:cs="仿宋"/>
                <w:szCs w:val="21"/>
              </w:rPr>
            </w:pPr>
            <w:r>
              <w:rPr>
                <w:rFonts w:hint="eastAsia" w:ascii="仿宋" w:hAnsi="仿宋" w:eastAsia="仿宋" w:cs="仿宋"/>
                <w:szCs w:val="21"/>
              </w:rPr>
              <w:t>服务方案</w:t>
            </w:r>
          </w:p>
          <w:p w14:paraId="7CBA6D9C">
            <w:pPr>
              <w:snapToGrid w:val="0"/>
              <w:spacing w:line="400" w:lineRule="exact"/>
              <w:jc w:val="center"/>
              <w:rPr>
                <w:rFonts w:hint="eastAsia"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lang w:val="en-US" w:eastAsia="zh-CN"/>
              </w:rPr>
              <w:t>8分）</w:t>
            </w:r>
          </w:p>
        </w:tc>
        <w:tc>
          <w:tcPr>
            <w:tcW w:w="3446" w:type="pct"/>
            <w:gridSpan w:val="2"/>
            <w:tcBorders>
              <w:top w:val="single" w:color="000000" w:sz="4" w:space="0"/>
              <w:left w:val="single" w:color="000000" w:sz="4" w:space="0"/>
              <w:bottom w:val="single" w:color="000000" w:sz="4" w:space="0"/>
              <w:right w:val="single" w:color="000000" w:sz="4" w:space="0"/>
            </w:tcBorders>
            <w:noWrap w:val="0"/>
            <w:vAlign w:val="center"/>
          </w:tcPr>
          <w:p w14:paraId="523F2F04">
            <w:pPr>
              <w:snapToGrid w:val="0"/>
              <w:spacing w:line="400" w:lineRule="exact"/>
              <w:jc w:val="left"/>
              <w:rPr>
                <w:rFonts w:hint="eastAsia" w:ascii="仿宋" w:hAnsi="仿宋" w:eastAsia="仿宋" w:cs="仿宋"/>
                <w:szCs w:val="21"/>
              </w:rPr>
            </w:pPr>
            <w:r>
              <w:rPr>
                <w:rFonts w:hint="eastAsia" w:ascii="仿宋" w:hAnsi="仿宋" w:eastAsia="仿宋" w:cs="仿宋"/>
                <w:szCs w:val="21"/>
              </w:rPr>
              <w:t>投标人道路清扫保洁、垃圾清运、河道保洁、农贸市场市容管理、绿化养护、公厕保洁、中转站服务方案。</w:t>
            </w:r>
          </w:p>
          <w:p w14:paraId="1F7F1A3D">
            <w:pPr>
              <w:pStyle w:val="40"/>
              <w:numPr>
                <w:ilvl w:val="2"/>
                <w:numId w:val="0"/>
              </w:numPr>
              <w:ind w:leftChars="0"/>
              <w:rPr>
                <w:rFonts w:hint="eastAsia" w:ascii="仿宋" w:hAnsi="仿宋" w:eastAsia="仿宋" w:cs="仿宋"/>
                <w:b w:val="0"/>
                <w:color w:val="auto"/>
                <w:sz w:val="24"/>
                <w:szCs w:val="21"/>
                <w:lang w:val="en-US" w:eastAsia="zh-CN" w:bidi="ar-SA"/>
              </w:rPr>
            </w:pPr>
            <w:r>
              <w:rPr>
                <w:rFonts w:hint="eastAsia" w:ascii="仿宋" w:hAnsi="仿宋" w:eastAsia="仿宋" w:cs="仿宋"/>
                <w:b w:val="0"/>
                <w:color w:val="auto"/>
                <w:sz w:val="24"/>
                <w:szCs w:val="21"/>
                <w:lang w:val="en-US" w:eastAsia="zh-CN" w:bidi="ar-SA"/>
              </w:rPr>
              <w:t>方案细致全面、合理、完全响应需求，针对性、可行性强，计划安排科学合理得8分；</w:t>
            </w:r>
          </w:p>
          <w:p w14:paraId="2E20854B">
            <w:pPr>
              <w:pStyle w:val="40"/>
              <w:numPr>
                <w:ilvl w:val="2"/>
                <w:numId w:val="0"/>
              </w:numPr>
              <w:ind w:leftChars="0"/>
              <w:rPr>
                <w:rFonts w:hint="eastAsia" w:ascii="仿宋" w:hAnsi="仿宋" w:eastAsia="仿宋" w:cs="仿宋"/>
                <w:b w:val="0"/>
                <w:color w:val="auto"/>
                <w:sz w:val="24"/>
                <w:szCs w:val="21"/>
                <w:lang w:val="en-US" w:eastAsia="zh-CN" w:bidi="ar-SA"/>
              </w:rPr>
            </w:pPr>
            <w:r>
              <w:rPr>
                <w:rFonts w:hint="eastAsia" w:ascii="仿宋" w:hAnsi="仿宋" w:eastAsia="仿宋" w:cs="仿宋"/>
                <w:b w:val="0"/>
                <w:color w:val="auto"/>
                <w:sz w:val="24"/>
                <w:szCs w:val="21"/>
                <w:lang w:val="en-US" w:eastAsia="zh-CN" w:bidi="ar-SA"/>
              </w:rPr>
              <w:t xml:space="preserve">方案较为完整、基本响应需求的得5分； </w:t>
            </w:r>
          </w:p>
          <w:p w14:paraId="1FAD1FCA">
            <w:pPr>
              <w:pStyle w:val="40"/>
              <w:numPr>
                <w:ilvl w:val="2"/>
                <w:numId w:val="0"/>
              </w:numPr>
              <w:ind w:leftChars="0"/>
              <w:rPr>
                <w:rFonts w:hint="eastAsia" w:ascii="仿宋" w:hAnsi="仿宋" w:eastAsia="仿宋" w:cs="仿宋"/>
                <w:b w:val="0"/>
                <w:color w:val="auto"/>
                <w:sz w:val="24"/>
                <w:szCs w:val="21"/>
                <w:lang w:val="en-US" w:eastAsia="zh-CN" w:bidi="ar-SA"/>
              </w:rPr>
            </w:pPr>
            <w:r>
              <w:rPr>
                <w:rFonts w:hint="eastAsia" w:ascii="仿宋" w:hAnsi="仿宋" w:eastAsia="仿宋" w:cs="仿宋"/>
                <w:b w:val="0"/>
                <w:color w:val="auto"/>
                <w:sz w:val="24"/>
                <w:szCs w:val="21"/>
                <w:lang w:val="en-US" w:eastAsia="zh-CN" w:bidi="ar-SA"/>
              </w:rPr>
              <w:t xml:space="preserve">方案不完全、响应度低、针对性、可行性低得2分； </w:t>
            </w:r>
          </w:p>
          <w:p w14:paraId="4BD0FCBD">
            <w:pPr>
              <w:snapToGrid w:val="0"/>
              <w:spacing w:line="400" w:lineRule="exact"/>
              <w:jc w:val="left"/>
              <w:rPr>
                <w:rFonts w:hint="eastAsia" w:ascii="仿宋" w:hAnsi="仿宋" w:eastAsia="仿宋" w:cs="仿宋"/>
                <w:szCs w:val="21"/>
              </w:rPr>
            </w:pPr>
            <w:r>
              <w:rPr>
                <w:rFonts w:hint="eastAsia" w:ascii="仿宋" w:hAnsi="仿宋" w:eastAsia="仿宋" w:cs="仿宋"/>
                <w:b w:val="0"/>
                <w:color w:val="auto"/>
                <w:sz w:val="24"/>
                <w:szCs w:val="21"/>
                <w:lang w:val="en-US" w:eastAsia="zh-CN" w:bidi="ar-SA"/>
              </w:rPr>
              <w:t>提供的内容与本项目不符或不提供的不得分。</w:t>
            </w:r>
          </w:p>
        </w:tc>
      </w:tr>
      <w:tr w14:paraId="5D2198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86" w:type="pct"/>
            <w:gridSpan w:val="2"/>
            <w:vMerge w:val="continue"/>
            <w:noWrap w:val="0"/>
            <w:vAlign w:val="center"/>
          </w:tcPr>
          <w:p w14:paraId="6815D19D">
            <w:pPr>
              <w:snapToGrid w:val="0"/>
              <w:spacing w:line="400" w:lineRule="exact"/>
              <w:jc w:val="center"/>
              <w:rPr>
                <w:rFonts w:hint="eastAsia" w:ascii="仿宋" w:hAnsi="仿宋" w:eastAsia="仿宋" w:cs="仿宋"/>
                <w:szCs w:val="21"/>
              </w:rPr>
            </w:pPr>
          </w:p>
        </w:tc>
        <w:tc>
          <w:tcPr>
            <w:tcW w:w="867" w:type="pct"/>
            <w:gridSpan w:val="2"/>
            <w:tcBorders>
              <w:top w:val="single" w:color="000000" w:sz="4" w:space="0"/>
              <w:left w:val="single" w:color="000000" w:sz="4" w:space="0"/>
              <w:bottom w:val="single" w:color="000000" w:sz="4" w:space="0"/>
              <w:right w:val="single" w:color="000000" w:sz="4" w:space="0"/>
            </w:tcBorders>
            <w:noWrap w:val="0"/>
            <w:vAlign w:val="center"/>
          </w:tcPr>
          <w:p w14:paraId="2800646D">
            <w:pPr>
              <w:snapToGrid w:val="0"/>
              <w:spacing w:line="400" w:lineRule="exact"/>
              <w:jc w:val="center"/>
              <w:rPr>
                <w:rFonts w:hint="eastAsia" w:ascii="仿宋" w:hAnsi="仿宋" w:eastAsia="仿宋" w:cs="仿宋"/>
                <w:szCs w:val="21"/>
              </w:rPr>
            </w:pPr>
            <w:r>
              <w:rPr>
                <w:rFonts w:hint="eastAsia" w:ascii="仿宋" w:hAnsi="仿宋" w:eastAsia="仿宋" w:cs="仿宋"/>
                <w:szCs w:val="21"/>
              </w:rPr>
              <w:t>管理以及组织架构</w:t>
            </w:r>
          </w:p>
          <w:p w14:paraId="09818A2B">
            <w:pPr>
              <w:snapToGrid w:val="0"/>
              <w:spacing w:line="400" w:lineRule="exact"/>
              <w:jc w:val="center"/>
              <w:rPr>
                <w:rFonts w:hint="eastAsia"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lang w:val="en-US" w:eastAsia="zh-CN"/>
              </w:rPr>
              <w:t>8分）</w:t>
            </w:r>
          </w:p>
        </w:tc>
        <w:tc>
          <w:tcPr>
            <w:tcW w:w="3446" w:type="pct"/>
            <w:gridSpan w:val="2"/>
            <w:tcBorders>
              <w:top w:val="single" w:color="000000" w:sz="4" w:space="0"/>
              <w:left w:val="single" w:color="000000" w:sz="4" w:space="0"/>
              <w:bottom w:val="single" w:color="000000" w:sz="4" w:space="0"/>
              <w:right w:val="single" w:color="000000" w:sz="4" w:space="0"/>
            </w:tcBorders>
            <w:noWrap w:val="0"/>
            <w:vAlign w:val="center"/>
          </w:tcPr>
          <w:p w14:paraId="7BD4EAAB">
            <w:pPr>
              <w:snapToGrid w:val="0"/>
              <w:spacing w:line="400" w:lineRule="exact"/>
              <w:jc w:val="left"/>
              <w:rPr>
                <w:rFonts w:hint="eastAsia" w:ascii="仿宋" w:hAnsi="仿宋" w:eastAsia="仿宋" w:cs="仿宋"/>
                <w:szCs w:val="21"/>
              </w:rPr>
            </w:pPr>
            <w:r>
              <w:rPr>
                <w:rFonts w:hint="eastAsia" w:ascii="仿宋" w:hAnsi="仿宋" w:eastAsia="仿宋" w:cs="仿宋"/>
                <w:szCs w:val="21"/>
              </w:rPr>
              <w:t>投标人管理以及组织架构是否科学、合理，是否能保证管理落实到位，包括组织管理体系完善，项目管理人员配备到位，项目管理事项明确，各岗位具有明确的分工等。</w:t>
            </w:r>
          </w:p>
          <w:p w14:paraId="3D0FF3CB">
            <w:pPr>
              <w:snapToGrid w:val="0"/>
              <w:spacing w:line="400" w:lineRule="exact"/>
              <w:jc w:val="left"/>
              <w:rPr>
                <w:rFonts w:hint="eastAsia" w:ascii="仿宋" w:hAnsi="仿宋" w:eastAsia="仿宋" w:cs="仿宋"/>
                <w:szCs w:val="21"/>
                <w:lang w:val="en-US" w:eastAsia="zh-CN"/>
              </w:rPr>
            </w:pPr>
            <w:r>
              <w:rPr>
                <w:rFonts w:hint="eastAsia" w:ascii="仿宋" w:hAnsi="仿宋" w:eastAsia="仿宋" w:cs="仿宋"/>
                <w:szCs w:val="21"/>
                <w:lang w:val="en-US" w:eastAsia="zh-CN"/>
              </w:rPr>
              <w:t>方案科学、合理、完全响应需求，可行性强得8分；</w:t>
            </w:r>
          </w:p>
          <w:p w14:paraId="671F7F72">
            <w:pPr>
              <w:snapToGrid w:val="0"/>
              <w:spacing w:line="400" w:lineRule="exact"/>
              <w:jc w:val="left"/>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方案较为完整、基本响应需求的得5分； </w:t>
            </w:r>
          </w:p>
          <w:p w14:paraId="356F5DF7">
            <w:pPr>
              <w:snapToGrid w:val="0"/>
              <w:spacing w:line="400" w:lineRule="exact"/>
              <w:jc w:val="left"/>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方案不完全、响应度低、可行性低得2分； </w:t>
            </w:r>
          </w:p>
          <w:p w14:paraId="23A4CA0B">
            <w:pPr>
              <w:snapToGrid w:val="0"/>
              <w:spacing w:line="400" w:lineRule="exact"/>
              <w:jc w:val="left"/>
              <w:rPr>
                <w:rFonts w:hint="eastAsia" w:ascii="仿宋" w:hAnsi="仿宋" w:eastAsia="仿宋" w:cs="仿宋"/>
                <w:szCs w:val="21"/>
              </w:rPr>
            </w:pPr>
            <w:r>
              <w:rPr>
                <w:rFonts w:hint="eastAsia" w:ascii="仿宋" w:hAnsi="仿宋" w:eastAsia="仿宋" w:cs="仿宋"/>
                <w:szCs w:val="21"/>
                <w:lang w:val="en-US" w:eastAsia="zh-CN"/>
              </w:rPr>
              <w:t>提供的内容与本项目不符或不提供的不得分。</w:t>
            </w:r>
          </w:p>
        </w:tc>
      </w:tr>
      <w:tr w14:paraId="1F92C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86" w:type="pct"/>
            <w:gridSpan w:val="2"/>
            <w:vMerge w:val="continue"/>
            <w:noWrap w:val="0"/>
            <w:vAlign w:val="center"/>
          </w:tcPr>
          <w:p w14:paraId="7F65E0BF">
            <w:pPr>
              <w:snapToGrid w:val="0"/>
              <w:spacing w:line="400" w:lineRule="exact"/>
              <w:jc w:val="center"/>
              <w:rPr>
                <w:rFonts w:hint="eastAsia" w:ascii="仿宋" w:hAnsi="仿宋" w:eastAsia="仿宋" w:cs="仿宋"/>
                <w:szCs w:val="21"/>
              </w:rPr>
            </w:pPr>
          </w:p>
        </w:tc>
        <w:tc>
          <w:tcPr>
            <w:tcW w:w="867" w:type="pct"/>
            <w:gridSpan w:val="2"/>
            <w:tcBorders>
              <w:top w:val="single" w:color="000000" w:sz="4" w:space="0"/>
              <w:left w:val="single" w:color="000000" w:sz="4" w:space="0"/>
              <w:bottom w:val="single" w:color="000000" w:sz="4" w:space="0"/>
              <w:right w:val="single" w:color="000000" w:sz="4" w:space="0"/>
            </w:tcBorders>
            <w:noWrap w:val="0"/>
            <w:vAlign w:val="center"/>
          </w:tcPr>
          <w:p w14:paraId="7A8E253E">
            <w:pPr>
              <w:snapToGrid w:val="0"/>
              <w:spacing w:line="400" w:lineRule="exact"/>
              <w:jc w:val="center"/>
              <w:rPr>
                <w:rFonts w:hint="eastAsia" w:ascii="仿宋" w:hAnsi="仿宋" w:eastAsia="仿宋" w:cs="仿宋"/>
                <w:szCs w:val="21"/>
              </w:rPr>
            </w:pPr>
            <w:r>
              <w:rPr>
                <w:rFonts w:hint="eastAsia" w:ascii="仿宋" w:hAnsi="仿宋" w:eastAsia="仿宋" w:cs="仿宋"/>
                <w:szCs w:val="21"/>
              </w:rPr>
              <w:t>内部管理制度</w:t>
            </w:r>
            <w:r>
              <w:rPr>
                <w:rFonts w:hint="eastAsia" w:ascii="仿宋" w:hAnsi="仿宋" w:eastAsia="仿宋" w:cs="仿宋"/>
                <w:szCs w:val="21"/>
                <w:lang w:eastAsia="zh-CN"/>
              </w:rPr>
              <w:t>、</w:t>
            </w:r>
            <w:r>
              <w:rPr>
                <w:rFonts w:hint="eastAsia" w:ascii="仿宋" w:hAnsi="仿宋" w:eastAsia="仿宋" w:cs="仿宋"/>
                <w:szCs w:val="21"/>
              </w:rPr>
              <w:t>员工考核管理办法</w:t>
            </w:r>
            <w:r>
              <w:rPr>
                <w:rFonts w:hint="eastAsia" w:ascii="仿宋" w:hAnsi="仿宋" w:eastAsia="仿宋" w:cs="仿宋"/>
                <w:szCs w:val="21"/>
                <w:lang w:eastAsia="zh-CN"/>
              </w:rPr>
              <w:t>（</w:t>
            </w:r>
            <w:r>
              <w:rPr>
                <w:rFonts w:hint="eastAsia" w:ascii="仿宋" w:hAnsi="仿宋" w:eastAsia="仿宋" w:cs="仿宋"/>
                <w:szCs w:val="21"/>
                <w:lang w:val="en-US" w:eastAsia="zh-CN"/>
              </w:rPr>
              <w:t>8分）</w:t>
            </w:r>
          </w:p>
        </w:tc>
        <w:tc>
          <w:tcPr>
            <w:tcW w:w="3446" w:type="pct"/>
            <w:gridSpan w:val="2"/>
            <w:tcBorders>
              <w:top w:val="single" w:color="000000" w:sz="4" w:space="0"/>
              <w:left w:val="single" w:color="000000" w:sz="4" w:space="0"/>
              <w:bottom w:val="single" w:color="000000" w:sz="4" w:space="0"/>
              <w:right w:val="single" w:color="000000" w:sz="4" w:space="0"/>
            </w:tcBorders>
            <w:noWrap w:val="0"/>
            <w:vAlign w:val="center"/>
          </w:tcPr>
          <w:p w14:paraId="6B22F267">
            <w:pPr>
              <w:snapToGrid w:val="0"/>
              <w:spacing w:line="400" w:lineRule="exact"/>
              <w:jc w:val="both"/>
              <w:rPr>
                <w:rFonts w:hint="eastAsia" w:ascii="仿宋" w:hAnsi="仿宋" w:eastAsia="仿宋" w:cs="仿宋"/>
                <w:szCs w:val="21"/>
                <w:lang w:eastAsia="zh-CN"/>
              </w:rPr>
            </w:pPr>
            <w:r>
              <w:rPr>
                <w:rFonts w:hint="eastAsia" w:ascii="仿宋" w:hAnsi="仿宋" w:eastAsia="仿宋" w:cs="仿宋"/>
                <w:szCs w:val="21"/>
              </w:rPr>
              <w:t>投标人内部管理制度和员工考核管理办法等设定的科学、合理和有效性，包括：①制定内部管理和考核办法，考核办法包括：管理人员考核办法、作业人员考核办法等；②考核内容设定科学、合理，将道路清扫保洁、垃圾清运、河道保洁、农贸市场市容管理、绿化养护、公厕保洁、中转站服务任务分解至作业人员，切忌重量轻质</w:t>
            </w:r>
            <w:r>
              <w:rPr>
                <w:rFonts w:hint="eastAsia" w:ascii="仿宋" w:hAnsi="仿宋" w:eastAsia="仿宋" w:cs="仿宋"/>
                <w:szCs w:val="21"/>
                <w:lang w:eastAsia="zh-CN"/>
              </w:rPr>
              <w:t>；③</w:t>
            </w:r>
            <w:r>
              <w:rPr>
                <w:rFonts w:hint="eastAsia" w:ascii="仿宋" w:hAnsi="仿宋" w:eastAsia="仿宋" w:cs="仿宋"/>
                <w:szCs w:val="21"/>
                <w:lang w:val="en-US" w:eastAsia="zh-CN"/>
              </w:rPr>
              <w:t>严格执行</w:t>
            </w:r>
            <w:r>
              <w:rPr>
                <w:rFonts w:hint="eastAsia" w:ascii="仿宋" w:hAnsi="仿宋" w:eastAsia="仿宋" w:cs="仿宋"/>
                <w:szCs w:val="21"/>
              </w:rPr>
              <w:t>考核奖惩，</w:t>
            </w:r>
            <w:r>
              <w:rPr>
                <w:rFonts w:hint="eastAsia" w:ascii="仿宋" w:hAnsi="仿宋" w:eastAsia="仿宋" w:cs="仿宋"/>
                <w:szCs w:val="21"/>
                <w:lang w:val="en-US" w:eastAsia="zh-CN"/>
              </w:rPr>
              <w:t>考核结果要有</w:t>
            </w:r>
            <w:r>
              <w:rPr>
                <w:rFonts w:hint="eastAsia" w:ascii="仿宋" w:hAnsi="仿宋" w:eastAsia="仿宋" w:cs="仿宋"/>
                <w:szCs w:val="21"/>
              </w:rPr>
              <w:t>具体体现</w:t>
            </w:r>
            <w:r>
              <w:rPr>
                <w:rFonts w:hint="eastAsia" w:ascii="仿宋" w:hAnsi="仿宋" w:eastAsia="仿宋" w:cs="仿宋"/>
                <w:szCs w:val="21"/>
                <w:lang w:eastAsia="zh-CN"/>
              </w:rPr>
              <w:t>。</w:t>
            </w:r>
          </w:p>
          <w:p w14:paraId="0FE90E24">
            <w:pPr>
              <w:pStyle w:val="40"/>
              <w:numPr>
                <w:ilvl w:val="2"/>
                <w:numId w:val="0"/>
              </w:numPr>
              <w:ind w:leftChars="0"/>
              <w:rPr>
                <w:rFonts w:hint="eastAsia" w:ascii="仿宋" w:hAnsi="仿宋" w:eastAsia="仿宋" w:cs="仿宋"/>
                <w:b w:val="0"/>
                <w:color w:val="auto"/>
                <w:sz w:val="24"/>
                <w:szCs w:val="21"/>
                <w:lang w:val="en-US" w:eastAsia="zh-CN" w:bidi="ar-SA"/>
              </w:rPr>
            </w:pPr>
            <w:r>
              <w:rPr>
                <w:rFonts w:hint="eastAsia" w:ascii="仿宋" w:hAnsi="仿宋" w:eastAsia="仿宋" w:cs="仿宋"/>
                <w:b w:val="0"/>
                <w:color w:val="auto"/>
                <w:sz w:val="24"/>
                <w:szCs w:val="21"/>
                <w:lang w:val="en-US" w:eastAsia="zh-CN" w:bidi="ar-SA"/>
              </w:rPr>
              <w:t>方案科学、合理、有效、考核执行到位、完全响应需求，可行性强得8分；</w:t>
            </w:r>
          </w:p>
          <w:p w14:paraId="34326D78">
            <w:pPr>
              <w:pStyle w:val="40"/>
              <w:numPr>
                <w:ilvl w:val="2"/>
                <w:numId w:val="0"/>
              </w:numPr>
              <w:ind w:leftChars="0"/>
              <w:rPr>
                <w:rFonts w:hint="eastAsia" w:ascii="仿宋" w:hAnsi="仿宋" w:eastAsia="仿宋" w:cs="仿宋"/>
                <w:b w:val="0"/>
                <w:color w:val="auto"/>
                <w:sz w:val="24"/>
                <w:szCs w:val="21"/>
                <w:lang w:val="en-US" w:eastAsia="zh-CN" w:bidi="ar-SA"/>
              </w:rPr>
            </w:pPr>
            <w:r>
              <w:rPr>
                <w:rFonts w:hint="eastAsia" w:ascii="仿宋" w:hAnsi="仿宋" w:eastAsia="仿宋" w:cs="仿宋"/>
                <w:b w:val="0"/>
                <w:color w:val="auto"/>
                <w:sz w:val="24"/>
                <w:szCs w:val="21"/>
                <w:lang w:val="en-US" w:eastAsia="zh-CN" w:bidi="ar-SA"/>
              </w:rPr>
              <w:t xml:space="preserve">方案较为完整、基本响应需求的得5分； </w:t>
            </w:r>
          </w:p>
          <w:p w14:paraId="48246C68">
            <w:pPr>
              <w:pStyle w:val="40"/>
              <w:numPr>
                <w:ilvl w:val="2"/>
                <w:numId w:val="0"/>
              </w:numPr>
              <w:ind w:leftChars="0"/>
              <w:rPr>
                <w:rFonts w:hint="eastAsia" w:ascii="仿宋" w:hAnsi="仿宋" w:eastAsia="仿宋" w:cs="仿宋"/>
                <w:b w:val="0"/>
                <w:color w:val="auto"/>
                <w:sz w:val="24"/>
                <w:szCs w:val="21"/>
                <w:lang w:val="en-US" w:eastAsia="zh-CN" w:bidi="ar-SA"/>
              </w:rPr>
            </w:pPr>
            <w:r>
              <w:rPr>
                <w:rFonts w:hint="eastAsia" w:ascii="仿宋" w:hAnsi="仿宋" w:eastAsia="仿宋" w:cs="仿宋"/>
                <w:b w:val="0"/>
                <w:color w:val="auto"/>
                <w:sz w:val="24"/>
                <w:szCs w:val="21"/>
                <w:lang w:val="en-US" w:eastAsia="zh-CN" w:bidi="ar-SA"/>
              </w:rPr>
              <w:t xml:space="preserve">方案不完全、响应度低、可行性低得2分； </w:t>
            </w:r>
          </w:p>
          <w:p w14:paraId="13A48FDE">
            <w:pPr>
              <w:snapToGrid w:val="0"/>
              <w:spacing w:line="400" w:lineRule="exact"/>
              <w:jc w:val="left"/>
              <w:rPr>
                <w:rFonts w:hint="eastAsia" w:ascii="仿宋" w:hAnsi="仿宋" w:eastAsia="仿宋" w:cs="仿宋"/>
                <w:szCs w:val="21"/>
              </w:rPr>
            </w:pPr>
            <w:r>
              <w:rPr>
                <w:rFonts w:hint="eastAsia" w:ascii="仿宋" w:hAnsi="仿宋" w:eastAsia="仿宋" w:cs="仿宋"/>
                <w:b w:val="0"/>
                <w:color w:val="auto"/>
                <w:sz w:val="24"/>
                <w:szCs w:val="21"/>
                <w:lang w:val="en-US" w:eastAsia="zh-CN" w:bidi="ar-SA"/>
              </w:rPr>
              <w:t>提供的内容与本项目不符或不提供的不得分。</w:t>
            </w:r>
          </w:p>
        </w:tc>
      </w:tr>
      <w:tr w14:paraId="2ABD7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86" w:type="pct"/>
            <w:gridSpan w:val="2"/>
            <w:vMerge w:val="continue"/>
            <w:noWrap w:val="0"/>
            <w:vAlign w:val="center"/>
          </w:tcPr>
          <w:p w14:paraId="7E769512">
            <w:pPr>
              <w:snapToGrid w:val="0"/>
              <w:spacing w:line="400" w:lineRule="exact"/>
              <w:jc w:val="center"/>
              <w:rPr>
                <w:rFonts w:hint="eastAsia" w:ascii="仿宋" w:hAnsi="仿宋" w:eastAsia="仿宋" w:cs="仿宋"/>
                <w:szCs w:val="21"/>
              </w:rPr>
            </w:pPr>
          </w:p>
        </w:tc>
        <w:tc>
          <w:tcPr>
            <w:tcW w:w="867" w:type="pct"/>
            <w:gridSpan w:val="2"/>
            <w:tcBorders>
              <w:top w:val="single" w:color="000000" w:sz="4" w:space="0"/>
              <w:left w:val="single" w:color="000000" w:sz="4" w:space="0"/>
              <w:bottom w:val="single" w:color="000000" w:sz="4" w:space="0"/>
              <w:right w:val="single" w:color="000000" w:sz="4" w:space="0"/>
            </w:tcBorders>
            <w:noWrap w:val="0"/>
            <w:vAlign w:val="center"/>
          </w:tcPr>
          <w:p w14:paraId="2041179F">
            <w:pPr>
              <w:snapToGrid w:val="0"/>
              <w:spacing w:line="400" w:lineRule="exact"/>
              <w:jc w:val="center"/>
              <w:rPr>
                <w:rFonts w:hint="eastAsia" w:ascii="仿宋" w:hAnsi="仿宋" w:eastAsia="仿宋" w:cs="仿宋"/>
                <w:szCs w:val="21"/>
              </w:rPr>
            </w:pPr>
            <w:r>
              <w:rPr>
                <w:rFonts w:hint="eastAsia" w:ascii="仿宋" w:hAnsi="仿宋" w:eastAsia="仿宋" w:cs="仿宋"/>
                <w:szCs w:val="21"/>
              </w:rPr>
              <w:t>培训方案</w:t>
            </w:r>
          </w:p>
          <w:p w14:paraId="06B43340">
            <w:pPr>
              <w:snapToGrid w:val="0"/>
              <w:spacing w:line="400" w:lineRule="exact"/>
              <w:jc w:val="center"/>
              <w:rPr>
                <w:rFonts w:hint="eastAsia"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lang w:val="en-US" w:eastAsia="zh-CN"/>
              </w:rPr>
              <w:t>6分）</w:t>
            </w:r>
          </w:p>
        </w:tc>
        <w:tc>
          <w:tcPr>
            <w:tcW w:w="3446" w:type="pct"/>
            <w:gridSpan w:val="2"/>
            <w:tcBorders>
              <w:top w:val="single" w:color="000000" w:sz="4" w:space="0"/>
              <w:left w:val="single" w:color="000000" w:sz="4" w:space="0"/>
              <w:bottom w:val="single" w:color="000000" w:sz="4" w:space="0"/>
              <w:right w:val="single" w:color="000000" w:sz="4" w:space="0"/>
            </w:tcBorders>
            <w:noWrap w:val="0"/>
            <w:vAlign w:val="center"/>
          </w:tcPr>
          <w:p w14:paraId="400773ED">
            <w:pPr>
              <w:snapToGrid w:val="0"/>
              <w:spacing w:line="400" w:lineRule="exact"/>
              <w:jc w:val="left"/>
              <w:rPr>
                <w:rFonts w:hint="eastAsia" w:ascii="仿宋" w:hAnsi="仿宋" w:eastAsia="仿宋" w:cs="仿宋"/>
                <w:szCs w:val="21"/>
              </w:rPr>
            </w:pPr>
            <w:r>
              <w:rPr>
                <w:rFonts w:hint="eastAsia" w:ascii="仿宋" w:hAnsi="仿宋" w:eastAsia="仿宋" w:cs="仿宋"/>
                <w:szCs w:val="21"/>
              </w:rPr>
              <w:t>培训方案制定的情况：</w:t>
            </w:r>
          </w:p>
          <w:p w14:paraId="45872F24">
            <w:pPr>
              <w:snapToGrid w:val="0"/>
              <w:spacing w:line="400" w:lineRule="exact"/>
              <w:jc w:val="left"/>
              <w:rPr>
                <w:rFonts w:hint="eastAsia" w:ascii="仿宋" w:hAnsi="仿宋" w:eastAsia="仿宋" w:cs="仿宋"/>
                <w:szCs w:val="21"/>
              </w:rPr>
            </w:pPr>
            <w:r>
              <w:rPr>
                <w:rFonts w:hint="eastAsia" w:ascii="仿宋" w:hAnsi="仿宋" w:eastAsia="仿宋" w:cs="仿宋"/>
                <w:szCs w:val="21"/>
              </w:rPr>
              <w:t>①有</w:t>
            </w:r>
            <w:r>
              <w:rPr>
                <w:rFonts w:hint="eastAsia" w:ascii="仿宋" w:hAnsi="仿宋" w:eastAsia="仿宋" w:cs="仿宋"/>
                <w:szCs w:val="21"/>
                <w:lang w:val="en-US" w:eastAsia="zh-CN"/>
              </w:rPr>
              <w:t>2026年</w:t>
            </w:r>
            <w:r>
              <w:rPr>
                <w:rFonts w:hint="eastAsia" w:ascii="仿宋" w:hAnsi="仿宋" w:eastAsia="仿宋" w:cs="仿宋"/>
                <w:szCs w:val="21"/>
              </w:rPr>
              <w:t>培训的内容，如岗位标准、安全生产、专业知识、职业道德规范；②培训的方式，理论学习和实践操作，有定期培训制度；③上岗培训方案：除明确培训的时间、内容、形式外，对培训测试不符合的员工不予聘用</w:t>
            </w:r>
            <w:r>
              <w:rPr>
                <w:rFonts w:hint="eastAsia" w:ascii="仿宋" w:hAnsi="仿宋" w:eastAsia="仿宋" w:cs="仿宋"/>
                <w:szCs w:val="21"/>
                <w:lang w:eastAsia="zh-CN"/>
              </w:rPr>
              <w:t>；④上岗培训结束后要组织</w:t>
            </w:r>
            <w:r>
              <w:rPr>
                <w:rFonts w:hint="eastAsia" w:ascii="仿宋" w:hAnsi="仿宋" w:eastAsia="仿宋" w:cs="仿宋"/>
                <w:szCs w:val="21"/>
                <w:lang w:val="en-US" w:eastAsia="zh-CN"/>
              </w:rPr>
              <w:t>员工进行</w:t>
            </w:r>
            <w:r>
              <w:rPr>
                <w:rFonts w:hint="eastAsia" w:ascii="仿宋" w:hAnsi="仿宋" w:eastAsia="仿宋" w:cs="仿宋"/>
                <w:szCs w:val="21"/>
                <w:lang w:eastAsia="zh-CN"/>
              </w:rPr>
              <w:t>业务知识测试</w:t>
            </w:r>
            <w:r>
              <w:rPr>
                <w:rFonts w:hint="eastAsia" w:ascii="仿宋" w:hAnsi="仿宋" w:eastAsia="仿宋" w:cs="仿宋"/>
                <w:szCs w:val="21"/>
              </w:rPr>
              <w:t>。</w:t>
            </w:r>
          </w:p>
          <w:p w14:paraId="534864D6">
            <w:pPr>
              <w:snapToGrid w:val="0"/>
              <w:spacing w:line="400" w:lineRule="exact"/>
              <w:jc w:val="left"/>
              <w:rPr>
                <w:rFonts w:hint="eastAsia" w:ascii="仿宋" w:hAnsi="仿宋" w:eastAsia="仿宋" w:cs="仿宋"/>
                <w:szCs w:val="21"/>
                <w:lang w:eastAsia="zh-CN"/>
              </w:rPr>
            </w:pPr>
            <w:r>
              <w:rPr>
                <w:rFonts w:hint="eastAsia" w:ascii="仿宋" w:hAnsi="仿宋" w:eastAsia="仿宋" w:cs="仿宋"/>
                <w:szCs w:val="21"/>
              </w:rPr>
              <w:t>内容详细，</w:t>
            </w:r>
            <w:r>
              <w:rPr>
                <w:rFonts w:hint="eastAsia" w:ascii="仿宋" w:hAnsi="仿宋" w:eastAsia="仿宋" w:cs="仿宋"/>
                <w:b w:val="0"/>
                <w:color w:val="auto"/>
                <w:sz w:val="24"/>
                <w:szCs w:val="21"/>
                <w:lang w:val="en-US" w:eastAsia="zh-CN" w:bidi="ar-SA"/>
              </w:rPr>
              <w:t>完全响应需求，</w:t>
            </w:r>
            <w:r>
              <w:rPr>
                <w:rFonts w:hint="eastAsia" w:ascii="仿宋" w:hAnsi="仿宋" w:eastAsia="仿宋" w:cs="仿宋"/>
                <w:szCs w:val="21"/>
              </w:rPr>
              <w:t>科学</w:t>
            </w:r>
            <w:r>
              <w:rPr>
                <w:rFonts w:hint="eastAsia" w:ascii="仿宋" w:hAnsi="仿宋" w:eastAsia="仿宋" w:cs="仿宋"/>
                <w:szCs w:val="21"/>
                <w:lang w:eastAsia="zh-CN"/>
              </w:rPr>
              <w:t>、</w:t>
            </w:r>
            <w:r>
              <w:rPr>
                <w:rFonts w:hint="eastAsia" w:ascii="仿宋" w:hAnsi="仿宋" w:eastAsia="仿宋" w:cs="仿宋"/>
                <w:b w:val="0"/>
                <w:color w:val="auto"/>
                <w:sz w:val="24"/>
                <w:szCs w:val="21"/>
                <w:lang w:val="en-US" w:eastAsia="zh-CN" w:bidi="ar-SA"/>
              </w:rPr>
              <w:t>可行性强</w:t>
            </w:r>
            <w:r>
              <w:rPr>
                <w:rFonts w:hint="eastAsia" w:ascii="仿宋" w:hAnsi="仿宋" w:eastAsia="仿宋" w:cs="仿宋"/>
                <w:szCs w:val="21"/>
              </w:rPr>
              <w:t>的得</w:t>
            </w:r>
            <w:r>
              <w:rPr>
                <w:rFonts w:hint="eastAsia" w:ascii="仿宋" w:hAnsi="仿宋" w:eastAsia="仿宋" w:cs="仿宋"/>
                <w:szCs w:val="21"/>
                <w:lang w:val="en-US" w:eastAsia="zh-CN"/>
              </w:rPr>
              <w:t>6</w:t>
            </w:r>
            <w:r>
              <w:rPr>
                <w:rFonts w:hint="eastAsia" w:ascii="仿宋" w:hAnsi="仿宋" w:eastAsia="仿宋" w:cs="仿宋"/>
                <w:szCs w:val="21"/>
              </w:rPr>
              <w:t>分</w:t>
            </w:r>
            <w:r>
              <w:rPr>
                <w:rFonts w:hint="eastAsia" w:ascii="仿宋" w:hAnsi="仿宋" w:eastAsia="仿宋" w:cs="仿宋"/>
                <w:szCs w:val="21"/>
                <w:lang w:eastAsia="zh-CN"/>
              </w:rPr>
              <w:t>；</w:t>
            </w:r>
          </w:p>
          <w:p w14:paraId="57983249">
            <w:pPr>
              <w:snapToGrid w:val="0"/>
              <w:spacing w:line="400" w:lineRule="exact"/>
              <w:jc w:val="left"/>
              <w:rPr>
                <w:rFonts w:hint="eastAsia" w:ascii="仿宋" w:hAnsi="仿宋" w:eastAsia="仿宋" w:cs="仿宋"/>
                <w:szCs w:val="21"/>
                <w:lang w:eastAsia="zh-CN"/>
              </w:rPr>
            </w:pPr>
            <w:r>
              <w:rPr>
                <w:rFonts w:hint="eastAsia" w:ascii="仿宋" w:hAnsi="仿宋" w:eastAsia="仿宋" w:cs="仿宋"/>
                <w:szCs w:val="21"/>
              </w:rPr>
              <w:t>内容较为详细，需求响应度一般，</w:t>
            </w:r>
            <w:r>
              <w:rPr>
                <w:rFonts w:hint="eastAsia" w:ascii="仿宋" w:hAnsi="仿宋" w:eastAsia="仿宋" w:cs="仿宋"/>
                <w:szCs w:val="21"/>
                <w:lang w:val="en-US" w:eastAsia="zh-CN"/>
              </w:rPr>
              <w:t>可行</w:t>
            </w:r>
            <w:r>
              <w:rPr>
                <w:rFonts w:hint="eastAsia" w:ascii="仿宋" w:hAnsi="仿宋" w:eastAsia="仿宋" w:cs="仿宋"/>
                <w:szCs w:val="21"/>
              </w:rPr>
              <w:t>性一般得</w:t>
            </w:r>
            <w:r>
              <w:rPr>
                <w:rFonts w:hint="eastAsia" w:ascii="仿宋" w:hAnsi="仿宋" w:eastAsia="仿宋" w:cs="仿宋"/>
                <w:szCs w:val="21"/>
                <w:lang w:val="en-US" w:eastAsia="zh-CN"/>
              </w:rPr>
              <w:t>4</w:t>
            </w:r>
            <w:r>
              <w:rPr>
                <w:rFonts w:hint="eastAsia" w:ascii="仿宋" w:hAnsi="仿宋" w:eastAsia="仿宋" w:cs="仿宋"/>
                <w:szCs w:val="21"/>
              </w:rPr>
              <w:t>分</w:t>
            </w:r>
            <w:r>
              <w:rPr>
                <w:rFonts w:hint="eastAsia" w:ascii="仿宋" w:hAnsi="仿宋" w:eastAsia="仿宋" w:cs="仿宋"/>
                <w:szCs w:val="21"/>
                <w:lang w:eastAsia="zh-CN"/>
              </w:rPr>
              <w:t>；</w:t>
            </w:r>
          </w:p>
          <w:p w14:paraId="0B3A5E37">
            <w:pPr>
              <w:snapToGrid w:val="0"/>
              <w:spacing w:line="400" w:lineRule="exact"/>
              <w:jc w:val="left"/>
              <w:rPr>
                <w:rFonts w:hint="eastAsia" w:ascii="仿宋" w:hAnsi="仿宋" w:eastAsia="仿宋" w:cs="仿宋"/>
                <w:szCs w:val="21"/>
                <w:lang w:eastAsia="zh-CN"/>
              </w:rPr>
            </w:pPr>
            <w:r>
              <w:rPr>
                <w:rFonts w:hint="eastAsia" w:ascii="仿宋" w:hAnsi="仿宋" w:eastAsia="仿宋" w:cs="仿宋"/>
                <w:szCs w:val="21"/>
              </w:rPr>
              <w:t>内容不详细，需求响应度低，可行性差得</w:t>
            </w:r>
            <w:r>
              <w:rPr>
                <w:rFonts w:hint="eastAsia" w:ascii="仿宋" w:hAnsi="仿宋" w:eastAsia="仿宋" w:cs="仿宋"/>
                <w:szCs w:val="21"/>
                <w:lang w:val="en-US" w:eastAsia="zh-CN"/>
              </w:rPr>
              <w:t>2</w:t>
            </w:r>
            <w:r>
              <w:rPr>
                <w:rFonts w:hint="eastAsia" w:ascii="仿宋" w:hAnsi="仿宋" w:eastAsia="仿宋" w:cs="仿宋"/>
                <w:szCs w:val="21"/>
              </w:rPr>
              <w:t>分</w:t>
            </w:r>
            <w:r>
              <w:rPr>
                <w:rFonts w:hint="eastAsia" w:ascii="仿宋" w:hAnsi="仿宋" w:eastAsia="仿宋" w:cs="仿宋"/>
                <w:szCs w:val="21"/>
                <w:lang w:eastAsia="zh-CN"/>
              </w:rPr>
              <w:t>；</w:t>
            </w:r>
          </w:p>
          <w:p w14:paraId="02CE6389">
            <w:pPr>
              <w:snapToGrid w:val="0"/>
              <w:spacing w:line="400" w:lineRule="exact"/>
              <w:jc w:val="left"/>
              <w:rPr>
                <w:rFonts w:hint="eastAsia" w:ascii="仿宋" w:hAnsi="仿宋" w:eastAsia="仿宋" w:cs="仿宋"/>
                <w:szCs w:val="21"/>
              </w:rPr>
            </w:pPr>
            <w:r>
              <w:rPr>
                <w:rFonts w:hint="eastAsia" w:ascii="仿宋" w:hAnsi="仿宋" w:eastAsia="仿宋" w:cs="仿宋"/>
                <w:szCs w:val="21"/>
              </w:rPr>
              <w:t>无相关内容不得分。</w:t>
            </w:r>
          </w:p>
        </w:tc>
      </w:tr>
      <w:tr w14:paraId="0FF2E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86" w:type="pct"/>
            <w:gridSpan w:val="2"/>
            <w:vMerge w:val="continue"/>
            <w:noWrap w:val="0"/>
            <w:vAlign w:val="center"/>
          </w:tcPr>
          <w:p w14:paraId="58CD7389">
            <w:pPr>
              <w:snapToGrid w:val="0"/>
              <w:spacing w:line="400" w:lineRule="exact"/>
              <w:jc w:val="center"/>
              <w:rPr>
                <w:rFonts w:hint="eastAsia" w:ascii="仿宋" w:hAnsi="仿宋" w:eastAsia="仿宋" w:cs="仿宋"/>
                <w:szCs w:val="21"/>
              </w:rPr>
            </w:pPr>
          </w:p>
        </w:tc>
        <w:tc>
          <w:tcPr>
            <w:tcW w:w="867" w:type="pct"/>
            <w:gridSpan w:val="2"/>
            <w:tcBorders>
              <w:top w:val="single" w:color="000000" w:sz="4" w:space="0"/>
              <w:left w:val="single" w:color="000000" w:sz="4" w:space="0"/>
              <w:bottom w:val="single" w:color="000000" w:sz="4" w:space="0"/>
              <w:right w:val="single" w:color="000000" w:sz="4" w:space="0"/>
            </w:tcBorders>
            <w:noWrap w:val="0"/>
            <w:vAlign w:val="center"/>
          </w:tcPr>
          <w:p w14:paraId="69219EA7">
            <w:pPr>
              <w:snapToGrid w:val="0"/>
              <w:spacing w:line="400" w:lineRule="exact"/>
              <w:jc w:val="center"/>
              <w:rPr>
                <w:rFonts w:hint="eastAsia" w:ascii="仿宋" w:hAnsi="仿宋" w:eastAsia="仿宋" w:cs="仿宋"/>
                <w:szCs w:val="21"/>
              </w:rPr>
            </w:pPr>
            <w:r>
              <w:rPr>
                <w:rFonts w:hint="eastAsia" w:ascii="仿宋" w:hAnsi="仿宋" w:eastAsia="仿宋" w:cs="仿宋"/>
                <w:szCs w:val="21"/>
              </w:rPr>
              <w:t>应急预案</w:t>
            </w:r>
          </w:p>
          <w:p w14:paraId="6852F44B">
            <w:pPr>
              <w:snapToGrid w:val="0"/>
              <w:spacing w:line="400" w:lineRule="exact"/>
              <w:jc w:val="center"/>
              <w:rPr>
                <w:rFonts w:hint="eastAsia"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lang w:val="en-US" w:eastAsia="zh-CN"/>
              </w:rPr>
              <w:t>6分）</w:t>
            </w:r>
          </w:p>
        </w:tc>
        <w:tc>
          <w:tcPr>
            <w:tcW w:w="3446" w:type="pct"/>
            <w:gridSpan w:val="2"/>
            <w:tcBorders>
              <w:top w:val="single" w:color="000000" w:sz="4" w:space="0"/>
              <w:left w:val="single" w:color="000000" w:sz="4" w:space="0"/>
              <w:bottom w:val="single" w:color="000000" w:sz="4" w:space="0"/>
              <w:right w:val="single" w:color="000000" w:sz="4" w:space="0"/>
            </w:tcBorders>
            <w:noWrap w:val="0"/>
            <w:vAlign w:val="center"/>
          </w:tcPr>
          <w:p w14:paraId="322521D1">
            <w:pPr>
              <w:snapToGrid w:val="0"/>
              <w:spacing w:line="400" w:lineRule="exact"/>
              <w:jc w:val="left"/>
              <w:rPr>
                <w:rFonts w:hint="eastAsia" w:ascii="仿宋" w:hAnsi="仿宋" w:eastAsia="仿宋" w:cs="仿宋"/>
                <w:szCs w:val="21"/>
              </w:rPr>
            </w:pPr>
            <w:r>
              <w:rPr>
                <w:rFonts w:hint="eastAsia" w:ascii="仿宋" w:hAnsi="仿宋" w:eastAsia="仿宋" w:cs="仿宋"/>
                <w:szCs w:val="21"/>
              </w:rPr>
              <w:t>中心活动、突击保障任务和突发问题或纠纷等的应急预案。</w:t>
            </w:r>
          </w:p>
          <w:p w14:paraId="109CB8CC">
            <w:pPr>
              <w:snapToGrid w:val="0"/>
              <w:spacing w:line="400" w:lineRule="exact"/>
              <w:jc w:val="left"/>
              <w:rPr>
                <w:rFonts w:hint="eastAsia" w:ascii="仿宋" w:hAnsi="仿宋" w:eastAsia="仿宋" w:cs="仿宋"/>
                <w:szCs w:val="21"/>
              </w:rPr>
            </w:pPr>
            <w:r>
              <w:rPr>
                <w:rFonts w:hint="eastAsia" w:ascii="仿宋" w:hAnsi="仿宋" w:eastAsia="仿宋" w:cs="仿宋"/>
                <w:szCs w:val="21"/>
              </w:rPr>
              <w:t>①确定承诺响应时间；</w:t>
            </w:r>
          </w:p>
          <w:p w14:paraId="71D8CBBA">
            <w:pPr>
              <w:snapToGrid w:val="0"/>
              <w:spacing w:line="400" w:lineRule="exact"/>
              <w:jc w:val="left"/>
              <w:rPr>
                <w:rFonts w:hint="eastAsia" w:ascii="仿宋" w:hAnsi="仿宋" w:eastAsia="仿宋" w:cs="仿宋"/>
                <w:szCs w:val="21"/>
              </w:rPr>
            </w:pPr>
            <w:r>
              <w:rPr>
                <w:rFonts w:hint="eastAsia" w:ascii="仿宋" w:hAnsi="仿宋" w:eastAsia="仿宋" w:cs="仿宋"/>
                <w:szCs w:val="21"/>
              </w:rPr>
              <w:t>②人员、车辆、机械、设备、物资等</w:t>
            </w:r>
            <w:r>
              <w:rPr>
                <w:rFonts w:hint="eastAsia" w:ascii="仿宋" w:hAnsi="仿宋" w:eastAsia="仿宋" w:cs="仿宋"/>
                <w:szCs w:val="21"/>
                <w:lang w:val="en-US" w:eastAsia="zh-CN"/>
              </w:rPr>
              <w:t>合理安排</w:t>
            </w:r>
            <w:r>
              <w:rPr>
                <w:rFonts w:hint="eastAsia" w:ascii="仿宋" w:hAnsi="仿宋" w:eastAsia="仿宋" w:cs="仿宋"/>
                <w:szCs w:val="21"/>
              </w:rPr>
              <w:t>；</w:t>
            </w:r>
          </w:p>
          <w:p w14:paraId="527AA302">
            <w:pPr>
              <w:snapToGrid w:val="0"/>
              <w:spacing w:line="400" w:lineRule="exact"/>
              <w:jc w:val="left"/>
              <w:rPr>
                <w:rFonts w:hint="eastAsia" w:ascii="仿宋" w:hAnsi="仿宋" w:eastAsia="仿宋" w:cs="仿宋"/>
                <w:szCs w:val="21"/>
              </w:rPr>
            </w:pPr>
            <w:r>
              <w:rPr>
                <w:rFonts w:hint="eastAsia" w:ascii="仿宋" w:hAnsi="仿宋" w:eastAsia="仿宋" w:cs="仿宋"/>
                <w:szCs w:val="21"/>
              </w:rPr>
              <w:t>③制定突发事件的处理方案。</w:t>
            </w:r>
          </w:p>
          <w:p w14:paraId="12BF70A0">
            <w:pPr>
              <w:snapToGrid w:val="0"/>
              <w:spacing w:line="400" w:lineRule="exact"/>
              <w:jc w:val="left"/>
              <w:rPr>
                <w:rFonts w:hint="eastAsia" w:ascii="仿宋" w:hAnsi="仿宋" w:eastAsia="仿宋" w:cs="仿宋"/>
                <w:szCs w:val="21"/>
              </w:rPr>
            </w:pPr>
            <w:r>
              <w:rPr>
                <w:rFonts w:hint="eastAsia" w:ascii="仿宋" w:hAnsi="仿宋" w:eastAsia="仿宋" w:cs="仿宋"/>
                <w:szCs w:val="21"/>
              </w:rPr>
              <w:t>应急预案健全</w:t>
            </w:r>
            <w:r>
              <w:rPr>
                <w:rFonts w:hint="eastAsia" w:ascii="仿宋" w:hAnsi="仿宋" w:eastAsia="仿宋" w:cs="仿宋"/>
                <w:szCs w:val="21"/>
                <w:lang w:eastAsia="zh-CN"/>
              </w:rPr>
              <w:t>，完全响应需求，</w:t>
            </w:r>
            <w:r>
              <w:rPr>
                <w:rFonts w:hint="eastAsia" w:ascii="仿宋" w:hAnsi="仿宋" w:eastAsia="仿宋" w:cs="仿宋"/>
                <w:szCs w:val="21"/>
              </w:rPr>
              <w:t>切合项目实际情况操作性强得</w:t>
            </w:r>
            <w:r>
              <w:rPr>
                <w:rFonts w:hint="eastAsia" w:ascii="仿宋" w:hAnsi="仿宋" w:eastAsia="仿宋" w:cs="仿宋"/>
                <w:szCs w:val="21"/>
                <w:lang w:val="en-US" w:eastAsia="zh-CN"/>
              </w:rPr>
              <w:t>6</w:t>
            </w:r>
            <w:r>
              <w:rPr>
                <w:rFonts w:hint="eastAsia" w:ascii="仿宋" w:hAnsi="仿宋" w:eastAsia="仿宋" w:cs="仿宋"/>
                <w:szCs w:val="21"/>
              </w:rPr>
              <w:t>分；</w:t>
            </w:r>
          </w:p>
          <w:p w14:paraId="4BBBAC56">
            <w:pPr>
              <w:snapToGrid w:val="0"/>
              <w:spacing w:line="400" w:lineRule="exact"/>
              <w:jc w:val="left"/>
              <w:rPr>
                <w:rFonts w:hint="eastAsia" w:ascii="仿宋" w:hAnsi="仿宋" w:eastAsia="仿宋" w:cs="仿宋"/>
                <w:szCs w:val="21"/>
              </w:rPr>
            </w:pPr>
            <w:r>
              <w:rPr>
                <w:rFonts w:hint="eastAsia" w:ascii="仿宋" w:hAnsi="仿宋" w:eastAsia="仿宋" w:cs="仿宋"/>
                <w:szCs w:val="21"/>
              </w:rPr>
              <w:t>应急预案基本健全</w:t>
            </w:r>
            <w:r>
              <w:rPr>
                <w:rFonts w:hint="eastAsia" w:ascii="仿宋" w:hAnsi="仿宋" w:eastAsia="仿宋" w:cs="仿宋"/>
                <w:szCs w:val="21"/>
                <w:lang w:eastAsia="zh-CN"/>
              </w:rPr>
              <w:t>，</w:t>
            </w:r>
            <w:r>
              <w:rPr>
                <w:rFonts w:hint="eastAsia" w:ascii="仿宋" w:hAnsi="仿宋" w:eastAsia="仿宋" w:cs="仿宋"/>
                <w:szCs w:val="21"/>
              </w:rPr>
              <w:t>需求响应度一般</w:t>
            </w:r>
            <w:r>
              <w:rPr>
                <w:rFonts w:hint="eastAsia" w:ascii="仿宋" w:hAnsi="仿宋" w:eastAsia="仿宋" w:cs="仿宋"/>
                <w:szCs w:val="21"/>
                <w:lang w:eastAsia="zh-CN"/>
              </w:rPr>
              <w:t>，</w:t>
            </w:r>
            <w:r>
              <w:rPr>
                <w:rFonts w:hint="eastAsia" w:ascii="仿宋" w:hAnsi="仿宋" w:eastAsia="仿宋" w:cs="仿宋"/>
                <w:szCs w:val="21"/>
              </w:rPr>
              <w:t>操作性较强得</w:t>
            </w:r>
            <w:r>
              <w:rPr>
                <w:rFonts w:hint="eastAsia" w:ascii="仿宋" w:hAnsi="仿宋" w:eastAsia="仿宋" w:cs="仿宋"/>
                <w:szCs w:val="21"/>
                <w:lang w:val="en-US" w:eastAsia="zh-CN"/>
              </w:rPr>
              <w:t>4</w:t>
            </w:r>
            <w:r>
              <w:rPr>
                <w:rFonts w:hint="eastAsia" w:ascii="仿宋" w:hAnsi="仿宋" w:eastAsia="仿宋" w:cs="仿宋"/>
                <w:szCs w:val="21"/>
              </w:rPr>
              <w:t>分；</w:t>
            </w:r>
          </w:p>
          <w:p w14:paraId="3B54FBE7">
            <w:pPr>
              <w:snapToGrid w:val="0"/>
              <w:spacing w:line="400" w:lineRule="exact"/>
              <w:jc w:val="left"/>
              <w:rPr>
                <w:rFonts w:hint="eastAsia" w:ascii="仿宋" w:hAnsi="仿宋" w:eastAsia="仿宋" w:cs="仿宋"/>
                <w:szCs w:val="21"/>
                <w:lang w:eastAsia="zh-CN"/>
              </w:rPr>
            </w:pPr>
            <w:r>
              <w:rPr>
                <w:rFonts w:hint="eastAsia" w:ascii="仿宋" w:hAnsi="仿宋" w:eastAsia="仿宋" w:cs="仿宋"/>
                <w:szCs w:val="21"/>
              </w:rPr>
              <w:t>应急预案不健全</w:t>
            </w:r>
            <w:r>
              <w:rPr>
                <w:rFonts w:hint="eastAsia" w:ascii="仿宋" w:hAnsi="仿宋" w:eastAsia="仿宋" w:cs="仿宋"/>
                <w:szCs w:val="21"/>
                <w:lang w:eastAsia="zh-CN"/>
              </w:rPr>
              <w:t>，</w:t>
            </w:r>
            <w:r>
              <w:rPr>
                <w:rFonts w:hint="eastAsia" w:ascii="仿宋" w:hAnsi="仿宋" w:eastAsia="仿宋" w:cs="仿宋"/>
                <w:szCs w:val="21"/>
              </w:rPr>
              <w:t>需求响应度低，操作性差得</w:t>
            </w:r>
            <w:r>
              <w:rPr>
                <w:rFonts w:hint="eastAsia" w:ascii="仿宋" w:hAnsi="仿宋" w:eastAsia="仿宋" w:cs="仿宋"/>
                <w:szCs w:val="21"/>
                <w:lang w:val="en-US" w:eastAsia="zh-CN"/>
              </w:rPr>
              <w:t>2</w:t>
            </w:r>
            <w:r>
              <w:rPr>
                <w:rFonts w:hint="eastAsia" w:ascii="仿宋" w:hAnsi="仿宋" w:eastAsia="仿宋" w:cs="仿宋"/>
                <w:szCs w:val="21"/>
              </w:rPr>
              <w:t>分</w:t>
            </w:r>
            <w:r>
              <w:rPr>
                <w:rFonts w:hint="eastAsia" w:ascii="仿宋" w:hAnsi="仿宋" w:eastAsia="仿宋" w:cs="仿宋"/>
                <w:szCs w:val="21"/>
                <w:lang w:eastAsia="zh-CN"/>
              </w:rPr>
              <w:t>；</w:t>
            </w:r>
          </w:p>
          <w:p w14:paraId="66920858">
            <w:pPr>
              <w:snapToGrid w:val="0"/>
              <w:spacing w:line="400" w:lineRule="exact"/>
              <w:jc w:val="left"/>
              <w:rPr>
                <w:rFonts w:hint="eastAsia" w:ascii="仿宋" w:hAnsi="仿宋" w:eastAsia="仿宋" w:cs="仿宋"/>
                <w:szCs w:val="21"/>
              </w:rPr>
            </w:pPr>
            <w:r>
              <w:rPr>
                <w:rFonts w:hint="eastAsia" w:ascii="仿宋" w:hAnsi="仿宋" w:eastAsia="仿宋" w:cs="仿宋"/>
                <w:szCs w:val="21"/>
              </w:rPr>
              <w:t>无相关内容不得分。</w:t>
            </w:r>
          </w:p>
        </w:tc>
      </w:tr>
    </w:tbl>
    <w:p w14:paraId="6B335591">
      <w:pPr>
        <w:spacing w:line="500" w:lineRule="exact"/>
        <w:ind w:firstLine="560"/>
        <w:rPr>
          <w:rFonts w:hint="eastAsia" w:ascii="仿宋_GB2312" w:eastAsia="仿宋_GB2312"/>
          <w:sz w:val="28"/>
          <w:szCs w:val="32"/>
        </w:rPr>
      </w:pPr>
      <w:r>
        <w:rPr>
          <w:rFonts w:hint="eastAsia" w:ascii="仿宋_GB2312" w:eastAsia="仿宋_GB2312"/>
          <w:sz w:val="28"/>
          <w:szCs w:val="32"/>
        </w:rPr>
        <w:t>评审采用综合评分法，磋商小组对满足招标文件实质要求的投标文件，按照本章规定的评分标准进行打分，并按得分由高到低顺序推荐中标候选人。采购人将对第一成交候选供应商提交的所有资料以及相关原件进行考察、核实，若发现弄虚作假的，取消中标资格，并进行公示等相关处罚。</w:t>
      </w:r>
    </w:p>
    <w:p w14:paraId="4875A68A">
      <w:pPr>
        <w:spacing w:line="500" w:lineRule="exact"/>
        <w:rPr>
          <w:rFonts w:ascii="黑体" w:hAnsi="黑体" w:eastAsia="黑体"/>
          <w:b/>
          <w:sz w:val="28"/>
          <w:szCs w:val="32"/>
        </w:rPr>
      </w:pPr>
      <w:r>
        <w:rPr>
          <w:rFonts w:hint="eastAsia" w:ascii="黑体" w:hAnsi="黑体" w:eastAsia="黑体"/>
          <w:b/>
          <w:sz w:val="28"/>
          <w:szCs w:val="32"/>
        </w:rPr>
        <w:t>1.资格审查</w:t>
      </w:r>
    </w:p>
    <w:p w14:paraId="2ECE7D50">
      <w:pPr>
        <w:spacing w:line="560" w:lineRule="exact"/>
        <w:rPr>
          <w:rFonts w:ascii="楷体_GB2312" w:eastAsia="楷体_GB2312"/>
          <w:b/>
          <w:sz w:val="28"/>
          <w:szCs w:val="32"/>
        </w:rPr>
      </w:pPr>
      <w:r>
        <w:rPr>
          <w:rFonts w:hint="eastAsia" w:ascii="楷体_GB2312" w:eastAsia="楷体_GB2312"/>
          <w:b/>
          <w:sz w:val="28"/>
          <w:szCs w:val="32"/>
        </w:rPr>
        <w:t>1.1资格审查</w:t>
      </w:r>
    </w:p>
    <w:p w14:paraId="07B1BD40">
      <w:pPr>
        <w:spacing w:line="500" w:lineRule="exact"/>
        <w:ind w:firstLine="560"/>
        <w:rPr>
          <w:rFonts w:ascii="仿宋_GB2312" w:eastAsia="仿宋_GB2312"/>
          <w:sz w:val="28"/>
          <w:szCs w:val="32"/>
        </w:rPr>
      </w:pPr>
      <w:r>
        <w:rPr>
          <w:rFonts w:hint="eastAsia" w:ascii="仿宋_GB2312" w:eastAsia="仿宋_GB2312"/>
          <w:sz w:val="28"/>
          <w:szCs w:val="32"/>
        </w:rPr>
        <w:t>1.1.1资格审查由竞争性磋商小组负责。</w:t>
      </w:r>
    </w:p>
    <w:p w14:paraId="27C6A132">
      <w:pPr>
        <w:spacing w:line="500" w:lineRule="exact"/>
        <w:ind w:firstLine="560"/>
        <w:rPr>
          <w:rFonts w:hint="eastAsia" w:ascii="仿宋_GB2312" w:eastAsia="仿宋_GB2312"/>
          <w:sz w:val="28"/>
          <w:szCs w:val="32"/>
        </w:rPr>
      </w:pPr>
      <w:r>
        <w:rPr>
          <w:rFonts w:hint="eastAsia" w:ascii="仿宋_GB2312" w:eastAsia="仿宋_GB2312"/>
          <w:sz w:val="28"/>
          <w:szCs w:val="32"/>
        </w:rPr>
        <w:t>1.1.2资格审查因素和标准：见竞争性磋商前附表</w:t>
      </w:r>
    </w:p>
    <w:p w14:paraId="19C99BA3">
      <w:pPr>
        <w:spacing w:line="500" w:lineRule="exact"/>
        <w:rPr>
          <w:rFonts w:ascii="黑体" w:hAnsi="黑体" w:eastAsia="黑体"/>
          <w:b/>
          <w:sz w:val="28"/>
          <w:szCs w:val="32"/>
        </w:rPr>
      </w:pPr>
      <w:r>
        <w:rPr>
          <w:rFonts w:hint="eastAsia" w:ascii="黑体" w:hAnsi="黑体" w:eastAsia="黑体"/>
          <w:b/>
          <w:sz w:val="28"/>
          <w:szCs w:val="32"/>
        </w:rPr>
        <w:t>2.磋商</w:t>
      </w:r>
    </w:p>
    <w:p w14:paraId="15399D65">
      <w:pPr>
        <w:spacing w:line="560" w:lineRule="exact"/>
        <w:rPr>
          <w:rFonts w:ascii="楷体_GB2312" w:eastAsia="楷体_GB2312"/>
          <w:b/>
          <w:sz w:val="28"/>
          <w:szCs w:val="32"/>
        </w:rPr>
      </w:pPr>
      <w:r>
        <w:rPr>
          <w:rFonts w:hint="eastAsia" w:ascii="宋体" w:hAnsi="宋体" w:cs="宋体"/>
          <w:b/>
          <w:sz w:val="28"/>
          <w:szCs w:val="32"/>
        </w:rPr>
        <w:t>2.1</w:t>
      </w:r>
      <w:r>
        <w:rPr>
          <w:rFonts w:hint="eastAsia" w:ascii="楷体_GB2312" w:eastAsia="楷体_GB2312"/>
          <w:b/>
          <w:sz w:val="28"/>
          <w:szCs w:val="32"/>
        </w:rPr>
        <w:t>确定磋商对象</w:t>
      </w:r>
    </w:p>
    <w:p w14:paraId="36B58ABE">
      <w:pPr>
        <w:spacing w:line="500" w:lineRule="exact"/>
        <w:ind w:firstLine="560"/>
        <w:rPr>
          <w:rFonts w:ascii="仿宋_GB2312" w:eastAsia="仿宋_GB2312"/>
          <w:sz w:val="28"/>
          <w:szCs w:val="32"/>
        </w:rPr>
      </w:pPr>
      <w:r>
        <w:rPr>
          <w:rFonts w:hint="eastAsia" w:ascii="仿宋_GB2312" w:eastAsia="仿宋_GB2312"/>
          <w:sz w:val="28"/>
          <w:szCs w:val="32"/>
        </w:rPr>
        <w:t>磋商小组邀请资格审查合格的供应商参加磋商。</w:t>
      </w:r>
    </w:p>
    <w:p w14:paraId="13F41AA8">
      <w:pPr>
        <w:spacing w:line="560" w:lineRule="exact"/>
        <w:rPr>
          <w:rFonts w:ascii="楷体_GB2312" w:eastAsia="楷体_GB2312"/>
          <w:b/>
          <w:sz w:val="28"/>
          <w:szCs w:val="32"/>
        </w:rPr>
      </w:pPr>
      <w:r>
        <w:rPr>
          <w:rFonts w:hint="eastAsia" w:ascii="宋体" w:hAnsi="宋体" w:cs="宋体"/>
          <w:b/>
          <w:sz w:val="28"/>
          <w:szCs w:val="32"/>
        </w:rPr>
        <w:t>2.2</w:t>
      </w:r>
      <w:r>
        <w:rPr>
          <w:rFonts w:hint="eastAsia" w:ascii="楷体_GB2312" w:eastAsia="楷体_GB2312"/>
          <w:b/>
          <w:sz w:val="28"/>
          <w:szCs w:val="32"/>
        </w:rPr>
        <w:t>磋商</w:t>
      </w:r>
    </w:p>
    <w:p w14:paraId="38F3D5E3">
      <w:pPr>
        <w:spacing w:line="500" w:lineRule="exact"/>
        <w:ind w:firstLine="560"/>
        <w:rPr>
          <w:rFonts w:hint="eastAsia" w:ascii="仿宋_GB2312" w:eastAsia="仿宋_GB2312"/>
          <w:sz w:val="28"/>
          <w:szCs w:val="32"/>
        </w:rPr>
      </w:pPr>
      <w:r>
        <w:rPr>
          <w:rFonts w:hint="eastAsia" w:ascii="仿宋_GB2312" w:eastAsia="仿宋_GB2312"/>
          <w:sz w:val="28"/>
          <w:szCs w:val="32"/>
        </w:rPr>
        <w:t>2.2.1磋商小组所有成员集中与单一供应商分别进行磋商。</w:t>
      </w:r>
    </w:p>
    <w:p w14:paraId="69CC2ECD">
      <w:pPr>
        <w:spacing w:line="500" w:lineRule="exact"/>
        <w:ind w:firstLine="560"/>
        <w:rPr>
          <w:rFonts w:hint="eastAsia" w:ascii="仿宋_GB2312" w:eastAsia="仿宋_GB2312"/>
          <w:sz w:val="28"/>
          <w:szCs w:val="32"/>
        </w:rPr>
      </w:pPr>
      <w:r>
        <w:rPr>
          <w:rFonts w:hint="eastAsia" w:ascii="仿宋_GB2312" w:eastAsia="仿宋_GB2312"/>
          <w:sz w:val="28"/>
          <w:szCs w:val="32"/>
        </w:rPr>
        <w:t>2.2.2磋商小组与供应商就采购需求中的技术、服务要求以及合同草案条款进行磋商。</w:t>
      </w:r>
    </w:p>
    <w:p w14:paraId="5035AA44">
      <w:pPr>
        <w:spacing w:line="500" w:lineRule="exact"/>
        <w:ind w:firstLine="560"/>
        <w:rPr>
          <w:rFonts w:hint="eastAsia" w:ascii="仿宋_GB2312" w:eastAsia="仿宋_GB2312"/>
          <w:sz w:val="28"/>
          <w:szCs w:val="32"/>
        </w:rPr>
      </w:pPr>
      <w:r>
        <w:rPr>
          <w:rFonts w:hint="eastAsia" w:ascii="仿宋_GB2312" w:eastAsia="仿宋_GB2312"/>
          <w:sz w:val="28"/>
          <w:szCs w:val="32"/>
        </w:rPr>
        <w:t>2.2.3磋商结束后，磋商小组依据磋商的情况，形成经磋商确定的磋商文件。</w:t>
      </w:r>
    </w:p>
    <w:p w14:paraId="38E20608">
      <w:pPr>
        <w:spacing w:line="500" w:lineRule="exact"/>
        <w:ind w:firstLine="560"/>
        <w:rPr>
          <w:rFonts w:hint="eastAsia" w:ascii="仿宋_GB2312" w:eastAsia="仿宋_GB2312"/>
          <w:sz w:val="28"/>
          <w:szCs w:val="32"/>
        </w:rPr>
      </w:pPr>
      <w:r>
        <w:rPr>
          <w:rFonts w:hint="eastAsia" w:ascii="仿宋_GB2312" w:eastAsia="仿宋_GB2312"/>
          <w:sz w:val="28"/>
          <w:szCs w:val="32"/>
        </w:rPr>
        <w:t>2.2.4对磋商文件作出的实质性变动是磋商文件的有效组成部分，磋商小组将以书面形式同时通知所有参加磋商的供应商。</w:t>
      </w:r>
    </w:p>
    <w:p w14:paraId="69C64A36">
      <w:pPr>
        <w:spacing w:line="500" w:lineRule="exact"/>
        <w:ind w:firstLine="560"/>
        <w:rPr>
          <w:rFonts w:ascii="仿宋_GB2312" w:eastAsia="仿宋_GB2312"/>
          <w:sz w:val="28"/>
          <w:szCs w:val="32"/>
        </w:rPr>
      </w:pPr>
      <w:r>
        <w:rPr>
          <w:rFonts w:hint="eastAsia" w:ascii="仿宋_GB2312" w:eastAsia="仿宋_GB2312"/>
          <w:sz w:val="28"/>
          <w:szCs w:val="32"/>
        </w:rPr>
        <w:t>2.2.5在提交最后报价之前，供应商可以根据磋商情况退出磋商。</w:t>
      </w:r>
    </w:p>
    <w:p w14:paraId="3B1B5856">
      <w:pPr>
        <w:spacing w:line="500" w:lineRule="exact"/>
        <w:rPr>
          <w:rFonts w:hint="eastAsia" w:ascii="黑体" w:hAnsi="黑体" w:eastAsia="黑体"/>
          <w:b/>
          <w:sz w:val="28"/>
          <w:szCs w:val="32"/>
        </w:rPr>
      </w:pPr>
      <w:r>
        <w:rPr>
          <w:rFonts w:hint="eastAsia" w:ascii="黑体" w:hAnsi="黑体" w:eastAsia="黑体"/>
          <w:b/>
          <w:sz w:val="28"/>
          <w:szCs w:val="32"/>
        </w:rPr>
        <w:t>3.再次提交响应文件</w:t>
      </w:r>
    </w:p>
    <w:p w14:paraId="351E6B8A">
      <w:pPr>
        <w:spacing w:line="560" w:lineRule="exact"/>
        <w:rPr>
          <w:rFonts w:hint="eastAsia" w:ascii="楷体_GB2312" w:eastAsia="楷体_GB2312"/>
          <w:b/>
          <w:sz w:val="28"/>
          <w:szCs w:val="32"/>
        </w:rPr>
      </w:pPr>
      <w:r>
        <w:rPr>
          <w:rFonts w:hint="eastAsia" w:ascii="宋体" w:hAnsi="宋体" w:cs="宋体"/>
          <w:b/>
          <w:sz w:val="28"/>
          <w:szCs w:val="32"/>
        </w:rPr>
        <w:t>3.1</w:t>
      </w:r>
      <w:r>
        <w:rPr>
          <w:rFonts w:hint="eastAsia" w:ascii="楷体_GB2312" w:eastAsia="楷体_GB2312"/>
          <w:b/>
          <w:sz w:val="28"/>
          <w:szCs w:val="32"/>
        </w:rPr>
        <w:t>技术、服务要求和合同草案条款响应</w:t>
      </w:r>
    </w:p>
    <w:p w14:paraId="325D5C18">
      <w:pPr>
        <w:spacing w:line="500" w:lineRule="exact"/>
        <w:ind w:firstLine="560"/>
        <w:rPr>
          <w:rFonts w:hint="eastAsia" w:ascii="仿宋_GB2312" w:eastAsia="仿宋_GB2312"/>
          <w:sz w:val="28"/>
          <w:szCs w:val="32"/>
        </w:rPr>
      </w:pPr>
      <w:r>
        <w:rPr>
          <w:rFonts w:hint="eastAsia" w:ascii="仿宋_GB2312" w:eastAsia="仿宋_GB2312"/>
          <w:sz w:val="28"/>
          <w:szCs w:val="32"/>
        </w:rPr>
        <w:t>供应商按照磋商文件的变动情况和磋商小组的要求，对采购需求中的技术、服务要求以及合同草案条款作出响应。</w:t>
      </w:r>
    </w:p>
    <w:p w14:paraId="011FAB32">
      <w:pPr>
        <w:spacing w:line="560" w:lineRule="exact"/>
        <w:rPr>
          <w:rFonts w:hint="eastAsia" w:ascii="楷体_GB2312" w:eastAsia="楷体_GB2312"/>
          <w:b/>
          <w:sz w:val="28"/>
          <w:szCs w:val="32"/>
        </w:rPr>
      </w:pPr>
      <w:r>
        <w:rPr>
          <w:rFonts w:hint="eastAsia" w:ascii="宋体" w:hAnsi="宋体" w:cs="宋体"/>
          <w:b/>
          <w:sz w:val="28"/>
          <w:szCs w:val="32"/>
        </w:rPr>
        <w:t>3.2</w:t>
      </w:r>
      <w:r>
        <w:rPr>
          <w:rFonts w:hint="eastAsia" w:ascii="楷体_GB2312" w:eastAsia="楷体_GB2312"/>
          <w:b/>
          <w:sz w:val="28"/>
          <w:szCs w:val="32"/>
        </w:rPr>
        <w:t>最后报价</w:t>
      </w:r>
    </w:p>
    <w:p w14:paraId="7181E749">
      <w:pPr>
        <w:spacing w:line="500" w:lineRule="exact"/>
        <w:ind w:firstLine="560"/>
        <w:rPr>
          <w:rFonts w:hint="eastAsia" w:ascii="仿宋_GB2312" w:eastAsia="仿宋_GB2312"/>
          <w:sz w:val="28"/>
          <w:szCs w:val="32"/>
        </w:rPr>
      </w:pPr>
      <w:r>
        <w:rPr>
          <w:rFonts w:hint="eastAsia" w:ascii="仿宋_GB2312" w:eastAsia="仿宋_GB2312"/>
          <w:sz w:val="28"/>
          <w:szCs w:val="32"/>
        </w:rPr>
        <w:t>供应商按照磋商小组的要求，在规定的时间内，通过</w:t>
      </w:r>
      <w:r>
        <w:rPr>
          <w:rFonts w:hint="eastAsia" w:eastAsia="仿宋_GB2312"/>
          <w:sz w:val="28"/>
          <w:szCs w:val="32"/>
        </w:rPr>
        <w:t>“苏采云”系统</w:t>
      </w:r>
      <w:r>
        <w:rPr>
          <w:rFonts w:hint="eastAsia" w:ascii="仿宋_GB2312" w:eastAsia="仿宋_GB2312"/>
          <w:sz w:val="28"/>
          <w:szCs w:val="32"/>
        </w:rPr>
        <w:t>提交最后报价。</w:t>
      </w:r>
    </w:p>
    <w:p w14:paraId="627C02F8">
      <w:pPr>
        <w:spacing w:line="500" w:lineRule="exact"/>
        <w:rPr>
          <w:rFonts w:ascii="黑体" w:hAnsi="黑体" w:eastAsia="黑体"/>
          <w:b/>
          <w:sz w:val="28"/>
          <w:szCs w:val="32"/>
        </w:rPr>
      </w:pPr>
      <w:r>
        <w:rPr>
          <w:rFonts w:hint="eastAsia" w:ascii="黑体" w:hAnsi="黑体" w:eastAsia="黑体"/>
          <w:b/>
          <w:sz w:val="28"/>
          <w:szCs w:val="32"/>
        </w:rPr>
        <w:t>4.响应性评审</w:t>
      </w:r>
    </w:p>
    <w:p w14:paraId="363C3426">
      <w:pPr>
        <w:spacing w:line="500" w:lineRule="exact"/>
        <w:ind w:firstLine="560"/>
        <w:rPr>
          <w:rFonts w:ascii="仿宋_GB2312" w:eastAsia="仿宋_GB2312"/>
          <w:sz w:val="28"/>
          <w:szCs w:val="32"/>
        </w:rPr>
      </w:pPr>
      <w:r>
        <w:rPr>
          <w:rFonts w:hint="eastAsia" w:ascii="仿宋_GB2312" w:eastAsia="仿宋_GB2312"/>
          <w:sz w:val="28"/>
          <w:szCs w:val="32"/>
        </w:rPr>
        <w:t>4.1响应性评审由竞争性磋商小组负责。</w:t>
      </w:r>
    </w:p>
    <w:p w14:paraId="11AF6931">
      <w:pPr>
        <w:spacing w:line="500" w:lineRule="exact"/>
        <w:ind w:firstLine="560"/>
        <w:rPr>
          <w:rFonts w:hint="eastAsia" w:ascii="仿宋_GB2312" w:eastAsia="仿宋_GB2312"/>
          <w:sz w:val="28"/>
          <w:szCs w:val="32"/>
        </w:rPr>
      </w:pPr>
      <w:r>
        <w:rPr>
          <w:rFonts w:hint="eastAsia" w:ascii="仿宋_GB2312" w:eastAsia="仿宋_GB2312"/>
          <w:sz w:val="28"/>
          <w:szCs w:val="32"/>
        </w:rPr>
        <w:t>4.2响应性评审因素和标准：见竞争性磋商前附表。</w:t>
      </w:r>
    </w:p>
    <w:p w14:paraId="2BD36456">
      <w:pPr>
        <w:spacing w:line="500" w:lineRule="exact"/>
        <w:rPr>
          <w:rFonts w:ascii="黑体" w:hAnsi="黑体" w:eastAsia="黑体"/>
          <w:b/>
          <w:sz w:val="28"/>
          <w:szCs w:val="32"/>
        </w:rPr>
      </w:pPr>
      <w:r>
        <w:rPr>
          <w:rFonts w:hint="eastAsia" w:ascii="黑体" w:hAnsi="黑体" w:eastAsia="黑体"/>
          <w:b/>
          <w:sz w:val="28"/>
          <w:szCs w:val="32"/>
        </w:rPr>
        <w:t>5.详细评审</w:t>
      </w:r>
    </w:p>
    <w:p w14:paraId="263D0338">
      <w:pPr>
        <w:spacing w:line="500" w:lineRule="exact"/>
        <w:ind w:firstLine="560"/>
        <w:rPr>
          <w:rFonts w:ascii="仿宋_GB2312" w:eastAsia="仿宋_GB2312"/>
          <w:sz w:val="28"/>
          <w:szCs w:val="32"/>
        </w:rPr>
      </w:pPr>
      <w:r>
        <w:rPr>
          <w:rFonts w:hint="eastAsia" w:ascii="仿宋_GB2312" w:eastAsia="仿宋_GB2312"/>
          <w:sz w:val="28"/>
          <w:szCs w:val="32"/>
        </w:rPr>
        <w:t>5.1详细评审由竞争性磋商小组负责。</w:t>
      </w:r>
    </w:p>
    <w:p w14:paraId="08A99C56">
      <w:pPr>
        <w:spacing w:line="500" w:lineRule="exact"/>
        <w:ind w:firstLine="560"/>
        <w:rPr>
          <w:rFonts w:hint="eastAsia" w:ascii="仿宋_GB2312" w:eastAsia="仿宋_GB2312"/>
          <w:sz w:val="28"/>
          <w:szCs w:val="32"/>
        </w:rPr>
      </w:pPr>
      <w:r>
        <w:rPr>
          <w:rFonts w:hint="eastAsia" w:ascii="仿宋_GB2312" w:eastAsia="仿宋_GB2312"/>
          <w:sz w:val="28"/>
          <w:szCs w:val="32"/>
        </w:rPr>
        <w:t>5.2详细评审因素和标准：见竞争性磋商前附表。</w:t>
      </w:r>
    </w:p>
    <w:p w14:paraId="3A52F748">
      <w:pPr>
        <w:spacing w:line="500" w:lineRule="exact"/>
        <w:rPr>
          <w:rFonts w:ascii="黑体" w:hAnsi="黑体" w:eastAsia="黑体"/>
          <w:b/>
          <w:sz w:val="28"/>
          <w:szCs w:val="32"/>
        </w:rPr>
      </w:pPr>
      <w:r>
        <w:rPr>
          <w:rFonts w:hint="eastAsia" w:ascii="黑体" w:hAnsi="黑体" w:eastAsia="黑体"/>
          <w:b/>
          <w:sz w:val="28"/>
          <w:szCs w:val="32"/>
        </w:rPr>
        <w:t>6.推荐成交候选人</w:t>
      </w:r>
    </w:p>
    <w:p w14:paraId="3EC81E7E">
      <w:pPr>
        <w:spacing w:line="500" w:lineRule="exact"/>
        <w:ind w:firstLine="560"/>
        <w:rPr>
          <w:rFonts w:hint="eastAsia" w:ascii="仿宋_GB2312" w:eastAsia="仿宋_GB2312"/>
          <w:sz w:val="28"/>
          <w:szCs w:val="32"/>
        </w:rPr>
      </w:pPr>
      <w:r>
        <w:rPr>
          <w:rFonts w:hint="eastAsia" w:ascii="仿宋_GB2312" w:eastAsia="仿宋_GB2312"/>
          <w:sz w:val="28"/>
          <w:szCs w:val="32"/>
        </w:rPr>
        <w:t>磋商小组采用综合评分法对供应商的响应文件和最后报价进行综合评分。磋商小组根据综合评分情况，按照评审得分由高到低顺序推荐3名及以上成交候选供应商，并编写评审报告。</w:t>
      </w:r>
    </w:p>
    <w:p w14:paraId="4569DE0C">
      <w:pPr>
        <w:spacing w:line="500" w:lineRule="exact"/>
        <w:rPr>
          <w:rFonts w:ascii="黑体" w:hAnsi="黑体" w:eastAsia="黑体"/>
          <w:b/>
          <w:sz w:val="28"/>
          <w:szCs w:val="32"/>
        </w:rPr>
      </w:pPr>
      <w:r>
        <w:rPr>
          <w:rFonts w:hint="eastAsia" w:ascii="黑体" w:hAnsi="黑体" w:eastAsia="黑体"/>
          <w:b/>
          <w:sz w:val="28"/>
          <w:szCs w:val="32"/>
        </w:rPr>
        <w:t>7.确定成交供应商</w:t>
      </w:r>
    </w:p>
    <w:p w14:paraId="1A135D88">
      <w:pPr>
        <w:spacing w:line="500" w:lineRule="exact"/>
        <w:ind w:firstLine="560"/>
        <w:rPr>
          <w:rFonts w:ascii="仿宋_GB2312" w:eastAsia="仿宋_GB2312"/>
          <w:sz w:val="28"/>
          <w:szCs w:val="32"/>
        </w:rPr>
      </w:pPr>
      <w:r>
        <w:rPr>
          <w:rFonts w:hint="eastAsia" w:ascii="仿宋_GB2312" w:eastAsia="仿宋_GB2312"/>
          <w:sz w:val="28"/>
          <w:szCs w:val="32"/>
        </w:rPr>
        <w:t>采购人从磋商小组提出的成交候选人中根据符合采购需求且评审得分最高的原则确定成交供应商，并将结果通知所有参加磋商的未成交的供应商。</w:t>
      </w:r>
    </w:p>
    <w:p w14:paraId="638B91BC">
      <w:pPr>
        <w:spacing w:line="500" w:lineRule="exact"/>
        <w:rPr>
          <w:rFonts w:ascii="黑体" w:hAnsi="黑体" w:eastAsia="黑体"/>
          <w:b/>
          <w:sz w:val="28"/>
          <w:szCs w:val="32"/>
        </w:rPr>
      </w:pPr>
      <w:r>
        <w:rPr>
          <w:rFonts w:hint="eastAsia" w:ascii="黑体" w:hAnsi="黑体" w:eastAsia="黑体"/>
          <w:b/>
          <w:sz w:val="28"/>
          <w:szCs w:val="32"/>
        </w:rPr>
        <w:t>8.澄清、说明或补正</w:t>
      </w:r>
    </w:p>
    <w:p w14:paraId="32FBCEA7">
      <w:pPr>
        <w:spacing w:line="500" w:lineRule="exact"/>
        <w:ind w:firstLine="560"/>
        <w:rPr>
          <w:rFonts w:ascii="仿宋_GB2312" w:eastAsia="仿宋_GB2312"/>
          <w:sz w:val="28"/>
          <w:szCs w:val="32"/>
        </w:rPr>
      </w:pPr>
      <w:r>
        <w:rPr>
          <w:rFonts w:hint="eastAsia" w:ascii="仿宋_GB2312" w:eastAsia="仿宋_GB2312"/>
          <w:sz w:val="28"/>
          <w:szCs w:val="32"/>
        </w:rPr>
        <w:t>8.1磋商小组在评审过程中，可以要求供应商对响应文件中含义不明确、同类问题表述不一致或者有明显文字和计算错误的内容等作出必要的澄清、说明或者更正。</w:t>
      </w:r>
    </w:p>
    <w:p w14:paraId="08C922A0">
      <w:pPr>
        <w:spacing w:line="500" w:lineRule="exact"/>
        <w:ind w:firstLine="560"/>
        <w:rPr>
          <w:rFonts w:ascii="仿宋_GB2312" w:eastAsia="仿宋_GB2312"/>
          <w:sz w:val="28"/>
          <w:szCs w:val="32"/>
        </w:rPr>
      </w:pPr>
      <w:r>
        <w:rPr>
          <w:rFonts w:hint="eastAsia" w:ascii="仿宋_GB2312" w:eastAsia="仿宋_GB2312"/>
          <w:sz w:val="28"/>
          <w:szCs w:val="32"/>
        </w:rPr>
        <w:t>8.2磋商小组要求供应商澄清、说明或者更正响应文件应当以书面形式作出。</w:t>
      </w:r>
    </w:p>
    <w:p w14:paraId="049FAFE2">
      <w:pPr>
        <w:spacing w:line="500" w:lineRule="exact"/>
        <w:ind w:firstLine="560"/>
        <w:rPr>
          <w:rFonts w:ascii="仿宋_GB2312" w:eastAsia="仿宋_GB2312"/>
          <w:sz w:val="28"/>
          <w:szCs w:val="32"/>
        </w:rPr>
      </w:pPr>
      <w:r>
        <w:rPr>
          <w:rFonts w:hint="eastAsia" w:ascii="仿宋_GB2312" w:eastAsia="仿宋_GB2312"/>
          <w:sz w:val="28"/>
          <w:szCs w:val="32"/>
        </w:rPr>
        <w:t>8.3供应商的澄清、说明或者更正应当由法定代表人或其授权代表签字或者加盖公章。由授权代表签字的，应当附法定代表人授权书。供应商的书面澄清材料作为响应文件的补充。</w:t>
      </w:r>
    </w:p>
    <w:p w14:paraId="6FCFFDB9">
      <w:pPr>
        <w:spacing w:line="500" w:lineRule="exact"/>
        <w:ind w:firstLine="560"/>
        <w:rPr>
          <w:rFonts w:ascii="仿宋_GB2312" w:eastAsia="仿宋_GB2312"/>
          <w:sz w:val="28"/>
          <w:szCs w:val="32"/>
        </w:rPr>
      </w:pPr>
      <w:r>
        <w:rPr>
          <w:rFonts w:hint="eastAsia" w:ascii="仿宋_GB2312" w:eastAsia="仿宋_GB2312"/>
          <w:sz w:val="28"/>
          <w:szCs w:val="32"/>
        </w:rPr>
        <w:t>8.4供应商的澄清、说明或者更正不得超出响应文件的范围或者改变响应文件的实质性内容。</w:t>
      </w:r>
    </w:p>
    <w:p w14:paraId="5718F661">
      <w:pPr>
        <w:spacing w:line="500" w:lineRule="exact"/>
        <w:ind w:firstLine="560"/>
        <w:rPr>
          <w:rFonts w:ascii="仿宋_GB2312" w:eastAsia="仿宋_GB2312"/>
          <w:sz w:val="28"/>
          <w:szCs w:val="32"/>
        </w:rPr>
      </w:pPr>
      <w:r>
        <w:rPr>
          <w:rFonts w:hint="eastAsia" w:ascii="仿宋_GB2312" w:eastAsia="仿宋_GB2312"/>
          <w:sz w:val="28"/>
          <w:szCs w:val="32"/>
        </w:rPr>
        <w:t>8.5磋商小组不得接受供应商主动提出的澄清、说明或补正。</w:t>
      </w:r>
    </w:p>
    <w:p w14:paraId="034E65A7">
      <w:pPr>
        <w:spacing w:line="500" w:lineRule="exact"/>
        <w:rPr>
          <w:rFonts w:ascii="黑体" w:hAnsi="黑体" w:eastAsia="黑体"/>
          <w:b/>
          <w:sz w:val="28"/>
          <w:szCs w:val="32"/>
        </w:rPr>
      </w:pPr>
      <w:r>
        <w:rPr>
          <w:rFonts w:hint="eastAsia" w:ascii="黑体" w:hAnsi="黑体" w:eastAsia="黑体"/>
          <w:b/>
          <w:sz w:val="28"/>
          <w:szCs w:val="32"/>
        </w:rPr>
        <w:t>9.评审过程中特殊情况的处理规定</w:t>
      </w:r>
    </w:p>
    <w:p w14:paraId="287DE261">
      <w:pPr>
        <w:spacing w:line="560" w:lineRule="exact"/>
        <w:rPr>
          <w:rFonts w:ascii="楷体_GB2312" w:eastAsia="楷体_GB2312"/>
          <w:b/>
          <w:sz w:val="28"/>
          <w:szCs w:val="32"/>
        </w:rPr>
      </w:pPr>
      <w:r>
        <w:rPr>
          <w:rFonts w:hint="eastAsia" w:ascii="宋体" w:hAnsi="宋体" w:cs="宋体"/>
          <w:b/>
          <w:sz w:val="28"/>
          <w:szCs w:val="32"/>
        </w:rPr>
        <w:t>9.1</w:t>
      </w:r>
      <w:r>
        <w:rPr>
          <w:rFonts w:hint="eastAsia" w:ascii="楷体_GB2312" w:eastAsia="楷体_GB2312"/>
          <w:b/>
          <w:sz w:val="28"/>
          <w:szCs w:val="32"/>
        </w:rPr>
        <w:t>磋商小组成员的更换</w:t>
      </w:r>
    </w:p>
    <w:p w14:paraId="376D5934">
      <w:pPr>
        <w:spacing w:line="500" w:lineRule="exact"/>
        <w:ind w:firstLine="560"/>
        <w:rPr>
          <w:rFonts w:ascii="仿宋_GB2312" w:eastAsia="仿宋_GB2312"/>
          <w:sz w:val="28"/>
          <w:szCs w:val="32"/>
        </w:rPr>
      </w:pPr>
      <w:r>
        <w:rPr>
          <w:rFonts w:hint="eastAsia" w:ascii="仿宋_GB2312" w:eastAsia="仿宋_GB2312"/>
          <w:sz w:val="28"/>
          <w:szCs w:val="32"/>
        </w:rPr>
        <w:t>（1）评审过程中，因磋商小组成员缺席、回避或者健康等特殊原因导致磋商小组组成不符合规定的，采购人将依法补足后继续评审。被更换的磋商小组成员所作出的评审意见无效。 </w:t>
      </w:r>
    </w:p>
    <w:p w14:paraId="54917305">
      <w:pPr>
        <w:spacing w:line="500" w:lineRule="exact"/>
        <w:ind w:firstLine="560"/>
        <w:rPr>
          <w:rFonts w:ascii="仿宋_GB2312" w:eastAsia="仿宋_GB2312"/>
          <w:sz w:val="28"/>
          <w:szCs w:val="32"/>
        </w:rPr>
      </w:pPr>
      <w:r>
        <w:rPr>
          <w:rFonts w:hint="eastAsia" w:ascii="仿宋_GB2312" w:eastAsia="仿宋_GB2312"/>
          <w:sz w:val="28"/>
          <w:szCs w:val="32"/>
        </w:rPr>
        <w:t>（2）无法及时补足磋商小组成员的，采购人将停止评审活动，封存所有资料，依法重新组建磋商小组进行评审。原磋商小组所作出的评审意见无效。</w:t>
      </w:r>
    </w:p>
    <w:p w14:paraId="10E3FF27">
      <w:pPr>
        <w:spacing w:line="560" w:lineRule="exact"/>
        <w:rPr>
          <w:rFonts w:ascii="楷体_GB2312" w:eastAsia="楷体_GB2312"/>
          <w:b/>
          <w:sz w:val="28"/>
          <w:szCs w:val="32"/>
        </w:rPr>
      </w:pPr>
      <w:r>
        <w:rPr>
          <w:rFonts w:hint="eastAsia" w:ascii="宋体" w:hAnsi="宋体" w:cs="宋体"/>
          <w:b/>
          <w:sz w:val="28"/>
          <w:szCs w:val="32"/>
        </w:rPr>
        <w:t>9.2</w:t>
      </w:r>
      <w:r>
        <w:rPr>
          <w:rFonts w:hint="eastAsia" w:ascii="楷体_GB2312" w:eastAsia="楷体_GB2312"/>
          <w:b/>
          <w:sz w:val="28"/>
          <w:szCs w:val="32"/>
        </w:rPr>
        <w:t>异常低价的处理</w:t>
      </w:r>
    </w:p>
    <w:p w14:paraId="25FE1C06">
      <w:pPr>
        <w:spacing w:line="500" w:lineRule="exact"/>
        <w:ind w:firstLine="560"/>
        <w:rPr>
          <w:rFonts w:hint="eastAsia" w:ascii="仿宋_GB2312" w:eastAsia="仿宋_GB2312"/>
          <w:b/>
          <w:bCs/>
          <w:color w:val="FF0000"/>
          <w:sz w:val="28"/>
          <w:szCs w:val="32"/>
        </w:rPr>
      </w:pPr>
      <w:r>
        <w:rPr>
          <w:rFonts w:hint="eastAsia" w:ascii="仿宋_GB2312" w:eastAsia="仿宋_GB2312"/>
          <w:b/>
          <w:bCs/>
          <w:color w:val="FF0000"/>
          <w:sz w:val="28"/>
          <w:szCs w:val="32"/>
        </w:rPr>
        <w:t>依据《江苏省财政厅转发财政部关于推动解决政府采购异常低价问题的通知》(苏财购〔2026〕36号)规定：</w:t>
      </w:r>
    </w:p>
    <w:p w14:paraId="49758B38">
      <w:pPr>
        <w:spacing w:line="500" w:lineRule="exact"/>
        <w:ind w:firstLine="560"/>
        <w:rPr>
          <w:rFonts w:hint="eastAsia" w:ascii="仿宋_GB2312" w:eastAsia="仿宋_GB2312"/>
          <w:b/>
          <w:bCs/>
          <w:color w:val="FF0000"/>
          <w:sz w:val="28"/>
          <w:szCs w:val="32"/>
        </w:rPr>
      </w:pPr>
      <w:r>
        <w:rPr>
          <w:rFonts w:hint="eastAsia" w:ascii="仿宋_GB2312" w:eastAsia="仿宋_GB2312"/>
          <w:b/>
          <w:bCs/>
          <w:color w:val="FF0000"/>
          <w:sz w:val="28"/>
          <w:szCs w:val="32"/>
        </w:rPr>
        <w:t>（一）评审过程中出现下列情形之一的，</w:t>
      </w:r>
      <w:r>
        <w:rPr>
          <w:rFonts w:hint="eastAsia" w:ascii="仿宋_GB2312" w:eastAsia="仿宋_GB2312"/>
          <w:b/>
          <w:bCs/>
          <w:color w:val="FF0000"/>
          <w:sz w:val="28"/>
          <w:szCs w:val="32"/>
          <w:lang w:eastAsia="zh-CN"/>
        </w:rPr>
        <w:t>评审委员会</w:t>
      </w:r>
      <w:r>
        <w:rPr>
          <w:rFonts w:hint="eastAsia" w:ascii="仿宋_GB2312" w:eastAsia="仿宋_GB2312"/>
          <w:b/>
          <w:bCs/>
          <w:color w:val="FF0000"/>
          <w:sz w:val="28"/>
          <w:szCs w:val="32"/>
        </w:rPr>
        <w:t>应当启动异常低价投标（响应）审查程序：</w:t>
      </w:r>
    </w:p>
    <w:p w14:paraId="542EEDAC">
      <w:pPr>
        <w:spacing w:line="500" w:lineRule="exact"/>
        <w:ind w:firstLine="560"/>
        <w:rPr>
          <w:rFonts w:hint="eastAsia" w:ascii="仿宋_GB2312" w:eastAsia="仿宋_GB2312"/>
          <w:b/>
          <w:bCs/>
          <w:color w:val="FF0000"/>
          <w:sz w:val="28"/>
          <w:szCs w:val="32"/>
        </w:rPr>
      </w:pPr>
      <w:r>
        <w:rPr>
          <w:rFonts w:hint="eastAsia" w:ascii="仿宋_GB2312" w:eastAsia="仿宋_GB2312"/>
          <w:b/>
          <w:bCs/>
          <w:color w:val="FF0000"/>
          <w:sz w:val="28"/>
          <w:szCs w:val="32"/>
        </w:rPr>
        <w:t>1.投标(响应)报价低于全部通过符合性审查供应商投标(响应)报价平均值50%的，即投标(响应)报价&lt;全部通过符合性审查供应商投标(响应)报价平均值×50%；</w:t>
      </w:r>
    </w:p>
    <w:p w14:paraId="6F12D719">
      <w:pPr>
        <w:spacing w:line="500" w:lineRule="exact"/>
        <w:ind w:firstLine="560"/>
        <w:rPr>
          <w:rFonts w:hint="eastAsia" w:ascii="仿宋_GB2312" w:eastAsia="仿宋_GB2312"/>
          <w:b/>
          <w:bCs/>
          <w:color w:val="FF0000"/>
          <w:sz w:val="28"/>
          <w:szCs w:val="32"/>
        </w:rPr>
      </w:pPr>
      <w:r>
        <w:rPr>
          <w:rFonts w:hint="eastAsia" w:ascii="仿宋_GB2312" w:eastAsia="仿宋_GB2312"/>
          <w:b/>
          <w:bCs/>
          <w:color w:val="FF0000"/>
          <w:sz w:val="28"/>
          <w:szCs w:val="32"/>
        </w:rPr>
        <w:t>2.投标(响应)报价低于通过符合性审查的次低报价供应商投标(响应)报价50%的，即投标(响应)报价&lt;通过符合性审查的次低报价供应商投标(响应)报价×50%；</w:t>
      </w:r>
    </w:p>
    <w:p w14:paraId="59D9866E">
      <w:pPr>
        <w:spacing w:line="500" w:lineRule="exact"/>
        <w:ind w:firstLine="560"/>
        <w:rPr>
          <w:rFonts w:hint="eastAsia" w:ascii="仿宋_GB2312" w:eastAsia="仿宋_GB2312"/>
          <w:b/>
          <w:bCs/>
          <w:color w:val="FF0000"/>
          <w:sz w:val="28"/>
          <w:szCs w:val="32"/>
        </w:rPr>
      </w:pPr>
      <w:r>
        <w:rPr>
          <w:rFonts w:hint="eastAsia" w:ascii="仿宋_GB2312" w:eastAsia="仿宋_GB2312"/>
          <w:b/>
          <w:bCs/>
          <w:color w:val="FF0000"/>
          <w:sz w:val="28"/>
          <w:szCs w:val="32"/>
        </w:rPr>
        <w:t>3.投标(响应)报价低于采购项目最高限价45%的，即投标(响应)报价&lt;采购项目最高限价×45%；</w:t>
      </w:r>
    </w:p>
    <w:p w14:paraId="2F246B8C">
      <w:pPr>
        <w:spacing w:line="500" w:lineRule="exact"/>
        <w:ind w:firstLine="560"/>
        <w:rPr>
          <w:rFonts w:hint="eastAsia" w:ascii="仿宋_GB2312" w:eastAsia="仿宋_GB2312"/>
          <w:b/>
          <w:bCs/>
          <w:color w:val="FF0000"/>
          <w:sz w:val="28"/>
          <w:szCs w:val="32"/>
        </w:rPr>
      </w:pPr>
      <w:r>
        <w:rPr>
          <w:rFonts w:hint="eastAsia" w:ascii="仿宋_GB2312" w:eastAsia="仿宋_GB2312"/>
          <w:b/>
          <w:bCs/>
          <w:color w:val="FF0000"/>
          <w:sz w:val="28"/>
          <w:szCs w:val="32"/>
        </w:rPr>
        <w:t>4.评审委员会基于专业判断，认为供应商报价过低，有可能影响产品质量或者不能诚信履约的其他情形。</w:t>
      </w:r>
    </w:p>
    <w:p w14:paraId="0C37D4C6">
      <w:pPr>
        <w:spacing w:line="500" w:lineRule="exact"/>
        <w:ind w:firstLine="560"/>
        <w:rPr>
          <w:rFonts w:hint="eastAsia" w:ascii="仿宋_GB2312" w:eastAsia="仿宋_GB2312"/>
          <w:b/>
          <w:bCs/>
          <w:color w:val="FF0000"/>
          <w:sz w:val="28"/>
          <w:szCs w:val="32"/>
        </w:rPr>
      </w:pPr>
      <w:r>
        <w:rPr>
          <w:rFonts w:hint="eastAsia" w:ascii="仿宋_GB2312" w:eastAsia="仿宋_GB2312"/>
          <w:b/>
          <w:bCs/>
          <w:color w:val="FF0000"/>
          <w:sz w:val="28"/>
          <w:szCs w:val="32"/>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DBABF91">
      <w:pPr>
        <w:spacing w:line="500" w:lineRule="exact"/>
        <w:ind w:firstLine="560"/>
        <w:rPr>
          <w:rFonts w:hint="eastAsia" w:ascii="微软雅黑" w:hAnsi="微软雅黑" w:eastAsia="微软雅黑" w:cs="微软雅黑"/>
          <w:b/>
          <w:bCs/>
          <w:i w:val="0"/>
          <w:iCs w:val="0"/>
          <w:caps w:val="0"/>
          <w:color w:val="FF0000"/>
          <w:spacing w:val="0"/>
          <w:sz w:val="27"/>
          <w:szCs w:val="27"/>
        </w:rPr>
      </w:pPr>
      <w:r>
        <w:rPr>
          <w:rFonts w:hint="eastAsia" w:ascii="仿宋_GB2312" w:eastAsia="仿宋_GB2312"/>
          <w:b/>
          <w:bCs/>
          <w:color w:val="FF0000"/>
          <w:sz w:val="28"/>
          <w:szCs w:val="32"/>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85CD18E">
      <w:pPr>
        <w:spacing w:line="500" w:lineRule="exact"/>
        <w:rPr>
          <w:rFonts w:ascii="楷体_GB2312" w:eastAsia="楷体_GB2312"/>
          <w:b/>
          <w:sz w:val="28"/>
          <w:szCs w:val="32"/>
        </w:rPr>
      </w:pPr>
      <w:r>
        <w:rPr>
          <w:rFonts w:hint="eastAsia" w:ascii="宋体" w:hAnsi="宋体" w:cs="宋体"/>
          <w:b/>
          <w:sz w:val="28"/>
          <w:szCs w:val="32"/>
        </w:rPr>
        <w:t>9.3</w:t>
      </w:r>
      <w:r>
        <w:rPr>
          <w:rFonts w:hint="eastAsia" w:ascii="楷体_GB2312" w:eastAsia="楷体_GB2312"/>
          <w:b/>
          <w:sz w:val="28"/>
          <w:szCs w:val="32"/>
        </w:rPr>
        <w:t>争议解决</w:t>
      </w:r>
    </w:p>
    <w:p w14:paraId="733CCA61">
      <w:pPr>
        <w:spacing w:line="500" w:lineRule="exact"/>
        <w:ind w:firstLine="560"/>
        <w:rPr>
          <w:rFonts w:ascii="仿宋_GB2312" w:eastAsia="仿宋_GB2312"/>
          <w:sz w:val="28"/>
          <w:szCs w:val="32"/>
        </w:rPr>
      </w:pPr>
      <w:r>
        <w:rPr>
          <w:rFonts w:hint="eastAsia" w:ascii="仿宋_GB2312" w:eastAsia="仿宋_GB2312"/>
          <w:sz w:val="28"/>
          <w:szCs w:val="32"/>
        </w:rPr>
        <w:t>磋商小组成员对需要共同认定的事项存在争议的，按照少数服从多数的原则作出结论。持不同意见的成员须在评审报告上签署不同意见及理由。</w:t>
      </w:r>
    </w:p>
    <w:p w14:paraId="3A580F60">
      <w:pPr>
        <w:spacing w:line="560" w:lineRule="exact"/>
        <w:rPr>
          <w:rFonts w:ascii="楷体_GB2312" w:eastAsia="楷体_GB2312"/>
          <w:b/>
          <w:sz w:val="28"/>
          <w:szCs w:val="32"/>
        </w:rPr>
      </w:pPr>
      <w:r>
        <w:rPr>
          <w:rFonts w:hint="eastAsia" w:ascii="宋体" w:hAnsi="宋体" w:cs="宋体"/>
          <w:b/>
          <w:sz w:val="28"/>
          <w:szCs w:val="32"/>
        </w:rPr>
        <w:t>9.4</w:t>
      </w:r>
      <w:r>
        <w:rPr>
          <w:rFonts w:hint="eastAsia" w:ascii="楷体_GB2312" w:eastAsia="楷体_GB2312"/>
          <w:b/>
          <w:sz w:val="28"/>
          <w:szCs w:val="32"/>
        </w:rPr>
        <w:t>评审终止</w:t>
      </w:r>
    </w:p>
    <w:p w14:paraId="27A005BD">
      <w:pPr>
        <w:spacing w:line="500" w:lineRule="exact"/>
        <w:ind w:firstLine="560"/>
        <w:rPr>
          <w:rFonts w:ascii="仿宋_GB2312" w:eastAsia="仿宋_GB2312"/>
          <w:sz w:val="28"/>
          <w:szCs w:val="32"/>
        </w:rPr>
      </w:pPr>
      <w:r>
        <w:rPr>
          <w:rFonts w:hint="eastAsia" w:ascii="仿宋_GB2312" w:eastAsia="仿宋_GB2312"/>
          <w:sz w:val="28"/>
          <w:szCs w:val="32"/>
        </w:rPr>
        <w:t>磋商小组发现采购文件存在歧义、重大缺陷导致评审工作无法进行，或者采购文件内容违反国家有关强制性规定的，应当停止评审工作，与采购人沟通并作书面记录。采购人确认后，终止评审活动。</w:t>
      </w:r>
    </w:p>
    <w:p w14:paraId="3269AB45">
      <w:pPr>
        <w:spacing w:line="560" w:lineRule="exact"/>
        <w:rPr>
          <w:rFonts w:ascii="楷体_GB2312" w:eastAsia="楷体_GB2312"/>
          <w:b/>
          <w:sz w:val="28"/>
          <w:szCs w:val="32"/>
        </w:rPr>
      </w:pPr>
      <w:r>
        <w:rPr>
          <w:rFonts w:hint="eastAsia" w:ascii="宋体" w:hAnsi="宋体" w:cs="宋体"/>
          <w:b/>
          <w:sz w:val="28"/>
          <w:szCs w:val="32"/>
        </w:rPr>
        <w:t>9.5</w:t>
      </w:r>
      <w:r>
        <w:rPr>
          <w:rFonts w:hint="eastAsia" w:ascii="楷体_GB2312" w:eastAsia="楷体_GB2312"/>
          <w:b/>
          <w:sz w:val="28"/>
          <w:szCs w:val="32"/>
        </w:rPr>
        <w:t>得分相同</w:t>
      </w:r>
    </w:p>
    <w:p w14:paraId="4ED18ACF">
      <w:pPr>
        <w:spacing w:line="500" w:lineRule="exact"/>
        <w:ind w:firstLine="560"/>
        <w:rPr>
          <w:rFonts w:ascii="仿宋_GB2312" w:eastAsia="仿宋_GB2312"/>
          <w:sz w:val="28"/>
          <w:szCs w:val="32"/>
        </w:rPr>
      </w:pPr>
      <w:r>
        <w:rPr>
          <w:rFonts w:hint="eastAsia" w:ascii="仿宋_GB2312" w:eastAsia="仿宋_GB2312"/>
          <w:sz w:val="28"/>
          <w:szCs w:val="32"/>
        </w:rPr>
        <w:t>评审得分相同的，最后报价低的优先；评审得分且最后报价相同的，技术方案得分高的优先；评审得分、最后报价和技术方案得分均相同的，采购人随机抽取方式确定。</w:t>
      </w:r>
    </w:p>
    <w:p w14:paraId="79C02E8A">
      <w:pPr>
        <w:spacing w:line="560" w:lineRule="exact"/>
        <w:rPr>
          <w:rFonts w:ascii="楷体_GB2312" w:eastAsia="楷体_GB2312"/>
          <w:b/>
          <w:sz w:val="28"/>
          <w:szCs w:val="32"/>
        </w:rPr>
      </w:pPr>
      <w:r>
        <w:rPr>
          <w:rFonts w:hint="eastAsia" w:ascii="宋体" w:hAnsi="宋体" w:cs="宋体"/>
          <w:b/>
          <w:sz w:val="28"/>
          <w:szCs w:val="32"/>
        </w:rPr>
        <w:t>9.6</w:t>
      </w:r>
      <w:r>
        <w:rPr>
          <w:rFonts w:hint="eastAsia" w:ascii="楷体_GB2312" w:eastAsia="楷体_GB2312"/>
          <w:b/>
          <w:sz w:val="28"/>
          <w:szCs w:val="32"/>
        </w:rPr>
        <w:t>评审报告签署</w:t>
      </w:r>
    </w:p>
    <w:p w14:paraId="1A57C870">
      <w:pPr>
        <w:spacing w:line="500" w:lineRule="exact"/>
        <w:ind w:firstLine="560"/>
        <w:rPr>
          <w:rFonts w:ascii="仿宋_GB2312" w:eastAsia="仿宋_GB2312"/>
          <w:sz w:val="28"/>
          <w:szCs w:val="32"/>
        </w:rPr>
      </w:pPr>
      <w:r>
        <w:rPr>
          <w:rFonts w:hint="eastAsia" w:ascii="仿宋_GB2312" w:eastAsia="仿宋_GB2312"/>
          <w:sz w:val="28"/>
          <w:szCs w:val="32"/>
        </w:rPr>
        <w:t>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p>
    <w:p w14:paraId="0C7FE055">
      <w:pPr>
        <w:spacing w:line="560" w:lineRule="exact"/>
        <w:rPr>
          <w:rFonts w:ascii="黑体" w:hAnsi="黑体" w:eastAsia="黑体"/>
          <w:b/>
          <w:sz w:val="28"/>
          <w:szCs w:val="32"/>
        </w:rPr>
      </w:pPr>
      <w:r>
        <w:rPr>
          <w:rFonts w:hint="eastAsia" w:ascii="黑体" w:hAnsi="黑体" w:eastAsia="黑体"/>
          <w:b/>
          <w:sz w:val="28"/>
          <w:szCs w:val="32"/>
        </w:rPr>
        <w:t>10.判定无效响应的规定</w:t>
      </w:r>
    </w:p>
    <w:p w14:paraId="3745FB57">
      <w:pPr>
        <w:spacing w:line="560" w:lineRule="exact"/>
        <w:rPr>
          <w:rFonts w:ascii="楷体_GB2312" w:eastAsia="楷体_GB2312"/>
          <w:b/>
          <w:sz w:val="28"/>
          <w:szCs w:val="32"/>
        </w:rPr>
      </w:pPr>
      <w:r>
        <w:rPr>
          <w:rFonts w:hint="eastAsia" w:ascii="宋体" w:hAnsi="宋体" w:cs="宋体"/>
          <w:b/>
          <w:sz w:val="28"/>
          <w:szCs w:val="32"/>
        </w:rPr>
        <w:t>10.1</w:t>
      </w:r>
      <w:r>
        <w:rPr>
          <w:rFonts w:hint="eastAsia" w:ascii="楷体_GB2312" w:eastAsia="楷体_GB2312"/>
          <w:b/>
          <w:sz w:val="28"/>
          <w:szCs w:val="32"/>
        </w:rPr>
        <w:t>响应文件开启过程中，有下列情形之一的，作无效响应处理。</w:t>
      </w:r>
    </w:p>
    <w:p w14:paraId="60634E1A">
      <w:pPr>
        <w:spacing w:line="500" w:lineRule="exact"/>
        <w:ind w:firstLine="560"/>
        <w:rPr>
          <w:rFonts w:ascii="仿宋_GB2312" w:eastAsia="仿宋_GB2312"/>
          <w:sz w:val="28"/>
          <w:szCs w:val="32"/>
        </w:rPr>
      </w:pPr>
      <w:r>
        <w:rPr>
          <w:rFonts w:hint="eastAsia" w:ascii="仿宋_GB2312" w:eastAsia="仿宋_GB2312"/>
          <w:sz w:val="28"/>
          <w:szCs w:val="32"/>
        </w:rPr>
        <w:t>（1）响应文件无法解密；</w:t>
      </w:r>
    </w:p>
    <w:p w14:paraId="2BC1542F">
      <w:pPr>
        <w:spacing w:line="500" w:lineRule="exact"/>
        <w:ind w:firstLine="560"/>
        <w:rPr>
          <w:rFonts w:ascii="仿宋_GB2312" w:eastAsia="仿宋_GB2312"/>
          <w:sz w:val="28"/>
          <w:szCs w:val="32"/>
        </w:rPr>
      </w:pPr>
      <w:r>
        <w:rPr>
          <w:rFonts w:hint="eastAsia" w:ascii="仿宋_GB2312" w:eastAsia="仿宋_GB2312"/>
          <w:sz w:val="28"/>
          <w:szCs w:val="32"/>
        </w:rPr>
        <w:t>（2）响应文件未在规定的时间内解密成功。</w:t>
      </w:r>
    </w:p>
    <w:p w14:paraId="45E9786D">
      <w:pPr>
        <w:spacing w:line="560" w:lineRule="exact"/>
        <w:rPr>
          <w:rFonts w:ascii="楷体_GB2312" w:eastAsia="楷体_GB2312"/>
          <w:b/>
          <w:sz w:val="28"/>
          <w:szCs w:val="32"/>
        </w:rPr>
      </w:pPr>
      <w:r>
        <w:rPr>
          <w:rFonts w:hint="eastAsia" w:ascii="宋体" w:hAnsi="宋体" w:cs="宋体"/>
          <w:b/>
          <w:sz w:val="28"/>
          <w:szCs w:val="32"/>
        </w:rPr>
        <w:t>10.2</w:t>
      </w:r>
      <w:r>
        <w:rPr>
          <w:rFonts w:hint="eastAsia" w:ascii="楷体_GB2312" w:eastAsia="楷体_GB2312"/>
          <w:b/>
          <w:sz w:val="28"/>
          <w:szCs w:val="32"/>
        </w:rPr>
        <w:t>资格审查结果为不合格的，作无效响应处理。</w:t>
      </w:r>
    </w:p>
    <w:p w14:paraId="598E80D8">
      <w:pPr>
        <w:spacing w:line="560" w:lineRule="exact"/>
        <w:rPr>
          <w:rFonts w:ascii="楷体_GB2312" w:eastAsia="楷体_GB2312"/>
          <w:b/>
          <w:sz w:val="28"/>
          <w:szCs w:val="32"/>
        </w:rPr>
      </w:pPr>
      <w:r>
        <w:rPr>
          <w:rFonts w:hint="eastAsia" w:ascii="宋体" w:hAnsi="宋体" w:cs="宋体"/>
          <w:b/>
          <w:sz w:val="28"/>
          <w:szCs w:val="32"/>
        </w:rPr>
        <w:t>10.3</w:t>
      </w:r>
      <w:r>
        <w:rPr>
          <w:rFonts w:hint="eastAsia" w:ascii="楷体_GB2312" w:eastAsia="楷体_GB2312"/>
          <w:b/>
          <w:sz w:val="28"/>
          <w:szCs w:val="32"/>
        </w:rPr>
        <w:t>评审过程中，有下列情形之一的，作无效响应处理。</w:t>
      </w:r>
    </w:p>
    <w:p w14:paraId="4717F509">
      <w:pPr>
        <w:spacing w:line="500" w:lineRule="exact"/>
        <w:ind w:firstLine="560"/>
        <w:rPr>
          <w:rFonts w:ascii="仿宋_GB2312" w:eastAsia="仿宋_GB2312"/>
          <w:sz w:val="28"/>
          <w:szCs w:val="32"/>
        </w:rPr>
      </w:pPr>
      <w:r>
        <w:rPr>
          <w:rFonts w:hint="eastAsia" w:ascii="仿宋_GB2312" w:eastAsia="仿宋_GB2312"/>
          <w:sz w:val="28"/>
          <w:szCs w:val="32"/>
        </w:rPr>
        <w:t>（1）未按照磋商小组要求提供书面说明及相关证明材料证明其报价合理性的；</w:t>
      </w:r>
    </w:p>
    <w:p w14:paraId="3E920008">
      <w:pPr>
        <w:spacing w:line="500" w:lineRule="exact"/>
        <w:ind w:firstLine="560"/>
        <w:rPr>
          <w:rFonts w:ascii="仿宋_GB2312" w:eastAsia="仿宋_GB2312"/>
          <w:sz w:val="28"/>
          <w:szCs w:val="32"/>
        </w:rPr>
      </w:pPr>
      <w:r>
        <w:rPr>
          <w:rFonts w:hint="eastAsia" w:ascii="仿宋_GB2312" w:eastAsia="仿宋_GB2312"/>
          <w:sz w:val="28"/>
          <w:szCs w:val="32"/>
        </w:rPr>
        <w:t>（2）响应文件含有采购人不能接受的附加条件的。</w:t>
      </w:r>
    </w:p>
    <w:p w14:paraId="55F60EC8">
      <w:pPr>
        <w:spacing w:line="560" w:lineRule="exact"/>
        <w:rPr>
          <w:rFonts w:ascii="楷体_GB2312" w:eastAsia="楷体_GB2312"/>
          <w:b/>
          <w:sz w:val="28"/>
          <w:szCs w:val="32"/>
        </w:rPr>
      </w:pPr>
      <w:r>
        <w:rPr>
          <w:rFonts w:hint="eastAsia" w:ascii="宋体" w:hAnsi="宋体" w:cs="宋体"/>
          <w:b/>
          <w:sz w:val="28"/>
          <w:szCs w:val="32"/>
        </w:rPr>
        <w:t>10.4</w:t>
      </w:r>
      <w:r>
        <w:rPr>
          <w:rFonts w:hint="eastAsia" w:ascii="楷体_GB2312" w:eastAsia="楷体_GB2312"/>
          <w:b/>
          <w:sz w:val="28"/>
          <w:szCs w:val="32"/>
        </w:rPr>
        <w:t>法律、法规规定的其他无效响应情形。</w:t>
      </w:r>
    </w:p>
    <w:p w14:paraId="48F4F632">
      <w:pPr>
        <w:widowControl/>
        <w:jc w:val="center"/>
        <w:rPr>
          <w:rFonts w:hint="eastAsia" w:ascii="仿宋_GB2312" w:hAnsi="仿宋_GB2312" w:eastAsia="仿宋_GB2312" w:cs="仿宋_GB2312"/>
          <w:b/>
          <w:sz w:val="44"/>
          <w:szCs w:val="44"/>
          <w:lang w:val="en-US" w:eastAsia="zh-CN"/>
        </w:rPr>
      </w:pPr>
      <w:r>
        <w:rPr>
          <w:rFonts w:hint="eastAsia" w:ascii="宋体" w:hAnsi="宋体"/>
          <w:sz w:val="44"/>
          <w:szCs w:val="44"/>
        </w:rPr>
        <w:br w:type="page" w:clear="all"/>
      </w:r>
      <w:r>
        <w:rPr>
          <w:rFonts w:hint="eastAsia" w:ascii="仿宋_GB2312" w:hAnsi="仿宋_GB2312" w:eastAsia="仿宋_GB2312" w:cs="仿宋_GB2312"/>
          <w:b/>
          <w:sz w:val="44"/>
          <w:szCs w:val="44"/>
        </w:rPr>
        <w:t>第四章 合同条款</w:t>
      </w:r>
      <w:bookmarkStart w:id="78" w:name="_Toc383626041"/>
      <w:bookmarkStart w:id="79" w:name="_Toc425871366"/>
      <w:bookmarkStart w:id="80" w:name="_Toc120614222"/>
      <w:bookmarkStart w:id="81" w:name="_Toc282446296"/>
      <w:bookmarkStart w:id="82" w:name="_Toc390246952"/>
      <w:bookmarkStart w:id="83" w:name="_Toc383587505"/>
      <w:bookmarkStart w:id="84" w:name="_Toc382814014"/>
      <w:bookmarkStart w:id="85" w:name="_Toc383623720"/>
      <w:bookmarkStart w:id="86" w:name="_Toc383623992"/>
      <w:bookmarkStart w:id="87" w:name="_Toc382811586"/>
      <w:bookmarkStart w:id="88" w:name="_Toc382811181"/>
      <w:bookmarkStart w:id="89" w:name="_Toc288030332"/>
      <w:bookmarkStart w:id="90" w:name="_Toc390098887"/>
      <w:bookmarkStart w:id="91" w:name="_Toc383698694"/>
      <w:bookmarkStart w:id="92" w:name="_Toc383679794"/>
      <w:bookmarkStart w:id="93" w:name="_Toc16938559"/>
      <w:bookmarkStart w:id="94" w:name="_Toc382812295"/>
      <w:bookmarkStart w:id="95" w:name="_Toc20823315"/>
      <w:bookmarkStart w:id="96" w:name="_Toc382812484"/>
      <w:bookmarkStart w:id="97" w:name="_Toc382813933"/>
      <w:bookmarkStart w:id="98" w:name="_Toc513029243"/>
      <w:bookmarkStart w:id="99" w:name="_Toc390099065"/>
      <w:r>
        <w:rPr>
          <w:rFonts w:hint="eastAsia" w:ascii="仿宋_GB2312" w:hAnsi="仿宋_GB2312" w:eastAsia="仿宋_GB2312" w:cs="仿宋_GB2312"/>
          <w:b/>
          <w:sz w:val="44"/>
          <w:szCs w:val="44"/>
          <w:lang w:eastAsia="zh-CN"/>
        </w:rPr>
        <w:t>根据</w:t>
      </w:r>
      <w:r>
        <w:rPr>
          <w:rFonts w:hint="eastAsia" w:ascii="仿宋_GB2312" w:hAnsi="仿宋_GB2312" w:eastAsia="仿宋_GB2312" w:cs="仿宋_GB2312"/>
          <w:b/>
          <w:sz w:val="44"/>
          <w:szCs w:val="44"/>
          <w:lang w:val="en-US" w:eastAsia="zh-CN"/>
        </w:rPr>
        <w:t>2025年修订版</w:t>
      </w:r>
    </w:p>
    <w:p w14:paraId="3E009137">
      <w:pPr>
        <w:widowControl/>
        <w:jc w:val="center"/>
        <w:rPr>
          <w:rFonts w:hint="eastAsia" w:ascii="仿宋_GB2312" w:eastAsia="仿宋_GB2312"/>
          <w:sz w:val="28"/>
          <w:szCs w:val="32"/>
        </w:rPr>
      </w:pPr>
      <w:r>
        <w:rPr>
          <w:rFonts w:hint="eastAsia" w:ascii="仿宋_GB2312" w:hAnsi="仿宋_GB2312" w:eastAsia="仿宋_GB2312" w:cs="仿宋_GB2312"/>
          <w:b/>
          <w:sz w:val="44"/>
          <w:szCs w:val="44"/>
        </w:rPr>
        <w:t>（仅供参考）</w:t>
      </w:r>
      <w:bookmarkEnd w:id="39"/>
      <w:bookmarkEnd w:id="40"/>
      <w:bookmarkEnd w:id="41"/>
      <w:bookmarkEnd w:id="42"/>
      <w:bookmarkEnd w:id="43"/>
      <w:bookmarkEnd w:id="44"/>
      <w:bookmarkEnd w:id="45"/>
      <w:bookmarkEnd w:id="46"/>
      <w:bookmarkEnd w:id="4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p>
    <w:p w14:paraId="44BF57E9">
      <w:pPr>
        <w:keepNext w:val="0"/>
        <w:keepLines w:val="0"/>
        <w:pageBreakBefore w:val="0"/>
        <w:kinsoku/>
        <w:wordWrap/>
        <w:overflowPunct/>
        <w:topLinePunct w:val="0"/>
        <w:autoSpaceDE/>
        <w:autoSpaceDN/>
        <w:bidi w:val="0"/>
        <w:adjustRightInd/>
        <w:snapToGrid/>
        <w:spacing w:beforeAutospacing="0" w:line="360" w:lineRule="auto"/>
        <w:ind w:firstLine="560"/>
        <w:textAlignment w:val="auto"/>
        <w:rPr>
          <w:rFonts w:hint="eastAsia" w:ascii="仿宋_GB2312" w:eastAsia="仿宋_GB2312"/>
          <w:sz w:val="28"/>
          <w:szCs w:val="32"/>
        </w:rPr>
      </w:pPr>
    </w:p>
    <w:p w14:paraId="2E136E64">
      <w:pPr>
        <w:keepNext w:val="0"/>
        <w:keepLines w:val="0"/>
        <w:pageBreakBefore w:val="0"/>
        <w:kinsoku/>
        <w:wordWrap/>
        <w:overflowPunct/>
        <w:topLinePunct w:val="0"/>
        <w:autoSpaceDE/>
        <w:autoSpaceDN/>
        <w:bidi w:val="0"/>
        <w:adjustRightInd/>
        <w:snapToGrid/>
        <w:spacing w:beforeAutospacing="0" w:line="360" w:lineRule="auto"/>
        <w:ind w:firstLine="560"/>
        <w:textAlignment w:val="auto"/>
        <w:rPr>
          <w:rFonts w:ascii="仿宋_GB2312" w:eastAsia="仿宋_GB2312"/>
          <w:sz w:val="28"/>
          <w:szCs w:val="32"/>
        </w:rPr>
      </w:pPr>
      <w:r>
        <w:rPr>
          <w:rFonts w:hint="eastAsia" w:ascii="仿宋_GB2312" w:eastAsia="仿宋_GB2312"/>
          <w:sz w:val="28"/>
          <w:szCs w:val="32"/>
        </w:rPr>
        <w:t>以下为采购人与中标人签定本项目合同的通用条款，中标人不得提出实质性的修改，关于专用条款将由采购人与中标人结合本项目具体情况协商后签订。</w:t>
      </w:r>
    </w:p>
    <w:p w14:paraId="6F6347A7">
      <w:pPr>
        <w:keepNext w:val="0"/>
        <w:keepLines w:val="0"/>
        <w:pageBreakBefore w:val="0"/>
        <w:widowControl/>
        <w:kinsoku/>
        <w:wordWrap/>
        <w:overflowPunct/>
        <w:topLinePunct w:val="0"/>
        <w:autoSpaceDE/>
        <w:autoSpaceDN/>
        <w:bidi w:val="0"/>
        <w:adjustRightInd/>
        <w:snapToGrid/>
        <w:spacing w:line="360" w:lineRule="auto"/>
        <w:textAlignment w:val="auto"/>
        <w:rPr>
          <w:rFonts w:ascii="仿宋_GB2312" w:eastAsia="仿宋_GB2312"/>
          <w:sz w:val="28"/>
          <w:szCs w:val="32"/>
        </w:rPr>
      </w:pPr>
      <w:r>
        <w:rPr>
          <w:rFonts w:hint="eastAsia" w:ascii="仿宋_GB2312" w:eastAsia="仿宋_GB2312"/>
          <w:sz w:val="28"/>
          <w:szCs w:val="32"/>
        </w:rPr>
        <w:t>甲方:</w:t>
      </w:r>
      <w:bookmarkStart w:id="100" w:name="purchase_name"/>
      <w:bookmarkEnd w:id="100"/>
      <w:bookmarkStart w:id="101" w:name="purchase_end"/>
      <w:bookmarkEnd w:id="101"/>
      <w:bookmarkStart w:id="102" w:name="purchase_start"/>
      <w:bookmarkEnd w:id="102"/>
    </w:p>
    <w:p w14:paraId="2D81523A">
      <w:pPr>
        <w:keepNext w:val="0"/>
        <w:keepLines w:val="0"/>
        <w:pageBreakBefore w:val="0"/>
        <w:widowControl/>
        <w:kinsoku/>
        <w:wordWrap/>
        <w:overflowPunct/>
        <w:topLinePunct w:val="0"/>
        <w:autoSpaceDE/>
        <w:autoSpaceDN/>
        <w:bidi w:val="0"/>
        <w:adjustRightInd/>
        <w:snapToGrid/>
        <w:spacing w:line="360" w:lineRule="auto"/>
        <w:textAlignment w:val="auto"/>
        <w:rPr>
          <w:rFonts w:ascii="仿宋_GB2312" w:eastAsia="仿宋_GB2312"/>
          <w:sz w:val="28"/>
          <w:szCs w:val="32"/>
        </w:rPr>
      </w:pPr>
      <w:r>
        <w:rPr>
          <w:rFonts w:hint="eastAsia" w:ascii="仿宋_GB2312" w:eastAsia="仿宋_GB2312"/>
          <w:sz w:val="28"/>
          <w:szCs w:val="32"/>
        </w:rPr>
        <w:t>乙方:</w:t>
      </w:r>
      <w:bookmarkStart w:id="103" w:name="suppliers_name"/>
      <w:bookmarkEnd w:id="103"/>
    </w:p>
    <w:p w14:paraId="2AD08CDE">
      <w:pPr>
        <w:keepNext w:val="0"/>
        <w:keepLines w:val="0"/>
        <w:pageBreakBefore w:val="0"/>
        <w:kinsoku/>
        <w:wordWrap/>
        <w:overflowPunct/>
        <w:topLinePunct w:val="0"/>
        <w:autoSpaceDE/>
        <w:autoSpaceDN/>
        <w:bidi w:val="0"/>
        <w:adjustRightInd/>
        <w:snapToGrid/>
        <w:spacing w:line="360" w:lineRule="auto"/>
        <w:ind w:firstLine="560"/>
        <w:textAlignment w:val="auto"/>
        <w:rPr>
          <w:rFonts w:ascii="仿宋_GB2312" w:eastAsia="仿宋_GB2312"/>
          <w:sz w:val="28"/>
          <w:szCs w:val="32"/>
        </w:rPr>
      </w:pPr>
      <w:r>
        <w:rPr>
          <w:rFonts w:hint="eastAsia" w:ascii="仿宋_GB2312" w:eastAsia="仿宋_GB2312"/>
          <w:sz w:val="28"/>
          <w:szCs w:val="32"/>
        </w:rPr>
        <w:t>甲乙双方根据政府采购项目编号</w:t>
      </w:r>
      <w:r>
        <w:rPr>
          <w:rFonts w:hint="eastAsia" w:ascii="仿宋_GB2312" w:eastAsia="仿宋_GB2312"/>
          <w:sz w:val="28"/>
          <w:szCs w:val="32"/>
          <w:u w:val="single"/>
        </w:rPr>
        <w:t xml:space="preserve">      </w:t>
      </w:r>
      <w:r>
        <w:rPr>
          <w:rFonts w:hint="eastAsia" w:ascii="仿宋_GB2312" w:eastAsia="仿宋_GB2312"/>
          <w:sz w:val="28"/>
          <w:szCs w:val="32"/>
        </w:rPr>
        <w:t>的</w:t>
      </w:r>
      <w:r>
        <w:rPr>
          <w:rFonts w:hint="eastAsia" w:ascii="仿宋_GB2312" w:eastAsia="仿宋_GB2312"/>
          <w:sz w:val="28"/>
          <w:szCs w:val="32"/>
          <w:u w:val="single"/>
        </w:rPr>
        <w:t xml:space="preserve">       </w:t>
      </w:r>
      <w:r>
        <w:rPr>
          <w:rFonts w:hint="eastAsia" w:ascii="仿宋_GB2312" w:eastAsia="仿宋_GB2312"/>
          <w:sz w:val="28"/>
          <w:szCs w:val="32"/>
        </w:rPr>
        <w:t>项目招标采购结果及招标文件的要求，经协商一致，达成如下采购服务合同:</w:t>
      </w:r>
    </w:p>
    <w:p w14:paraId="2CD300BC">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ascii="宋体" w:hAnsi="宋体" w:cs="宋体"/>
          <w:u w:val="single"/>
        </w:rPr>
      </w:pPr>
      <w:r>
        <w:rPr>
          <w:rFonts w:hint="eastAsia" w:ascii="宋体" w:hAnsi="宋体" w:cs="宋体"/>
        </w:rPr>
        <w:t>一、</w:t>
      </w:r>
      <w:r>
        <w:rPr>
          <w:rFonts w:hint="eastAsia" w:ascii="宋体" w:hAnsi="宋体" w:cs="宋体"/>
          <w:b/>
          <w:bCs/>
        </w:rPr>
        <w:t>采购标的</w:t>
      </w:r>
    </w:p>
    <w:p w14:paraId="5FE303FE">
      <w:pPr>
        <w:keepNext w:val="0"/>
        <w:keepLines w:val="0"/>
        <w:pageBreakBefore w:val="0"/>
        <w:kinsoku/>
        <w:wordWrap/>
        <w:overflowPunct/>
        <w:topLinePunct w:val="0"/>
        <w:autoSpaceDE/>
        <w:autoSpaceDN/>
        <w:bidi w:val="0"/>
        <w:adjustRightInd/>
        <w:snapToGrid/>
        <w:spacing w:line="360" w:lineRule="auto"/>
        <w:ind w:firstLine="560"/>
        <w:textAlignment w:val="auto"/>
        <w:rPr>
          <w:rFonts w:ascii="仿宋_GB2312" w:eastAsia="仿宋_GB2312"/>
          <w:sz w:val="28"/>
          <w:szCs w:val="32"/>
        </w:rPr>
      </w:pPr>
      <w:r>
        <w:rPr>
          <w:rFonts w:hint="eastAsia" w:ascii="仿宋_GB2312" w:eastAsia="仿宋_GB2312"/>
          <w:sz w:val="28"/>
          <w:szCs w:val="32"/>
        </w:rPr>
        <w:t>1、服务名称：</w:t>
      </w:r>
    </w:p>
    <w:p w14:paraId="6FC2492C">
      <w:pPr>
        <w:keepNext w:val="0"/>
        <w:keepLines w:val="0"/>
        <w:pageBreakBefore w:val="0"/>
        <w:kinsoku/>
        <w:wordWrap/>
        <w:overflowPunct/>
        <w:topLinePunct w:val="0"/>
        <w:autoSpaceDE/>
        <w:autoSpaceDN/>
        <w:bidi w:val="0"/>
        <w:adjustRightInd/>
        <w:snapToGrid/>
        <w:spacing w:line="360" w:lineRule="auto"/>
        <w:ind w:firstLine="560"/>
        <w:textAlignment w:val="auto"/>
        <w:rPr>
          <w:rFonts w:hint="eastAsia" w:ascii="仿宋" w:hAnsi="仿宋" w:eastAsia="仿宋" w:cs="仿宋"/>
          <w:sz w:val="28"/>
          <w:szCs w:val="28"/>
          <w:u w:val="single"/>
        </w:rPr>
      </w:pPr>
      <w:r>
        <w:rPr>
          <w:rFonts w:hint="eastAsia" w:ascii="仿宋_GB2312" w:eastAsia="仿宋_GB2312"/>
          <w:sz w:val="28"/>
          <w:szCs w:val="32"/>
        </w:rPr>
        <w:t>2、服务内容：</w:t>
      </w:r>
      <w:r>
        <w:rPr>
          <w:rFonts w:hint="eastAsia" w:ascii="仿宋_GB2312" w:hAnsi="宋体" w:eastAsia="仿宋_GB2312"/>
          <w:sz w:val="28"/>
          <w:szCs w:val="28"/>
          <w:u w:val="single"/>
          <w:lang w:eastAsia="zh-CN"/>
        </w:rPr>
        <w:t>①霞幕圩大街(主大街)、政府院内、中心街、状元街、老通靖路、陈潮广场、西则桥桥下小广场、农贸市场安置区(南至德泉饭店、北至二环路、西至典当路、东至曲霞小学)、产业园区内部三条道路、根曲线南延、育才路、镇区停车场和滨水栈道的道路清扫保洁作业；②景观河(曲霞泵站到丁家坝),府后河(6号中沟至7号中沟)的河道河坡保洁作业；③农贸市场日常管理、安全管理和农产品质量检测；④农贸市场内外，农贸市场内部公厕，政府斜对面公厕，西则桥桥下公厕的管护和保洁作业；⑤一号中转站和二号中转站的日常保洁、安全管理和机械的维修保养以及垃圾收集转运作业；⑥园区内三条路两侧绿化，西则桥向西至老德国饭店道路两侧绿化，景观河、府后河两侧、陈潮广场、桥下广场、农贸市场安置区和老通靖路绿化、镇区绿化、镇区花箱的修剪养护保洁作业；⑦集镇区洒水作业以及洒水车的保险保养和维修；⑧政府、医院、学校、企业、农贸市场安置区、霞幕圩大街和沿街垃圾桶的垃圾收集清运作业。</w:t>
      </w:r>
      <w:r>
        <w:rPr>
          <w:rFonts w:hint="eastAsia" w:ascii="仿宋" w:hAnsi="仿宋" w:eastAsia="仿宋" w:cs="仿宋"/>
          <w:sz w:val="28"/>
          <w:szCs w:val="28"/>
          <w:u w:val="single"/>
        </w:rPr>
        <w:t>（具体详见第五章采购需求）。</w:t>
      </w:r>
    </w:p>
    <w:p w14:paraId="34E0A45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u w:val="single"/>
        </w:rPr>
      </w:pPr>
      <w:r>
        <w:rPr>
          <w:rFonts w:hint="eastAsia" w:ascii="仿宋_GB2312" w:eastAsia="仿宋_GB2312"/>
          <w:sz w:val="28"/>
          <w:szCs w:val="32"/>
        </w:rPr>
        <w:t>3、服务期限：</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年（采用月度考核，招标人每月组织相关人员进行考核）。</w:t>
      </w:r>
    </w:p>
    <w:p w14:paraId="3D856084">
      <w:pPr>
        <w:keepNext w:val="0"/>
        <w:keepLines w:val="0"/>
        <w:pageBreakBefore w:val="0"/>
        <w:widowControl/>
        <w:kinsoku/>
        <w:wordWrap/>
        <w:overflowPunct/>
        <w:topLinePunct w:val="0"/>
        <w:autoSpaceDE/>
        <w:autoSpaceDN/>
        <w:bidi w:val="0"/>
        <w:adjustRightInd/>
        <w:snapToGrid/>
        <w:spacing w:line="360" w:lineRule="auto"/>
        <w:ind w:firstLine="560"/>
        <w:textAlignment w:val="auto"/>
        <w:rPr>
          <w:rFonts w:hint="eastAsia" w:ascii="仿宋" w:hAnsi="仿宋" w:eastAsia="仿宋" w:cs="仿宋"/>
          <w:sz w:val="28"/>
          <w:szCs w:val="28"/>
        </w:rPr>
      </w:pPr>
      <w:r>
        <w:rPr>
          <w:rFonts w:hint="eastAsia" w:ascii="仿宋" w:hAnsi="仿宋" w:eastAsia="仿宋" w:cs="仿宋"/>
          <w:sz w:val="28"/>
          <w:szCs w:val="28"/>
        </w:rPr>
        <w:t>本协议生效日期</w:t>
      </w:r>
      <w:r>
        <w:rPr>
          <w:rFonts w:hint="eastAsia" w:ascii="仿宋" w:hAnsi="仿宋" w:eastAsia="仿宋" w:cs="仿宋"/>
          <w:sz w:val="28"/>
          <w:szCs w:val="28"/>
          <w:u w:val="single"/>
        </w:rPr>
        <w:t>从    年    月   日起至   年   月   日止</w:t>
      </w:r>
      <w:r>
        <w:rPr>
          <w:rFonts w:hint="eastAsia" w:ascii="仿宋" w:hAnsi="仿宋" w:eastAsia="仿宋" w:cs="仿宋"/>
          <w:sz w:val="28"/>
          <w:szCs w:val="28"/>
        </w:rPr>
        <w:t>。</w:t>
      </w:r>
    </w:p>
    <w:p w14:paraId="3CE0EF43">
      <w:pPr>
        <w:keepNext w:val="0"/>
        <w:keepLines w:val="0"/>
        <w:pageBreakBefore w:val="0"/>
        <w:widowControl/>
        <w:kinsoku/>
        <w:wordWrap/>
        <w:overflowPunct/>
        <w:topLinePunct w:val="0"/>
        <w:autoSpaceDE/>
        <w:autoSpaceDN/>
        <w:bidi w:val="0"/>
        <w:adjustRightInd/>
        <w:snapToGrid/>
        <w:spacing w:line="360" w:lineRule="auto"/>
        <w:ind w:firstLine="560"/>
        <w:textAlignment w:val="auto"/>
        <w:rPr>
          <w:rFonts w:ascii="仿宋_GB2312" w:eastAsia="仿宋_GB2312"/>
          <w:sz w:val="28"/>
          <w:szCs w:val="32"/>
        </w:rPr>
      </w:pPr>
      <w:r>
        <w:rPr>
          <w:rFonts w:hint="eastAsia" w:ascii="仿宋_GB2312" w:eastAsia="仿宋_GB2312"/>
          <w:sz w:val="28"/>
          <w:szCs w:val="32"/>
        </w:rPr>
        <w:t>4、补充条款：                     。</w:t>
      </w:r>
    </w:p>
    <w:p w14:paraId="72019D88">
      <w:pPr>
        <w:keepNext w:val="0"/>
        <w:keepLines w:val="0"/>
        <w:pageBreakBefore w:val="0"/>
        <w:widowControl/>
        <w:kinsoku/>
        <w:wordWrap/>
        <w:overflowPunct/>
        <w:topLinePunct w:val="0"/>
        <w:autoSpaceDE/>
        <w:autoSpaceDN/>
        <w:bidi w:val="0"/>
        <w:adjustRightInd/>
        <w:snapToGrid/>
        <w:spacing w:line="360" w:lineRule="auto"/>
        <w:ind w:firstLine="560"/>
        <w:textAlignment w:val="auto"/>
        <w:rPr>
          <w:rFonts w:ascii="仿宋_GB2312" w:eastAsia="仿宋_GB2312"/>
          <w:sz w:val="28"/>
          <w:szCs w:val="32"/>
        </w:rPr>
      </w:pPr>
      <w:r>
        <w:rPr>
          <w:rFonts w:hint="eastAsia" w:ascii="仿宋_GB2312" w:eastAsia="仿宋_GB2312"/>
          <w:sz w:val="28"/>
          <w:szCs w:val="32"/>
        </w:rPr>
        <w:t>二、合同价款：</w:t>
      </w:r>
      <w:r>
        <w:rPr>
          <w:rFonts w:hint="eastAsia" w:ascii="仿宋_GB2312" w:eastAsia="仿宋_GB2312"/>
          <w:sz w:val="28"/>
          <w:szCs w:val="32"/>
          <w:u w:val="single"/>
        </w:rPr>
        <w:t xml:space="preserve">                    </w:t>
      </w:r>
      <w:r>
        <w:rPr>
          <w:rFonts w:hint="eastAsia" w:ascii="仿宋_GB2312" w:eastAsia="仿宋_GB2312"/>
          <w:sz w:val="28"/>
          <w:szCs w:val="32"/>
        </w:rPr>
        <w:t>人民币。</w:t>
      </w:r>
    </w:p>
    <w:p w14:paraId="1730728E">
      <w:pPr>
        <w:keepNext w:val="0"/>
        <w:keepLines w:val="0"/>
        <w:pageBreakBefore w:val="0"/>
        <w:widowControl/>
        <w:kinsoku/>
        <w:wordWrap/>
        <w:overflowPunct/>
        <w:topLinePunct w:val="0"/>
        <w:autoSpaceDE/>
        <w:autoSpaceDN/>
        <w:bidi w:val="0"/>
        <w:adjustRightInd/>
        <w:snapToGrid/>
        <w:spacing w:line="360" w:lineRule="auto"/>
        <w:ind w:firstLine="560"/>
        <w:textAlignment w:val="auto"/>
        <w:rPr>
          <w:rFonts w:ascii="仿宋_GB2312" w:eastAsia="仿宋_GB2312"/>
          <w:sz w:val="28"/>
          <w:szCs w:val="32"/>
        </w:rPr>
      </w:pPr>
      <w:r>
        <w:rPr>
          <w:rFonts w:hint="eastAsia" w:ascii="仿宋_GB2312" w:eastAsia="仿宋_GB2312"/>
          <w:sz w:val="28"/>
          <w:szCs w:val="32"/>
        </w:rPr>
        <w:t>本合同价款包含所有乙方提供合同约定的服务内容的报酬及乙方提供该项服务所支出的必要费用，采购人在上述合同价款之外不再向乙方支付其他任何费用。</w:t>
      </w:r>
    </w:p>
    <w:p w14:paraId="5957E006">
      <w:pPr>
        <w:keepNext w:val="0"/>
        <w:keepLines w:val="0"/>
        <w:pageBreakBefore w:val="0"/>
        <w:widowControl/>
        <w:kinsoku/>
        <w:wordWrap/>
        <w:overflowPunct/>
        <w:topLinePunct w:val="0"/>
        <w:autoSpaceDE/>
        <w:autoSpaceDN/>
        <w:bidi w:val="0"/>
        <w:adjustRightInd/>
        <w:snapToGrid/>
        <w:spacing w:line="360" w:lineRule="auto"/>
        <w:ind w:firstLine="560"/>
        <w:textAlignment w:val="auto"/>
        <w:rPr>
          <w:rFonts w:hint="eastAsia" w:ascii="仿宋_GB2312" w:eastAsia="仿宋_GB2312"/>
          <w:sz w:val="28"/>
          <w:szCs w:val="32"/>
        </w:rPr>
      </w:pPr>
      <w:r>
        <w:rPr>
          <w:rFonts w:hint="eastAsia" w:ascii="仿宋_GB2312" w:eastAsia="仿宋_GB2312"/>
          <w:sz w:val="28"/>
          <w:szCs w:val="32"/>
        </w:rPr>
        <w:t>三、甲方义务</w:t>
      </w:r>
    </w:p>
    <w:p w14:paraId="5A5CCC4A">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1、负责本项目的组织协商，配合乙方做好相关资料收集和准备工作。甲方提供办公场地、洒水车和集镇所需垃圾桶，承担中转站维修保养费和水电费。</w:t>
      </w:r>
    </w:p>
    <w:p w14:paraId="151724DB">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sz w:val="28"/>
          <w:szCs w:val="28"/>
          <w:lang w:val="en-US" w:eastAsia="zh-CN"/>
        </w:rPr>
        <w:t>按照考核得分</w:t>
      </w:r>
      <w:r>
        <w:rPr>
          <w:rFonts w:hint="eastAsia" w:ascii="仿宋" w:hAnsi="仿宋" w:eastAsia="仿宋" w:cs="仿宋"/>
          <w:sz w:val="28"/>
          <w:szCs w:val="28"/>
        </w:rPr>
        <w:t>向乙方支付经费。</w:t>
      </w:r>
    </w:p>
    <w:p w14:paraId="082907B7">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四、乙方职责及内容</w:t>
      </w:r>
    </w:p>
    <w:p w14:paraId="6B25796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一）清扫保洁：道路清扫、保洁（含绿化带漂浮物的清捡）必须作业到两边建筑物基石（起止至道路墙边及门面前、包含车行道、人行道、绿化带等），道路岔道、喇叭口清扫向外延伸10米。位于主要道路上的各厂、学校、市场、村庄、医院出入口连接处、交通隔离带等的清扫保洁和绿化带漂浮物的清捡。</w:t>
      </w:r>
    </w:p>
    <w:p w14:paraId="0EC37D4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（二）垃圾收集清运：学校、医院、政府、企业和沿街道路两侧门面的生活垃圾，（包括垃圾桶、果壳箱、垃圾房、路旁绿地、绿化隔离带、行道树穴内）收集清运≥3次/日，并做到即满即清。</w:t>
      </w:r>
    </w:p>
    <w:p w14:paraId="33C1A52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 xml:space="preserve">（三）环卫设施管理：垃圾箱（桶）环卫设施每天清掏、保洁，做到一日三清一擦洗，无积存垃圾，无明显污迹，外观无残标，同时保持道路垃圾箱（桶）完好和整洁（盖体不得分离）。 </w:t>
      </w:r>
    </w:p>
    <w:p w14:paraId="68E60EF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（四）雨水篦子：每年彻底清理两次（汛期前和入冬前完成清理），确保管道畅通。</w:t>
      </w:r>
    </w:p>
    <w:p w14:paraId="45FFA7F3">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（五）</w:t>
      </w:r>
      <w:r>
        <w:rPr>
          <w:rFonts w:hint="eastAsia" w:ascii="仿宋" w:hAnsi="仿宋" w:eastAsia="仿宋" w:cs="仿宋"/>
          <w:sz w:val="28"/>
          <w:szCs w:val="28"/>
          <w:lang w:val="en-US" w:eastAsia="zh-CN"/>
        </w:rPr>
        <w:t>按要求</w:t>
      </w:r>
      <w:r>
        <w:rPr>
          <w:rFonts w:hint="eastAsia" w:ascii="仿宋" w:hAnsi="仿宋" w:eastAsia="仿宋" w:cs="仿宋"/>
          <w:sz w:val="28"/>
          <w:szCs w:val="28"/>
        </w:rPr>
        <w:t>收取沿街门面</w:t>
      </w:r>
      <w:r>
        <w:rPr>
          <w:rFonts w:hint="eastAsia" w:ascii="仿宋" w:hAnsi="仿宋" w:eastAsia="仿宋" w:cs="仿宋"/>
          <w:sz w:val="28"/>
          <w:szCs w:val="28"/>
          <w:lang w:val="en-US" w:eastAsia="zh-CN"/>
        </w:rPr>
        <w:t>店环卫</w:t>
      </w:r>
      <w:r>
        <w:rPr>
          <w:rFonts w:hint="eastAsia" w:ascii="仿宋" w:hAnsi="仿宋" w:eastAsia="仿宋" w:cs="仿宋"/>
          <w:sz w:val="28"/>
          <w:szCs w:val="28"/>
        </w:rPr>
        <w:t>费</w:t>
      </w:r>
      <w:r>
        <w:rPr>
          <w:rFonts w:hint="eastAsia" w:ascii="仿宋" w:hAnsi="仿宋" w:eastAsia="仿宋" w:cs="仿宋"/>
          <w:sz w:val="28"/>
          <w:szCs w:val="28"/>
          <w:lang w:val="en-US" w:eastAsia="zh-CN"/>
        </w:rPr>
        <w:t>和农贸市场摊位费</w:t>
      </w:r>
      <w:r>
        <w:rPr>
          <w:rFonts w:hint="eastAsia" w:ascii="仿宋" w:hAnsi="仿宋" w:eastAsia="仿宋" w:cs="仿宋"/>
          <w:sz w:val="28"/>
          <w:szCs w:val="28"/>
        </w:rPr>
        <w:t>。</w:t>
      </w:r>
    </w:p>
    <w:p w14:paraId="3CA5B71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（六）甲方（曲霞政府）提供洒水车，</w:t>
      </w:r>
      <w:r>
        <w:rPr>
          <w:rFonts w:hint="eastAsia" w:ascii="仿宋" w:hAnsi="仿宋" w:eastAsia="仿宋" w:cs="仿宋"/>
          <w:sz w:val="28"/>
          <w:szCs w:val="28"/>
          <w:lang w:val="en-US" w:eastAsia="zh-CN"/>
        </w:rPr>
        <w:t>以防每天洒水次数不少于2次。</w:t>
      </w:r>
      <w:r>
        <w:rPr>
          <w:rFonts w:hint="eastAsia" w:ascii="仿宋" w:hAnsi="仿宋" w:eastAsia="仿宋" w:cs="仿宋"/>
          <w:sz w:val="28"/>
          <w:szCs w:val="28"/>
        </w:rPr>
        <w:t>洒水车驾驶员工资、车辆维修费用、油费、保险费由中标人承担。</w:t>
      </w:r>
    </w:p>
    <w:p w14:paraId="650A6D49">
      <w:pPr>
        <w:pageBreakBefore w:val="0"/>
        <w:kinsoku/>
        <w:wordWrap/>
        <w:overflowPunct/>
        <w:topLinePunct w:val="0"/>
        <w:autoSpaceDE/>
        <w:autoSpaceDN/>
        <w:bidi w:val="0"/>
        <w:adjustRightInd/>
        <w:snapToGrid/>
        <w:spacing w:line="560" w:lineRule="exact"/>
        <w:ind w:firstLine="480"/>
        <w:textAlignment w:val="auto"/>
        <w:rPr>
          <w:rFonts w:hint="eastAsia" w:ascii="仿宋" w:hAnsi="仿宋" w:eastAsia="仿宋" w:cs="仿宋"/>
          <w:sz w:val="28"/>
          <w:szCs w:val="28"/>
        </w:rPr>
      </w:pPr>
      <w:r>
        <w:rPr>
          <w:rFonts w:hint="eastAsia" w:ascii="仿宋" w:hAnsi="仿宋" w:eastAsia="仿宋" w:cs="仿宋"/>
          <w:sz w:val="28"/>
          <w:szCs w:val="28"/>
        </w:rPr>
        <w:t>（七）重大保障：遇有重大活动或抗台、抗雪等突发事件，以及创建等中心活动，协助曲霞政府做好</w:t>
      </w:r>
      <w:r>
        <w:rPr>
          <w:rFonts w:hint="eastAsia" w:ascii="仿宋" w:hAnsi="仿宋" w:eastAsia="仿宋" w:cs="仿宋"/>
          <w:sz w:val="28"/>
          <w:szCs w:val="28"/>
          <w:lang w:val="en-US" w:eastAsia="zh-CN"/>
        </w:rPr>
        <w:t>重要</w:t>
      </w:r>
      <w:r>
        <w:rPr>
          <w:rFonts w:hint="eastAsia" w:ascii="仿宋" w:hAnsi="仿宋" w:eastAsia="仿宋" w:cs="仿宋"/>
          <w:sz w:val="28"/>
          <w:szCs w:val="28"/>
          <w:lang w:eastAsia="zh-CN"/>
        </w:rPr>
        <w:t>活动沿线</w:t>
      </w:r>
      <w:r>
        <w:rPr>
          <w:rFonts w:hint="eastAsia" w:ascii="仿宋" w:hAnsi="仿宋" w:eastAsia="仿宋" w:cs="仿宋"/>
          <w:sz w:val="28"/>
          <w:szCs w:val="28"/>
        </w:rPr>
        <w:t>清扫保洁洒水等保障工作，服从镇府的统一指挥。</w:t>
      </w:r>
    </w:p>
    <w:p w14:paraId="0DE84536">
      <w:pPr>
        <w:pageBreakBefore w:val="0"/>
        <w:kinsoku/>
        <w:wordWrap/>
        <w:overflowPunct/>
        <w:topLinePunct w:val="0"/>
        <w:autoSpaceDE/>
        <w:autoSpaceDN/>
        <w:bidi w:val="0"/>
        <w:adjustRightInd/>
        <w:snapToGrid/>
        <w:spacing w:line="560" w:lineRule="exact"/>
        <w:ind w:firstLine="480"/>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（八）农产品质量检测：乙方应按要求开展农产品质量检测，确保无农药、化学成分残留，若被上级督查检查通报、处罚或发生食品安全事故等，一切责任由乙方承担，与甲方无关。</w:t>
      </w:r>
    </w:p>
    <w:p w14:paraId="5DCEC4B9">
      <w:pPr>
        <w:pageBreakBefore w:val="0"/>
        <w:kinsoku/>
        <w:wordWrap/>
        <w:overflowPunct/>
        <w:topLinePunct w:val="0"/>
        <w:autoSpaceDE/>
        <w:autoSpaceDN/>
        <w:bidi w:val="0"/>
        <w:adjustRightInd/>
        <w:snapToGrid/>
        <w:spacing w:line="560" w:lineRule="exact"/>
        <w:ind w:firstLine="48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九）安全责任：1.甲方将洒水车、中转站和相关办公用房等物资无偿提供给乙方使用，但仅限于为甲方服务过程中使用，不得挪作他用，也不得借给他人使用。2.乙方在使用甲方提供的物资过程中或因乙方私自将甲方提供物资借用给他人使用产生的安全责任、经济责任和法律责任等一切责任由乙方承担，与甲方无关。3.因安全事故造成甲方提供物资损坏消亡的，一切责任由乙方承担，与甲方无关，乙方需及时将损坏消亡的物资维修、补充或恢复到位。否则，甲方将按照评估价格从乙方当年保洁费用中扣除相应费用。</w:t>
      </w:r>
    </w:p>
    <w:p w14:paraId="5D69ABEE">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五、作业标准</w:t>
      </w:r>
    </w:p>
    <w:p w14:paraId="2DAEC51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1、道路保洁:每天早上须普扫一遍，并全天候流动保洁，达到“六不”、“六净”、“一通”:保洁工人必须做到雨天及时洗涮路面，保持路面干净;冬季负责主次干道积雪清扫;及时收集沿路垃圾桶（池），垃圾桶（池）不外溢，内外及周围清洁，清运垃圾做到日产日清;严禁将垃圾倒在道路两侧或随便乱倒，严禁焚烧垃圾;作业范围内秸杆和建筑垃圾等，及时清理，运输到指定区域;主要道路清扫与背街小巷交叉处向内延伸10米。</w:t>
      </w:r>
    </w:p>
    <w:p w14:paraId="76643458">
      <w:pPr>
        <w:pStyle w:val="251"/>
        <w:pageBreakBefore w:val="0"/>
        <w:kinsoku/>
        <w:wordWrap/>
        <w:overflowPunct/>
        <w:topLinePunct w:val="0"/>
        <w:autoSpaceDE/>
        <w:autoSpaceDN/>
        <w:bidi w:val="0"/>
        <w:adjustRightInd/>
        <w:snapToGrid/>
        <w:spacing w:after="0" w:line="560" w:lineRule="exact"/>
        <w:ind w:firstLine="48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2、农贸市场管理和保洁:车辆停放整齐，市场内地面保持干净、摊位整洁，无乱扔杂物、垃圾;下水道畅通，定时冲洗;排水沟内清洁，无积存淤泥、污物;生鲜和宰杀区定期冲洗场地，地面无血迹、污迹等;定期开展灭鼠灭蟑灭蝇和消毒工作。每天按要求对市场内农场品质量进行检测，确保无农药、化学成分残留。</w:t>
      </w:r>
    </w:p>
    <w:p w14:paraId="4D0AFED0">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3</w:t>
      </w:r>
      <w:r>
        <w:rPr>
          <w:rFonts w:hint="eastAsia" w:ascii="仿宋" w:hAnsi="仿宋" w:eastAsia="仿宋" w:cs="仿宋"/>
          <w:sz w:val="28"/>
          <w:szCs w:val="28"/>
        </w:rPr>
        <w:t>、公厕保洁:公厕保洁内外墙壁、周围环境和便池进行清扫、冲洗、消毒、灭蝇;保持清洁无积粪、无尿垢、垃圾，杜绝疾病传染;公厕内外无乱张贴、牛皮癣、小广告等镇容乱象;保持公厕清洁并维护设施设备完好。</w:t>
      </w:r>
    </w:p>
    <w:p w14:paraId="1402983A">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、绿化:整形修剪保持美观、除杂草、松土根据季节喷洒农药防治病虫害绿化。</w:t>
      </w:r>
    </w:p>
    <w:p w14:paraId="2B265E6B">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六、作业时间</w:t>
      </w:r>
    </w:p>
    <w:p w14:paraId="1D03D77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u w:val="single"/>
        </w:rPr>
      </w:pPr>
      <w:r>
        <w:rPr>
          <w:rFonts w:hint="eastAsia" w:ascii="仿宋" w:hAnsi="仿宋" w:eastAsia="仿宋" w:cs="仿宋"/>
          <w:sz w:val="28"/>
          <w:szCs w:val="28"/>
        </w:rPr>
        <w:t xml:space="preserve">   </w:t>
      </w:r>
      <w:r>
        <w:rPr>
          <w:rFonts w:hint="eastAsia" w:ascii="仿宋" w:hAnsi="仿宋" w:eastAsia="仿宋" w:cs="仿宋"/>
          <w:sz w:val="28"/>
          <w:szCs w:val="28"/>
          <w:u w:val="single"/>
        </w:rPr>
        <w:t>双班路段上午5:00—下午7:00；单班路段上午6:00—10:00，下午2:00—5:00。夏季高温、恶劣天气和有重大活动任务时根据国家规定和工作需要适当调整。</w:t>
      </w:r>
    </w:p>
    <w:p w14:paraId="604A557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七、付款方式</w:t>
      </w:r>
    </w:p>
    <w:p w14:paraId="246027E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eastAsia="zh-CN"/>
        </w:rPr>
        <w:t>泰兴市曲霞镇集镇卫生保洁服务项目</w:t>
      </w:r>
      <w:r>
        <w:rPr>
          <w:rFonts w:hint="eastAsia" w:ascii="仿宋" w:hAnsi="仿宋" w:eastAsia="仿宋" w:cs="仿宋"/>
          <w:sz w:val="28"/>
          <w:szCs w:val="28"/>
        </w:rPr>
        <w:t>费用总额为</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人民币</w:t>
      </w:r>
      <w:r>
        <w:rPr>
          <w:rFonts w:hint="eastAsia" w:ascii="仿宋" w:hAnsi="仿宋" w:eastAsia="仿宋" w:cs="仿宋"/>
          <w:sz w:val="28"/>
          <w:szCs w:val="28"/>
          <w:lang w:eastAsia="zh-CN"/>
        </w:rPr>
        <w:t>）</w:t>
      </w: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元，合同签订后，招标人根据相关要求，制定管理标准和考核细则。中标人必须无条件接受招标人考核，考核后按季度发放上</w:t>
      </w:r>
      <w:r>
        <w:rPr>
          <w:rFonts w:hint="eastAsia" w:ascii="仿宋" w:hAnsi="仿宋" w:eastAsia="仿宋" w:cs="仿宋"/>
          <w:sz w:val="28"/>
          <w:szCs w:val="28"/>
          <w:lang w:val="en-US" w:eastAsia="zh-CN"/>
        </w:rPr>
        <w:t>一</w:t>
      </w:r>
      <w:r>
        <w:rPr>
          <w:rFonts w:hint="eastAsia" w:ascii="仿宋" w:hAnsi="仿宋" w:eastAsia="仿宋" w:cs="仿宋"/>
          <w:sz w:val="28"/>
          <w:szCs w:val="28"/>
        </w:rPr>
        <w:t>季度考核后的服务费(先作业后付款)。</w:t>
      </w:r>
    </w:p>
    <w:p w14:paraId="0C089D08">
      <w:pPr>
        <w:pStyle w:val="251"/>
        <w:keepNext w:val="0"/>
        <w:keepLines w:val="0"/>
        <w:pageBreakBefore w:val="0"/>
        <w:kinsoku/>
        <w:wordWrap/>
        <w:overflowPunct/>
        <w:topLinePunct w:val="0"/>
        <w:autoSpaceDE/>
        <w:autoSpaceDN/>
        <w:bidi w:val="0"/>
        <w:adjustRightInd/>
        <w:snapToGrid/>
        <w:spacing w:line="360" w:lineRule="auto"/>
        <w:ind w:firstLine="480"/>
        <w:jc w:val="both"/>
        <w:textAlignment w:val="auto"/>
        <w:rPr>
          <w:rFonts w:hint="default" w:ascii="仿宋" w:hAnsi="仿宋" w:eastAsia="仿宋" w:cs="仿宋"/>
          <w:sz w:val="28"/>
          <w:szCs w:val="28"/>
          <w:lang w:val="en-US" w:eastAsia="zh-CN" w:bidi="ar"/>
        </w:rPr>
      </w:pPr>
      <w:r>
        <w:rPr>
          <w:rFonts w:hint="eastAsia" w:ascii="仿宋" w:hAnsi="仿宋" w:eastAsia="仿宋" w:cs="仿宋"/>
          <w:sz w:val="28"/>
          <w:szCs w:val="28"/>
        </w:rPr>
        <w:t>2、发放标准：</w:t>
      </w:r>
      <w:r>
        <w:rPr>
          <w:rFonts w:hint="eastAsia" w:ascii="仿宋" w:hAnsi="仿宋" w:eastAsia="仿宋" w:cs="仿宋"/>
          <w:sz w:val="28"/>
          <w:szCs w:val="28"/>
          <w:lang w:val="en-US" w:eastAsia="zh-CN" w:bidi="ar-SA"/>
        </w:rPr>
        <w:t>甲方根据每月考核得分支付服务费：考核得分在90分（含）-100分的，每低于100分1分扣减服务费100元；考核得分在80分（含）-90分的，每低于100分1分扣减服务费200元；考核得分在70分（含）-80分的，每低于100分1分扣减服务费300元；考核得分在60分（含）-70分的，每低于100分1分扣减服务费400元；连续两个月总分在70分（不含）以下甲方有权终止合同。</w:t>
      </w:r>
    </w:p>
    <w:p w14:paraId="7591DDDF">
      <w:pPr>
        <w:keepNext w:val="0"/>
        <w:keepLines w:val="0"/>
        <w:pageBreakBefore w:val="0"/>
        <w:kinsoku/>
        <w:wordWrap/>
        <w:overflowPunct/>
        <w:topLinePunct w:val="0"/>
        <w:autoSpaceDE/>
        <w:autoSpaceDN/>
        <w:bidi w:val="0"/>
        <w:adjustRightInd/>
        <w:snapToGrid/>
        <w:spacing w:line="360" w:lineRule="auto"/>
        <w:ind w:firstLine="24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八、服务技术要求</w:t>
      </w:r>
    </w:p>
    <w:p w14:paraId="52B1585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1、乙方应加强作业质量管理，做好作业质量自查记录，作业交接班必须在作业现场进行。</w:t>
      </w:r>
    </w:p>
    <w:p w14:paraId="0936A5E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2、规范管理，文明作业，自觉接受招标人及上级各部门领导的检查和社会监督，对出现的问题要及时整改。</w:t>
      </w:r>
    </w:p>
    <w:p w14:paraId="3FB2E1A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3、作业时应严格遵守劳动纪律，遵守安全操作规程，确保安全，发生各种意外事故由乙方自行依照法律法规妥善处理，招标人不承担任何责任。</w:t>
      </w:r>
    </w:p>
    <w:p w14:paraId="5F3F9B1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4、保持果壳箱的整洁完好，合同期间由于作业操作不善，造成破损的，由乙方负责赔偿；因其它原因破损要调换的应及时向甲方报告。</w:t>
      </w:r>
    </w:p>
    <w:p w14:paraId="5D2C6587">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5、作业时作业车辆应停放适当地点，不影响行人和交通，收工后存放在甲方指定的停车场所进行集中管理。</w:t>
      </w:r>
    </w:p>
    <w:p w14:paraId="576E1C83">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6、遇到乱丢、乱扔垃圾、渣土抛洒污染路面等不文明行为应及时进行劝阻，做到说话文明，以理服人，对不听劝阻造成不良影响的，应及时向甲方或有关部门报告。</w:t>
      </w:r>
    </w:p>
    <w:p w14:paraId="0D04D2D0">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7、每月根据招标人要求，乙方向甲方提交本月工作情况自查表、有关情况书面报告和下月作业安排计划。</w:t>
      </w:r>
    </w:p>
    <w:p w14:paraId="67DB0673">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8、乙方按照以人为本的原则关心职工，严格遵守有关劳动法规，保障职工合法权益。</w:t>
      </w:r>
    </w:p>
    <w:p w14:paraId="38261BBB">
      <w:pPr>
        <w:keepNext w:val="0"/>
        <w:keepLines w:val="0"/>
        <w:pageBreakBefore w:val="0"/>
        <w:kinsoku/>
        <w:wordWrap/>
        <w:overflowPunct/>
        <w:topLinePunct w:val="0"/>
        <w:autoSpaceDE/>
        <w:autoSpaceDN/>
        <w:bidi w:val="0"/>
        <w:adjustRightInd/>
        <w:snapToGrid/>
        <w:spacing w:line="360" w:lineRule="auto"/>
        <w:ind w:firstLine="240"/>
        <w:textAlignment w:val="auto"/>
        <w:rPr>
          <w:rFonts w:hint="eastAsia" w:ascii="仿宋" w:hAnsi="仿宋" w:eastAsia="仿宋" w:cs="仿宋"/>
          <w:b w:val="0"/>
          <w:bCs/>
          <w:sz w:val="28"/>
          <w:szCs w:val="28"/>
        </w:rPr>
      </w:pPr>
      <w:r>
        <w:rPr>
          <w:rFonts w:hint="eastAsia" w:ascii="仿宋" w:hAnsi="仿宋" w:eastAsia="仿宋" w:cs="仿宋"/>
          <w:b w:val="0"/>
          <w:bCs/>
          <w:sz w:val="28"/>
          <w:szCs w:val="28"/>
          <w:lang w:val="en-US" w:eastAsia="zh-CN"/>
        </w:rPr>
        <w:t>九、</w:t>
      </w:r>
      <w:r>
        <w:rPr>
          <w:rFonts w:hint="eastAsia" w:ascii="仿宋" w:hAnsi="仿宋" w:eastAsia="仿宋" w:cs="仿宋"/>
          <w:b w:val="0"/>
          <w:bCs/>
          <w:sz w:val="28"/>
          <w:szCs w:val="28"/>
        </w:rPr>
        <w:t>员工劳动保障要求</w:t>
      </w:r>
    </w:p>
    <w:p w14:paraId="54941A1A">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1、乙方</w:t>
      </w:r>
      <w:r>
        <w:rPr>
          <w:rFonts w:hint="eastAsia" w:ascii="仿宋" w:hAnsi="仿宋" w:eastAsia="仿宋" w:cs="仿宋"/>
          <w:color w:val="000000"/>
          <w:sz w:val="28"/>
          <w:szCs w:val="28"/>
        </w:rPr>
        <w:t>应依法依规与员工签订劳动合同，建立和谐的劳动关系。</w:t>
      </w:r>
      <w:r>
        <w:rPr>
          <w:rFonts w:hint="eastAsia" w:ascii="仿宋" w:hAnsi="仿宋" w:eastAsia="仿宋" w:cs="仿宋"/>
          <w:color w:val="000000"/>
          <w:sz w:val="28"/>
          <w:szCs w:val="28"/>
          <w:lang w:eastAsia="zh-CN"/>
        </w:rPr>
        <w:t>成交供应商</w:t>
      </w:r>
      <w:r>
        <w:rPr>
          <w:rFonts w:hint="eastAsia" w:ascii="仿宋" w:hAnsi="仿宋" w:eastAsia="仿宋" w:cs="仿宋"/>
          <w:color w:val="000000"/>
          <w:sz w:val="28"/>
          <w:szCs w:val="28"/>
        </w:rPr>
        <w:t>解雇原有员工时，应采取依法平稳的方式操作，不得发生歇工和维稳事件。</w:t>
      </w:r>
    </w:p>
    <w:p w14:paraId="0F3CE4C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bCs/>
          <w:color w:val="000000"/>
          <w:sz w:val="28"/>
          <w:szCs w:val="28"/>
        </w:rPr>
      </w:pPr>
      <w:r>
        <w:rPr>
          <w:rFonts w:hint="eastAsia" w:ascii="仿宋" w:hAnsi="仿宋" w:eastAsia="仿宋" w:cs="仿宋"/>
          <w:color w:val="000000"/>
          <w:sz w:val="28"/>
          <w:szCs w:val="28"/>
          <w:lang w:val="en-US" w:eastAsia="zh-CN"/>
        </w:rPr>
        <w:t>2、乙方</w:t>
      </w:r>
      <w:r>
        <w:rPr>
          <w:rFonts w:hint="eastAsia" w:ascii="仿宋" w:hAnsi="仿宋" w:eastAsia="仿宋" w:cs="仿宋"/>
          <w:bCs/>
          <w:color w:val="000000"/>
          <w:sz w:val="28"/>
          <w:szCs w:val="28"/>
        </w:rPr>
        <w:t>支付给员工的正常工作时间工资（不含加班工资）不低于当年泰兴市最低工资标准，并作为计算员工最低工资标准的起点，以保障员工的合理报酬。最低工资标准发生变化的，</w:t>
      </w:r>
      <w:r>
        <w:rPr>
          <w:rFonts w:hint="eastAsia" w:ascii="仿宋" w:hAnsi="仿宋" w:eastAsia="仿宋" w:cs="仿宋"/>
          <w:bCs/>
          <w:color w:val="000000"/>
          <w:sz w:val="28"/>
          <w:szCs w:val="28"/>
          <w:lang w:eastAsia="zh-CN"/>
        </w:rPr>
        <w:t>成交供应商</w:t>
      </w:r>
      <w:r>
        <w:rPr>
          <w:rFonts w:hint="eastAsia" w:ascii="仿宋" w:hAnsi="仿宋" w:eastAsia="仿宋" w:cs="仿宋"/>
          <w:bCs/>
          <w:color w:val="000000"/>
          <w:sz w:val="28"/>
          <w:szCs w:val="28"/>
        </w:rPr>
        <w:t>应相应作出调整。</w:t>
      </w:r>
      <w:r>
        <w:rPr>
          <w:rFonts w:hint="eastAsia" w:ascii="仿宋" w:hAnsi="仿宋" w:eastAsia="仿宋" w:cs="仿宋"/>
          <w:bCs/>
          <w:color w:val="000000"/>
          <w:sz w:val="28"/>
          <w:szCs w:val="28"/>
          <w:lang w:eastAsia="zh-CN"/>
        </w:rPr>
        <w:t>成交供应商</w:t>
      </w:r>
      <w:r>
        <w:rPr>
          <w:rFonts w:hint="eastAsia" w:ascii="仿宋" w:hAnsi="仿宋" w:eastAsia="仿宋" w:cs="仿宋"/>
          <w:bCs/>
          <w:color w:val="000000"/>
          <w:sz w:val="28"/>
          <w:szCs w:val="28"/>
        </w:rPr>
        <w:t>不得拖欠员工工资（含加班工资）。</w:t>
      </w:r>
    </w:p>
    <w:p w14:paraId="4B00DA60">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bCs/>
          <w:sz w:val="28"/>
          <w:szCs w:val="28"/>
        </w:rPr>
      </w:pPr>
      <w:r>
        <w:rPr>
          <w:rFonts w:hint="eastAsia" w:ascii="仿宋" w:hAnsi="仿宋" w:eastAsia="仿宋" w:cs="仿宋"/>
          <w:bCs/>
          <w:sz w:val="28"/>
          <w:szCs w:val="28"/>
          <w:lang w:val="en-US" w:eastAsia="zh-CN"/>
        </w:rPr>
        <w:t>3、</w:t>
      </w:r>
      <w:r>
        <w:rPr>
          <w:rFonts w:hint="eastAsia" w:ascii="仿宋" w:hAnsi="仿宋" w:eastAsia="仿宋" w:cs="仿宋"/>
          <w:color w:val="000000"/>
          <w:sz w:val="28"/>
          <w:szCs w:val="28"/>
          <w:lang w:val="en-US" w:eastAsia="zh-CN"/>
        </w:rPr>
        <w:t>乙方</w:t>
      </w:r>
      <w:r>
        <w:rPr>
          <w:rFonts w:hint="eastAsia" w:ascii="仿宋" w:hAnsi="仿宋" w:eastAsia="仿宋" w:cs="仿宋"/>
          <w:bCs/>
          <w:sz w:val="28"/>
          <w:szCs w:val="28"/>
        </w:rPr>
        <w:t>必须按规定为员工购买社会保险，并为环卫工人购买人身意外伤亡保险。</w:t>
      </w:r>
    </w:p>
    <w:p w14:paraId="31E12B25">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color w:val="000000"/>
          <w:sz w:val="28"/>
          <w:szCs w:val="28"/>
          <w:lang w:val="en-US" w:eastAsia="zh-CN"/>
        </w:rPr>
        <w:t>4、乙方</w:t>
      </w:r>
      <w:r>
        <w:rPr>
          <w:rFonts w:hint="eastAsia" w:ascii="仿宋" w:hAnsi="仿宋" w:eastAsia="仿宋" w:cs="仿宋"/>
          <w:sz w:val="28"/>
          <w:szCs w:val="28"/>
        </w:rPr>
        <w:t>必须保障员工正常休息时间，加班时间不得超过法律、法规和规章规定的加班时间上限，并应按规定及时发放加班工资和高温补贴。</w:t>
      </w:r>
    </w:p>
    <w:p w14:paraId="6626732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5、</w:t>
      </w:r>
      <w:r>
        <w:rPr>
          <w:rFonts w:hint="eastAsia" w:ascii="仿宋" w:hAnsi="仿宋" w:eastAsia="仿宋" w:cs="仿宋"/>
          <w:color w:val="000000"/>
          <w:sz w:val="28"/>
          <w:szCs w:val="28"/>
          <w:lang w:val="en-US" w:eastAsia="zh-CN"/>
        </w:rPr>
        <w:t>乙方</w:t>
      </w:r>
      <w:r>
        <w:rPr>
          <w:rFonts w:hint="eastAsia" w:ascii="仿宋" w:hAnsi="仿宋" w:eastAsia="仿宋" w:cs="仿宋"/>
          <w:sz w:val="28"/>
          <w:szCs w:val="28"/>
        </w:rPr>
        <w:t>与员工解除或终止劳动关系，必须依照劳动管理等方面法律、法规、规章和其它规范性文件的规定向员工支付经济补偿金、赔偿金及其他应当支付的款项。</w:t>
      </w:r>
    </w:p>
    <w:p w14:paraId="3F01FD59">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6</w:t>
      </w:r>
      <w:r>
        <w:rPr>
          <w:rFonts w:hint="eastAsia" w:ascii="仿宋" w:hAnsi="仿宋" w:eastAsia="仿宋" w:cs="仿宋"/>
          <w:sz w:val="28"/>
          <w:szCs w:val="28"/>
          <w:lang w:eastAsia="zh-CN"/>
        </w:rPr>
        <w:t>、</w:t>
      </w:r>
      <w:r>
        <w:rPr>
          <w:rFonts w:hint="eastAsia" w:ascii="仿宋" w:hAnsi="仿宋" w:eastAsia="仿宋" w:cs="仿宋"/>
          <w:color w:val="000000"/>
          <w:sz w:val="28"/>
          <w:szCs w:val="28"/>
          <w:lang w:val="en-US" w:eastAsia="zh-CN"/>
        </w:rPr>
        <w:t>乙方</w:t>
      </w:r>
      <w:r>
        <w:rPr>
          <w:rFonts w:hint="eastAsia" w:ascii="仿宋" w:hAnsi="仿宋" w:eastAsia="仿宋" w:cs="仿宋"/>
          <w:sz w:val="28"/>
          <w:szCs w:val="28"/>
        </w:rPr>
        <w:t>必须执行劳动管理等方面法律、法规、规章和其它规范性文件规定的有关员工保障的其他规定。</w:t>
      </w:r>
    </w:p>
    <w:p w14:paraId="0E1F729D">
      <w:pPr>
        <w:pStyle w:val="251"/>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十、不可抗力</w:t>
      </w:r>
    </w:p>
    <w:p w14:paraId="50B71441">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1、签约双方任一方由于受诸如战争、 严重火灾、洪水、台风、地震等不可抗力事故的影响而不能执行合同时，履行合同的期限应予以延长，延长的期限应相当于事故所影响的时间。</w:t>
      </w:r>
    </w:p>
    <w:p w14:paraId="49892640">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2.受阻一方应在不可抗力事故发生后尽快通知对方，并于事故发生后天内将有关当局出具的证明文件给对方审阅确认。一旦不可抗力事故的影响持续数天以上，双方(或三方)应通过友好协商在合理的时间内达成是否继续履行合同的协议。</w:t>
      </w:r>
    </w:p>
    <w:p w14:paraId="0608549C">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十一、考核方法</w:t>
      </w:r>
    </w:p>
    <w:p w14:paraId="5FC3D66B">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详见附件“考核标准”</w:t>
      </w:r>
    </w:p>
    <w:p w14:paraId="3E8774FB">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十二、争议</w:t>
      </w:r>
    </w:p>
    <w:p w14:paraId="58E7EB99">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1.在执行本合同中发生的或与本合同有关的争端，双方应通过友好协商解决。经协商不能达成协议时，可向合同签约地的人民法院提请诉讼。</w:t>
      </w:r>
    </w:p>
    <w:p w14:paraId="223C2749">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2.在诉讼期间，双方应继续履行争议部分以外的合同内容。</w:t>
      </w:r>
    </w:p>
    <w:p w14:paraId="2C3E900B">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十</w:t>
      </w:r>
      <w:r>
        <w:rPr>
          <w:rFonts w:hint="eastAsia" w:ascii="仿宋" w:hAnsi="仿宋" w:eastAsia="仿宋" w:cs="仿宋"/>
          <w:sz w:val="28"/>
          <w:szCs w:val="28"/>
          <w:lang w:val="en-US" w:eastAsia="zh-CN"/>
        </w:rPr>
        <w:t>三</w:t>
      </w:r>
      <w:r>
        <w:rPr>
          <w:rFonts w:hint="eastAsia" w:ascii="仿宋" w:hAnsi="仿宋" w:eastAsia="仿宋" w:cs="仿宋"/>
          <w:sz w:val="28"/>
          <w:szCs w:val="28"/>
        </w:rPr>
        <w:t>、违约终止合同</w:t>
      </w:r>
    </w:p>
    <w:p w14:paraId="624FC3D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有下列情况之一的，甲方有权终止协议:</w:t>
      </w:r>
    </w:p>
    <w:p w14:paraId="7472F81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1.乙方未能按甲方要求进行服务，造成结果失真或未能按时保质完成甲方委托任务的。</w:t>
      </w:r>
    </w:p>
    <w:p w14:paraId="6885B54C">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2.乙方违反从业道德，影响甲方声誉或投诉查实的。</w:t>
      </w:r>
    </w:p>
    <w:p w14:paraId="105DCA8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3.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p>
    <w:p w14:paraId="4425A7E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.合同一方依本合同约定行使解除权的，合同自解除通知送达另一方之日起终止。违约方应当按本合同约定支付违约金或赔偿损失。</w:t>
      </w:r>
    </w:p>
    <w:p w14:paraId="4C45F5E9">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5</w:t>
      </w:r>
      <w:r>
        <w:rPr>
          <w:rFonts w:hint="eastAsia" w:ascii="仿宋" w:hAnsi="仿宋" w:eastAsia="仿宋" w:cs="仿宋"/>
          <w:sz w:val="28"/>
          <w:szCs w:val="28"/>
        </w:rPr>
        <w:t>.合同终止后，不妨碍守约方向违约方追究违约责任。</w:t>
      </w:r>
    </w:p>
    <w:p w14:paraId="6D1A215C">
      <w:pPr>
        <w:pStyle w:val="251"/>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十</w:t>
      </w:r>
      <w:r>
        <w:rPr>
          <w:rFonts w:hint="eastAsia" w:ascii="仿宋" w:hAnsi="仿宋" w:eastAsia="仿宋" w:cs="仿宋"/>
          <w:sz w:val="28"/>
          <w:szCs w:val="28"/>
          <w:lang w:val="en-US" w:eastAsia="zh-CN"/>
        </w:rPr>
        <w:t>四</w:t>
      </w:r>
      <w:r>
        <w:rPr>
          <w:rFonts w:hint="eastAsia" w:ascii="仿宋" w:hAnsi="仿宋" w:eastAsia="仿宋" w:cs="仿宋"/>
          <w:sz w:val="28"/>
          <w:szCs w:val="28"/>
        </w:rPr>
        <w:t>、其他</w:t>
      </w:r>
    </w:p>
    <w:p w14:paraId="12A65596">
      <w:pPr>
        <w:pStyle w:val="251"/>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1、未经过甲方的书面同意，乙方不得转让其应履行的合同项下的义务，和将部分合同项下的义务分包给其他单位完成。</w:t>
      </w:r>
    </w:p>
    <w:p w14:paraId="2AC76C30">
      <w:pPr>
        <w:pStyle w:val="251"/>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2、合同履行期内甲乙双方均不得随意变更或解除合同。合同若有未尽事宜,需经双方共同协商,订立补充协议,补充协议与本合同有同等法律效力。</w:t>
      </w:r>
    </w:p>
    <w:p w14:paraId="1EF85EC1">
      <w:pPr>
        <w:pStyle w:val="251"/>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3、本合同一式</w:t>
      </w:r>
      <w:r>
        <w:rPr>
          <w:rFonts w:hint="eastAsia" w:ascii="仿宋" w:hAnsi="仿宋" w:eastAsia="仿宋" w:cs="仿宋"/>
          <w:sz w:val="28"/>
          <w:szCs w:val="28"/>
          <w:lang w:val="en-US" w:eastAsia="zh-CN"/>
        </w:rPr>
        <w:t>肆</w:t>
      </w:r>
      <w:r>
        <w:rPr>
          <w:rFonts w:hint="eastAsia" w:ascii="仿宋" w:hAnsi="仿宋" w:eastAsia="仿宋" w:cs="仿宋"/>
          <w:sz w:val="28"/>
          <w:szCs w:val="28"/>
        </w:rPr>
        <w:t>份，</w:t>
      </w:r>
      <w:r>
        <w:rPr>
          <w:rFonts w:hint="eastAsia" w:ascii="仿宋" w:hAnsi="仿宋" w:eastAsia="仿宋" w:cs="仿宋"/>
          <w:sz w:val="28"/>
          <w:szCs w:val="28"/>
          <w:lang w:val="en-US" w:eastAsia="zh-CN"/>
        </w:rPr>
        <w:t>甲乙双方各贰份，</w:t>
      </w:r>
      <w:r>
        <w:rPr>
          <w:rFonts w:hint="eastAsia" w:ascii="仿宋" w:hAnsi="仿宋" w:eastAsia="仿宋" w:cs="仿宋"/>
          <w:sz w:val="28"/>
          <w:szCs w:val="28"/>
        </w:rPr>
        <w:t>自签订之日起生效。</w:t>
      </w:r>
    </w:p>
    <w:p w14:paraId="0F9A4FD1">
      <w:pPr>
        <w:pStyle w:val="251"/>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4、本合同未尽事宜，遵照《中华人民共和国民法典》有关条文执行。</w:t>
      </w:r>
    </w:p>
    <w:p w14:paraId="1DEA678A">
      <w:pPr>
        <w:pStyle w:val="251"/>
        <w:keepNext w:val="0"/>
        <w:keepLines w:val="0"/>
        <w:pageBreakBefore w:val="0"/>
        <w:widowControl w:val="0"/>
        <w:kinsoku/>
        <w:wordWrap/>
        <w:overflowPunct/>
        <w:topLinePunct w:val="0"/>
        <w:autoSpaceDE/>
        <w:autoSpaceDN/>
        <w:bidi w:val="0"/>
        <w:adjustRightInd/>
        <w:snapToGrid/>
        <w:spacing w:line="360" w:lineRule="auto"/>
        <w:ind w:firstLine="720"/>
        <w:textAlignment w:val="auto"/>
        <w:rPr>
          <w:rFonts w:hint="eastAsia" w:ascii="仿宋" w:hAnsi="仿宋" w:eastAsia="仿宋" w:cs="仿宋"/>
          <w:sz w:val="28"/>
          <w:szCs w:val="28"/>
        </w:rPr>
      </w:pPr>
      <w:r>
        <w:rPr>
          <w:rFonts w:hint="eastAsia" w:ascii="仿宋" w:hAnsi="仿宋" w:eastAsia="仿宋" w:cs="仿宋"/>
          <w:sz w:val="28"/>
          <w:szCs w:val="28"/>
        </w:rPr>
        <w:t>甲    方(签章):                   乙   方(签章):</w:t>
      </w:r>
    </w:p>
    <w:p w14:paraId="56949FF2">
      <w:pPr>
        <w:keepNext w:val="0"/>
        <w:keepLines w:val="0"/>
        <w:pageBreakBefore w:val="0"/>
        <w:widowControl w:val="0"/>
        <w:kinsoku/>
        <w:wordWrap/>
        <w:overflowPunct/>
        <w:topLinePunct w:val="0"/>
        <w:autoSpaceDE/>
        <w:autoSpaceDN/>
        <w:bidi w:val="0"/>
        <w:adjustRightInd/>
        <w:snapToGrid/>
        <w:spacing w:line="360" w:lineRule="auto"/>
        <w:ind w:firstLine="720"/>
        <w:textAlignment w:val="auto"/>
        <w:rPr>
          <w:rFonts w:hint="eastAsia" w:ascii="仿宋" w:hAnsi="仿宋" w:eastAsia="仿宋" w:cs="仿宋"/>
          <w:sz w:val="28"/>
          <w:szCs w:val="28"/>
        </w:rPr>
      </w:pPr>
      <w:r>
        <w:rPr>
          <w:rFonts w:hint="eastAsia" w:ascii="仿宋" w:hAnsi="仿宋" w:eastAsia="仿宋" w:cs="仿宋"/>
          <w:sz w:val="28"/>
          <w:szCs w:val="28"/>
        </w:rPr>
        <w:t>法定代表人(或授权委托人):        法定代表人(或授权委托人）：</w:t>
      </w:r>
    </w:p>
    <w:p w14:paraId="1026970D">
      <w:pPr>
        <w:keepNext w:val="0"/>
        <w:keepLines w:val="0"/>
        <w:pageBreakBefore w:val="0"/>
        <w:widowControl w:val="0"/>
        <w:kinsoku/>
        <w:wordWrap/>
        <w:overflowPunct/>
        <w:topLinePunct w:val="0"/>
        <w:autoSpaceDE/>
        <w:autoSpaceDN/>
        <w:bidi w:val="0"/>
        <w:adjustRightInd/>
        <w:snapToGrid/>
        <w:spacing w:line="360" w:lineRule="auto"/>
        <w:ind w:firstLine="720"/>
        <w:textAlignment w:val="auto"/>
        <w:rPr>
          <w:rFonts w:hint="eastAsia" w:ascii="仿宋" w:hAnsi="仿宋" w:eastAsia="仿宋" w:cs="仿宋"/>
          <w:sz w:val="28"/>
          <w:szCs w:val="28"/>
        </w:rPr>
      </w:pPr>
      <w:r>
        <w:rPr>
          <w:rFonts w:hint="eastAsia" w:ascii="仿宋" w:hAnsi="仿宋" w:eastAsia="仿宋" w:cs="仿宋"/>
          <w:sz w:val="28"/>
          <w:szCs w:val="28"/>
        </w:rPr>
        <w:t xml:space="preserve">单位地址: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单位地址:</w:t>
      </w:r>
    </w:p>
    <w:p w14:paraId="1FB7BDC0">
      <w:pPr>
        <w:keepNext w:val="0"/>
        <w:keepLines w:val="0"/>
        <w:pageBreakBefore w:val="0"/>
        <w:widowControl w:val="0"/>
        <w:kinsoku/>
        <w:wordWrap/>
        <w:overflowPunct/>
        <w:topLinePunct w:val="0"/>
        <w:autoSpaceDE/>
        <w:autoSpaceDN/>
        <w:bidi w:val="0"/>
        <w:adjustRightInd/>
        <w:snapToGrid/>
        <w:spacing w:line="360" w:lineRule="auto"/>
        <w:ind w:firstLine="720"/>
        <w:textAlignment w:val="auto"/>
        <w:rPr>
          <w:rFonts w:hint="eastAsia" w:ascii="仿宋" w:hAnsi="仿宋" w:eastAsia="仿宋" w:cs="仿宋"/>
          <w:sz w:val="28"/>
          <w:szCs w:val="28"/>
        </w:rPr>
      </w:pPr>
      <w:r>
        <w:rPr>
          <w:rFonts w:hint="eastAsia" w:ascii="仿宋" w:hAnsi="仿宋" w:eastAsia="仿宋" w:cs="仿宋"/>
          <w:sz w:val="28"/>
          <w:szCs w:val="28"/>
        </w:rPr>
        <w:t xml:space="preserve">电    话: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电    话:</w:t>
      </w:r>
    </w:p>
    <w:p w14:paraId="078DC333">
      <w:pPr>
        <w:keepNext w:val="0"/>
        <w:keepLines w:val="0"/>
        <w:pageBreakBefore w:val="0"/>
        <w:widowControl w:val="0"/>
        <w:kinsoku/>
        <w:wordWrap/>
        <w:overflowPunct/>
        <w:topLinePunct w:val="0"/>
        <w:autoSpaceDE/>
        <w:autoSpaceDN/>
        <w:bidi w:val="0"/>
        <w:adjustRightInd/>
        <w:snapToGrid/>
        <w:spacing w:line="360" w:lineRule="auto"/>
        <w:ind w:firstLine="720"/>
        <w:textAlignment w:val="auto"/>
        <w:rPr>
          <w:rFonts w:hint="eastAsia" w:ascii="仿宋" w:hAnsi="仿宋" w:eastAsia="仿宋" w:cs="仿宋"/>
          <w:sz w:val="28"/>
          <w:szCs w:val="28"/>
        </w:rPr>
      </w:pPr>
      <w:r>
        <w:rPr>
          <w:rFonts w:hint="eastAsia" w:ascii="仿宋" w:hAnsi="仿宋" w:eastAsia="仿宋" w:cs="仿宋"/>
          <w:sz w:val="28"/>
          <w:szCs w:val="28"/>
        </w:rPr>
        <w:t xml:space="preserve">开户银行: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开户银行:</w:t>
      </w:r>
    </w:p>
    <w:p w14:paraId="7CD73278">
      <w:pPr>
        <w:keepNext w:val="0"/>
        <w:keepLines w:val="0"/>
        <w:pageBreakBefore w:val="0"/>
        <w:widowControl w:val="0"/>
        <w:kinsoku/>
        <w:wordWrap/>
        <w:overflowPunct/>
        <w:topLinePunct w:val="0"/>
        <w:autoSpaceDE/>
        <w:autoSpaceDN/>
        <w:bidi w:val="0"/>
        <w:adjustRightInd/>
        <w:snapToGrid/>
        <w:spacing w:line="360" w:lineRule="auto"/>
        <w:ind w:firstLine="720"/>
        <w:textAlignment w:val="auto"/>
        <w:rPr>
          <w:rFonts w:hint="eastAsia" w:ascii="仿宋" w:hAnsi="仿宋" w:eastAsia="仿宋" w:cs="仿宋"/>
          <w:sz w:val="28"/>
          <w:szCs w:val="28"/>
        </w:rPr>
      </w:pPr>
      <w:r>
        <w:rPr>
          <w:rFonts w:hint="eastAsia" w:ascii="仿宋" w:hAnsi="仿宋" w:eastAsia="仿宋" w:cs="仿宋"/>
          <w:sz w:val="28"/>
          <w:szCs w:val="28"/>
        </w:rPr>
        <w:t xml:space="preserve">账    号: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账   号: </w:t>
      </w:r>
    </w:p>
    <w:p w14:paraId="3E5E2A8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8"/>
          <w:szCs w:val="28"/>
        </w:rPr>
      </w:pPr>
      <w:r>
        <w:rPr>
          <w:rFonts w:hint="eastAsia" w:ascii="仿宋" w:hAnsi="仿宋" w:eastAsia="仿宋" w:cs="仿宋"/>
          <w:sz w:val="28"/>
          <w:szCs w:val="28"/>
        </w:rPr>
        <w:t xml:space="preserve">     年   月   日                     年    月   日</w:t>
      </w:r>
    </w:p>
    <w:p w14:paraId="11E77183">
      <w:pPr>
        <w:spacing w:line="360" w:lineRule="exact"/>
        <w:ind w:firstLine="361"/>
        <w:outlineLvl w:val="2"/>
        <w:rPr>
          <w:rFonts w:hint="eastAsia" w:ascii="仿宋" w:hAnsi="仿宋" w:eastAsia="仿宋" w:cs="仿宋"/>
          <w:b/>
          <w:sz w:val="28"/>
          <w:szCs w:val="28"/>
        </w:rPr>
      </w:pPr>
      <w:r>
        <w:rPr>
          <w:rFonts w:hint="eastAsia" w:ascii="仿宋" w:hAnsi="仿宋" w:eastAsia="仿宋" w:cs="仿宋"/>
          <w:b/>
          <w:sz w:val="28"/>
          <w:szCs w:val="28"/>
        </w:rPr>
        <w:br w:type="page" w:clear="all"/>
      </w:r>
      <w:r>
        <w:rPr>
          <w:rFonts w:hint="eastAsia" w:ascii="仿宋" w:hAnsi="仿宋" w:eastAsia="仿宋" w:cs="仿宋"/>
          <w:b/>
          <w:sz w:val="28"/>
          <w:szCs w:val="28"/>
        </w:rPr>
        <w:t>附件：考核标准</w:t>
      </w:r>
    </w:p>
    <w:p w14:paraId="1EBFBAF2">
      <w:pPr>
        <w:spacing w:line="360" w:lineRule="exact"/>
        <w:ind w:firstLine="361"/>
        <w:jc w:val="center"/>
        <w:outlineLvl w:val="2"/>
        <w:rPr>
          <w:rFonts w:hint="eastAsia" w:ascii="仿宋" w:hAnsi="仿宋" w:eastAsia="仿宋" w:cs="仿宋"/>
          <w:b/>
          <w:sz w:val="28"/>
          <w:szCs w:val="28"/>
        </w:rPr>
      </w:pPr>
      <w:r>
        <w:rPr>
          <w:rFonts w:hint="eastAsia" w:ascii="仿宋" w:hAnsi="仿宋" w:eastAsia="仿宋" w:cs="仿宋"/>
          <w:b/>
          <w:sz w:val="28"/>
          <w:szCs w:val="28"/>
        </w:rPr>
        <w:t>曲霞镇卫生保洁考核标准</w:t>
      </w:r>
    </w:p>
    <w:tbl>
      <w:tblPr>
        <w:tblStyle w:val="34"/>
        <w:tblW w:w="9385" w:type="dxa"/>
        <w:jc w:val="center"/>
        <w:tblLayout w:type="fixed"/>
        <w:tblCellMar>
          <w:top w:w="0" w:type="dxa"/>
          <w:left w:w="108" w:type="dxa"/>
          <w:bottom w:w="0" w:type="dxa"/>
          <w:right w:w="108" w:type="dxa"/>
        </w:tblCellMar>
      </w:tblPr>
      <w:tblGrid>
        <w:gridCol w:w="973"/>
        <w:gridCol w:w="1311"/>
        <w:gridCol w:w="4146"/>
        <w:gridCol w:w="1099"/>
        <w:gridCol w:w="1856"/>
      </w:tblGrid>
      <w:tr w14:paraId="7560A918">
        <w:tblPrEx>
          <w:tblCellMar>
            <w:top w:w="0" w:type="dxa"/>
            <w:left w:w="108" w:type="dxa"/>
            <w:bottom w:w="0" w:type="dxa"/>
            <w:right w:w="108" w:type="dxa"/>
          </w:tblCellMar>
        </w:tblPrEx>
        <w:trPr>
          <w:trHeight w:val="675" w:hRule="atLeast"/>
          <w:jc w:val="center"/>
        </w:trPr>
        <w:tc>
          <w:tcPr>
            <w:tcW w:w="973" w:type="dxa"/>
            <w:tcBorders>
              <w:top w:val="single" w:color="000000" w:sz="4" w:space="0"/>
              <w:left w:val="single" w:color="000000" w:sz="4" w:space="0"/>
              <w:bottom w:val="single" w:color="000000" w:sz="4" w:space="0"/>
              <w:right w:val="single" w:color="000000" w:sz="4" w:space="0"/>
            </w:tcBorders>
            <w:noWrap/>
            <w:vAlign w:val="center"/>
          </w:tcPr>
          <w:p w14:paraId="0B07F18B">
            <w:pPr>
              <w:widowControl/>
              <w:spacing w:line="36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序号</w:t>
            </w:r>
          </w:p>
        </w:tc>
        <w:tc>
          <w:tcPr>
            <w:tcW w:w="1311" w:type="dxa"/>
            <w:tcBorders>
              <w:top w:val="single" w:color="000000" w:sz="4" w:space="0"/>
              <w:left w:val="single" w:color="000000" w:sz="4" w:space="0"/>
              <w:bottom w:val="single" w:color="000000" w:sz="4" w:space="0"/>
              <w:right w:val="single" w:color="000000" w:sz="4" w:space="0"/>
            </w:tcBorders>
            <w:noWrap/>
            <w:vAlign w:val="center"/>
          </w:tcPr>
          <w:p w14:paraId="63824CFF">
            <w:pPr>
              <w:widowControl/>
              <w:spacing w:line="36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项目</w:t>
            </w:r>
          </w:p>
        </w:tc>
        <w:tc>
          <w:tcPr>
            <w:tcW w:w="4146" w:type="dxa"/>
            <w:tcBorders>
              <w:top w:val="single" w:color="000000" w:sz="4" w:space="0"/>
              <w:left w:val="single" w:color="000000" w:sz="4" w:space="0"/>
              <w:bottom w:val="single" w:color="000000" w:sz="4" w:space="0"/>
              <w:right w:val="single" w:color="000000" w:sz="4" w:space="0"/>
            </w:tcBorders>
            <w:noWrap/>
            <w:vAlign w:val="center"/>
          </w:tcPr>
          <w:p w14:paraId="6FBB863A">
            <w:pPr>
              <w:widowControl/>
              <w:spacing w:line="36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标准</w:t>
            </w:r>
          </w:p>
        </w:tc>
        <w:tc>
          <w:tcPr>
            <w:tcW w:w="1099" w:type="dxa"/>
            <w:tcBorders>
              <w:top w:val="single" w:color="000000" w:sz="4" w:space="0"/>
              <w:left w:val="single" w:color="000000" w:sz="4" w:space="0"/>
              <w:bottom w:val="single" w:color="000000" w:sz="4" w:space="0"/>
              <w:right w:val="single" w:color="000000" w:sz="4" w:space="0"/>
            </w:tcBorders>
            <w:noWrap/>
            <w:vAlign w:val="center"/>
          </w:tcPr>
          <w:p w14:paraId="5B89A47F">
            <w:pPr>
              <w:widowControl/>
              <w:spacing w:line="36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分值</w:t>
            </w:r>
          </w:p>
        </w:tc>
        <w:tc>
          <w:tcPr>
            <w:tcW w:w="1856" w:type="dxa"/>
            <w:tcBorders>
              <w:top w:val="single" w:color="000000" w:sz="4" w:space="0"/>
              <w:left w:val="single" w:color="000000" w:sz="4" w:space="0"/>
              <w:bottom w:val="single" w:color="000000" w:sz="4" w:space="0"/>
              <w:right w:val="single" w:color="000000" w:sz="4" w:space="0"/>
            </w:tcBorders>
            <w:noWrap/>
            <w:vAlign w:val="center"/>
          </w:tcPr>
          <w:p w14:paraId="5F6AFD1C">
            <w:pPr>
              <w:widowControl/>
              <w:spacing w:line="36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评分</w:t>
            </w:r>
          </w:p>
        </w:tc>
      </w:tr>
      <w:tr w14:paraId="2D2AA2A3">
        <w:tblPrEx>
          <w:tblCellMar>
            <w:top w:w="0" w:type="dxa"/>
            <w:left w:w="108" w:type="dxa"/>
            <w:bottom w:w="0" w:type="dxa"/>
            <w:right w:w="108" w:type="dxa"/>
          </w:tblCellMar>
        </w:tblPrEx>
        <w:trPr>
          <w:trHeight w:val="567" w:hRule="atLeast"/>
          <w:jc w:val="center"/>
        </w:trPr>
        <w:tc>
          <w:tcPr>
            <w:tcW w:w="973" w:type="dxa"/>
            <w:tcBorders>
              <w:top w:val="single" w:color="000000" w:sz="4" w:space="0"/>
              <w:left w:val="single" w:color="000000" w:sz="4" w:space="0"/>
              <w:bottom w:val="single" w:color="000000" w:sz="4" w:space="0"/>
              <w:right w:val="single" w:color="000000" w:sz="4" w:space="0"/>
            </w:tcBorders>
            <w:noWrap/>
            <w:vAlign w:val="center"/>
          </w:tcPr>
          <w:p w14:paraId="21F7EF9F">
            <w:pPr>
              <w:widowControl/>
              <w:spacing w:line="3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1</w:t>
            </w:r>
          </w:p>
        </w:tc>
        <w:tc>
          <w:tcPr>
            <w:tcW w:w="1311" w:type="dxa"/>
            <w:tcBorders>
              <w:top w:val="single" w:color="000000" w:sz="4" w:space="0"/>
              <w:left w:val="single" w:color="000000" w:sz="4" w:space="0"/>
              <w:bottom w:val="single" w:color="000000" w:sz="4" w:space="0"/>
              <w:right w:val="single" w:color="000000" w:sz="4" w:space="0"/>
            </w:tcBorders>
            <w:noWrap/>
            <w:vAlign w:val="center"/>
          </w:tcPr>
          <w:p w14:paraId="7D197C22">
            <w:pPr>
              <w:widowControl/>
              <w:spacing w:line="3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道路环境</w:t>
            </w:r>
          </w:p>
        </w:tc>
        <w:tc>
          <w:tcPr>
            <w:tcW w:w="4146" w:type="dxa"/>
            <w:tcBorders>
              <w:top w:val="single" w:color="000000" w:sz="4" w:space="0"/>
              <w:left w:val="single" w:color="000000" w:sz="4" w:space="0"/>
              <w:bottom w:val="single" w:color="000000" w:sz="4" w:space="0"/>
              <w:right w:val="single" w:color="000000" w:sz="4" w:space="0"/>
            </w:tcBorders>
            <w:noWrap w:val="0"/>
            <w:vAlign w:val="center"/>
          </w:tcPr>
          <w:p w14:paraId="2C808E7E">
            <w:pPr>
              <w:widowControl/>
              <w:spacing w:line="360"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lang w:bidi="ar"/>
              </w:rPr>
              <w:t>主要街道路面整洁，做到“五无”：无纸屑杂物、无烟头、无果皮、无砖石、无人畜粪。清扫不及时，不符合要求每处扣1分。</w:t>
            </w:r>
          </w:p>
        </w:tc>
        <w:tc>
          <w:tcPr>
            <w:tcW w:w="1099" w:type="dxa"/>
            <w:tcBorders>
              <w:top w:val="single" w:color="000000" w:sz="4" w:space="0"/>
              <w:left w:val="single" w:color="000000" w:sz="4" w:space="0"/>
              <w:bottom w:val="single" w:color="000000" w:sz="4" w:space="0"/>
              <w:right w:val="single" w:color="000000" w:sz="4" w:space="0"/>
            </w:tcBorders>
            <w:noWrap/>
            <w:vAlign w:val="center"/>
          </w:tcPr>
          <w:p w14:paraId="61075E7B">
            <w:pPr>
              <w:widowControl/>
              <w:spacing w:line="3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ar"/>
              </w:rPr>
              <w:t>15</w:t>
            </w:r>
            <w:r>
              <w:rPr>
                <w:rFonts w:hint="eastAsia" w:ascii="仿宋" w:hAnsi="仿宋" w:eastAsia="仿宋" w:cs="仿宋"/>
                <w:color w:val="000000"/>
                <w:sz w:val="24"/>
                <w:szCs w:val="24"/>
                <w:lang w:bidi="ar"/>
              </w:rPr>
              <w:t>分</w:t>
            </w:r>
          </w:p>
        </w:tc>
        <w:tc>
          <w:tcPr>
            <w:tcW w:w="1856" w:type="dxa"/>
            <w:tcBorders>
              <w:top w:val="single" w:color="000000" w:sz="4" w:space="0"/>
              <w:left w:val="single" w:color="000000" w:sz="4" w:space="0"/>
              <w:bottom w:val="single" w:color="000000" w:sz="4" w:space="0"/>
              <w:right w:val="single" w:color="000000" w:sz="4" w:space="0"/>
            </w:tcBorders>
            <w:noWrap/>
            <w:vAlign w:val="center"/>
          </w:tcPr>
          <w:p w14:paraId="347FD820">
            <w:pPr>
              <w:spacing w:line="360" w:lineRule="exact"/>
              <w:jc w:val="center"/>
              <w:rPr>
                <w:rFonts w:hint="eastAsia" w:ascii="仿宋" w:hAnsi="仿宋" w:eastAsia="仿宋" w:cs="仿宋"/>
                <w:color w:val="000000"/>
                <w:sz w:val="24"/>
                <w:szCs w:val="24"/>
              </w:rPr>
            </w:pPr>
          </w:p>
        </w:tc>
      </w:tr>
      <w:tr w14:paraId="246DB7DD">
        <w:tblPrEx>
          <w:tblCellMar>
            <w:top w:w="0" w:type="dxa"/>
            <w:left w:w="108" w:type="dxa"/>
            <w:bottom w:w="0" w:type="dxa"/>
            <w:right w:w="108" w:type="dxa"/>
          </w:tblCellMar>
        </w:tblPrEx>
        <w:trPr>
          <w:trHeight w:val="567" w:hRule="atLeast"/>
          <w:jc w:val="center"/>
        </w:trPr>
        <w:tc>
          <w:tcPr>
            <w:tcW w:w="973" w:type="dxa"/>
            <w:tcBorders>
              <w:top w:val="single" w:color="000000" w:sz="4" w:space="0"/>
              <w:left w:val="single" w:color="000000" w:sz="4" w:space="0"/>
              <w:bottom w:val="single" w:color="000000" w:sz="4" w:space="0"/>
              <w:right w:val="single" w:color="000000" w:sz="4" w:space="0"/>
            </w:tcBorders>
            <w:noWrap/>
            <w:vAlign w:val="center"/>
          </w:tcPr>
          <w:p w14:paraId="25FDA388">
            <w:pPr>
              <w:widowControl/>
              <w:spacing w:line="3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2</w:t>
            </w:r>
          </w:p>
        </w:tc>
        <w:tc>
          <w:tcPr>
            <w:tcW w:w="1311" w:type="dxa"/>
            <w:tcBorders>
              <w:top w:val="single" w:color="000000" w:sz="4" w:space="0"/>
              <w:left w:val="single" w:color="000000" w:sz="4" w:space="0"/>
              <w:bottom w:val="nil"/>
              <w:right w:val="single" w:color="000000" w:sz="4" w:space="0"/>
            </w:tcBorders>
            <w:noWrap/>
            <w:vAlign w:val="center"/>
          </w:tcPr>
          <w:p w14:paraId="10A43D0D">
            <w:pPr>
              <w:widowControl/>
              <w:spacing w:line="3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河道环境</w:t>
            </w:r>
          </w:p>
        </w:tc>
        <w:tc>
          <w:tcPr>
            <w:tcW w:w="4146" w:type="dxa"/>
            <w:tcBorders>
              <w:top w:val="single" w:color="000000" w:sz="4" w:space="0"/>
              <w:left w:val="single" w:color="000000" w:sz="4" w:space="0"/>
              <w:bottom w:val="single" w:color="000000" w:sz="4" w:space="0"/>
              <w:right w:val="single" w:color="000000" w:sz="4" w:space="0"/>
            </w:tcBorders>
            <w:noWrap w:val="0"/>
            <w:vAlign w:val="center"/>
          </w:tcPr>
          <w:p w14:paraId="7BC6AE96">
            <w:pPr>
              <w:widowControl/>
              <w:spacing w:line="360" w:lineRule="exact"/>
              <w:jc w:val="left"/>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bidi="ar"/>
              </w:rPr>
              <w:t>河面保洁达“五无”保洁效果，河面有漂浮物</w:t>
            </w:r>
            <w:r>
              <w:rPr>
                <w:rFonts w:hint="eastAsia" w:ascii="仿宋" w:hAnsi="仿宋" w:eastAsia="仿宋" w:cs="仿宋"/>
                <w:color w:val="000000"/>
                <w:sz w:val="24"/>
                <w:szCs w:val="24"/>
                <w:lang w:eastAsia="zh-CN" w:bidi="ar"/>
              </w:rPr>
              <w:t>或水生植物</w:t>
            </w:r>
            <w:r>
              <w:rPr>
                <w:rFonts w:hint="eastAsia" w:ascii="仿宋" w:hAnsi="仿宋" w:eastAsia="仿宋" w:cs="仿宋"/>
                <w:color w:val="000000"/>
                <w:sz w:val="24"/>
                <w:szCs w:val="24"/>
                <w:lang w:bidi="ar"/>
              </w:rPr>
              <w:t>的发现一处扣1分，河坡打捞上岸的垃圾未及时清运的发现一处扣1分</w:t>
            </w:r>
            <w:r>
              <w:rPr>
                <w:rFonts w:hint="eastAsia" w:ascii="仿宋" w:hAnsi="仿宋" w:eastAsia="仿宋" w:cs="仿宋"/>
                <w:color w:val="000000"/>
                <w:sz w:val="24"/>
                <w:szCs w:val="24"/>
                <w:lang w:eastAsia="zh-CN" w:bidi="ar"/>
              </w:rPr>
              <w:t>。未穿戴</w:t>
            </w:r>
            <w:r>
              <w:rPr>
                <w:rFonts w:hint="eastAsia" w:ascii="仿宋" w:hAnsi="仿宋" w:eastAsia="仿宋" w:cs="仿宋"/>
                <w:color w:val="000000"/>
                <w:sz w:val="24"/>
                <w:szCs w:val="24"/>
                <w:lang w:val="en-US" w:eastAsia="zh-CN" w:bidi="ar"/>
              </w:rPr>
              <w:t>劳动</w:t>
            </w:r>
            <w:r>
              <w:rPr>
                <w:rFonts w:hint="eastAsia" w:ascii="仿宋" w:hAnsi="仿宋" w:eastAsia="仿宋" w:cs="仿宋"/>
                <w:color w:val="000000"/>
                <w:sz w:val="24"/>
                <w:szCs w:val="24"/>
                <w:lang w:eastAsia="zh-CN" w:bidi="ar"/>
              </w:rPr>
              <w:t>安全防护用品</w:t>
            </w:r>
            <w:r>
              <w:rPr>
                <w:rFonts w:hint="eastAsia" w:ascii="仿宋" w:hAnsi="仿宋" w:eastAsia="仿宋" w:cs="仿宋"/>
                <w:color w:val="000000"/>
                <w:sz w:val="24"/>
                <w:szCs w:val="24"/>
                <w:lang w:val="en-US" w:eastAsia="zh-CN" w:bidi="ar"/>
              </w:rPr>
              <w:t>的</w:t>
            </w:r>
            <w:r>
              <w:rPr>
                <w:rFonts w:hint="eastAsia" w:ascii="仿宋" w:hAnsi="仿宋" w:eastAsia="仿宋" w:cs="仿宋"/>
                <w:color w:val="000000"/>
                <w:sz w:val="24"/>
                <w:szCs w:val="24"/>
                <w:lang w:eastAsia="zh-CN" w:bidi="ar"/>
              </w:rPr>
              <w:t>发现一起扣</w:t>
            </w:r>
            <w:r>
              <w:rPr>
                <w:rFonts w:hint="eastAsia" w:ascii="仿宋" w:hAnsi="仿宋" w:eastAsia="仿宋" w:cs="仿宋"/>
                <w:color w:val="000000"/>
                <w:sz w:val="24"/>
                <w:szCs w:val="24"/>
                <w:lang w:val="en-US" w:eastAsia="zh-CN" w:bidi="ar"/>
              </w:rPr>
              <w:t>1分。</w:t>
            </w:r>
          </w:p>
        </w:tc>
        <w:tc>
          <w:tcPr>
            <w:tcW w:w="1099" w:type="dxa"/>
            <w:tcBorders>
              <w:top w:val="single" w:color="000000" w:sz="4" w:space="0"/>
              <w:left w:val="single" w:color="000000" w:sz="4" w:space="0"/>
              <w:bottom w:val="single" w:color="000000" w:sz="4" w:space="0"/>
              <w:right w:val="single" w:color="000000" w:sz="4" w:space="0"/>
            </w:tcBorders>
            <w:noWrap/>
            <w:vAlign w:val="center"/>
          </w:tcPr>
          <w:p w14:paraId="557E7478">
            <w:pPr>
              <w:widowControl/>
              <w:spacing w:line="3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10分</w:t>
            </w:r>
          </w:p>
        </w:tc>
        <w:tc>
          <w:tcPr>
            <w:tcW w:w="1856" w:type="dxa"/>
            <w:tcBorders>
              <w:top w:val="single" w:color="000000" w:sz="4" w:space="0"/>
              <w:left w:val="single" w:color="000000" w:sz="4" w:space="0"/>
              <w:bottom w:val="single" w:color="000000" w:sz="4" w:space="0"/>
              <w:right w:val="single" w:color="000000" w:sz="4" w:space="0"/>
            </w:tcBorders>
            <w:noWrap/>
            <w:vAlign w:val="center"/>
          </w:tcPr>
          <w:p w14:paraId="2663AB93">
            <w:pPr>
              <w:spacing w:line="360" w:lineRule="exact"/>
              <w:jc w:val="center"/>
              <w:rPr>
                <w:rFonts w:hint="eastAsia" w:ascii="仿宋" w:hAnsi="仿宋" w:eastAsia="仿宋" w:cs="仿宋"/>
                <w:color w:val="000000"/>
                <w:sz w:val="24"/>
                <w:szCs w:val="24"/>
              </w:rPr>
            </w:pPr>
          </w:p>
        </w:tc>
      </w:tr>
      <w:tr w14:paraId="4B57AC3F">
        <w:tblPrEx>
          <w:tblCellMar>
            <w:top w:w="0" w:type="dxa"/>
            <w:left w:w="108" w:type="dxa"/>
            <w:bottom w:w="0" w:type="dxa"/>
            <w:right w:w="108" w:type="dxa"/>
          </w:tblCellMar>
        </w:tblPrEx>
        <w:trPr>
          <w:trHeight w:val="567" w:hRule="atLeast"/>
          <w:jc w:val="center"/>
        </w:trPr>
        <w:tc>
          <w:tcPr>
            <w:tcW w:w="973" w:type="dxa"/>
            <w:tcBorders>
              <w:top w:val="single" w:color="000000" w:sz="4" w:space="0"/>
              <w:left w:val="single" w:color="000000" w:sz="4" w:space="0"/>
              <w:bottom w:val="single" w:color="000000" w:sz="4" w:space="0"/>
              <w:right w:val="single" w:color="000000" w:sz="4" w:space="0"/>
            </w:tcBorders>
            <w:noWrap/>
            <w:vAlign w:val="center"/>
          </w:tcPr>
          <w:p w14:paraId="219917C4">
            <w:pPr>
              <w:widowControl/>
              <w:spacing w:line="3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3</w:t>
            </w:r>
          </w:p>
        </w:tc>
        <w:tc>
          <w:tcPr>
            <w:tcW w:w="1311" w:type="dxa"/>
            <w:tcBorders>
              <w:top w:val="single" w:color="000000" w:sz="4" w:space="0"/>
              <w:left w:val="single" w:color="000000" w:sz="4" w:space="0"/>
              <w:bottom w:val="single" w:color="000000" w:sz="4" w:space="0"/>
              <w:right w:val="single" w:color="000000" w:sz="4" w:space="0"/>
            </w:tcBorders>
            <w:noWrap/>
            <w:vAlign w:val="center"/>
          </w:tcPr>
          <w:p w14:paraId="40948DDF">
            <w:pPr>
              <w:widowControl/>
              <w:spacing w:line="3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垃圾清运</w:t>
            </w:r>
          </w:p>
        </w:tc>
        <w:tc>
          <w:tcPr>
            <w:tcW w:w="4146" w:type="dxa"/>
            <w:tcBorders>
              <w:top w:val="single" w:color="000000" w:sz="4" w:space="0"/>
              <w:left w:val="single" w:color="000000" w:sz="4" w:space="0"/>
              <w:bottom w:val="single" w:color="000000" w:sz="4" w:space="0"/>
              <w:right w:val="single" w:color="000000" w:sz="4" w:space="0"/>
            </w:tcBorders>
            <w:noWrap w:val="0"/>
            <w:vAlign w:val="center"/>
          </w:tcPr>
          <w:p w14:paraId="694CAFB4">
            <w:pPr>
              <w:widowControl/>
              <w:spacing w:line="360"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lang w:bidi="ar"/>
              </w:rPr>
              <w:t>收集、转运垃圾的车辆完好、整洁、覆盖封闭运输，无抛洒滴漏污染路面。</w:t>
            </w:r>
            <w:r>
              <w:rPr>
                <w:rFonts w:hint="eastAsia" w:ascii="仿宋" w:hAnsi="仿宋" w:eastAsia="仿宋" w:cs="仿宋"/>
                <w:color w:val="000000"/>
                <w:sz w:val="24"/>
                <w:szCs w:val="24"/>
                <w:lang w:val="en-US" w:eastAsia="zh-CN" w:bidi="ar"/>
              </w:rPr>
              <w:t>垃圾</w:t>
            </w:r>
            <w:r>
              <w:rPr>
                <w:rFonts w:hint="eastAsia" w:ascii="仿宋" w:hAnsi="仿宋" w:eastAsia="仿宋" w:cs="仿宋"/>
                <w:color w:val="000000"/>
                <w:sz w:val="24"/>
                <w:szCs w:val="24"/>
                <w:lang w:eastAsia="zh-CN" w:bidi="ar"/>
              </w:rPr>
              <w:t>清运及时，无积存垃圾。</w:t>
            </w:r>
            <w:r>
              <w:rPr>
                <w:rFonts w:hint="eastAsia" w:ascii="仿宋" w:hAnsi="仿宋" w:eastAsia="仿宋" w:cs="仿宋"/>
                <w:color w:val="000000"/>
                <w:sz w:val="24"/>
                <w:szCs w:val="24"/>
                <w:lang w:bidi="ar"/>
              </w:rPr>
              <w:t>不符合要求每次扣2分。</w:t>
            </w:r>
          </w:p>
        </w:tc>
        <w:tc>
          <w:tcPr>
            <w:tcW w:w="1099" w:type="dxa"/>
            <w:tcBorders>
              <w:top w:val="single" w:color="000000" w:sz="4" w:space="0"/>
              <w:left w:val="single" w:color="000000" w:sz="4" w:space="0"/>
              <w:bottom w:val="single" w:color="000000" w:sz="4" w:space="0"/>
              <w:right w:val="single" w:color="000000" w:sz="4" w:space="0"/>
            </w:tcBorders>
            <w:noWrap/>
            <w:vAlign w:val="center"/>
          </w:tcPr>
          <w:p w14:paraId="18B44169">
            <w:pPr>
              <w:widowControl/>
              <w:spacing w:line="3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1</w:t>
            </w:r>
            <w:r>
              <w:rPr>
                <w:rFonts w:hint="eastAsia" w:ascii="仿宋" w:hAnsi="仿宋" w:eastAsia="仿宋" w:cs="仿宋"/>
                <w:color w:val="000000"/>
                <w:sz w:val="24"/>
                <w:szCs w:val="24"/>
                <w:lang w:val="en-US" w:eastAsia="zh-CN" w:bidi="ar"/>
              </w:rPr>
              <w:t>0</w:t>
            </w:r>
            <w:r>
              <w:rPr>
                <w:rFonts w:hint="eastAsia" w:ascii="仿宋" w:hAnsi="仿宋" w:eastAsia="仿宋" w:cs="仿宋"/>
                <w:color w:val="000000"/>
                <w:sz w:val="24"/>
                <w:szCs w:val="24"/>
                <w:lang w:bidi="ar"/>
              </w:rPr>
              <w:t>分</w:t>
            </w:r>
          </w:p>
        </w:tc>
        <w:tc>
          <w:tcPr>
            <w:tcW w:w="1856" w:type="dxa"/>
            <w:tcBorders>
              <w:top w:val="single" w:color="000000" w:sz="4" w:space="0"/>
              <w:left w:val="single" w:color="000000" w:sz="4" w:space="0"/>
              <w:bottom w:val="single" w:color="000000" w:sz="4" w:space="0"/>
              <w:right w:val="single" w:color="000000" w:sz="4" w:space="0"/>
            </w:tcBorders>
            <w:noWrap/>
            <w:vAlign w:val="center"/>
          </w:tcPr>
          <w:p w14:paraId="2E7BFEBF">
            <w:pPr>
              <w:spacing w:line="360" w:lineRule="exact"/>
              <w:jc w:val="center"/>
              <w:rPr>
                <w:rFonts w:hint="eastAsia" w:ascii="仿宋" w:hAnsi="仿宋" w:eastAsia="仿宋" w:cs="仿宋"/>
                <w:color w:val="000000"/>
                <w:sz w:val="24"/>
                <w:szCs w:val="24"/>
              </w:rPr>
            </w:pPr>
          </w:p>
        </w:tc>
      </w:tr>
      <w:tr w14:paraId="518FC2C5">
        <w:tblPrEx>
          <w:tblCellMar>
            <w:top w:w="0" w:type="dxa"/>
            <w:left w:w="108" w:type="dxa"/>
            <w:bottom w:w="0" w:type="dxa"/>
            <w:right w:w="108" w:type="dxa"/>
          </w:tblCellMar>
        </w:tblPrEx>
        <w:trPr>
          <w:trHeight w:val="567" w:hRule="atLeast"/>
          <w:jc w:val="center"/>
        </w:trPr>
        <w:tc>
          <w:tcPr>
            <w:tcW w:w="973" w:type="dxa"/>
            <w:tcBorders>
              <w:top w:val="single" w:color="000000" w:sz="4" w:space="0"/>
              <w:left w:val="single" w:color="000000" w:sz="4" w:space="0"/>
              <w:bottom w:val="single" w:color="000000" w:sz="4" w:space="0"/>
              <w:right w:val="single" w:color="000000" w:sz="4" w:space="0"/>
            </w:tcBorders>
            <w:noWrap/>
            <w:vAlign w:val="center"/>
          </w:tcPr>
          <w:p w14:paraId="46D98413">
            <w:pPr>
              <w:spacing w:line="3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4</w:t>
            </w:r>
          </w:p>
        </w:tc>
        <w:tc>
          <w:tcPr>
            <w:tcW w:w="1311" w:type="dxa"/>
            <w:tcBorders>
              <w:top w:val="single" w:color="000000" w:sz="4" w:space="0"/>
              <w:left w:val="single" w:color="000000" w:sz="4" w:space="0"/>
              <w:bottom w:val="single" w:color="000000" w:sz="4" w:space="0"/>
              <w:right w:val="single" w:color="000000" w:sz="4" w:space="0"/>
            </w:tcBorders>
            <w:noWrap/>
            <w:vAlign w:val="center"/>
          </w:tcPr>
          <w:p w14:paraId="4ED5CB9A">
            <w:pPr>
              <w:spacing w:line="3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中转站</w:t>
            </w:r>
          </w:p>
        </w:tc>
        <w:tc>
          <w:tcPr>
            <w:tcW w:w="4146" w:type="dxa"/>
            <w:tcBorders>
              <w:top w:val="single" w:color="000000" w:sz="4" w:space="0"/>
              <w:left w:val="single" w:color="000000" w:sz="4" w:space="0"/>
              <w:bottom w:val="single" w:color="000000" w:sz="4" w:space="0"/>
              <w:right w:val="single" w:color="000000" w:sz="4" w:space="0"/>
            </w:tcBorders>
            <w:noWrap w:val="0"/>
            <w:vAlign w:val="center"/>
          </w:tcPr>
          <w:p w14:paraId="2A23C61D">
            <w:pPr>
              <w:widowControl/>
              <w:spacing w:line="360" w:lineRule="exact"/>
              <w:jc w:val="lef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bidi="ar"/>
              </w:rPr>
              <w:t>垃圾中转点密闭或半密闭，且周围整洁，暴露垃圾点必须日清日运</w:t>
            </w:r>
            <w:r>
              <w:rPr>
                <w:rFonts w:hint="eastAsia" w:ascii="仿宋" w:hAnsi="仿宋" w:eastAsia="仿宋" w:cs="仿宋"/>
                <w:color w:val="000000"/>
                <w:sz w:val="24"/>
                <w:szCs w:val="24"/>
                <w:lang w:eastAsia="zh-CN" w:bidi="ar"/>
              </w:rPr>
              <w:t>，场所干净无异味。</w:t>
            </w:r>
            <w:r>
              <w:rPr>
                <w:rFonts w:hint="eastAsia" w:ascii="仿宋" w:hAnsi="仿宋" w:eastAsia="仿宋" w:cs="仿宋"/>
                <w:color w:val="000000"/>
                <w:sz w:val="24"/>
                <w:szCs w:val="24"/>
                <w:lang w:bidi="ar"/>
              </w:rPr>
              <w:t>不符合要求每次扣3分。</w:t>
            </w:r>
            <w:r>
              <w:rPr>
                <w:rFonts w:hint="eastAsia" w:ascii="仿宋" w:hAnsi="仿宋" w:eastAsia="仿宋" w:cs="仿宋"/>
                <w:color w:val="000000"/>
                <w:sz w:val="24"/>
                <w:szCs w:val="24"/>
                <w:lang w:val="en-US" w:eastAsia="zh-CN" w:bidi="ar"/>
              </w:rPr>
              <w:t>场所内</w:t>
            </w:r>
            <w:r>
              <w:rPr>
                <w:rFonts w:hint="eastAsia" w:ascii="仿宋" w:hAnsi="仿宋" w:eastAsia="仿宋" w:cs="仿宋"/>
                <w:color w:val="000000"/>
                <w:sz w:val="24"/>
                <w:szCs w:val="24"/>
                <w:lang w:eastAsia="zh-CN" w:bidi="ar"/>
              </w:rPr>
              <w:t>发生安全事故的此项不得分。</w:t>
            </w:r>
          </w:p>
        </w:tc>
        <w:tc>
          <w:tcPr>
            <w:tcW w:w="1099" w:type="dxa"/>
            <w:tcBorders>
              <w:top w:val="single" w:color="000000" w:sz="4" w:space="0"/>
              <w:left w:val="single" w:color="000000" w:sz="4" w:space="0"/>
              <w:bottom w:val="single" w:color="000000" w:sz="4" w:space="0"/>
              <w:right w:val="single" w:color="000000" w:sz="4" w:space="0"/>
            </w:tcBorders>
            <w:noWrap/>
            <w:vAlign w:val="center"/>
          </w:tcPr>
          <w:p w14:paraId="36AACBB7">
            <w:pPr>
              <w:widowControl/>
              <w:spacing w:line="3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ar"/>
              </w:rPr>
              <w:t>5</w:t>
            </w:r>
            <w:r>
              <w:rPr>
                <w:rFonts w:hint="eastAsia" w:ascii="仿宋" w:hAnsi="仿宋" w:eastAsia="仿宋" w:cs="仿宋"/>
                <w:color w:val="000000"/>
                <w:sz w:val="24"/>
                <w:szCs w:val="24"/>
                <w:lang w:bidi="ar"/>
              </w:rPr>
              <w:t>分</w:t>
            </w:r>
          </w:p>
        </w:tc>
        <w:tc>
          <w:tcPr>
            <w:tcW w:w="1856" w:type="dxa"/>
            <w:tcBorders>
              <w:top w:val="single" w:color="000000" w:sz="4" w:space="0"/>
              <w:left w:val="single" w:color="000000" w:sz="4" w:space="0"/>
              <w:bottom w:val="single" w:color="000000" w:sz="4" w:space="0"/>
              <w:right w:val="single" w:color="000000" w:sz="4" w:space="0"/>
            </w:tcBorders>
            <w:noWrap/>
            <w:vAlign w:val="center"/>
          </w:tcPr>
          <w:p w14:paraId="6AC055D4">
            <w:pPr>
              <w:spacing w:line="360" w:lineRule="exact"/>
              <w:jc w:val="center"/>
              <w:rPr>
                <w:rFonts w:hint="eastAsia" w:ascii="仿宋" w:hAnsi="仿宋" w:eastAsia="仿宋" w:cs="仿宋"/>
                <w:color w:val="000000"/>
                <w:sz w:val="24"/>
                <w:szCs w:val="24"/>
              </w:rPr>
            </w:pPr>
          </w:p>
        </w:tc>
      </w:tr>
      <w:tr w14:paraId="6E2AAD51">
        <w:tblPrEx>
          <w:tblCellMar>
            <w:top w:w="0" w:type="dxa"/>
            <w:left w:w="108" w:type="dxa"/>
            <w:bottom w:w="0" w:type="dxa"/>
            <w:right w:w="108" w:type="dxa"/>
          </w:tblCellMar>
        </w:tblPrEx>
        <w:trPr>
          <w:trHeight w:val="567" w:hRule="atLeast"/>
          <w:jc w:val="center"/>
        </w:trPr>
        <w:tc>
          <w:tcPr>
            <w:tcW w:w="973" w:type="dxa"/>
            <w:tcBorders>
              <w:top w:val="single" w:color="000000" w:sz="4" w:space="0"/>
              <w:left w:val="single" w:color="000000" w:sz="4" w:space="0"/>
              <w:bottom w:val="single" w:color="000000" w:sz="4" w:space="0"/>
              <w:right w:val="single" w:color="000000" w:sz="4" w:space="0"/>
            </w:tcBorders>
            <w:noWrap/>
            <w:vAlign w:val="center"/>
          </w:tcPr>
          <w:p w14:paraId="3CB8F1E3">
            <w:pPr>
              <w:widowControl/>
              <w:spacing w:line="3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5</w:t>
            </w:r>
          </w:p>
        </w:tc>
        <w:tc>
          <w:tcPr>
            <w:tcW w:w="1311" w:type="dxa"/>
            <w:tcBorders>
              <w:top w:val="single" w:color="000000" w:sz="4" w:space="0"/>
              <w:left w:val="single" w:color="000000" w:sz="4" w:space="0"/>
              <w:bottom w:val="single" w:color="000000" w:sz="4" w:space="0"/>
              <w:right w:val="single" w:color="000000" w:sz="4" w:space="0"/>
            </w:tcBorders>
            <w:noWrap/>
            <w:vAlign w:val="center"/>
          </w:tcPr>
          <w:p w14:paraId="0CD72B77">
            <w:pPr>
              <w:widowControl/>
              <w:spacing w:line="3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农贸市场</w:t>
            </w:r>
          </w:p>
        </w:tc>
        <w:tc>
          <w:tcPr>
            <w:tcW w:w="4146" w:type="dxa"/>
            <w:tcBorders>
              <w:top w:val="single" w:color="000000" w:sz="4" w:space="0"/>
              <w:left w:val="single" w:color="000000" w:sz="4" w:space="0"/>
              <w:bottom w:val="single" w:color="000000" w:sz="4" w:space="0"/>
              <w:right w:val="single" w:color="000000" w:sz="4" w:space="0"/>
            </w:tcBorders>
            <w:noWrap w:val="0"/>
            <w:vAlign w:val="center"/>
          </w:tcPr>
          <w:p w14:paraId="5C214C74">
            <w:pPr>
              <w:widowControl/>
              <w:spacing w:line="360" w:lineRule="exact"/>
              <w:jc w:val="left"/>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bidi="ar"/>
              </w:rPr>
              <w:t>农贸市场环境干净整洁，无流动摊点，无借道经营，车辆停放有序。</w:t>
            </w:r>
            <w:r>
              <w:rPr>
                <w:rFonts w:hint="eastAsia" w:ascii="仿宋" w:hAnsi="仿宋" w:eastAsia="仿宋" w:cs="仿宋"/>
                <w:color w:val="000000"/>
                <w:sz w:val="24"/>
                <w:szCs w:val="24"/>
                <w:lang w:eastAsia="zh-CN" w:bidi="ar"/>
              </w:rPr>
              <w:t>农产品质量抽检合格</w:t>
            </w:r>
            <w:r>
              <w:rPr>
                <w:rFonts w:hint="eastAsia" w:ascii="仿宋" w:hAnsi="仿宋" w:eastAsia="仿宋" w:cs="仿宋"/>
                <w:color w:val="000000"/>
                <w:sz w:val="24"/>
                <w:szCs w:val="24"/>
                <w:lang w:val="en-US" w:eastAsia="zh-CN" w:bidi="ar"/>
              </w:rPr>
              <w:t>，</w:t>
            </w:r>
            <w:r>
              <w:rPr>
                <w:rFonts w:hint="eastAsia" w:ascii="仿宋" w:hAnsi="仿宋" w:eastAsia="仿宋" w:cs="仿宋"/>
                <w:color w:val="000000"/>
                <w:sz w:val="24"/>
                <w:szCs w:val="24"/>
                <w:lang w:bidi="ar"/>
              </w:rPr>
              <w:t>不符合要求每次扣3分。</w:t>
            </w:r>
            <w:r>
              <w:rPr>
                <w:rFonts w:hint="eastAsia" w:ascii="仿宋" w:hAnsi="仿宋" w:eastAsia="仿宋" w:cs="仿宋"/>
                <w:color w:val="000000"/>
                <w:sz w:val="24"/>
                <w:szCs w:val="24"/>
                <w:lang w:eastAsia="zh-CN" w:bidi="ar"/>
              </w:rPr>
              <w:t>发生食品安全事故的此项不得分。</w:t>
            </w:r>
          </w:p>
        </w:tc>
        <w:tc>
          <w:tcPr>
            <w:tcW w:w="1099" w:type="dxa"/>
            <w:tcBorders>
              <w:top w:val="single" w:color="000000" w:sz="4" w:space="0"/>
              <w:left w:val="single" w:color="000000" w:sz="4" w:space="0"/>
              <w:bottom w:val="single" w:color="000000" w:sz="4" w:space="0"/>
              <w:right w:val="single" w:color="000000" w:sz="4" w:space="0"/>
            </w:tcBorders>
            <w:noWrap/>
            <w:vAlign w:val="center"/>
          </w:tcPr>
          <w:p w14:paraId="1507CAF8">
            <w:pPr>
              <w:widowControl/>
              <w:spacing w:line="3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1</w:t>
            </w:r>
            <w:r>
              <w:rPr>
                <w:rFonts w:hint="eastAsia" w:ascii="仿宋" w:hAnsi="仿宋" w:eastAsia="仿宋" w:cs="仿宋"/>
                <w:color w:val="000000"/>
                <w:sz w:val="24"/>
                <w:szCs w:val="24"/>
                <w:lang w:val="en-US" w:eastAsia="zh-CN" w:bidi="ar"/>
              </w:rPr>
              <w:t>0</w:t>
            </w:r>
            <w:r>
              <w:rPr>
                <w:rFonts w:hint="eastAsia" w:ascii="仿宋" w:hAnsi="仿宋" w:eastAsia="仿宋" w:cs="仿宋"/>
                <w:color w:val="000000"/>
                <w:sz w:val="24"/>
                <w:szCs w:val="24"/>
                <w:lang w:bidi="ar"/>
              </w:rPr>
              <w:t>分</w:t>
            </w:r>
          </w:p>
        </w:tc>
        <w:tc>
          <w:tcPr>
            <w:tcW w:w="1856" w:type="dxa"/>
            <w:tcBorders>
              <w:top w:val="single" w:color="000000" w:sz="4" w:space="0"/>
              <w:left w:val="single" w:color="000000" w:sz="4" w:space="0"/>
              <w:bottom w:val="single" w:color="000000" w:sz="4" w:space="0"/>
              <w:right w:val="single" w:color="000000" w:sz="4" w:space="0"/>
            </w:tcBorders>
            <w:noWrap/>
            <w:vAlign w:val="center"/>
          </w:tcPr>
          <w:p w14:paraId="769336E2">
            <w:pPr>
              <w:spacing w:line="360" w:lineRule="exact"/>
              <w:jc w:val="center"/>
              <w:rPr>
                <w:rFonts w:hint="eastAsia" w:ascii="仿宋" w:hAnsi="仿宋" w:eastAsia="仿宋" w:cs="仿宋"/>
                <w:color w:val="000000"/>
                <w:sz w:val="24"/>
                <w:szCs w:val="24"/>
              </w:rPr>
            </w:pPr>
          </w:p>
        </w:tc>
      </w:tr>
      <w:tr w14:paraId="2F98CEDD">
        <w:tblPrEx>
          <w:tblCellMar>
            <w:top w:w="0" w:type="dxa"/>
            <w:left w:w="108" w:type="dxa"/>
            <w:bottom w:w="0" w:type="dxa"/>
            <w:right w:w="108" w:type="dxa"/>
          </w:tblCellMar>
        </w:tblPrEx>
        <w:trPr>
          <w:trHeight w:val="567" w:hRule="atLeast"/>
          <w:jc w:val="center"/>
        </w:trPr>
        <w:tc>
          <w:tcPr>
            <w:tcW w:w="973" w:type="dxa"/>
            <w:tcBorders>
              <w:top w:val="single" w:color="000000" w:sz="4" w:space="0"/>
              <w:left w:val="single" w:color="000000" w:sz="4" w:space="0"/>
              <w:bottom w:val="single" w:color="000000" w:sz="4" w:space="0"/>
              <w:right w:val="single" w:color="000000" w:sz="4" w:space="0"/>
            </w:tcBorders>
            <w:noWrap/>
            <w:vAlign w:val="center"/>
          </w:tcPr>
          <w:p w14:paraId="5595B7EC">
            <w:pPr>
              <w:widowControl/>
              <w:spacing w:line="360" w:lineRule="exact"/>
              <w:jc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6</w:t>
            </w:r>
          </w:p>
        </w:tc>
        <w:tc>
          <w:tcPr>
            <w:tcW w:w="1311" w:type="dxa"/>
            <w:tcBorders>
              <w:top w:val="single" w:color="000000" w:sz="4" w:space="0"/>
              <w:left w:val="single" w:color="000000" w:sz="4" w:space="0"/>
              <w:bottom w:val="single" w:color="000000" w:sz="4" w:space="0"/>
              <w:right w:val="single" w:color="000000" w:sz="4" w:space="0"/>
            </w:tcBorders>
            <w:noWrap/>
            <w:vAlign w:val="center"/>
          </w:tcPr>
          <w:p w14:paraId="72C6CED7">
            <w:pPr>
              <w:widowControl/>
              <w:spacing w:line="360" w:lineRule="exact"/>
              <w:jc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公厕保洁</w:t>
            </w:r>
          </w:p>
        </w:tc>
        <w:tc>
          <w:tcPr>
            <w:tcW w:w="4146" w:type="dxa"/>
            <w:tcBorders>
              <w:top w:val="single" w:color="000000" w:sz="4" w:space="0"/>
              <w:left w:val="single" w:color="000000" w:sz="4" w:space="0"/>
              <w:bottom w:val="single" w:color="000000" w:sz="4" w:space="0"/>
              <w:right w:val="single" w:color="000000" w:sz="4" w:space="0"/>
            </w:tcBorders>
            <w:noWrap w:val="0"/>
            <w:vAlign w:val="center"/>
          </w:tcPr>
          <w:p w14:paraId="1AFEF480">
            <w:pPr>
              <w:widowControl/>
              <w:spacing w:line="360" w:lineRule="exact"/>
              <w:jc w:val="lef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早厕无异味，纸篓及时清理，镜子无水渍，洗手池及地面干净整洁。不符合要求每次扣2分。</w:t>
            </w:r>
          </w:p>
        </w:tc>
        <w:tc>
          <w:tcPr>
            <w:tcW w:w="1099" w:type="dxa"/>
            <w:tcBorders>
              <w:top w:val="single" w:color="000000" w:sz="4" w:space="0"/>
              <w:left w:val="single" w:color="000000" w:sz="4" w:space="0"/>
              <w:bottom w:val="single" w:color="000000" w:sz="4" w:space="0"/>
              <w:right w:val="single" w:color="000000" w:sz="4" w:space="0"/>
            </w:tcBorders>
            <w:noWrap/>
            <w:vAlign w:val="center"/>
          </w:tcPr>
          <w:p w14:paraId="514C9BBB">
            <w:pPr>
              <w:widowControl/>
              <w:spacing w:line="360" w:lineRule="exact"/>
              <w:jc w:val="center"/>
              <w:rPr>
                <w:rFonts w:hint="eastAsia" w:ascii="仿宋" w:hAnsi="仿宋" w:eastAsia="仿宋" w:cs="仿宋"/>
                <w:color w:val="000000"/>
                <w:sz w:val="24"/>
                <w:szCs w:val="24"/>
                <w:lang w:bidi="ar"/>
              </w:rPr>
            </w:pPr>
            <w:r>
              <w:rPr>
                <w:rFonts w:hint="eastAsia" w:ascii="仿宋" w:hAnsi="仿宋" w:eastAsia="仿宋" w:cs="仿宋"/>
                <w:color w:val="000000"/>
                <w:sz w:val="24"/>
                <w:szCs w:val="24"/>
                <w:lang w:val="en-US" w:eastAsia="zh-CN" w:bidi="ar"/>
              </w:rPr>
              <w:t>5</w:t>
            </w:r>
            <w:r>
              <w:rPr>
                <w:rFonts w:hint="eastAsia" w:ascii="仿宋" w:hAnsi="仿宋" w:eastAsia="仿宋" w:cs="仿宋"/>
                <w:color w:val="000000"/>
                <w:sz w:val="24"/>
                <w:szCs w:val="24"/>
                <w:lang w:bidi="ar"/>
              </w:rPr>
              <w:t>分</w:t>
            </w:r>
          </w:p>
        </w:tc>
        <w:tc>
          <w:tcPr>
            <w:tcW w:w="1856" w:type="dxa"/>
            <w:tcBorders>
              <w:top w:val="single" w:color="000000" w:sz="4" w:space="0"/>
              <w:left w:val="single" w:color="000000" w:sz="4" w:space="0"/>
              <w:bottom w:val="single" w:color="000000" w:sz="4" w:space="0"/>
              <w:right w:val="single" w:color="000000" w:sz="4" w:space="0"/>
            </w:tcBorders>
            <w:noWrap/>
            <w:vAlign w:val="center"/>
          </w:tcPr>
          <w:p w14:paraId="7C1B7C72">
            <w:pPr>
              <w:spacing w:line="360" w:lineRule="exact"/>
              <w:jc w:val="center"/>
              <w:rPr>
                <w:rFonts w:hint="eastAsia" w:ascii="仿宋" w:hAnsi="仿宋" w:eastAsia="仿宋" w:cs="仿宋"/>
                <w:color w:val="000000"/>
                <w:sz w:val="24"/>
                <w:szCs w:val="24"/>
              </w:rPr>
            </w:pPr>
          </w:p>
        </w:tc>
      </w:tr>
      <w:tr w14:paraId="4A1266D1">
        <w:tblPrEx>
          <w:tblCellMar>
            <w:top w:w="0" w:type="dxa"/>
            <w:left w:w="108" w:type="dxa"/>
            <w:bottom w:w="0" w:type="dxa"/>
            <w:right w:w="108" w:type="dxa"/>
          </w:tblCellMar>
        </w:tblPrEx>
        <w:trPr>
          <w:trHeight w:val="567" w:hRule="atLeast"/>
          <w:jc w:val="center"/>
        </w:trPr>
        <w:tc>
          <w:tcPr>
            <w:tcW w:w="973" w:type="dxa"/>
            <w:tcBorders>
              <w:top w:val="single" w:color="000000" w:sz="4" w:space="0"/>
              <w:left w:val="single" w:color="000000" w:sz="4" w:space="0"/>
              <w:bottom w:val="single" w:color="000000" w:sz="4" w:space="0"/>
              <w:right w:val="single" w:color="000000" w:sz="4" w:space="0"/>
            </w:tcBorders>
            <w:noWrap/>
            <w:vAlign w:val="center"/>
          </w:tcPr>
          <w:p w14:paraId="3DE37971">
            <w:pPr>
              <w:widowControl/>
              <w:spacing w:line="36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bidi="ar"/>
              </w:rPr>
              <w:t>7</w:t>
            </w:r>
          </w:p>
        </w:tc>
        <w:tc>
          <w:tcPr>
            <w:tcW w:w="1311" w:type="dxa"/>
            <w:tcBorders>
              <w:top w:val="single" w:color="000000" w:sz="4" w:space="0"/>
              <w:left w:val="single" w:color="000000" w:sz="4" w:space="0"/>
              <w:bottom w:val="single" w:color="000000" w:sz="4" w:space="0"/>
              <w:right w:val="single" w:color="000000" w:sz="4" w:space="0"/>
            </w:tcBorders>
            <w:noWrap/>
            <w:vAlign w:val="center"/>
          </w:tcPr>
          <w:p w14:paraId="6ADF41EF">
            <w:pPr>
              <w:widowControl/>
              <w:spacing w:line="3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绿化养护</w:t>
            </w:r>
          </w:p>
        </w:tc>
        <w:tc>
          <w:tcPr>
            <w:tcW w:w="4146" w:type="dxa"/>
            <w:tcBorders>
              <w:top w:val="single" w:color="000000" w:sz="4" w:space="0"/>
              <w:left w:val="single" w:color="000000" w:sz="4" w:space="0"/>
              <w:bottom w:val="single" w:color="000000" w:sz="4" w:space="0"/>
              <w:right w:val="single" w:color="000000" w:sz="4" w:space="0"/>
            </w:tcBorders>
            <w:noWrap w:val="0"/>
            <w:vAlign w:val="center"/>
          </w:tcPr>
          <w:p w14:paraId="4E2AC655">
            <w:pPr>
              <w:widowControl/>
              <w:spacing w:line="360"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lang w:bidi="ar"/>
              </w:rPr>
              <w:t>绿化养护好，保证绿化养护范围</w:t>
            </w:r>
            <w:r>
              <w:rPr>
                <w:rFonts w:hint="eastAsia" w:ascii="仿宋" w:hAnsi="仿宋" w:eastAsia="仿宋" w:cs="仿宋"/>
                <w:color w:val="000000"/>
                <w:sz w:val="24"/>
                <w:szCs w:val="24"/>
                <w:lang w:eastAsia="zh-CN" w:bidi="ar"/>
              </w:rPr>
              <w:t>和河坡</w:t>
            </w:r>
            <w:r>
              <w:rPr>
                <w:rFonts w:hint="eastAsia" w:ascii="仿宋" w:hAnsi="仿宋" w:eastAsia="仿宋" w:cs="仿宋"/>
                <w:color w:val="000000"/>
                <w:sz w:val="24"/>
                <w:szCs w:val="24"/>
                <w:lang w:bidi="ar"/>
              </w:rPr>
              <w:t>的绿化带、花坛等整洁美观、无杂草、无垃圾、无杂物</w:t>
            </w:r>
            <w:r>
              <w:rPr>
                <w:rFonts w:hint="eastAsia" w:ascii="仿宋" w:hAnsi="仿宋" w:eastAsia="仿宋" w:cs="仿宋"/>
                <w:color w:val="000000"/>
                <w:sz w:val="24"/>
                <w:szCs w:val="24"/>
                <w:lang w:eastAsia="zh-CN" w:bidi="ar"/>
              </w:rPr>
              <w:t>，及时喷洒农药，绿化无坏死和灭失</w:t>
            </w:r>
            <w:r>
              <w:rPr>
                <w:rFonts w:hint="eastAsia" w:ascii="仿宋" w:hAnsi="仿宋" w:eastAsia="仿宋" w:cs="仿宋"/>
                <w:color w:val="000000"/>
                <w:sz w:val="24"/>
                <w:szCs w:val="24"/>
                <w:lang w:bidi="ar"/>
              </w:rPr>
              <w:t>。不符合要求每处扣3分。</w:t>
            </w:r>
          </w:p>
        </w:tc>
        <w:tc>
          <w:tcPr>
            <w:tcW w:w="1099" w:type="dxa"/>
            <w:tcBorders>
              <w:top w:val="single" w:color="000000" w:sz="4" w:space="0"/>
              <w:left w:val="single" w:color="000000" w:sz="4" w:space="0"/>
              <w:bottom w:val="single" w:color="000000" w:sz="4" w:space="0"/>
              <w:right w:val="single" w:color="000000" w:sz="4" w:space="0"/>
            </w:tcBorders>
            <w:noWrap/>
            <w:vAlign w:val="center"/>
          </w:tcPr>
          <w:p w14:paraId="2BA228EA">
            <w:pPr>
              <w:widowControl/>
              <w:spacing w:line="3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1</w:t>
            </w:r>
            <w:r>
              <w:rPr>
                <w:rFonts w:hint="eastAsia" w:ascii="仿宋" w:hAnsi="仿宋" w:eastAsia="仿宋" w:cs="仿宋"/>
                <w:color w:val="000000"/>
                <w:sz w:val="24"/>
                <w:szCs w:val="24"/>
                <w:lang w:val="en-US" w:eastAsia="zh-CN" w:bidi="ar"/>
              </w:rPr>
              <w:t>0</w:t>
            </w:r>
            <w:r>
              <w:rPr>
                <w:rFonts w:hint="eastAsia" w:ascii="仿宋" w:hAnsi="仿宋" w:eastAsia="仿宋" w:cs="仿宋"/>
                <w:color w:val="000000"/>
                <w:sz w:val="24"/>
                <w:szCs w:val="24"/>
                <w:lang w:bidi="ar"/>
              </w:rPr>
              <w:t>分</w:t>
            </w:r>
          </w:p>
        </w:tc>
        <w:tc>
          <w:tcPr>
            <w:tcW w:w="1856" w:type="dxa"/>
            <w:tcBorders>
              <w:top w:val="single" w:color="000000" w:sz="4" w:space="0"/>
              <w:left w:val="single" w:color="000000" w:sz="4" w:space="0"/>
              <w:bottom w:val="single" w:color="000000" w:sz="4" w:space="0"/>
              <w:right w:val="single" w:color="000000" w:sz="4" w:space="0"/>
            </w:tcBorders>
            <w:noWrap/>
            <w:vAlign w:val="center"/>
          </w:tcPr>
          <w:p w14:paraId="550CB52A">
            <w:pPr>
              <w:spacing w:line="360" w:lineRule="exact"/>
              <w:jc w:val="center"/>
              <w:rPr>
                <w:rFonts w:hint="eastAsia" w:ascii="仿宋" w:hAnsi="仿宋" w:eastAsia="仿宋" w:cs="仿宋"/>
                <w:color w:val="000000"/>
                <w:sz w:val="24"/>
                <w:szCs w:val="24"/>
              </w:rPr>
            </w:pPr>
          </w:p>
        </w:tc>
      </w:tr>
      <w:tr w14:paraId="1379E55A">
        <w:tblPrEx>
          <w:tblCellMar>
            <w:top w:w="0" w:type="dxa"/>
            <w:left w:w="108" w:type="dxa"/>
            <w:bottom w:w="0" w:type="dxa"/>
            <w:right w:w="108" w:type="dxa"/>
          </w:tblCellMar>
        </w:tblPrEx>
        <w:trPr>
          <w:trHeight w:val="567" w:hRule="atLeast"/>
          <w:jc w:val="center"/>
        </w:trPr>
        <w:tc>
          <w:tcPr>
            <w:tcW w:w="973" w:type="dxa"/>
            <w:tcBorders>
              <w:top w:val="single" w:color="000000" w:sz="4" w:space="0"/>
              <w:left w:val="single" w:color="000000" w:sz="4" w:space="0"/>
              <w:bottom w:val="single" w:color="000000" w:sz="4" w:space="0"/>
              <w:right w:val="single" w:color="000000" w:sz="4" w:space="0"/>
            </w:tcBorders>
            <w:noWrap/>
            <w:vAlign w:val="center"/>
          </w:tcPr>
          <w:p w14:paraId="68188DBA">
            <w:pPr>
              <w:widowControl/>
              <w:spacing w:line="360" w:lineRule="exact"/>
              <w:jc w:val="center"/>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8</w:t>
            </w:r>
          </w:p>
        </w:tc>
        <w:tc>
          <w:tcPr>
            <w:tcW w:w="1311" w:type="dxa"/>
            <w:tcBorders>
              <w:top w:val="single" w:color="000000" w:sz="4" w:space="0"/>
              <w:left w:val="single" w:color="000000" w:sz="4" w:space="0"/>
              <w:bottom w:val="single" w:color="000000" w:sz="4" w:space="0"/>
              <w:right w:val="single" w:color="000000" w:sz="4" w:space="0"/>
            </w:tcBorders>
            <w:noWrap/>
            <w:vAlign w:val="center"/>
          </w:tcPr>
          <w:p w14:paraId="55B4BA38">
            <w:pPr>
              <w:widowControl/>
              <w:spacing w:line="360" w:lineRule="exact"/>
              <w:jc w:val="center"/>
              <w:rPr>
                <w:rFonts w:hint="eastAsia" w:ascii="仿宋" w:hAnsi="仿宋" w:eastAsia="仿宋" w:cs="仿宋"/>
                <w:color w:val="000000"/>
                <w:sz w:val="24"/>
                <w:szCs w:val="24"/>
                <w:lang w:eastAsia="zh-CN" w:bidi="ar"/>
              </w:rPr>
            </w:pPr>
            <w:r>
              <w:rPr>
                <w:rFonts w:hint="eastAsia" w:ascii="仿宋" w:hAnsi="仿宋" w:eastAsia="仿宋" w:cs="仿宋"/>
                <w:color w:val="000000"/>
                <w:sz w:val="24"/>
                <w:szCs w:val="24"/>
                <w:lang w:eastAsia="zh-CN" w:bidi="ar"/>
              </w:rPr>
              <w:t>洒水作业</w:t>
            </w:r>
          </w:p>
        </w:tc>
        <w:tc>
          <w:tcPr>
            <w:tcW w:w="4146" w:type="dxa"/>
            <w:tcBorders>
              <w:top w:val="single" w:color="000000" w:sz="4" w:space="0"/>
              <w:left w:val="single" w:color="000000" w:sz="4" w:space="0"/>
              <w:bottom w:val="single" w:color="000000" w:sz="4" w:space="0"/>
              <w:right w:val="single" w:color="000000" w:sz="4" w:space="0"/>
            </w:tcBorders>
            <w:noWrap w:val="0"/>
            <w:vAlign w:val="center"/>
          </w:tcPr>
          <w:p w14:paraId="5F7D40C2">
            <w:pPr>
              <w:widowControl/>
              <w:spacing w:line="360" w:lineRule="exact"/>
              <w:jc w:val="left"/>
              <w:rPr>
                <w:rFonts w:hint="default" w:ascii="仿宋" w:hAnsi="仿宋" w:eastAsia="仿宋" w:cs="仿宋"/>
                <w:color w:val="000000"/>
                <w:sz w:val="24"/>
                <w:szCs w:val="24"/>
                <w:lang w:val="en-US" w:eastAsia="zh-CN" w:bidi="ar"/>
              </w:rPr>
            </w:pPr>
            <w:r>
              <w:rPr>
                <w:rFonts w:hint="eastAsia" w:ascii="仿宋" w:hAnsi="仿宋" w:eastAsia="仿宋" w:cs="仿宋"/>
                <w:color w:val="000000"/>
                <w:sz w:val="24"/>
                <w:szCs w:val="24"/>
                <w:lang w:eastAsia="zh-CN" w:bidi="ar"/>
              </w:rPr>
              <w:t>每日</w:t>
            </w:r>
            <w:r>
              <w:rPr>
                <w:rFonts w:hint="eastAsia" w:ascii="仿宋" w:hAnsi="仿宋" w:eastAsia="仿宋" w:cs="仿宋"/>
                <w:color w:val="000000"/>
                <w:sz w:val="24"/>
                <w:szCs w:val="24"/>
                <w:lang w:val="en-US" w:eastAsia="zh-CN" w:bidi="ar"/>
              </w:rPr>
              <w:t>2次洒水，缺1次扣1分。</w:t>
            </w:r>
          </w:p>
        </w:tc>
        <w:tc>
          <w:tcPr>
            <w:tcW w:w="1099" w:type="dxa"/>
            <w:tcBorders>
              <w:top w:val="single" w:color="000000" w:sz="4" w:space="0"/>
              <w:left w:val="single" w:color="000000" w:sz="4" w:space="0"/>
              <w:bottom w:val="single" w:color="000000" w:sz="4" w:space="0"/>
              <w:right w:val="single" w:color="000000" w:sz="4" w:space="0"/>
            </w:tcBorders>
            <w:noWrap/>
            <w:vAlign w:val="center"/>
          </w:tcPr>
          <w:p w14:paraId="54A43936">
            <w:pPr>
              <w:widowControl/>
              <w:spacing w:line="360" w:lineRule="exact"/>
              <w:jc w:val="center"/>
              <w:rPr>
                <w:rFonts w:hint="default"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5</w:t>
            </w:r>
            <w:r>
              <w:rPr>
                <w:rFonts w:hint="eastAsia" w:ascii="仿宋" w:hAnsi="仿宋" w:eastAsia="仿宋" w:cs="仿宋"/>
                <w:color w:val="000000"/>
                <w:sz w:val="24"/>
                <w:szCs w:val="24"/>
                <w:lang w:bidi="ar"/>
              </w:rPr>
              <w:t>分</w:t>
            </w:r>
          </w:p>
        </w:tc>
        <w:tc>
          <w:tcPr>
            <w:tcW w:w="1856" w:type="dxa"/>
            <w:tcBorders>
              <w:top w:val="single" w:color="000000" w:sz="4" w:space="0"/>
              <w:left w:val="single" w:color="000000" w:sz="4" w:space="0"/>
              <w:bottom w:val="single" w:color="000000" w:sz="4" w:space="0"/>
              <w:right w:val="single" w:color="000000" w:sz="4" w:space="0"/>
            </w:tcBorders>
            <w:noWrap/>
            <w:vAlign w:val="center"/>
          </w:tcPr>
          <w:p w14:paraId="67D93045">
            <w:pPr>
              <w:spacing w:line="360" w:lineRule="exact"/>
              <w:jc w:val="center"/>
              <w:rPr>
                <w:rFonts w:hint="eastAsia" w:ascii="仿宋" w:hAnsi="仿宋" w:eastAsia="仿宋" w:cs="仿宋"/>
                <w:color w:val="000000"/>
                <w:sz w:val="24"/>
                <w:szCs w:val="24"/>
              </w:rPr>
            </w:pPr>
          </w:p>
        </w:tc>
      </w:tr>
      <w:tr w14:paraId="4B83C42A">
        <w:tblPrEx>
          <w:tblCellMar>
            <w:top w:w="0" w:type="dxa"/>
            <w:left w:w="108" w:type="dxa"/>
            <w:bottom w:w="0" w:type="dxa"/>
            <w:right w:w="108" w:type="dxa"/>
          </w:tblCellMar>
        </w:tblPrEx>
        <w:trPr>
          <w:trHeight w:val="567" w:hRule="atLeast"/>
          <w:jc w:val="center"/>
        </w:trPr>
        <w:tc>
          <w:tcPr>
            <w:tcW w:w="973" w:type="dxa"/>
            <w:tcBorders>
              <w:top w:val="single" w:color="000000" w:sz="4" w:space="0"/>
              <w:left w:val="single" w:color="000000" w:sz="4" w:space="0"/>
              <w:bottom w:val="single" w:color="000000" w:sz="4" w:space="0"/>
              <w:right w:val="single" w:color="000000" w:sz="4" w:space="0"/>
            </w:tcBorders>
            <w:noWrap/>
            <w:vAlign w:val="center"/>
          </w:tcPr>
          <w:p w14:paraId="2161C565">
            <w:pPr>
              <w:widowControl/>
              <w:spacing w:line="360" w:lineRule="exact"/>
              <w:jc w:val="center"/>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9</w:t>
            </w:r>
          </w:p>
        </w:tc>
        <w:tc>
          <w:tcPr>
            <w:tcW w:w="1311" w:type="dxa"/>
            <w:tcBorders>
              <w:top w:val="single" w:color="000000" w:sz="4" w:space="0"/>
              <w:left w:val="single" w:color="000000" w:sz="4" w:space="0"/>
              <w:bottom w:val="single" w:color="000000" w:sz="4" w:space="0"/>
              <w:right w:val="single" w:color="000000" w:sz="4" w:space="0"/>
            </w:tcBorders>
            <w:noWrap/>
            <w:vAlign w:val="center"/>
          </w:tcPr>
          <w:p w14:paraId="4095D8D2">
            <w:pPr>
              <w:widowControl/>
              <w:spacing w:line="360" w:lineRule="exact"/>
              <w:jc w:val="center"/>
              <w:rPr>
                <w:rFonts w:hint="eastAsia" w:ascii="仿宋" w:hAnsi="仿宋" w:eastAsia="仿宋" w:cs="仿宋"/>
                <w:color w:val="000000"/>
                <w:sz w:val="24"/>
                <w:szCs w:val="24"/>
                <w:lang w:eastAsia="zh-CN" w:bidi="ar"/>
              </w:rPr>
            </w:pPr>
            <w:r>
              <w:rPr>
                <w:rFonts w:hint="eastAsia" w:ascii="仿宋" w:hAnsi="仿宋" w:eastAsia="仿宋" w:cs="仿宋"/>
                <w:color w:val="000000"/>
                <w:sz w:val="24"/>
                <w:szCs w:val="24"/>
                <w:lang w:eastAsia="zh-CN" w:bidi="ar"/>
              </w:rPr>
              <w:t>立面</w:t>
            </w:r>
            <w:r>
              <w:rPr>
                <w:rFonts w:hint="eastAsia" w:ascii="仿宋" w:hAnsi="仿宋" w:eastAsia="仿宋" w:cs="仿宋"/>
                <w:color w:val="000000"/>
                <w:sz w:val="24"/>
                <w:szCs w:val="24"/>
                <w:lang w:val="en-US" w:eastAsia="zh-CN" w:bidi="ar"/>
              </w:rPr>
              <w:t>保洁</w:t>
            </w:r>
          </w:p>
        </w:tc>
        <w:tc>
          <w:tcPr>
            <w:tcW w:w="4146" w:type="dxa"/>
            <w:tcBorders>
              <w:top w:val="single" w:color="000000" w:sz="4" w:space="0"/>
              <w:left w:val="single" w:color="000000" w:sz="4" w:space="0"/>
              <w:bottom w:val="single" w:color="000000" w:sz="4" w:space="0"/>
              <w:right w:val="single" w:color="000000" w:sz="4" w:space="0"/>
            </w:tcBorders>
            <w:noWrap w:val="0"/>
            <w:vAlign w:val="center"/>
          </w:tcPr>
          <w:p w14:paraId="7DDDB487">
            <w:pPr>
              <w:widowControl/>
              <w:spacing w:line="360" w:lineRule="exact"/>
              <w:jc w:val="left"/>
              <w:rPr>
                <w:rFonts w:hint="default" w:ascii="仿宋" w:hAnsi="仿宋" w:eastAsia="仿宋" w:cs="仿宋"/>
                <w:color w:val="000000"/>
                <w:sz w:val="24"/>
                <w:szCs w:val="24"/>
                <w:lang w:val="en-US" w:eastAsia="zh-CN" w:bidi="ar"/>
              </w:rPr>
            </w:pPr>
            <w:r>
              <w:rPr>
                <w:rFonts w:hint="eastAsia" w:ascii="仿宋" w:hAnsi="仿宋" w:eastAsia="仿宋" w:cs="仿宋"/>
                <w:color w:val="000000"/>
                <w:sz w:val="24"/>
                <w:szCs w:val="24"/>
                <w:lang w:eastAsia="zh-CN" w:bidi="ar"/>
              </w:rPr>
              <w:t>每发现</w:t>
            </w:r>
            <w:r>
              <w:rPr>
                <w:rFonts w:hint="eastAsia" w:ascii="仿宋" w:hAnsi="仿宋" w:eastAsia="仿宋" w:cs="仿宋"/>
                <w:color w:val="000000"/>
                <w:sz w:val="24"/>
                <w:szCs w:val="24"/>
                <w:lang w:val="en-US" w:eastAsia="zh-CN" w:bidi="ar"/>
              </w:rPr>
              <w:t>1处</w:t>
            </w:r>
            <w:r>
              <w:rPr>
                <w:rFonts w:hint="eastAsia" w:ascii="仿宋" w:hAnsi="仿宋" w:eastAsia="仿宋" w:cs="仿宋"/>
                <w:color w:val="000000"/>
                <w:sz w:val="24"/>
                <w:szCs w:val="24"/>
                <w:lang w:eastAsia="zh-CN" w:bidi="ar"/>
              </w:rPr>
              <w:t>小广告等“牛皮癣”未及时清除的，扣</w:t>
            </w:r>
            <w:r>
              <w:rPr>
                <w:rFonts w:hint="eastAsia" w:ascii="仿宋" w:hAnsi="仿宋" w:eastAsia="仿宋" w:cs="仿宋"/>
                <w:color w:val="000000"/>
                <w:sz w:val="24"/>
                <w:szCs w:val="24"/>
                <w:lang w:val="en-US" w:eastAsia="zh-CN" w:bidi="ar"/>
              </w:rPr>
              <w:t>1分。</w:t>
            </w:r>
          </w:p>
        </w:tc>
        <w:tc>
          <w:tcPr>
            <w:tcW w:w="1099" w:type="dxa"/>
            <w:tcBorders>
              <w:top w:val="single" w:color="000000" w:sz="4" w:space="0"/>
              <w:left w:val="single" w:color="000000" w:sz="4" w:space="0"/>
              <w:bottom w:val="single" w:color="000000" w:sz="4" w:space="0"/>
              <w:right w:val="single" w:color="000000" w:sz="4" w:space="0"/>
            </w:tcBorders>
            <w:noWrap/>
            <w:vAlign w:val="center"/>
          </w:tcPr>
          <w:p w14:paraId="1E58F497">
            <w:pPr>
              <w:widowControl/>
              <w:spacing w:line="360" w:lineRule="exact"/>
              <w:jc w:val="center"/>
              <w:rPr>
                <w:rFonts w:hint="default"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5</w:t>
            </w:r>
            <w:r>
              <w:rPr>
                <w:rFonts w:hint="eastAsia" w:ascii="仿宋" w:hAnsi="仿宋" w:eastAsia="仿宋" w:cs="仿宋"/>
                <w:color w:val="000000"/>
                <w:sz w:val="24"/>
                <w:szCs w:val="24"/>
                <w:lang w:bidi="ar"/>
              </w:rPr>
              <w:t>分</w:t>
            </w:r>
          </w:p>
        </w:tc>
        <w:tc>
          <w:tcPr>
            <w:tcW w:w="1856" w:type="dxa"/>
            <w:tcBorders>
              <w:top w:val="single" w:color="000000" w:sz="4" w:space="0"/>
              <w:left w:val="single" w:color="000000" w:sz="4" w:space="0"/>
              <w:bottom w:val="single" w:color="000000" w:sz="4" w:space="0"/>
              <w:right w:val="single" w:color="000000" w:sz="4" w:space="0"/>
            </w:tcBorders>
            <w:noWrap/>
            <w:vAlign w:val="center"/>
          </w:tcPr>
          <w:p w14:paraId="383D926A">
            <w:pPr>
              <w:spacing w:line="360" w:lineRule="exact"/>
              <w:jc w:val="center"/>
              <w:rPr>
                <w:rFonts w:hint="eastAsia" w:ascii="仿宋" w:hAnsi="仿宋" w:eastAsia="仿宋" w:cs="仿宋"/>
                <w:color w:val="000000"/>
                <w:sz w:val="24"/>
                <w:szCs w:val="24"/>
              </w:rPr>
            </w:pPr>
          </w:p>
        </w:tc>
      </w:tr>
      <w:tr w14:paraId="23D37321">
        <w:tblPrEx>
          <w:tblCellMar>
            <w:top w:w="0" w:type="dxa"/>
            <w:left w:w="108" w:type="dxa"/>
            <w:bottom w:w="0" w:type="dxa"/>
            <w:right w:w="108" w:type="dxa"/>
          </w:tblCellMar>
        </w:tblPrEx>
        <w:trPr>
          <w:trHeight w:val="567" w:hRule="atLeast"/>
          <w:jc w:val="center"/>
        </w:trPr>
        <w:tc>
          <w:tcPr>
            <w:tcW w:w="973" w:type="dxa"/>
            <w:tcBorders>
              <w:top w:val="single" w:color="000000" w:sz="4" w:space="0"/>
              <w:left w:val="single" w:color="000000" w:sz="4" w:space="0"/>
              <w:bottom w:val="single" w:color="000000" w:sz="4" w:space="0"/>
              <w:right w:val="single" w:color="000000" w:sz="4" w:space="0"/>
            </w:tcBorders>
            <w:noWrap/>
            <w:vAlign w:val="center"/>
          </w:tcPr>
          <w:p w14:paraId="3929C313">
            <w:pPr>
              <w:widowControl/>
              <w:spacing w:line="360" w:lineRule="exact"/>
              <w:jc w:val="center"/>
              <w:rPr>
                <w:rFonts w:hint="default"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10</w:t>
            </w:r>
          </w:p>
        </w:tc>
        <w:tc>
          <w:tcPr>
            <w:tcW w:w="1311" w:type="dxa"/>
            <w:tcBorders>
              <w:top w:val="single" w:color="000000" w:sz="4" w:space="0"/>
              <w:left w:val="single" w:color="000000" w:sz="4" w:space="0"/>
              <w:bottom w:val="single" w:color="000000" w:sz="4" w:space="0"/>
              <w:right w:val="single" w:color="000000" w:sz="4" w:space="0"/>
            </w:tcBorders>
            <w:noWrap/>
            <w:vAlign w:val="center"/>
          </w:tcPr>
          <w:p w14:paraId="61CC03FF">
            <w:pPr>
              <w:widowControl/>
              <w:spacing w:line="360" w:lineRule="exact"/>
              <w:jc w:val="center"/>
              <w:rPr>
                <w:rFonts w:hint="eastAsia" w:ascii="仿宋" w:hAnsi="仿宋" w:eastAsia="仿宋" w:cs="仿宋"/>
                <w:color w:val="000000"/>
                <w:sz w:val="24"/>
                <w:szCs w:val="24"/>
                <w:lang w:eastAsia="zh-CN" w:bidi="ar"/>
              </w:rPr>
            </w:pPr>
            <w:r>
              <w:rPr>
                <w:rFonts w:hint="eastAsia" w:ascii="仿宋" w:hAnsi="仿宋" w:eastAsia="仿宋" w:cs="仿宋"/>
                <w:color w:val="000000"/>
                <w:sz w:val="24"/>
                <w:szCs w:val="24"/>
                <w:lang w:eastAsia="zh-CN" w:bidi="ar"/>
              </w:rPr>
              <w:t>设备</w:t>
            </w:r>
            <w:r>
              <w:rPr>
                <w:rFonts w:hint="eastAsia" w:ascii="仿宋" w:hAnsi="仿宋" w:eastAsia="仿宋" w:cs="仿宋"/>
                <w:color w:val="000000"/>
                <w:sz w:val="24"/>
                <w:szCs w:val="24"/>
                <w:lang w:val="en-US" w:eastAsia="zh-CN" w:bidi="ar"/>
              </w:rPr>
              <w:t>维护</w:t>
            </w:r>
          </w:p>
        </w:tc>
        <w:tc>
          <w:tcPr>
            <w:tcW w:w="4146" w:type="dxa"/>
            <w:tcBorders>
              <w:top w:val="single" w:color="000000" w:sz="4" w:space="0"/>
              <w:left w:val="single" w:color="000000" w:sz="4" w:space="0"/>
              <w:bottom w:val="single" w:color="000000" w:sz="4" w:space="0"/>
              <w:right w:val="single" w:color="000000" w:sz="4" w:space="0"/>
            </w:tcBorders>
            <w:noWrap w:val="0"/>
            <w:vAlign w:val="center"/>
          </w:tcPr>
          <w:p w14:paraId="6B74E3D9">
            <w:pPr>
              <w:widowControl/>
              <w:spacing w:line="360" w:lineRule="exact"/>
              <w:jc w:val="left"/>
              <w:rPr>
                <w:rFonts w:hint="default" w:ascii="仿宋" w:hAnsi="仿宋" w:eastAsia="仿宋" w:cs="仿宋"/>
                <w:color w:val="000000"/>
                <w:sz w:val="24"/>
                <w:szCs w:val="24"/>
                <w:lang w:val="en-US" w:eastAsia="zh-CN" w:bidi="ar"/>
              </w:rPr>
            </w:pPr>
            <w:r>
              <w:rPr>
                <w:rFonts w:hint="eastAsia" w:ascii="仿宋" w:hAnsi="仿宋" w:eastAsia="仿宋" w:cs="仿宋"/>
                <w:color w:val="000000"/>
                <w:sz w:val="24"/>
                <w:szCs w:val="24"/>
                <w:lang w:eastAsia="zh-CN" w:bidi="ar"/>
              </w:rPr>
              <w:t>及时清洗整理垃圾桶，未及时清洗的发现</w:t>
            </w:r>
            <w:r>
              <w:rPr>
                <w:rFonts w:hint="eastAsia" w:ascii="仿宋" w:hAnsi="仿宋" w:eastAsia="仿宋" w:cs="仿宋"/>
                <w:color w:val="000000"/>
                <w:sz w:val="24"/>
                <w:szCs w:val="24"/>
                <w:lang w:val="en-US" w:eastAsia="zh-CN" w:bidi="ar"/>
              </w:rPr>
              <w:t>1次扣1分。机械、房屋等损坏未及时维修的，每次扣2分。</w:t>
            </w:r>
          </w:p>
        </w:tc>
        <w:tc>
          <w:tcPr>
            <w:tcW w:w="1099" w:type="dxa"/>
            <w:tcBorders>
              <w:top w:val="single" w:color="000000" w:sz="4" w:space="0"/>
              <w:left w:val="single" w:color="000000" w:sz="4" w:space="0"/>
              <w:bottom w:val="single" w:color="000000" w:sz="4" w:space="0"/>
              <w:right w:val="single" w:color="000000" w:sz="4" w:space="0"/>
            </w:tcBorders>
            <w:noWrap/>
            <w:vAlign w:val="center"/>
          </w:tcPr>
          <w:p w14:paraId="39E3DE98">
            <w:pPr>
              <w:widowControl/>
              <w:spacing w:line="360" w:lineRule="exact"/>
              <w:jc w:val="center"/>
              <w:rPr>
                <w:rFonts w:hint="default"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10</w:t>
            </w:r>
            <w:r>
              <w:rPr>
                <w:rFonts w:hint="eastAsia" w:ascii="仿宋" w:hAnsi="仿宋" w:eastAsia="仿宋" w:cs="仿宋"/>
                <w:color w:val="000000"/>
                <w:sz w:val="24"/>
                <w:szCs w:val="24"/>
                <w:lang w:bidi="ar"/>
              </w:rPr>
              <w:t>分</w:t>
            </w:r>
          </w:p>
        </w:tc>
        <w:tc>
          <w:tcPr>
            <w:tcW w:w="1856" w:type="dxa"/>
            <w:tcBorders>
              <w:top w:val="single" w:color="000000" w:sz="4" w:space="0"/>
              <w:left w:val="single" w:color="000000" w:sz="4" w:space="0"/>
              <w:bottom w:val="single" w:color="000000" w:sz="4" w:space="0"/>
              <w:right w:val="single" w:color="000000" w:sz="4" w:space="0"/>
            </w:tcBorders>
            <w:noWrap/>
            <w:vAlign w:val="center"/>
          </w:tcPr>
          <w:p w14:paraId="622F06CD">
            <w:pPr>
              <w:spacing w:line="360" w:lineRule="exact"/>
              <w:jc w:val="center"/>
              <w:rPr>
                <w:rFonts w:hint="eastAsia" w:ascii="仿宋" w:hAnsi="仿宋" w:eastAsia="仿宋" w:cs="仿宋"/>
                <w:color w:val="000000"/>
                <w:sz w:val="24"/>
                <w:szCs w:val="24"/>
              </w:rPr>
            </w:pPr>
          </w:p>
        </w:tc>
      </w:tr>
      <w:tr w14:paraId="5CF1D1CA">
        <w:tblPrEx>
          <w:tblCellMar>
            <w:top w:w="0" w:type="dxa"/>
            <w:left w:w="108" w:type="dxa"/>
            <w:bottom w:w="0" w:type="dxa"/>
            <w:right w:w="108" w:type="dxa"/>
          </w:tblCellMar>
        </w:tblPrEx>
        <w:trPr>
          <w:trHeight w:val="567" w:hRule="atLeast"/>
          <w:jc w:val="center"/>
        </w:trPr>
        <w:tc>
          <w:tcPr>
            <w:tcW w:w="973" w:type="dxa"/>
            <w:tcBorders>
              <w:top w:val="single" w:color="000000" w:sz="4" w:space="0"/>
              <w:left w:val="single" w:color="000000" w:sz="4" w:space="0"/>
              <w:bottom w:val="single" w:color="000000" w:sz="4" w:space="0"/>
              <w:right w:val="single" w:color="000000" w:sz="4" w:space="0"/>
            </w:tcBorders>
            <w:noWrap/>
            <w:vAlign w:val="center"/>
          </w:tcPr>
          <w:p w14:paraId="4FE3EFBB">
            <w:pPr>
              <w:widowControl/>
              <w:spacing w:line="360" w:lineRule="exact"/>
              <w:jc w:val="center"/>
              <w:rPr>
                <w:rFonts w:hint="default"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11</w:t>
            </w:r>
          </w:p>
        </w:tc>
        <w:tc>
          <w:tcPr>
            <w:tcW w:w="1311" w:type="dxa"/>
            <w:tcBorders>
              <w:top w:val="single" w:color="000000" w:sz="4" w:space="0"/>
              <w:left w:val="single" w:color="000000" w:sz="4" w:space="0"/>
              <w:bottom w:val="single" w:color="000000" w:sz="4" w:space="0"/>
              <w:right w:val="single" w:color="000000" w:sz="4" w:space="0"/>
            </w:tcBorders>
            <w:noWrap/>
            <w:vAlign w:val="center"/>
          </w:tcPr>
          <w:p w14:paraId="24947329">
            <w:pPr>
              <w:widowControl/>
              <w:spacing w:line="360" w:lineRule="exact"/>
              <w:jc w:val="center"/>
              <w:rPr>
                <w:rFonts w:hint="eastAsia" w:ascii="仿宋" w:hAnsi="仿宋" w:eastAsia="仿宋" w:cs="仿宋"/>
                <w:color w:val="000000"/>
                <w:sz w:val="24"/>
                <w:szCs w:val="24"/>
                <w:lang w:eastAsia="zh-CN" w:bidi="ar"/>
              </w:rPr>
            </w:pPr>
            <w:r>
              <w:rPr>
                <w:rFonts w:hint="eastAsia" w:ascii="仿宋" w:hAnsi="仿宋" w:eastAsia="仿宋" w:cs="仿宋"/>
                <w:color w:val="000000"/>
                <w:sz w:val="24"/>
                <w:szCs w:val="24"/>
                <w:lang w:eastAsia="zh-CN" w:bidi="ar"/>
              </w:rPr>
              <w:t>安全</w:t>
            </w:r>
            <w:r>
              <w:rPr>
                <w:rFonts w:hint="eastAsia" w:ascii="仿宋" w:hAnsi="仿宋" w:eastAsia="仿宋" w:cs="仿宋"/>
                <w:color w:val="000000"/>
                <w:sz w:val="24"/>
                <w:szCs w:val="24"/>
                <w:lang w:val="en-US" w:eastAsia="zh-CN" w:bidi="ar"/>
              </w:rPr>
              <w:t>作业</w:t>
            </w:r>
          </w:p>
        </w:tc>
        <w:tc>
          <w:tcPr>
            <w:tcW w:w="4146" w:type="dxa"/>
            <w:tcBorders>
              <w:top w:val="single" w:color="000000" w:sz="4" w:space="0"/>
              <w:left w:val="single" w:color="000000" w:sz="4" w:space="0"/>
              <w:bottom w:val="single" w:color="000000" w:sz="4" w:space="0"/>
              <w:right w:val="single" w:color="000000" w:sz="4" w:space="0"/>
            </w:tcBorders>
            <w:noWrap w:val="0"/>
            <w:vAlign w:val="center"/>
          </w:tcPr>
          <w:p w14:paraId="7F69CA4E">
            <w:pPr>
              <w:widowControl/>
              <w:spacing w:line="360" w:lineRule="exact"/>
              <w:jc w:val="left"/>
              <w:rPr>
                <w:rFonts w:hint="default" w:ascii="仿宋" w:hAnsi="仿宋" w:eastAsia="仿宋" w:cs="仿宋"/>
                <w:color w:val="000000"/>
                <w:sz w:val="24"/>
                <w:szCs w:val="24"/>
                <w:lang w:val="en-US" w:eastAsia="zh-CN" w:bidi="ar"/>
              </w:rPr>
            </w:pPr>
            <w:r>
              <w:rPr>
                <w:rFonts w:hint="eastAsia" w:ascii="仿宋" w:hAnsi="仿宋" w:eastAsia="仿宋" w:cs="仿宋"/>
                <w:color w:val="000000"/>
                <w:sz w:val="24"/>
                <w:szCs w:val="24"/>
                <w:lang w:eastAsia="zh-CN" w:bidi="ar"/>
              </w:rPr>
              <w:t>做好从业人员、办公用房、作业用房安全生产管理。</w:t>
            </w:r>
            <w:r>
              <w:rPr>
                <w:rFonts w:hint="eastAsia" w:ascii="仿宋" w:hAnsi="仿宋" w:eastAsia="仿宋" w:cs="仿宋"/>
                <w:color w:val="000000"/>
                <w:sz w:val="24"/>
                <w:szCs w:val="24"/>
                <w:lang w:val="en-US" w:eastAsia="zh-CN" w:bidi="ar"/>
              </w:rPr>
              <w:t>因作业发生安全事故的此项不得分。</w:t>
            </w:r>
          </w:p>
        </w:tc>
        <w:tc>
          <w:tcPr>
            <w:tcW w:w="1099" w:type="dxa"/>
            <w:tcBorders>
              <w:top w:val="single" w:color="000000" w:sz="4" w:space="0"/>
              <w:left w:val="single" w:color="000000" w:sz="4" w:space="0"/>
              <w:bottom w:val="single" w:color="000000" w:sz="4" w:space="0"/>
              <w:right w:val="single" w:color="000000" w:sz="4" w:space="0"/>
            </w:tcBorders>
            <w:noWrap/>
            <w:vAlign w:val="center"/>
          </w:tcPr>
          <w:p w14:paraId="596580FE">
            <w:pPr>
              <w:widowControl/>
              <w:spacing w:line="360" w:lineRule="exact"/>
              <w:jc w:val="center"/>
              <w:rPr>
                <w:rFonts w:hint="default"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10</w:t>
            </w:r>
            <w:r>
              <w:rPr>
                <w:rFonts w:hint="eastAsia" w:ascii="仿宋" w:hAnsi="仿宋" w:eastAsia="仿宋" w:cs="仿宋"/>
                <w:color w:val="000000"/>
                <w:sz w:val="24"/>
                <w:szCs w:val="24"/>
                <w:lang w:bidi="ar"/>
              </w:rPr>
              <w:t>分</w:t>
            </w:r>
          </w:p>
        </w:tc>
        <w:tc>
          <w:tcPr>
            <w:tcW w:w="1856" w:type="dxa"/>
            <w:tcBorders>
              <w:top w:val="single" w:color="000000" w:sz="4" w:space="0"/>
              <w:left w:val="single" w:color="000000" w:sz="4" w:space="0"/>
              <w:bottom w:val="single" w:color="000000" w:sz="4" w:space="0"/>
              <w:right w:val="single" w:color="000000" w:sz="4" w:space="0"/>
            </w:tcBorders>
            <w:noWrap/>
            <w:vAlign w:val="center"/>
          </w:tcPr>
          <w:p w14:paraId="6DF4B116">
            <w:pPr>
              <w:spacing w:line="360" w:lineRule="exact"/>
              <w:jc w:val="center"/>
              <w:rPr>
                <w:rFonts w:hint="eastAsia" w:ascii="仿宋" w:hAnsi="仿宋" w:eastAsia="仿宋" w:cs="仿宋"/>
                <w:color w:val="000000"/>
                <w:sz w:val="24"/>
                <w:szCs w:val="24"/>
              </w:rPr>
            </w:pPr>
          </w:p>
        </w:tc>
      </w:tr>
      <w:tr w14:paraId="0CA56517">
        <w:tblPrEx>
          <w:tblCellMar>
            <w:top w:w="0" w:type="dxa"/>
            <w:left w:w="108" w:type="dxa"/>
            <w:bottom w:w="0" w:type="dxa"/>
            <w:right w:w="108" w:type="dxa"/>
          </w:tblCellMar>
        </w:tblPrEx>
        <w:trPr>
          <w:trHeight w:val="567" w:hRule="atLeast"/>
          <w:jc w:val="center"/>
        </w:trPr>
        <w:tc>
          <w:tcPr>
            <w:tcW w:w="973" w:type="dxa"/>
            <w:tcBorders>
              <w:top w:val="single" w:color="000000" w:sz="4" w:space="0"/>
              <w:left w:val="single" w:color="000000" w:sz="4" w:space="0"/>
              <w:bottom w:val="single" w:color="000000" w:sz="4" w:space="0"/>
              <w:right w:val="single" w:color="000000" w:sz="4" w:space="0"/>
            </w:tcBorders>
            <w:noWrap/>
            <w:vAlign w:val="center"/>
          </w:tcPr>
          <w:p w14:paraId="43025978">
            <w:pPr>
              <w:widowControl/>
              <w:spacing w:line="360" w:lineRule="exact"/>
              <w:jc w:val="center"/>
              <w:rPr>
                <w:rFonts w:hint="default"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12</w:t>
            </w:r>
          </w:p>
        </w:tc>
        <w:tc>
          <w:tcPr>
            <w:tcW w:w="1311" w:type="dxa"/>
            <w:tcBorders>
              <w:top w:val="single" w:color="000000" w:sz="4" w:space="0"/>
              <w:left w:val="single" w:color="000000" w:sz="4" w:space="0"/>
              <w:bottom w:val="single" w:color="000000" w:sz="4" w:space="0"/>
              <w:right w:val="single" w:color="000000" w:sz="4" w:space="0"/>
            </w:tcBorders>
            <w:noWrap/>
            <w:vAlign w:val="center"/>
          </w:tcPr>
          <w:p w14:paraId="675812E3">
            <w:pPr>
              <w:widowControl/>
              <w:spacing w:line="360" w:lineRule="exact"/>
              <w:jc w:val="center"/>
              <w:rPr>
                <w:rFonts w:hint="eastAsia" w:ascii="仿宋" w:hAnsi="仿宋" w:eastAsia="仿宋" w:cs="仿宋"/>
                <w:color w:val="000000"/>
                <w:sz w:val="24"/>
                <w:szCs w:val="24"/>
                <w:lang w:eastAsia="zh-CN" w:bidi="ar"/>
              </w:rPr>
            </w:pPr>
            <w:r>
              <w:rPr>
                <w:rFonts w:hint="eastAsia" w:ascii="仿宋" w:hAnsi="仿宋" w:eastAsia="仿宋" w:cs="仿宋"/>
                <w:color w:val="000000"/>
                <w:sz w:val="24"/>
                <w:szCs w:val="24"/>
                <w:lang w:eastAsia="zh-CN" w:bidi="ar"/>
              </w:rPr>
              <w:t>活动保障</w:t>
            </w:r>
          </w:p>
        </w:tc>
        <w:tc>
          <w:tcPr>
            <w:tcW w:w="4146" w:type="dxa"/>
            <w:tcBorders>
              <w:top w:val="single" w:color="000000" w:sz="4" w:space="0"/>
              <w:left w:val="single" w:color="000000" w:sz="4" w:space="0"/>
              <w:bottom w:val="single" w:color="000000" w:sz="4" w:space="0"/>
              <w:right w:val="single" w:color="000000" w:sz="4" w:space="0"/>
            </w:tcBorders>
            <w:noWrap w:val="0"/>
            <w:vAlign w:val="center"/>
          </w:tcPr>
          <w:p w14:paraId="77EA4564">
            <w:pPr>
              <w:widowControl/>
              <w:spacing w:line="360" w:lineRule="exact"/>
              <w:jc w:val="left"/>
              <w:rPr>
                <w:rFonts w:hint="default"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活动</w:t>
            </w:r>
            <w:r>
              <w:rPr>
                <w:rFonts w:hint="eastAsia" w:ascii="仿宋" w:hAnsi="仿宋" w:eastAsia="仿宋" w:cs="仿宋"/>
                <w:color w:val="000000"/>
                <w:sz w:val="24"/>
                <w:szCs w:val="24"/>
                <w:lang w:eastAsia="zh-CN" w:bidi="ar"/>
              </w:rPr>
              <w:t>期间做好环卫保洁等保障工作。</w:t>
            </w:r>
            <w:r>
              <w:rPr>
                <w:rFonts w:hint="eastAsia" w:ascii="仿宋" w:hAnsi="仿宋" w:eastAsia="仿宋" w:cs="仿宋"/>
                <w:color w:val="000000"/>
                <w:sz w:val="24"/>
                <w:szCs w:val="24"/>
                <w:lang w:val="en-US" w:eastAsia="zh-CN" w:bidi="ar"/>
              </w:rPr>
              <w:t>不符合要求每次扣5分。</w:t>
            </w:r>
          </w:p>
        </w:tc>
        <w:tc>
          <w:tcPr>
            <w:tcW w:w="1099" w:type="dxa"/>
            <w:tcBorders>
              <w:top w:val="single" w:color="000000" w:sz="4" w:space="0"/>
              <w:left w:val="single" w:color="000000" w:sz="4" w:space="0"/>
              <w:bottom w:val="single" w:color="000000" w:sz="4" w:space="0"/>
              <w:right w:val="single" w:color="000000" w:sz="4" w:space="0"/>
            </w:tcBorders>
            <w:noWrap/>
            <w:vAlign w:val="center"/>
          </w:tcPr>
          <w:p w14:paraId="42E512F4">
            <w:pPr>
              <w:widowControl/>
              <w:spacing w:line="360" w:lineRule="exact"/>
              <w:jc w:val="center"/>
              <w:rPr>
                <w:rFonts w:hint="default"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5</w:t>
            </w:r>
            <w:r>
              <w:rPr>
                <w:rFonts w:hint="eastAsia" w:ascii="仿宋" w:hAnsi="仿宋" w:eastAsia="仿宋" w:cs="仿宋"/>
                <w:color w:val="000000"/>
                <w:sz w:val="24"/>
                <w:szCs w:val="24"/>
                <w:lang w:bidi="ar"/>
              </w:rPr>
              <w:t>分</w:t>
            </w:r>
          </w:p>
        </w:tc>
        <w:tc>
          <w:tcPr>
            <w:tcW w:w="1856" w:type="dxa"/>
            <w:tcBorders>
              <w:top w:val="single" w:color="000000" w:sz="4" w:space="0"/>
              <w:left w:val="single" w:color="000000" w:sz="4" w:space="0"/>
              <w:bottom w:val="single" w:color="000000" w:sz="4" w:space="0"/>
              <w:right w:val="single" w:color="000000" w:sz="4" w:space="0"/>
            </w:tcBorders>
            <w:noWrap/>
            <w:vAlign w:val="center"/>
          </w:tcPr>
          <w:p w14:paraId="3AD41E58">
            <w:pPr>
              <w:spacing w:line="360" w:lineRule="exact"/>
              <w:jc w:val="center"/>
              <w:rPr>
                <w:rFonts w:hint="eastAsia" w:ascii="仿宋" w:hAnsi="仿宋" w:eastAsia="仿宋" w:cs="仿宋"/>
                <w:color w:val="000000"/>
                <w:sz w:val="24"/>
                <w:szCs w:val="24"/>
              </w:rPr>
            </w:pPr>
          </w:p>
        </w:tc>
      </w:tr>
      <w:tr w14:paraId="4D27F5DE">
        <w:tblPrEx>
          <w:tblCellMar>
            <w:top w:w="0" w:type="dxa"/>
            <w:left w:w="108" w:type="dxa"/>
            <w:bottom w:w="0" w:type="dxa"/>
            <w:right w:w="108" w:type="dxa"/>
          </w:tblCellMar>
        </w:tblPrEx>
        <w:trPr>
          <w:trHeight w:val="270" w:hRule="atLeast"/>
          <w:jc w:val="center"/>
        </w:trPr>
        <w:tc>
          <w:tcPr>
            <w:tcW w:w="6430" w:type="dxa"/>
            <w:gridSpan w:val="3"/>
            <w:tcBorders>
              <w:top w:val="single" w:color="000000" w:sz="4" w:space="0"/>
              <w:left w:val="single" w:color="000000" w:sz="4" w:space="0"/>
              <w:bottom w:val="single" w:color="000000" w:sz="4" w:space="0"/>
              <w:right w:val="single" w:color="000000" w:sz="4" w:space="0"/>
            </w:tcBorders>
            <w:noWrap/>
            <w:vAlign w:val="center"/>
          </w:tcPr>
          <w:p w14:paraId="729F43A3">
            <w:pPr>
              <w:widowControl/>
              <w:spacing w:line="3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lang w:bidi="ar"/>
              </w:rPr>
              <w:t>总分</w:t>
            </w:r>
          </w:p>
        </w:tc>
        <w:tc>
          <w:tcPr>
            <w:tcW w:w="1099" w:type="dxa"/>
            <w:tcBorders>
              <w:top w:val="single" w:color="000000" w:sz="4" w:space="0"/>
              <w:left w:val="single" w:color="000000" w:sz="4" w:space="0"/>
              <w:bottom w:val="single" w:color="000000" w:sz="4" w:space="0"/>
              <w:right w:val="single" w:color="000000" w:sz="4" w:space="0"/>
            </w:tcBorders>
            <w:noWrap/>
            <w:vAlign w:val="center"/>
          </w:tcPr>
          <w:p w14:paraId="2EDD0130">
            <w:pPr>
              <w:spacing w:line="3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100</w:t>
            </w:r>
            <w:r>
              <w:rPr>
                <w:rFonts w:hint="eastAsia" w:ascii="仿宋" w:hAnsi="仿宋" w:eastAsia="仿宋" w:cs="仿宋"/>
                <w:color w:val="000000"/>
                <w:sz w:val="24"/>
                <w:szCs w:val="24"/>
                <w:lang w:bidi="ar"/>
              </w:rPr>
              <w:t>分</w:t>
            </w:r>
          </w:p>
        </w:tc>
        <w:tc>
          <w:tcPr>
            <w:tcW w:w="1856" w:type="dxa"/>
            <w:tcBorders>
              <w:top w:val="single" w:color="000000" w:sz="4" w:space="0"/>
              <w:left w:val="single" w:color="000000" w:sz="4" w:space="0"/>
              <w:bottom w:val="single" w:color="000000" w:sz="4" w:space="0"/>
              <w:right w:val="single" w:color="000000" w:sz="4" w:space="0"/>
            </w:tcBorders>
            <w:noWrap/>
            <w:vAlign w:val="center"/>
          </w:tcPr>
          <w:p w14:paraId="48DDF86E">
            <w:pPr>
              <w:spacing w:line="360" w:lineRule="exact"/>
              <w:jc w:val="center"/>
              <w:rPr>
                <w:rFonts w:hint="eastAsia" w:ascii="仿宋" w:hAnsi="仿宋" w:eastAsia="仿宋" w:cs="仿宋"/>
                <w:color w:val="000000"/>
                <w:sz w:val="24"/>
                <w:szCs w:val="24"/>
              </w:rPr>
            </w:pPr>
          </w:p>
        </w:tc>
      </w:tr>
      <w:tr w14:paraId="5BC26B10">
        <w:tblPrEx>
          <w:tblCellMar>
            <w:top w:w="0" w:type="dxa"/>
            <w:left w:w="108" w:type="dxa"/>
            <w:bottom w:w="0" w:type="dxa"/>
            <w:right w:w="108" w:type="dxa"/>
          </w:tblCellMar>
        </w:tblPrEx>
        <w:trPr>
          <w:trHeight w:val="270" w:hRule="atLeast"/>
          <w:jc w:val="center"/>
        </w:trPr>
        <w:tc>
          <w:tcPr>
            <w:tcW w:w="9385" w:type="dxa"/>
            <w:gridSpan w:val="5"/>
            <w:tcBorders>
              <w:top w:val="single" w:color="000000" w:sz="4" w:space="0"/>
              <w:left w:val="single" w:color="000000" w:sz="4" w:space="0"/>
              <w:bottom w:val="single" w:color="000000" w:sz="4" w:space="0"/>
              <w:right w:val="single" w:color="000000" w:sz="4" w:space="0"/>
            </w:tcBorders>
            <w:noWrap/>
            <w:vAlign w:val="center"/>
          </w:tcPr>
          <w:p w14:paraId="0CBACFEF">
            <w:pPr>
              <w:pStyle w:val="251"/>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lang w:bidi="ar"/>
              </w:rPr>
              <w:t>甲方根据每月考核得分支付服务费：</w:t>
            </w:r>
            <w:r>
              <w:rPr>
                <w:rFonts w:hint="eastAsia" w:ascii="仿宋" w:hAnsi="仿宋" w:eastAsia="仿宋" w:cs="仿宋"/>
                <w:color w:val="000000"/>
                <w:sz w:val="24"/>
                <w:szCs w:val="24"/>
                <w:lang w:val="en-US" w:eastAsia="zh-CN" w:bidi="ar"/>
              </w:rPr>
              <w:t>考核得分在</w:t>
            </w:r>
            <w:r>
              <w:rPr>
                <w:rFonts w:hint="eastAsia" w:ascii="仿宋" w:hAnsi="仿宋" w:eastAsia="仿宋" w:cs="仿宋"/>
                <w:color w:val="000000"/>
                <w:sz w:val="24"/>
                <w:szCs w:val="24"/>
                <w:lang w:bidi="ar"/>
              </w:rPr>
              <w:t>90分</w:t>
            </w:r>
            <w:r>
              <w:rPr>
                <w:rFonts w:hint="eastAsia" w:ascii="仿宋" w:hAnsi="仿宋" w:eastAsia="仿宋" w:cs="仿宋"/>
                <w:color w:val="000000"/>
                <w:sz w:val="24"/>
                <w:szCs w:val="24"/>
                <w:lang w:eastAsia="zh-CN" w:bidi="ar"/>
              </w:rPr>
              <w:t>（</w:t>
            </w:r>
            <w:r>
              <w:rPr>
                <w:rFonts w:hint="eastAsia" w:ascii="仿宋" w:hAnsi="仿宋" w:eastAsia="仿宋" w:cs="仿宋"/>
                <w:color w:val="000000"/>
                <w:sz w:val="24"/>
                <w:szCs w:val="24"/>
                <w:lang w:val="en-US" w:eastAsia="zh-CN" w:bidi="ar"/>
              </w:rPr>
              <w:t>含</w:t>
            </w:r>
            <w:r>
              <w:rPr>
                <w:rFonts w:hint="eastAsia" w:ascii="仿宋" w:hAnsi="仿宋" w:eastAsia="仿宋" w:cs="仿宋"/>
                <w:color w:val="000000"/>
                <w:sz w:val="24"/>
                <w:szCs w:val="24"/>
                <w:lang w:eastAsia="zh-CN" w:bidi="ar"/>
              </w:rPr>
              <w:t>）</w:t>
            </w:r>
            <w:r>
              <w:rPr>
                <w:rFonts w:hint="eastAsia" w:ascii="仿宋" w:hAnsi="仿宋" w:eastAsia="仿宋" w:cs="仿宋"/>
                <w:color w:val="000000"/>
                <w:sz w:val="24"/>
                <w:szCs w:val="24"/>
                <w:lang w:val="en-US" w:eastAsia="zh-CN" w:bidi="ar"/>
              </w:rPr>
              <w:t>-100分的，每低于100分1分扣减服务费100元；考核得分在8</w:t>
            </w:r>
            <w:r>
              <w:rPr>
                <w:rFonts w:hint="eastAsia" w:ascii="仿宋" w:hAnsi="仿宋" w:eastAsia="仿宋" w:cs="仿宋"/>
                <w:color w:val="000000"/>
                <w:sz w:val="24"/>
                <w:szCs w:val="24"/>
                <w:lang w:bidi="ar"/>
              </w:rPr>
              <w:t>0分</w:t>
            </w:r>
            <w:r>
              <w:rPr>
                <w:rFonts w:hint="eastAsia" w:ascii="仿宋" w:hAnsi="仿宋" w:eastAsia="仿宋" w:cs="仿宋"/>
                <w:color w:val="000000"/>
                <w:sz w:val="24"/>
                <w:szCs w:val="24"/>
                <w:lang w:eastAsia="zh-CN" w:bidi="ar"/>
              </w:rPr>
              <w:t>（</w:t>
            </w:r>
            <w:r>
              <w:rPr>
                <w:rFonts w:hint="eastAsia" w:ascii="仿宋" w:hAnsi="仿宋" w:eastAsia="仿宋" w:cs="仿宋"/>
                <w:color w:val="000000"/>
                <w:sz w:val="24"/>
                <w:szCs w:val="24"/>
                <w:lang w:val="en-US" w:eastAsia="zh-CN" w:bidi="ar"/>
              </w:rPr>
              <w:t>含</w:t>
            </w:r>
            <w:r>
              <w:rPr>
                <w:rFonts w:hint="eastAsia" w:ascii="仿宋" w:hAnsi="仿宋" w:eastAsia="仿宋" w:cs="仿宋"/>
                <w:color w:val="000000"/>
                <w:sz w:val="24"/>
                <w:szCs w:val="24"/>
                <w:lang w:eastAsia="zh-CN" w:bidi="ar"/>
              </w:rPr>
              <w:t>）</w:t>
            </w:r>
            <w:r>
              <w:rPr>
                <w:rFonts w:hint="eastAsia" w:ascii="仿宋" w:hAnsi="仿宋" w:eastAsia="仿宋" w:cs="仿宋"/>
                <w:color w:val="000000"/>
                <w:sz w:val="24"/>
                <w:szCs w:val="24"/>
                <w:lang w:val="en-US" w:eastAsia="zh-CN" w:bidi="ar"/>
              </w:rPr>
              <w:t>-90分的，每低于100分1分扣减服务费200元；考核得分在7</w:t>
            </w:r>
            <w:r>
              <w:rPr>
                <w:rFonts w:hint="eastAsia" w:ascii="仿宋" w:hAnsi="仿宋" w:eastAsia="仿宋" w:cs="仿宋"/>
                <w:color w:val="000000"/>
                <w:sz w:val="24"/>
                <w:szCs w:val="24"/>
                <w:lang w:bidi="ar"/>
              </w:rPr>
              <w:t>0分</w:t>
            </w:r>
            <w:r>
              <w:rPr>
                <w:rFonts w:hint="eastAsia" w:ascii="仿宋" w:hAnsi="仿宋" w:eastAsia="仿宋" w:cs="仿宋"/>
                <w:color w:val="000000"/>
                <w:sz w:val="24"/>
                <w:szCs w:val="24"/>
                <w:lang w:eastAsia="zh-CN" w:bidi="ar"/>
              </w:rPr>
              <w:t>（</w:t>
            </w:r>
            <w:r>
              <w:rPr>
                <w:rFonts w:hint="eastAsia" w:ascii="仿宋" w:hAnsi="仿宋" w:eastAsia="仿宋" w:cs="仿宋"/>
                <w:color w:val="000000"/>
                <w:sz w:val="24"/>
                <w:szCs w:val="24"/>
                <w:lang w:val="en-US" w:eastAsia="zh-CN" w:bidi="ar"/>
              </w:rPr>
              <w:t>含</w:t>
            </w:r>
            <w:r>
              <w:rPr>
                <w:rFonts w:hint="eastAsia" w:ascii="仿宋" w:hAnsi="仿宋" w:eastAsia="仿宋" w:cs="仿宋"/>
                <w:color w:val="000000"/>
                <w:sz w:val="24"/>
                <w:szCs w:val="24"/>
                <w:lang w:eastAsia="zh-CN" w:bidi="ar"/>
              </w:rPr>
              <w:t>）</w:t>
            </w:r>
            <w:r>
              <w:rPr>
                <w:rFonts w:hint="eastAsia" w:ascii="仿宋" w:hAnsi="仿宋" w:eastAsia="仿宋" w:cs="仿宋"/>
                <w:color w:val="000000"/>
                <w:sz w:val="24"/>
                <w:szCs w:val="24"/>
                <w:lang w:val="en-US" w:eastAsia="zh-CN" w:bidi="ar"/>
              </w:rPr>
              <w:t>-80分的，每低于100分1分扣减服务费300元；考核得分在6</w:t>
            </w:r>
            <w:r>
              <w:rPr>
                <w:rFonts w:hint="eastAsia" w:ascii="仿宋" w:hAnsi="仿宋" w:eastAsia="仿宋" w:cs="仿宋"/>
                <w:color w:val="000000"/>
                <w:sz w:val="24"/>
                <w:szCs w:val="24"/>
                <w:lang w:bidi="ar"/>
              </w:rPr>
              <w:t>0分</w:t>
            </w:r>
            <w:r>
              <w:rPr>
                <w:rFonts w:hint="eastAsia" w:ascii="仿宋" w:hAnsi="仿宋" w:eastAsia="仿宋" w:cs="仿宋"/>
                <w:color w:val="000000"/>
                <w:sz w:val="24"/>
                <w:szCs w:val="24"/>
                <w:lang w:eastAsia="zh-CN" w:bidi="ar"/>
              </w:rPr>
              <w:t>（</w:t>
            </w:r>
            <w:r>
              <w:rPr>
                <w:rFonts w:hint="eastAsia" w:ascii="仿宋" w:hAnsi="仿宋" w:eastAsia="仿宋" w:cs="仿宋"/>
                <w:color w:val="000000"/>
                <w:sz w:val="24"/>
                <w:szCs w:val="24"/>
                <w:lang w:val="en-US" w:eastAsia="zh-CN" w:bidi="ar"/>
              </w:rPr>
              <w:t>含</w:t>
            </w:r>
            <w:r>
              <w:rPr>
                <w:rFonts w:hint="eastAsia" w:ascii="仿宋" w:hAnsi="仿宋" w:eastAsia="仿宋" w:cs="仿宋"/>
                <w:color w:val="000000"/>
                <w:sz w:val="24"/>
                <w:szCs w:val="24"/>
                <w:lang w:eastAsia="zh-CN" w:bidi="ar"/>
              </w:rPr>
              <w:t>）</w:t>
            </w:r>
            <w:r>
              <w:rPr>
                <w:rFonts w:hint="eastAsia" w:ascii="仿宋" w:hAnsi="仿宋" w:eastAsia="仿宋" w:cs="仿宋"/>
                <w:color w:val="000000"/>
                <w:sz w:val="24"/>
                <w:szCs w:val="24"/>
                <w:lang w:val="en-US" w:eastAsia="zh-CN" w:bidi="ar"/>
              </w:rPr>
              <w:t>-70分的，每低于100分1分扣减服务费400元；</w:t>
            </w:r>
            <w:r>
              <w:rPr>
                <w:rFonts w:hint="eastAsia" w:ascii="仿宋" w:hAnsi="仿宋" w:eastAsia="仿宋" w:cs="仿宋"/>
                <w:color w:val="000000"/>
                <w:sz w:val="24"/>
                <w:szCs w:val="24"/>
                <w:lang w:bidi="ar"/>
              </w:rPr>
              <w:t>连续两个月总分在</w:t>
            </w:r>
            <w:r>
              <w:rPr>
                <w:rFonts w:hint="eastAsia" w:ascii="仿宋" w:hAnsi="仿宋" w:eastAsia="仿宋" w:cs="仿宋"/>
                <w:color w:val="000000"/>
                <w:sz w:val="24"/>
                <w:szCs w:val="24"/>
                <w:lang w:val="en-US" w:eastAsia="zh-CN" w:bidi="ar"/>
              </w:rPr>
              <w:t>7</w:t>
            </w:r>
            <w:r>
              <w:rPr>
                <w:rFonts w:hint="eastAsia" w:ascii="仿宋" w:hAnsi="仿宋" w:eastAsia="仿宋" w:cs="仿宋"/>
                <w:color w:val="000000"/>
                <w:sz w:val="24"/>
                <w:szCs w:val="24"/>
                <w:lang w:bidi="ar"/>
              </w:rPr>
              <w:t>0分（不含）以下甲方有权终止合同</w:t>
            </w:r>
            <w:r>
              <w:rPr>
                <w:rFonts w:hint="eastAsia" w:ascii="仿宋" w:hAnsi="仿宋" w:eastAsia="仿宋" w:cs="仿宋"/>
                <w:color w:val="000000"/>
                <w:sz w:val="24"/>
                <w:szCs w:val="24"/>
                <w:lang w:eastAsia="zh-CN" w:bidi="ar"/>
              </w:rPr>
              <w:t>。</w:t>
            </w:r>
          </w:p>
        </w:tc>
      </w:tr>
    </w:tbl>
    <w:p w14:paraId="13B82A59">
      <w:pPr>
        <w:widowControl/>
        <w:spacing w:line="520" w:lineRule="exact"/>
        <w:rPr>
          <w:rFonts w:ascii="仿宋_GB2312" w:eastAsia="仿宋_GB2312"/>
          <w:sz w:val="28"/>
          <w:szCs w:val="32"/>
        </w:rPr>
      </w:pPr>
    </w:p>
    <w:p w14:paraId="7533835F">
      <w:pPr>
        <w:widowControl/>
        <w:jc w:val="center"/>
        <w:rPr>
          <w:rFonts w:hint="eastAsia" w:ascii="方正仿宋_GB2312" w:hAnsi="方正仿宋_GB2312" w:eastAsia="方正仿宋_GB2312" w:cs="方正仿宋_GB2312"/>
          <w:b/>
          <w:sz w:val="44"/>
          <w:szCs w:val="44"/>
        </w:rPr>
      </w:pPr>
    </w:p>
    <w:p w14:paraId="22A104BA">
      <w:pPr>
        <w:widowControl/>
        <w:jc w:val="center"/>
        <w:rPr>
          <w:rFonts w:hint="eastAsia" w:ascii="方正仿宋_GB2312" w:hAnsi="方正仿宋_GB2312" w:eastAsia="方正仿宋_GB2312" w:cs="方正仿宋_GB2312"/>
          <w:b/>
          <w:sz w:val="44"/>
          <w:szCs w:val="44"/>
        </w:rPr>
      </w:pPr>
    </w:p>
    <w:p w14:paraId="739C24F9">
      <w:pPr>
        <w:widowControl/>
        <w:jc w:val="center"/>
        <w:rPr>
          <w:rFonts w:hint="eastAsia" w:ascii="方正仿宋_GB2312" w:hAnsi="方正仿宋_GB2312" w:eastAsia="方正仿宋_GB2312" w:cs="方正仿宋_GB2312"/>
          <w:b/>
          <w:sz w:val="44"/>
          <w:szCs w:val="44"/>
        </w:rPr>
      </w:pPr>
      <w:r>
        <w:rPr>
          <w:rFonts w:hint="eastAsia" w:ascii="方正仿宋_GB2312" w:hAnsi="方正仿宋_GB2312" w:eastAsia="方正仿宋_GB2312" w:cs="方正仿宋_GB2312"/>
          <w:b/>
          <w:sz w:val="44"/>
          <w:szCs w:val="44"/>
        </w:rPr>
        <w:t>第五章  采购需求</w:t>
      </w:r>
    </w:p>
    <w:p w14:paraId="470B22D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color w:val="000000"/>
          <w:sz w:val="28"/>
          <w:szCs w:val="28"/>
        </w:rPr>
      </w:pPr>
      <w:r>
        <w:rPr>
          <w:rFonts w:hint="eastAsia" w:ascii="仿宋" w:hAnsi="仿宋" w:eastAsia="仿宋" w:cs="仿宋"/>
          <w:b/>
          <w:color w:val="000000"/>
          <w:sz w:val="28"/>
          <w:szCs w:val="28"/>
          <w:lang w:val="en-US" w:eastAsia="zh-CN"/>
        </w:rPr>
        <w:t>一</w:t>
      </w:r>
      <w:r>
        <w:rPr>
          <w:rFonts w:hint="eastAsia" w:ascii="仿宋" w:hAnsi="仿宋" w:eastAsia="仿宋" w:cs="仿宋"/>
          <w:b/>
          <w:color w:val="000000"/>
          <w:sz w:val="28"/>
          <w:szCs w:val="28"/>
        </w:rPr>
        <w:t>、服务范围</w:t>
      </w:r>
    </w:p>
    <w:p w14:paraId="02049E7B">
      <w:pPr>
        <w:keepNext w:val="0"/>
        <w:keepLines w:val="0"/>
        <w:pageBreakBefore w:val="0"/>
        <w:widowControl w:val="0"/>
        <w:kinsoku/>
        <w:wordWrap/>
        <w:overflowPunct/>
        <w:topLinePunct w:val="0"/>
        <w:autoSpaceDE/>
        <w:autoSpaceDN/>
        <w:bidi w:val="0"/>
        <w:adjustRightInd/>
        <w:snapToGrid/>
        <w:spacing w:line="360" w:lineRule="auto"/>
        <w:ind w:firstLine="600"/>
        <w:textAlignment w:val="auto"/>
        <w:rPr>
          <w:rFonts w:hint="eastAsia" w:ascii="仿宋" w:hAnsi="仿宋" w:eastAsia="仿宋" w:cs="仿宋"/>
          <w:color w:val="000000"/>
          <w:sz w:val="28"/>
          <w:szCs w:val="22"/>
          <w:u w:val="single"/>
        </w:rPr>
      </w:pPr>
      <w:r>
        <w:rPr>
          <w:rFonts w:hint="eastAsia" w:ascii="仿宋_GB2312" w:hAnsi="宋体" w:eastAsia="仿宋_GB2312"/>
          <w:sz w:val="28"/>
          <w:szCs w:val="28"/>
          <w:u w:val="single"/>
          <w:lang w:eastAsia="zh-CN"/>
        </w:rPr>
        <w:t>①霞幕圩大街(主大街)、政府院内、中心街、状元街、老通靖路、陈潮广场、西则桥桥下小广场、农贸市场安置区(南至德泉饭店、北至二环路、西至典当路、东至曲霞小学)、产业园区内部三条道路、根曲线南延、育才路、镇区停车场和滨水栈道的道路清扫保洁作业；②景观河(曲霞泵站到丁家坝),府后河(6号中沟至7号中沟)的河道河坡保洁作业；③农贸市场日常管理、安全管理和农产品质量检测；④农贸市场内外，农贸市场内部公厕，政府斜对面公厕，西则桥桥下公厕的管护和保洁作业；⑤一号中转站和二号中转站的日常保洁、安全管理和机械的维修保养以及垃圾收集转运作业；⑥园区内三条路两侧绿化，西则桥向西至老德国饭店道路两侧绿化，景观河、府后河两侧、陈潮广场、桥下广场、农贸市场安置区和老通靖路绿化、镇区绿化、镇区花箱的修剪养护保洁作业；⑦集镇区洒水作业以及洒水车的保险保养和维修；⑧政府、医院、学校、企业、农贸市场安置区、霞幕圩大街和沿街垃圾桶的垃圾收集清运作业。</w:t>
      </w:r>
      <w:r>
        <w:rPr>
          <w:rFonts w:hint="eastAsia" w:ascii="仿宋" w:hAnsi="仿宋" w:eastAsia="仿宋" w:cs="仿宋"/>
          <w:color w:val="000000"/>
          <w:sz w:val="28"/>
          <w:szCs w:val="28"/>
          <w:u w:val="single"/>
        </w:rPr>
        <w:t>（具体详见第五章采购需求）</w:t>
      </w:r>
      <w:r>
        <w:rPr>
          <w:rFonts w:hint="eastAsia" w:ascii="仿宋" w:hAnsi="仿宋" w:eastAsia="仿宋" w:cs="仿宋"/>
          <w:color w:val="000000"/>
          <w:sz w:val="28"/>
          <w:szCs w:val="22"/>
          <w:u w:val="single"/>
        </w:rPr>
        <w:t>。</w:t>
      </w:r>
    </w:p>
    <w:tbl>
      <w:tblPr>
        <w:tblStyle w:val="34"/>
        <w:tblW w:w="5000" w:type="pct"/>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603"/>
        <w:gridCol w:w="2946"/>
        <w:gridCol w:w="2134"/>
        <w:gridCol w:w="3717"/>
      </w:tblGrid>
      <w:tr w14:paraId="4132084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60" w:hRule="atLeast"/>
        </w:trPr>
        <w:tc>
          <w:tcPr>
            <w:tcW w:w="5000" w:type="pct"/>
            <w:gridSpan w:val="4"/>
            <w:noWrap w:val="0"/>
            <w:vAlign w:val="top"/>
          </w:tcPr>
          <w:p w14:paraId="2653A401">
            <w:pPr>
              <w:keepNext w:val="0"/>
              <w:keepLines w:val="0"/>
              <w:widowControl/>
              <w:suppressLineNumbers w:val="0"/>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36"/>
                <w:szCs w:val="36"/>
                <w:u w:val="none"/>
                <w:lang w:val="en-US" w:eastAsia="zh-CN" w:bidi="ar"/>
              </w:rPr>
              <w:t>镇区、村居管护项目</w:t>
            </w:r>
          </w:p>
        </w:tc>
      </w:tr>
      <w:tr w14:paraId="17313D0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95" w:hRule="atLeast"/>
        </w:trPr>
        <w:tc>
          <w:tcPr>
            <w:tcW w:w="321" w:type="pct"/>
            <w:noWrap w:val="0"/>
            <w:vAlign w:val="center"/>
          </w:tcPr>
          <w:p w14:paraId="210BB925">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序号</w:t>
            </w:r>
          </w:p>
        </w:tc>
        <w:tc>
          <w:tcPr>
            <w:tcW w:w="1567" w:type="pct"/>
            <w:noWrap w:val="0"/>
            <w:vAlign w:val="center"/>
          </w:tcPr>
          <w:p w14:paraId="4094CE0C">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项 目</w:t>
            </w:r>
          </w:p>
        </w:tc>
        <w:tc>
          <w:tcPr>
            <w:tcW w:w="1134" w:type="pct"/>
            <w:noWrap w:val="0"/>
            <w:vAlign w:val="center"/>
          </w:tcPr>
          <w:p w14:paraId="726403D7">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地址</w:t>
            </w:r>
          </w:p>
        </w:tc>
        <w:tc>
          <w:tcPr>
            <w:tcW w:w="1976" w:type="pct"/>
            <w:noWrap w:val="0"/>
            <w:vAlign w:val="center"/>
          </w:tcPr>
          <w:p w14:paraId="4CC19DA1">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面积（平方米）</w:t>
            </w:r>
          </w:p>
        </w:tc>
      </w:tr>
      <w:tr w14:paraId="1136329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20" w:hRule="atLeast"/>
        </w:trPr>
        <w:tc>
          <w:tcPr>
            <w:tcW w:w="321" w:type="pct"/>
            <w:noWrap w:val="0"/>
            <w:vAlign w:val="center"/>
          </w:tcPr>
          <w:p w14:paraId="3AE8C2C2">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1</w:t>
            </w:r>
          </w:p>
        </w:tc>
        <w:tc>
          <w:tcPr>
            <w:tcW w:w="1567" w:type="pct"/>
            <w:vMerge w:val="restart"/>
            <w:noWrap w:val="0"/>
            <w:vAlign w:val="center"/>
          </w:tcPr>
          <w:p w14:paraId="4595DA63">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道路清扫保洁</w:t>
            </w:r>
          </w:p>
        </w:tc>
        <w:tc>
          <w:tcPr>
            <w:tcW w:w="1134" w:type="pct"/>
            <w:noWrap w:val="0"/>
            <w:vAlign w:val="center"/>
          </w:tcPr>
          <w:p w14:paraId="6789A3FC">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霞慕圩大街</w:t>
            </w:r>
          </w:p>
        </w:tc>
        <w:tc>
          <w:tcPr>
            <w:tcW w:w="1976" w:type="pct"/>
            <w:noWrap w:val="0"/>
            <w:vAlign w:val="center"/>
          </w:tcPr>
          <w:p w14:paraId="3BD69642">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26430 </w:t>
            </w:r>
          </w:p>
        </w:tc>
      </w:tr>
      <w:tr w14:paraId="19D8DA7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30" w:hRule="atLeast"/>
        </w:trPr>
        <w:tc>
          <w:tcPr>
            <w:tcW w:w="321" w:type="pct"/>
            <w:noWrap w:val="0"/>
            <w:vAlign w:val="center"/>
          </w:tcPr>
          <w:p w14:paraId="6B0A9EA6">
            <w:pPr>
              <w:jc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2</w:t>
            </w:r>
          </w:p>
        </w:tc>
        <w:tc>
          <w:tcPr>
            <w:tcW w:w="1567" w:type="pct"/>
            <w:vMerge w:val="continue"/>
            <w:noWrap w:val="0"/>
            <w:vAlign w:val="center"/>
          </w:tcPr>
          <w:p w14:paraId="582B3CA0">
            <w:pPr>
              <w:jc w:val="center"/>
              <w:rPr>
                <w:rFonts w:hint="eastAsia" w:ascii="仿宋" w:hAnsi="仿宋" w:eastAsia="仿宋" w:cs="仿宋"/>
                <w:i w:val="0"/>
                <w:iCs w:val="0"/>
                <w:color w:val="000000"/>
                <w:sz w:val="24"/>
                <w:szCs w:val="24"/>
                <w:u w:val="none"/>
              </w:rPr>
            </w:pPr>
          </w:p>
        </w:tc>
        <w:tc>
          <w:tcPr>
            <w:tcW w:w="1134" w:type="pct"/>
            <w:noWrap w:val="0"/>
            <w:vAlign w:val="center"/>
          </w:tcPr>
          <w:p w14:paraId="05659D02">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新七珊线</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(南二环)</w:t>
            </w:r>
          </w:p>
        </w:tc>
        <w:tc>
          <w:tcPr>
            <w:tcW w:w="1976" w:type="pct"/>
            <w:noWrap w:val="0"/>
            <w:vAlign w:val="center"/>
          </w:tcPr>
          <w:p w14:paraId="02998CA6">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41394 </w:t>
            </w:r>
          </w:p>
        </w:tc>
      </w:tr>
      <w:tr w14:paraId="3100743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20" w:hRule="atLeast"/>
        </w:trPr>
        <w:tc>
          <w:tcPr>
            <w:tcW w:w="321" w:type="pct"/>
            <w:noWrap w:val="0"/>
            <w:vAlign w:val="center"/>
          </w:tcPr>
          <w:p w14:paraId="410BC1E8">
            <w:pPr>
              <w:keepNext w:val="0"/>
              <w:keepLines w:val="0"/>
              <w:widowControl/>
              <w:suppressLineNumbers w:val="0"/>
              <w:jc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3</w:t>
            </w:r>
          </w:p>
        </w:tc>
        <w:tc>
          <w:tcPr>
            <w:tcW w:w="1567" w:type="pct"/>
            <w:vMerge w:val="continue"/>
            <w:noWrap w:val="0"/>
            <w:vAlign w:val="center"/>
          </w:tcPr>
          <w:p w14:paraId="2EB2EC55">
            <w:pPr>
              <w:jc w:val="center"/>
              <w:rPr>
                <w:rFonts w:hint="eastAsia" w:ascii="仿宋" w:hAnsi="仿宋" w:eastAsia="仿宋" w:cs="仿宋"/>
                <w:i w:val="0"/>
                <w:iCs w:val="0"/>
                <w:color w:val="000000"/>
                <w:sz w:val="24"/>
                <w:szCs w:val="24"/>
                <w:u w:val="none"/>
              </w:rPr>
            </w:pPr>
          </w:p>
        </w:tc>
        <w:tc>
          <w:tcPr>
            <w:tcW w:w="1134" w:type="pct"/>
            <w:noWrap w:val="0"/>
            <w:vAlign w:val="center"/>
          </w:tcPr>
          <w:p w14:paraId="37264DA8">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中心街</w:t>
            </w:r>
          </w:p>
        </w:tc>
        <w:tc>
          <w:tcPr>
            <w:tcW w:w="1976" w:type="pct"/>
            <w:noWrap w:val="0"/>
            <w:vAlign w:val="center"/>
          </w:tcPr>
          <w:p w14:paraId="57F86930">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968 </w:t>
            </w:r>
          </w:p>
        </w:tc>
      </w:tr>
      <w:tr w14:paraId="783F311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30" w:hRule="atLeast"/>
        </w:trPr>
        <w:tc>
          <w:tcPr>
            <w:tcW w:w="321" w:type="pct"/>
            <w:noWrap w:val="0"/>
            <w:vAlign w:val="center"/>
          </w:tcPr>
          <w:p w14:paraId="1B701B76">
            <w:pPr>
              <w:keepNext w:val="0"/>
              <w:keepLines w:val="0"/>
              <w:widowControl/>
              <w:suppressLineNumbers w:val="0"/>
              <w:jc w:val="center"/>
              <w:rPr>
                <w:rFonts w:hint="default"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4</w:t>
            </w:r>
          </w:p>
        </w:tc>
        <w:tc>
          <w:tcPr>
            <w:tcW w:w="1567" w:type="pct"/>
            <w:vMerge w:val="continue"/>
            <w:noWrap w:val="0"/>
            <w:vAlign w:val="center"/>
          </w:tcPr>
          <w:p w14:paraId="240993E9">
            <w:pPr>
              <w:jc w:val="center"/>
              <w:rPr>
                <w:rFonts w:hint="eastAsia" w:ascii="仿宋" w:hAnsi="仿宋" w:eastAsia="仿宋" w:cs="仿宋"/>
                <w:i w:val="0"/>
                <w:iCs w:val="0"/>
                <w:color w:val="000000"/>
                <w:sz w:val="24"/>
                <w:szCs w:val="24"/>
                <w:u w:val="none"/>
              </w:rPr>
            </w:pPr>
          </w:p>
        </w:tc>
        <w:tc>
          <w:tcPr>
            <w:tcW w:w="1134" w:type="pct"/>
            <w:noWrap w:val="0"/>
            <w:vAlign w:val="center"/>
          </w:tcPr>
          <w:p w14:paraId="4A46E148">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通靖路</w:t>
            </w:r>
          </w:p>
        </w:tc>
        <w:tc>
          <w:tcPr>
            <w:tcW w:w="1976" w:type="pct"/>
            <w:noWrap w:val="0"/>
            <w:vAlign w:val="center"/>
          </w:tcPr>
          <w:p w14:paraId="6A023FC8">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2616 </w:t>
            </w:r>
          </w:p>
        </w:tc>
      </w:tr>
      <w:tr w14:paraId="6463E4F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10" w:hRule="atLeast"/>
        </w:trPr>
        <w:tc>
          <w:tcPr>
            <w:tcW w:w="603" w:type="dxa"/>
            <w:noWrap w:val="0"/>
            <w:vAlign w:val="center"/>
          </w:tcPr>
          <w:p w14:paraId="538CF290">
            <w:pPr>
              <w:keepNext w:val="0"/>
              <w:keepLines w:val="0"/>
              <w:widowControl/>
              <w:suppressLineNumbers w:val="0"/>
              <w:jc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5</w:t>
            </w:r>
          </w:p>
        </w:tc>
        <w:tc>
          <w:tcPr>
            <w:tcW w:w="1567" w:type="pct"/>
            <w:vMerge w:val="continue"/>
            <w:noWrap w:val="0"/>
            <w:vAlign w:val="center"/>
          </w:tcPr>
          <w:p w14:paraId="679C128C">
            <w:pPr>
              <w:jc w:val="center"/>
              <w:rPr>
                <w:rFonts w:hint="eastAsia" w:ascii="仿宋" w:hAnsi="仿宋" w:eastAsia="仿宋" w:cs="仿宋"/>
                <w:i w:val="0"/>
                <w:iCs w:val="0"/>
                <w:color w:val="000000"/>
                <w:sz w:val="24"/>
                <w:szCs w:val="24"/>
                <w:u w:val="none"/>
              </w:rPr>
            </w:pPr>
          </w:p>
        </w:tc>
        <w:tc>
          <w:tcPr>
            <w:tcW w:w="1134" w:type="pct"/>
            <w:noWrap w:val="0"/>
            <w:vAlign w:val="center"/>
          </w:tcPr>
          <w:p w14:paraId="39E2E3DB">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陈潮广场</w:t>
            </w:r>
          </w:p>
        </w:tc>
        <w:tc>
          <w:tcPr>
            <w:tcW w:w="1976" w:type="pct"/>
            <w:noWrap w:val="0"/>
            <w:vAlign w:val="center"/>
          </w:tcPr>
          <w:p w14:paraId="6954950C">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3146 </w:t>
            </w:r>
          </w:p>
        </w:tc>
      </w:tr>
      <w:tr w14:paraId="3A058B0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20" w:hRule="atLeast"/>
        </w:trPr>
        <w:tc>
          <w:tcPr>
            <w:tcW w:w="603" w:type="dxa"/>
            <w:noWrap w:val="0"/>
            <w:vAlign w:val="center"/>
          </w:tcPr>
          <w:p w14:paraId="6FD7629C">
            <w:pPr>
              <w:keepNext w:val="0"/>
              <w:keepLines w:val="0"/>
              <w:widowControl/>
              <w:suppressLineNumbers w:val="0"/>
              <w:jc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6</w:t>
            </w:r>
          </w:p>
        </w:tc>
        <w:tc>
          <w:tcPr>
            <w:tcW w:w="1567" w:type="pct"/>
            <w:vMerge w:val="continue"/>
            <w:noWrap w:val="0"/>
            <w:vAlign w:val="center"/>
          </w:tcPr>
          <w:p w14:paraId="0D3FE90F">
            <w:pPr>
              <w:jc w:val="center"/>
              <w:rPr>
                <w:rFonts w:hint="eastAsia" w:ascii="仿宋" w:hAnsi="仿宋" w:eastAsia="仿宋" w:cs="仿宋"/>
                <w:i w:val="0"/>
                <w:iCs w:val="0"/>
                <w:color w:val="000000"/>
                <w:sz w:val="24"/>
                <w:szCs w:val="24"/>
                <w:u w:val="none"/>
              </w:rPr>
            </w:pPr>
          </w:p>
        </w:tc>
        <w:tc>
          <w:tcPr>
            <w:tcW w:w="1134" w:type="pct"/>
            <w:noWrap w:val="0"/>
            <w:vAlign w:val="center"/>
          </w:tcPr>
          <w:p w14:paraId="63492E3E">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西则桥下广场</w:t>
            </w:r>
          </w:p>
        </w:tc>
        <w:tc>
          <w:tcPr>
            <w:tcW w:w="1976" w:type="pct"/>
            <w:noWrap w:val="0"/>
            <w:vAlign w:val="center"/>
          </w:tcPr>
          <w:p w14:paraId="68ADD1EE">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842 </w:t>
            </w:r>
          </w:p>
        </w:tc>
      </w:tr>
      <w:tr w14:paraId="6646CDD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20" w:hRule="atLeast"/>
        </w:trPr>
        <w:tc>
          <w:tcPr>
            <w:tcW w:w="603" w:type="dxa"/>
            <w:noWrap w:val="0"/>
            <w:vAlign w:val="center"/>
          </w:tcPr>
          <w:p w14:paraId="40BA7C86">
            <w:pPr>
              <w:keepNext w:val="0"/>
              <w:keepLines w:val="0"/>
              <w:widowControl/>
              <w:suppressLineNumbers w:val="0"/>
              <w:jc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bidi="ar"/>
              </w:rPr>
              <w:t>7</w:t>
            </w:r>
          </w:p>
        </w:tc>
        <w:tc>
          <w:tcPr>
            <w:tcW w:w="1567" w:type="pct"/>
            <w:vMerge w:val="continue"/>
            <w:noWrap w:val="0"/>
            <w:vAlign w:val="center"/>
          </w:tcPr>
          <w:p w14:paraId="1EC38CDD">
            <w:pPr>
              <w:jc w:val="center"/>
              <w:rPr>
                <w:rFonts w:hint="eastAsia" w:ascii="仿宋" w:hAnsi="仿宋" w:eastAsia="仿宋" w:cs="仿宋"/>
                <w:i w:val="0"/>
                <w:iCs w:val="0"/>
                <w:color w:val="000000"/>
                <w:sz w:val="24"/>
                <w:szCs w:val="24"/>
                <w:u w:val="none"/>
              </w:rPr>
            </w:pPr>
          </w:p>
        </w:tc>
        <w:tc>
          <w:tcPr>
            <w:tcW w:w="1134" w:type="pct"/>
            <w:noWrap w:val="0"/>
            <w:vAlign w:val="center"/>
          </w:tcPr>
          <w:p w14:paraId="6564C175">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停车场</w:t>
            </w:r>
          </w:p>
        </w:tc>
        <w:tc>
          <w:tcPr>
            <w:tcW w:w="1976" w:type="pct"/>
            <w:noWrap w:val="0"/>
            <w:vAlign w:val="center"/>
          </w:tcPr>
          <w:p w14:paraId="392A8295">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1167 </w:t>
            </w:r>
          </w:p>
        </w:tc>
      </w:tr>
      <w:tr w14:paraId="2BB5C94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20" w:hRule="atLeast"/>
        </w:trPr>
        <w:tc>
          <w:tcPr>
            <w:tcW w:w="603" w:type="dxa"/>
            <w:noWrap w:val="0"/>
            <w:vAlign w:val="center"/>
          </w:tcPr>
          <w:p w14:paraId="043A2156">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8</w:t>
            </w:r>
          </w:p>
        </w:tc>
        <w:tc>
          <w:tcPr>
            <w:tcW w:w="1567" w:type="pct"/>
            <w:vMerge w:val="continue"/>
            <w:noWrap w:val="0"/>
            <w:vAlign w:val="center"/>
          </w:tcPr>
          <w:p w14:paraId="271AE94E">
            <w:pPr>
              <w:jc w:val="center"/>
              <w:rPr>
                <w:rFonts w:hint="eastAsia" w:ascii="仿宋" w:hAnsi="仿宋" w:eastAsia="仿宋" w:cs="仿宋"/>
                <w:i w:val="0"/>
                <w:iCs w:val="0"/>
                <w:color w:val="000000"/>
                <w:sz w:val="24"/>
                <w:szCs w:val="24"/>
                <w:u w:val="none"/>
              </w:rPr>
            </w:pPr>
          </w:p>
        </w:tc>
        <w:tc>
          <w:tcPr>
            <w:tcW w:w="1134" w:type="pct"/>
            <w:noWrap w:val="0"/>
            <w:vAlign w:val="center"/>
          </w:tcPr>
          <w:p w14:paraId="6493707F">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衣贸市场安置区</w:t>
            </w:r>
          </w:p>
        </w:tc>
        <w:tc>
          <w:tcPr>
            <w:tcW w:w="1976" w:type="pct"/>
            <w:noWrap w:val="0"/>
            <w:vAlign w:val="center"/>
          </w:tcPr>
          <w:p w14:paraId="4DCA5493">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21662 </w:t>
            </w:r>
          </w:p>
        </w:tc>
      </w:tr>
      <w:tr w14:paraId="39A32BE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30" w:hRule="atLeast"/>
        </w:trPr>
        <w:tc>
          <w:tcPr>
            <w:tcW w:w="603" w:type="dxa"/>
            <w:noWrap w:val="0"/>
            <w:vAlign w:val="center"/>
          </w:tcPr>
          <w:p w14:paraId="73BFA567">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9</w:t>
            </w:r>
          </w:p>
        </w:tc>
        <w:tc>
          <w:tcPr>
            <w:tcW w:w="1567" w:type="pct"/>
            <w:vMerge w:val="continue"/>
            <w:noWrap w:val="0"/>
            <w:vAlign w:val="center"/>
          </w:tcPr>
          <w:p w14:paraId="47FAA77A">
            <w:pPr>
              <w:jc w:val="center"/>
              <w:rPr>
                <w:rFonts w:hint="eastAsia" w:ascii="仿宋" w:hAnsi="仿宋" w:eastAsia="仿宋" w:cs="仿宋"/>
                <w:i w:val="0"/>
                <w:iCs w:val="0"/>
                <w:color w:val="000000"/>
                <w:sz w:val="24"/>
                <w:szCs w:val="24"/>
                <w:u w:val="none"/>
              </w:rPr>
            </w:pPr>
          </w:p>
        </w:tc>
        <w:tc>
          <w:tcPr>
            <w:tcW w:w="1134" w:type="pct"/>
            <w:noWrap w:val="0"/>
            <w:vAlign w:val="center"/>
          </w:tcPr>
          <w:p w14:paraId="2455CF46">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农贸市场</w:t>
            </w:r>
          </w:p>
        </w:tc>
        <w:tc>
          <w:tcPr>
            <w:tcW w:w="1976" w:type="pct"/>
            <w:noWrap w:val="0"/>
            <w:vAlign w:val="center"/>
          </w:tcPr>
          <w:p w14:paraId="7C90F1BF">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10420 </w:t>
            </w:r>
          </w:p>
        </w:tc>
      </w:tr>
      <w:tr w14:paraId="26E7C93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30" w:hRule="atLeast"/>
        </w:trPr>
        <w:tc>
          <w:tcPr>
            <w:tcW w:w="603" w:type="dxa"/>
            <w:noWrap w:val="0"/>
            <w:vAlign w:val="center"/>
          </w:tcPr>
          <w:p w14:paraId="36F54C58">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10</w:t>
            </w:r>
          </w:p>
        </w:tc>
        <w:tc>
          <w:tcPr>
            <w:tcW w:w="1567" w:type="pct"/>
            <w:vMerge w:val="continue"/>
            <w:noWrap w:val="0"/>
            <w:vAlign w:val="center"/>
          </w:tcPr>
          <w:p w14:paraId="7791BD76">
            <w:pPr>
              <w:jc w:val="center"/>
              <w:rPr>
                <w:rFonts w:hint="eastAsia" w:ascii="仿宋" w:hAnsi="仿宋" w:eastAsia="仿宋" w:cs="仿宋"/>
                <w:i w:val="0"/>
                <w:iCs w:val="0"/>
                <w:color w:val="000000"/>
                <w:sz w:val="24"/>
                <w:szCs w:val="24"/>
                <w:u w:val="none"/>
              </w:rPr>
            </w:pPr>
          </w:p>
        </w:tc>
        <w:tc>
          <w:tcPr>
            <w:tcW w:w="1134" w:type="pct"/>
            <w:noWrap w:val="0"/>
            <w:vAlign w:val="center"/>
          </w:tcPr>
          <w:p w14:paraId="793E97DE">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育才路</w:t>
            </w:r>
          </w:p>
        </w:tc>
        <w:tc>
          <w:tcPr>
            <w:tcW w:w="1976" w:type="pct"/>
            <w:noWrap w:val="0"/>
            <w:vAlign w:val="center"/>
          </w:tcPr>
          <w:p w14:paraId="409DB802">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4899 </w:t>
            </w:r>
          </w:p>
        </w:tc>
      </w:tr>
      <w:tr w14:paraId="3A444C0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30" w:hRule="atLeast"/>
        </w:trPr>
        <w:tc>
          <w:tcPr>
            <w:tcW w:w="603" w:type="dxa"/>
            <w:noWrap w:val="0"/>
            <w:vAlign w:val="center"/>
          </w:tcPr>
          <w:p w14:paraId="3A49A8EB">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11</w:t>
            </w:r>
          </w:p>
        </w:tc>
        <w:tc>
          <w:tcPr>
            <w:tcW w:w="1567" w:type="pct"/>
            <w:vMerge w:val="continue"/>
            <w:noWrap w:val="0"/>
            <w:vAlign w:val="center"/>
          </w:tcPr>
          <w:p w14:paraId="65DB7BA3">
            <w:pPr>
              <w:jc w:val="center"/>
              <w:rPr>
                <w:rFonts w:hint="eastAsia" w:ascii="仿宋" w:hAnsi="仿宋" w:eastAsia="仿宋" w:cs="仿宋"/>
                <w:i w:val="0"/>
                <w:iCs w:val="0"/>
                <w:color w:val="000000"/>
                <w:sz w:val="24"/>
                <w:szCs w:val="24"/>
                <w:u w:val="none"/>
              </w:rPr>
            </w:pPr>
          </w:p>
        </w:tc>
        <w:tc>
          <w:tcPr>
            <w:tcW w:w="1134" w:type="pct"/>
            <w:noWrap w:val="0"/>
            <w:vAlign w:val="center"/>
          </w:tcPr>
          <w:p w14:paraId="3E9B2A55">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状元路</w:t>
            </w:r>
          </w:p>
        </w:tc>
        <w:tc>
          <w:tcPr>
            <w:tcW w:w="1976" w:type="pct"/>
            <w:noWrap w:val="0"/>
            <w:vAlign w:val="center"/>
          </w:tcPr>
          <w:p w14:paraId="245497CE">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9282 </w:t>
            </w:r>
          </w:p>
        </w:tc>
      </w:tr>
      <w:tr w14:paraId="526F03D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10" w:hRule="atLeast"/>
        </w:trPr>
        <w:tc>
          <w:tcPr>
            <w:tcW w:w="603" w:type="dxa"/>
            <w:noWrap w:val="0"/>
            <w:vAlign w:val="center"/>
          </w:tcPr>
          <w:p w14:paraId="68AB08E6">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13</w:t>
            </w:r>
          </w:p>
        </w:tc>
        <w:tc>
          <w:tcPr>
            <w:tcW w:w="1567" w:type="pct"/>
            <w:vMerge w:val="continue"/>
            <w:noWrap w:val="0"/>
            <w:vAlign w:val="center"/>
          </w:tcPr>
          <w:p w14:paraId="3FC25B29">
            <w:pPr>
              <w:jc w:val="center"/>
              <w:rPr>
                <w:rFonts w:hint="eastAsia" w:ascii="仿宋" w:hAnsi="仿宋" w:eastAsia="仿宋" w:cs="仿宋"/>
                <w:i w:val="0"/>
                <w:iCs w:val="0"/>
                <w:color w:val="000000"/>
                <w:sz w:val="24"/>
                <w:szCs w:val="24"/>
                <w:u w:val="none"/>
              </w:rPr>
            </w:pPr>
          </w:p>
        </w:tc>
        <w:tc>
          <w:tcPr>
            <w:tcW w:w="1134" w:type="pct"/>
            <w:noWrap w:val="0"/>
            <w:vAlign w:val="center"/>
          </w:tcPr>
          <w:p w14:paraId="46B95E6C">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栈道</w:t>
            </w:r>
          </w:p>
        </w:tc>
        <w:tc>
          <w:tcPr>
            <w:tcW w:w="1976" w:type="pct"/>
            <w:noWrap w:val="0"/>
            <w:vAlign w:val="center"/>
          </w:tcPr>
          <w:p w14:paraId="1D503212">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525 </w:t>
            </w:r>
          </w:p>
        </w:tc>
      </w:tr>
      <w:tr w14:paraId="6F9DBDD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20" w:hRule="atLeast"/>
        </w:trPr>
        <w:tc>
          <w:tcPr>
            <w:tcW w:w="603" w:type="dxa"/>
            <w:noWrap w:val="0"/>
            <w:vAlign w:val="center"/>
          </w:tcPr>
          <w:p w14:paraId="35FDD2A3">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14</w:t>
            </w:r>
          </w:p>
        </w:tc>
        <w:tc>
          <w:tcPr>
            <w:tcW w:w="1567" w:type="pct"/>
            <w:vMerge w:val="restart"/>
            <w:noWrap w:val="0"/>
            <w:vAlign w:val="center"/>
          </w:tcPr>
          <w:p w14:paraId="544647CA">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新兴产业园</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道路清扫保洁</w:t>
            </w:r>
          </w:p>
        </w:tc>
        <w:tc>
          <w:tcPr>
            <w:tcW w:w="1134" w:type="pct"/>
            <w:noWrap w:val="0"/>
            <w:vAlign w:val="center"/>
          </w:tcPr>
          <w:p w14:paraId="1E99A5A7">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根曲线南延</w:t>
            </w:r>
          </w:p>
        </w:tc>
        <w:tc>
          <w:tcPr>
            <w:tcW w:w="1976" w:type="pct"/>
            <w:noWrap w:val="0"/>
            <w:vAlign w:val="center"/>
          </w:tcPr>
          <w:p w14:paraId="702059CC">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3706 </w:t>
            </w:r>
          </w:p>
        </w:tc>
      </w:tr>
      <w:tr w14:paraId="73CCF29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20" w:hRule="atLeast"/>
        </w:trPr>
        <w:tc>
          <w:tcPr>
            <w:tcW w:w="321" w:type="pct"/>
            <w:noWrap w:val="0"/>
            <w:vAlign w:val="center"/>
          </w:tcPr>
          <w:p w14:paraId="47444BC8">
            <w:pPr>
              <w:keepNext w:val="0"/>
              <w:keepLines w:val="0"/>
              <w:widowControl/>
              <w:suppressLineNumbers w:val="0"/>
              <w:jc w:val="center"/>
              <w:rPr>
                <w:rFonts w:hint="default"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15</w:t>
            </w:r>
          </w:p>
        </w:tc>
        <w:tc>
          <w:tcPr>
            <w:tcW w:w="1567" w:type="pct"/>
            <w:vMerge w:val="continue"/>
            <w:noWrap w:val="0"/>
            <w:vAlign w:val="center"/>
          </w:tcPr>
          <w:p w14:paraId="5ED37174">
            <w:pPr>
              <w:jc w:val="center"/>
              <w:rPr>
                <w:rFonts w:hint="eastAsia" w:ascii="仿宋" w:hAnsi="仿宋" w:eastAsia="仿宋" w:cs="仿宋"/>
                <w:i w:val="0"/>
                <w:iCs w:val="0"/>
                <w:color w:val="000000"/>
                <w:sz w:val="24"/>
                <w:szCs w:val="24"/>
                <w:u w:val="none"/>
              </w:rPr>
            </w:pPr>
          </w:p>
        </w:tc>
        <w:tc>
          <w:tcPr>
            <w:tcW w:w="1134" w:type="pct"/>
            <w:noWrap w:val="0"/>
            <w:vAlign w:val="center"/>
          </w:tcPr>
          <w:p w14:paraId="0946B36E">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内三条路</w:t>
            </w:r>
          </w:p>
        </w:tc>
        <w:tc>
          <w:tcPr>
            <w:tcW w:w="1976" w:type="pct"/>
            <w:noWrap w:val="0"/>
            <w:vAlign w:val="center"/>
          </w:tcPr>
          <w:p w14:paraId="2D3AAF9B">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10469 </w:t>
            </w:r>
          </w:p>
        </w:tc>
      </w:tr>
      <w:tr w14:paraId="425959C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30" w:hRule="atLeast"/>
        </w:trPr>
        <w:tc>
          <w:tcPr>
            <w:tcW w:w="3023" w:type="pct"/>
            <w:gridSpan w:val="3"/>
            <w:noWrap w:val="0"/>
            <w:vAlign w:val="center"/>
          </w:tcPr>
          <w:p w14:paraId="2426ACEC">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小计</w:t>
            </w:r>
          </w:p>
        </w:tc>
        <w:tc>
          <w:tcPr>
            <w:tcW w:w="1976" w:type="pct"/>
            <w:noWrap w:val="0"/>
            <w:vAlign w:val="center"/>
          </w:tcPr>
          <w:p w14:paraId="1DAF538D">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137526 </w:t>
            </w:r>
          </w:p>
        </w:tc>
      </w:tr>
      <w:tr w14:paraId="67AF233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30" w:hRule="atLeast"/>
        </w:trPr>
        <w:tc>
          <w:tcPr>
            <w:tcW w:w="321" w:type="pct"/>
            <w:noWrap w:val="0"/>
            <w:vAlign w:val="center"/>
          </w:tcPr>
          <w:p w14:paraId="529D3D32">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16 </w:t>
            </w:r>
          </w:p>
        </w:tc>
        <w:tc>
          <w:tcPr>
            <w:tcW w:w="1567" w:type="pct"/>
            <w:vMerge w:val="restart"/>
            <w:noWrap w:val="0"/>
            <w:vAlign w:val="center"/>
          </w:tcPr>
          <w:p w14:paraId="739E1F45">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河道保洁</w:t>
            </w:r>
          </w:p>
        </w:tc>
        <w:tc>
          <w:tcPr>
            <w:tcW w:w="1134" w:type="pct"/>
            <w:noWrap w:val="0"/>
            <w:vAlign w:val="center"/>
          </w:tcPr>
          <w:p w14:paraId="2A7C4099">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府后河</w:t>
            </w:r>
          </w:p>
        </w:tc>
        <w:tc>
          <w:tcPr>
            <w:tcW w:w="1976" w:type="pct"/>
            <w:noWrap w:val="0"/>
            <w:vAlign w:val="center"/>
          </w:tcPr>
          <w:p w14:paraId="00487E7C">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19385 </w:t>
            </w:r>
          </w:p>
        </w:tc>
      </w:tr>
      <w:tr w14:paraId="51A1523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10" w:hRule="atLeast"/>
        </w:trPr>
        <w:tc>
          <w:tcPr>
            <w:tcW w:w="321" w:type="pct"/>
            <w:noWrap w:val="0"/>
            <w:vAlign w:val="center"/>
          </w:tcPr>
          <w:p w14:paraId="3FCD980C">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17 </w:t>
            </w:r>
          </w:p>
        </w:tc>
        <w:tc>
          <w:tcPr>
            <w:tcW w:w="1567" w:type="pct"/>
            <w:vMerge w:val="continue"/>
            <w:noWrap w:val="0"/>
            <w:vAlign w:val="center"/>
          </w:tcPr>
          <w:p w14:paraId="01B60478">
            <w:pPr>
              <w:jc w:val="center"/>
              <w:rPr>
                <w:rFonts w:hint="eastAsia" w:ascii="仿宋" w:hAnsi="仿宋" w:eastAsia="仿宋" w:cs="仿宋"/>
                <w:i w:val="0"/>
                <w:iCs w:val="0"/>
                <w:color w:val="000000"/>
                <w:sz w:val="24"/>
                <w:szCs w:val="24"/>
                <w:u w:val="none"/>
              </w:rPr>
            </w:pPr>
          </w:p>
        </w:tc>
        <w:tc>
          <w:tcPr>
            <w:tcW w:w="1134" w:type="pct"/>
            <w:noWrap w:val="0"/>
            <w:vAlign w:val="center"/>
          </w:tcPr>
          <w:p w14:paraId="167D7129">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景观河</w:t>
            </w:r>
          </w:p>
        </w:tc>
        <w:tc>
          <w:tcPr>
            <w:tcW w:w="1976" w:type="pct"/>
            <w:noWrap w:val="0"/>
            <w:vAlign w:val="center"/>
          </w:tcPr>
          <w:p w14:paraId="34293281">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5307 </w:t>
            </w:r>
          </w:p>
        </w:tc>
      </w:tr>
      <w:tr w14:paraId="1F0F14E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40" w:hRule="atLeast"/>
        </w:trPr>
        <w:tc>
          <w:tcPr>
            <w:tcW w:w="3023" w:type="pct"/>
            <w:gridSpan w:val="3"/>
            <w:noWrap w:val="0"/>
            <w:vAlign w:val="center"/>
          </w:tcPr>
          <w:p w14:paraId="7BE66C6E">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小计</w:t>
            </w:r>
          </w:p>
        </w:tc>
        <w:tc>
          <w:tcPr>
            <w:tcW w:w="1976" w:type="pct"/>
            <w:noWrap w:val="0"/>
            <w:vAlign w:val="center"/>
          </w:tcPr>
          <w:p w14:paraId="7371B58C">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24692 </w:t>
            </w:r>
          </w:p>
        </w:tc>
      </w:tr>
      <w:tr w14:paraId="0E589D2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20" w:hRule="atLeast"/>
        </w:trPr>
        <w:tc>
          <w:tcPr>
            <w:tcW w:w="321" w:type="pct"/>
            <w:noWrap w:val="0"/>
            <w:vAlign w:val="center"/>
          </w:tcPr>
          <w:p w14:paraId="5BF304B9">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18 </w:t>
            </w:r>
          </w:p>
        </w:tc>
        <w:tc>
          <w:tcPr>
            <w:tcW w:w="1567" w:type="pct"/>
            <w:vMerge w:val="restart"/>
            <w:noWrap w:val="0"/>
            <w:vAlign w:val="center"/>
          </w:tcPr>
          <w:p w14:paraId="1C335617">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绿化养护</w:t>
            </w:r>
          </w:p>
        </w:tc>
        <w:tc>
          <w:tcPr>
            <w:tcW w:w="1134" w:type="pct"/>
            <w:noWrap w:val="0"/>
            <w:vAlign w:val="center"/>
          </w:tcPr>
          <w:p w14:paraId="0D6C0193">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府后河</w:t>
            </w:r>
          </w:p>
        </w:tc>
        <w:tc>
          <w:tcPr>
            <w:tcW w:w="1976" w:type="pct"/>
            <w:noWrap w:val="0"/>
            <w:vAlign w:val="center"/>
          </w:tcPr>
          <w:p w14:paraId="168BC3DC">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6470 </w:t>
            </w:r>
          </w:p>
        </w:tc>
      </w:tr>
      <w:tr w14:paraId="5ABBEF2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30" w:hRule="atLeast"/>
        </w:trPr>
        <w:tc>
          <w:tcPr>
            <w:tcW w:w="321" w:type="pct"/>
            <w:noWrap w:val="0"/>
            <w:vAlign w:val="center"/>
          </w:tcPr>
          <w:p w14:paraId="23F675F7">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19 </w:t>
            </w:r>
          </w:p>
        </w:tc>
        <w:tc>
          <w:tcPr>
            <w:tcW w:w="1567" w:type="pct"/>
            <w:vMerge w:val="continue"/>
            <w:noWrap w:val="0"/>
            <w:vAlign w:val="center"/>
          </w:tcPr>
          <w:p w14:paraId="1E422296">
            <w:pPr>
              <w:jc w:val="center"/>
              <w:rPr>
                <w:rFonts w:hint="eastAsia" w:ascii="仿宋" w:hAnsi="仿宋" w:eastAsia="仿宋" w:cs="仿宋"/>
                <w:i w:val="0"/>
                <w:iCs w:val="0"/>
                <w:color w:val="000000"/>
                <w:sz w:val="24"/>
                <w:szCs w:val="24"/>
                <w:u w:val="none"/>
              </w:rPr>
            </w:pPr>
          </w:p>
        </w:tc>
        <w:tc>
          <w:tcPr>
            <w:tcW w:w="1134" w:type="pct"/>
            <w:noWrap w:val="0"/>
            <w:vAlign w:val="center"/>
          </w:tcPr>
          <w:p w14:paraId="142D6C33">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景观河</w:t>
            </w:r>
          </w:p>
        </w:tc>
        <w:tc>
          <w:tcPr>
            <w:tcW w:w="1976" w:type="pct"/>
            <w:noWrap w:val="0"/>
            <w:vAlign w:val="center"/>
          </w:tcPr>
          <w:p w14:paraId="55A732FB">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4624 </w:t>
            </w:r>
          </w:p>
        </w:tc>
      </w:tr>
      <w:tr w14:paraId="464A31C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30" w:hRule="atLeast"/>
        </w:trPr>
        <w:tc>
          <w:tcPr>
            <w:tcW w:w="321" w:type="pct"/>
            <w:noWrap w:val="0"/>
            <w:vAlign w:val="center"/>
          </w:tcPr>
          <w:p w14:paraId="0795D4AF">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20 </w:t>
            </w:r>
          </w:p>
        </w:tc>
        <w:tc>
          <w:tcPr>
            <w:tcW w:w="1567" w:type="pct"/>
            <w:vMerge w:val="continue"/>
            <w:noWrap w:val="0"/>
            <w:vAlign w:val="center"/>
          </w:tcPr>
          <w:p w14:paraId="5E4254D1">
            <w:pPr>
              <w:jc w:val="center"/>
              <w:rPr>
                <w:rFonts w:hint="eastAsia" w:ascii="仿宋" w:hAnsi="仿宋" w:eastAsia="仿宋" w:cs="仿宋"/>
                <w:i w:val="0"/>
                <w:iCs w:val="0"/>
                <w:color w:val="000000"/>
                <w:sz w:val="24"/>
                <w:szCs w:val="24"/>
                <w:u w:val="none"/>
              </w:rPr>
            </w:pPr>
          </w:p>
        </w:tc>
        <w:tc>
          <w:tcPr>
            <w:tcW w:w="1134" w:type="pct"/>
            <w:noWrap w:val="0"/>
            <w:vAlign w:val="center"/>
          </w:tcPr>
          <w:p w14:paraId="69F572D5">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新兴产业园区</w:t>
            </w:r>
          </w:p>
        </w:tc>
        <w:tc>
          <w:tcPr>
            <w:tcW w:w="1976" w:type="pct"/>
            <w:noWrap w:val="0"/>
            <w:vAlign w:val="center"/>
          </w:tcPr>
          <w:p w14:paraId="4037A95A">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9661 </w:t>
            </w:r>
          </w:p>
        </w:tc>
      </w:tr>
      <w:tr w14:paraId="318AF48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30" w:hRule="atLeast"/>
        </w:trPr>
        <w:tc>
          <w:tcPr>
            <w:tcW w:w="3023" w:type="pct"/>
            <w:gridSpan w:val="3"/>
            <w:noWrap w:val="0"/>
            <w:vAlign w:val="center"/>
          </w:tcPr>
          <w:p w14:paraId="23178784">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小计</w:t>
            </w:r>
          </w:p>
        </w:tc>
        <w:tc>
          <w:tcPr>
            <w:tcW w:w="1976" w:type="pct"/>
            <w:noWrap w:val="0"/>
            <w:vAlign w:val="center"/>
          </w:tcPr>
          <w:p w14:paraId="20E0D5AB">
            <w:pPr>
              <w:keepNext w:val="0"/>
              <w:keepLines w:val="0"/>
              <w:widowControl/>
              <w:suppressLineNumbers w:val="0"/>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20755 </w:t>
            </w:r>
          </w:p>
        </w:tc>
      </w:tr>
    </w:tbl>
    <w:p w14:paraId="749EAB39">
      <w:pPr>
        <w:keepNext w:val="0"/>
        <w:keepLines w:val="0"/>
        <w:pageBreakBefore w:val="0"/>
        <w:widowControl w:val="0"/>
        <w:kinsoku/>
        <w:wordWrap/>
        <w:overflowPunct/>
        <w:topLinePunct w:val="0"/>
        <w:autoSpaceDE/>
        <w:autoSpaceDN/>
        <w:bidi w:val="0"/>
        <w:adjustRightInd/>
        <w:snapToGrid/>
        <w:spacing w:line="360" w:lineRule="auto"/>
        <w:ind w:firstLine="240"/>
        <w:textAlignment w:val="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注：具体以现场实际面积为准</w:t>
      </w:r>
    </w:p>
    <w:p w14:paraId="3411E51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color w:val="000000"/>
          <w:sz w:val="28"/>
          <w:szCs w:val="28"/>
        </w:rPr>
      </w:pPr>
      <w:r>
        <w:rPr>
          <w:rFonts w:hint="eastAsia" w:ascii="仿宋" w:hAnsi="仿宋" w:eastAsia="仿宋" w:cs="仿宋"/>
          <w:b/>
          <w:color w:val="000000"/>
          <w:sz w:val="28"/>
          <w:szCs w:val="28"/>
          <w:lang w:val="en-US" w:eastAsia="zh-CN"/>
        </w:rPr>
        <w:t>二</w:t>
      </w:r>
      <w:r>
        <w:rPr>
          <w:rFonts w:hint="eastAsia" w:ascii="仿宋" w:hAnsi="仿宋" w:eastAsia="仿宋" w:cs="仿宋"/>
          <w:b/>
          <w:color w:val="000000"/>
          <w:sz w:val="28"/>
          <w:szCs w:val="28"/>
        </w:rPr>
        <w:t>、服务内容</w:t>
      </w:r>
    </w:p>
    <w:p w14:paraId="6476E376">
      <w:pPr>
        <w:keepNext w:val="0"/>
        <w:keepLines w:val="0"/>
        <w:pageBreakBefore w:val="0"/>
        <w:widowControl w:val="0"/>
        <w:kinsoku/>
        <w:wordWrap/>
        <w:overflowPunct/>
        <w:topLinePunct w:val="0"/>
        <w:autoSpaceDE/>
        <w:autoSpaceDN/>
        <w:bidi w:val="0"/>
        <w:adjustRightInd/>
        <w:snapToGrid/>
        <w:spacing w:line="360" w:lineRule="auto"/>
        <w:ind w:left="106" w:firstLine="360"/>
        <w:jc w:val="left"/>
        <w:textAlignment w:val="auto"/>
        <w:rPr>
          <w:rFonts w:hint="eastAsia" w:ascii="仿宋" w:hAnsi="仿宋" w:eastAsia="仿宋" w:cs="仿宋"/>
          <w:sz w:val="28"/>
          <w:szCs w:val="28"/>
        </w:rPr>
      </w:pPr>
      <w:r>
        <w:rPr>
          <w:rFonts w:hint="eastAsia" w:ascii="仿宋" w:hAnsi="仿宋" w:eastAsia="仿宋" w:cs="仿宋"/>
          <w:sz w:val="28"/>
          <w:szCs w:val="28"/>
        </w:rPr>
        <w:t>（一）</w:t>
      </w:r>
      <w:r>
        <w:rPr>
          <w:rFonts w:hint="eastAsia" w:ascii="仿宋" w:hAnsi="仿宋" w:eastAsia="仿宋" w:cs="仿宋"/>
          <w:sz w:val="28"/>
          <w:szCs w:val="28"/>
          <w:lang w:val="zh-CN"/>
        </w:rPr>
        <w:t>清扫保洁：</w:t>
      </w:r>
      <w:r>
        <w:rPr>
          <w:rFonts w:hint="eastAsia" w:ascii="仿宋" w:hAnsi="仿宋" w:eastAsia="仿宋" w:cs="仿宋"/>
          <w:sz w:val="28"/>
          <w:szCs w:val="28"/>
        </w:rPr>
        <w:t>道路清扫、保洁（含绿化带漂浮物的清捡）必须作业到两边建筑物基石（起止至道路墙边及门面前、包含车行道、人行道、绿化带等），道路岔道、喇叭口清扫向外延伸10米。</w:t>
      </w:r>
      <w:r>
        <w:rPr>
          <w:rFonts w:hint="eastAsia" w:ascii="仿宋" w:hAnsi="仿宋" w:eastAsia="仿宋" w:cs="仿宋"/>
          <w:sz w:val="28"/>
          <w:szCs w:val="28"/>
          <w:lang w:val="zh-CN"/>
        </w:rPr>
        <w:t>位于主要道路上</w:t>
      </w:r>
      <w:r>
        <w:rPr>
          <w:rFonts w:hint="eastAsia" w:ascii="仿宋" w:hAnsi="仿宋" w:eastAsia="仿宋" w:cs="仿宋"/>
          <w:sz w:val="28"/>
          <w:szCs w:val="28"/>
        </w:rPr>
        <w:t>的各厂、学校、市场、村庄、医院出入口连接处、交通隔离带等的清扫保洁和绿化带漂浮物的清捡。</w:t>
      </w:r>
    </w:p>
    <w:p w14:paraId="07487E23">
      <w:pPr>
        <w:keepNext w:val="0"/>
        <w:keepLines w:val="0"/>
        <w:pageBreakBefore w:val="0"/>
        <w:widowControl w:val="0"/>
        <w:kinsoku/>
        <w:wordWrap/>
        <w:overflowPunct/>
        <w:topLinePunct w:val="0"/>
        <w:autoSpaceDE/>
        <w:autoSpaceDN/>
        <w:bidi w:val="0"/>
        <w:adjustRightInd/>
        <w:snapToGrid/>
        <w:spacing w:line="360" w:lineRule="auto"/>
        <w:ind w:left="106" w:firstLine="360"/>
        <w:jc w:val="left"/>
        <w:textAlignment w:val="auto"/>
        <w:rPr>
          <w:rFonts w:hint="eastAsia" w:ascii="仿宋" w:hAnsi="仿宋" w:eastAsia="仿宋" w:cs="仿宋"/>
          <w:sz w:val="28"/>
          <w:szCs w:val="28"/>
        </w:rPr>
      </w:pPr>
      <w:r>
        <w:rPr>
          <w:rFonts w:hint="eastAsia" w:ascii="仿宋" w:hAnsi="仿宋" w:eastAsia="仿宋" w:cs="仿宋"/>
          <w:sz w:val="28"/>
          <w:szCs w:val="28"/>
        </w:rPr>
        <w:t>（二）垃圾收集清运：学校、医院、政府、企业和沿街道路两侧门面的生活垃圾，（包括垃圾桶、果壳箱、垃圾房、路旁绿地、绿化隔离带、行道树穴内）收集清运</w:t>
      </w:r>
      <w:r>
        <w:rPr>
          <w:rFonts w:hint="eastAsia" w:ascii="仿宋" w:hAnsi="仿宋" w:eastAsia="仿宋" w:cs="仿宋"/>
          <w:sz w:val="28"/>
          <w:szCs w:val="28"/>
          <w:lang w:val="zh-CN"/>
        </w:rPr>
        <w:t>≥3次/日，</w:t>
      </w:r>
      <w:r>
        <w:rPr>
          <w:rFonts w:hint="eastAsia" w:ascii="仿宋" w:hAnsi="仿宋" w:eastAsia="仿宋" w:cs="仿宋"/>
          <w:sz w:val="28"/>
          <w:szCs w:val="28"/>
        </w:rPr>
        <w:t>并做到即满即清。</w:t>
      </w:r>
    </w:p>
    <w:p w14:paraId="4AD979F9">
      <w:pPr>
        <w:keepNext w:val="0"/>
        <w:keepLines w:val="0"/>
        <w:pageBreakBefore w:val="0"/>
        <w:widowControl w:val="0"/>
        <w:kinsoku/>
        <w:wordWrap/>
        <w:overflowPunct/>
        <w:topLinePunct w:val="0"/>
        <w:autoSpaceDE/>
        <w:autoSpaceDN/>
        <w:bidi w:val="0"/>
        <w:adjustRightInd/>
        <w:snapToGrid/>
        <w:spacing w:line="360" w:lineRule="auto"/>
        <w:ind w:left="106" w:firstLine="360"/>
        <w:jc w:val="left"/>
        <w:textAlignment w:val="auto"/>
        <w:rPr>
          <w:rFonts w:hint="eastAsia" w:ascii="仿宋" w:hAnsi="仿宋" w:eastAsia="仿宋" w:cs="仿宋"/>
          <w:sz w:val="28"/>
          <w:szCs w:val="28"/>
        </w:rPr>
      </w:pPr>
      <w:r>
        <w:rPr>
          <w:rFonts w:hint="eastAsia" w:ascii="仿宋" w:hAnsi="仿宋" w:eastAsia="仿宋" w:cs="仿宋"/>
          <w:sz w:val="28"/>
          <w:szCs w:val="28"/>
        </w:rPr>
        <w:t>（三）环卫设施管理：垃圾箱（桶）</w:t>
      </w:r>
      <w:r>
        <w:rPr>
          <w:rFonts w:hint="eastAsia" w:ascii="仿宋" w:hAnsi="仿宋" w:eastAsia="仿宋" w:cs="仿宋"/>
          <w:sz w:val="28"/>
          <w:szCs w:val="28"/>
          <w:lang w:val="zh-CN"/>
        </w:rPr>
        <w:t>环卫设施</w:t>
      </w:r>
      <w:r>
        <w:rPr>
          <w:rFonts w:hint="eastAsia" w:ascii="仿宋" w:hAnsi="仿宋" w:eastAsia="仿宋" w:cs="仿宋"/>
          <w:sz w:val="28"/>
          <w:szCs w:val="28"/>
        </w:rPr>
        <w:t xml:space="preserve">每天清掏、保洁，做到一日三清一擦洗，无积存垃圾，无明显污迹，外观无残标，同时保持道路垃圾箱（桶）完好和整洁（盖体不得分离）。 </w:t>
      </w:r>
    </w:p>
    <w:p w14:paraId="2BE782CF">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sz w:val="28"/>
          <w:szCs w:val="28"/>
        </w:rPr>
      </w:pPr>
      <w:r>
        <w:rPr>
          <w:rFonts w:hint="eastAsia" w:ascii="仿宋" w:hAnsi="仿宋" w:eastAsia="仿宋" w:cs="仿宋"/>
          <w:sz w:val="28"/>
          <w:szCs w:val="28"/>
        </w:rPr>
        <w:t>（四）雨水篦子：每年彻底清理两次（汛期前和入冬前完成清理），确保管道畅通。</w:t>
      </w:r>
    </w:p>
    <w:p w14:paraId="4B5A811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（五）收取沿街门面</w:t>
      </w:r>
      <w:r>
        <w:rPr>
          <w:rFonts w:hint="eastAsia" w:ascii="仿宋" w:hAnsi="仿宋" w:eastAsia="仿宋" w:cs="仿宋"/>
          <w:sz w:val="28"/>
          <w:szCs w:val="28"/>
          <w:lang w:val="en-US" w:eastAsia="zh-CN"/>
        </w:rPr>
        <w:t>环卫</w:t>
      </w:r>
      <w:r>
        <w:rPr>
          <w:rFonts w:hint="eastAsia" w:ascii="仿宋" w:hAnsi="仿宋" w:eastAsia="仿宋" w:cs="仿宋"/>
          <w:sz w:val="28"/>
          <w:szCs w:val="28"/>
        </w:rPr>
        <w:t>费</w:t>
      </w:r>
      <w:r>
        <w:rPr>
          <w:rFonts w:hint="eastAsia" w:ascii="仿宋" w:hAnsi="仿宋" w:eastAsia="仿宋" w:cs="仿宋"/>
          <w:sz w:val="28"/>
          <w:szCs w:val="28"/>
          <w:lang w:val="en-US" w:eastAsia="zh-CN"/>
        </w:rPr>
        <w:t>和农贸市场摊位费</w:t>
      </w:r>
      <w:r>
        <w:rPr>
          <w:rFonts w:hint="eastAsia" w:ascii="仿宋" w:hAnsi="仿宋" w:eastAsia="仿宋" w:cs="仿宋"/>
          <w:sz w:val="28"/>
          <w:szCs w:val="28"/>
        </w:rPr>
        <w:t>。</w:t>
      </w:r>
    </w:p>
    <w:p w14:paraId="37EB0280">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（六）甲方（曲霞政府）提供洒水车，</w:t>
      </w:r>
      <w:r>
        <w:rPr>
          <w:rFonts w:hint="eastAsia" w:ascii="仿宋" w:hAnsi="仿宋" w:eastAsia="仿宋" w:cs="仿宋"/>
          <w:sz w:val="28"/>
          <w:szCs w:val="28"/>
          <w:lang w:val="en-US" w:eastAsia="zh-CN"/>
        </w:rPr>
        <w:t>以防每天洒水次数不少于2次。</w:t>
      </w:r>
      <w:r>
        <w:rPr>
          <w:rFonts w:hint="eastAsia" w:ascii="仿宋" w:hAnsi="仿宋" w:eastAsia="仿宋" w:cs="仿宋"/>
          <w:sz w:val="28"/>
          <w:szCs w:val="28"/>
        </w:rPr>
        <w:t>洒水车驾驶员工资、车辆维修费用、油费、保险费由中标人承担。</w:t>
      </w:r>
    </w:p>
    <w:p w14:paraId="7945D396">
      <w:pPr>
        <w:pageBreakBefore w:val="0"/>
        <w:kinsoku/>
        <w:wordWrap/>
        <w:overflowPunct/>
        <w:topLinePunct w:val="0"/>
        <w:autoSpaceDE/>
        <w:autoSpaceDN/>
        <w:bidi w:val="0"/>
        <w:adjustRightInd/>
        <w:snapToGrid/>
        <w:spacing w:line="560" w:lineRule="exact"/>
        <w:ind w:firstLine="480"/>
        <w:textAlignment w:val="auto"/>
        <w:rPr>
          <w:rFonts w:hint="eastAsia" w:ascii="仿宋" w:hAnsi="仿宋" w:eastAsia="仿宋" w:cs="仿宋"/>
          <w:sz w:val="28"/>
          <w:szCs w:val="28"/>
        </w:rPr>
      </w:pPr>
      <w:r>
        <w:rPr>
          <w:rFonts w:hint="eastAsia" w:ascii="仿宋" w:hAnsi="仿宋" w:eastAsia="仿宋" w:cs="仿宋"/>
          <w:sz w:val="28"/>
          <w:szCs w:val="28"/>
        </w:rPr>
        <w:t>（七）重大保障：遇有重大活动或抗台、抗雪等突发事件，以及创建等中心活动，协助曲霞政府做好</w:t>
      </w:r>
      <w:r>
        <w:rPr>
          <w:rFonts w:hint="eastAsia" w:ascii="仿宋" w:hAnsi="仿宋" w:eastAsia="仿宋" w:cs="仿宋"/>
          <w:sz w:val="28"/>
          <w:szCs w:val="28"/>
          <w:lang w:val="en-US" w:eastAsia="zh-CN"/>
        </w:rPr>
        <w:t>重要</w:t>
      </w:r>
      <w:r>
        <w:rPr>
          <w:rFonts w:hint="eastAsia" w:ascii="仿宋" w:hAnsi="仿宋" w:eastAsia="仿宋" w:cs="仿宋"/>
          <w:sz w:val="28"/>
          <w:szCs w:val="28"/>
          <w:lang w:eastAsia="zh-CN"/>
        </w:rPr>
        <w:t>活动沿线</w:t>
      </w:r>
      <w:r>
        <w:rPr>
          <w:rFonts w:hint="eastAsia" w:ascii="仿宋" w:hAnsi="仿宋" w:eastAsia="仿宋" w:cs="仿宋"/>
          <w:sz w:val="28"/>
          <w:szCs w:val="28"/>
        </w:rPr>
        <w:t>清扫保洁洒水等保障工作，服从镇府的统一指挥。</w:t>
      </w:r>
    </w:p>
    <w:p w14:paraId="00DB6C9B">
      <w:pPr>
        <w:pageBreakBefore w:val="0"/>
        <w:kinsoku/>
        <w:wordWrap/>
        <w:overflowPunct/>
        <w:topLinePunct w:val="0"/>
        <w:autoSpaceDE/>
        <w:autoSpaceDN/>
        <w:bidi w:val="0"/>
        <w:adjustRightInd/>
        <w:snapToGrid/>
        <w:spacing w:line="560" w:lineRule="exact"/>
        <w:ind w:firstLine="480"/>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（八）农产品质量检测：乙方应按要求开展农产品质量检测，确保无农药、化学成分残留，若被上级督查检查通报、处罚或发生食品安全事故等，一切责任由乙方承担，与甲方无关。</w:t>
      </w:r>
    </w:p>
    <w:p w14:paraId="4042CA84">
      <w:pPr>
        <w:pageBreakBefore w:val="0"/>
        <w:kinsoku/>
        <w:wordWrap/>
        <w:overflowPunct/>
        <w:topLinePunct w:val="0"/>
        <w:autoSpaceDE/>
        <w:autoSpaceDN/>
        <w:bidi w:val="0"/>
        <w:adjustRightInd/>
        <w:snapToGrid/>
        <w:spacing w:line="560" w:lineRule="exact"/>
        <w:ind w:firstLine="48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九）安全责任：1.甲方将洒水车、中转站和相关办公用房等物资无偿提供给乙方使用，但仅限于为甲方服务过程中使用，不得挪作他用，也不得借给他人使用。2.乙方在使用甲方提供的物资过程中或因乙方私自将甲方提供物资借用给他人使用产生的安全责任、经济责任和法律责任等一切责任由乙方承担，与甲方无关。3.因安全事故造成甲方提供物资损坏消亡的，一切责任由乙方承担，与甲方无关，乙方需及时将损坏消亡的物资维修、补充或恢复到位。否则，甲方将按照评估价格从乙方当年保洁费用中扣除相应费用。</w:t>
      </w:r>
    </w:p>
    <w:p w14:paraId="2389430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color w:val="000000"/>
          <w:sz w:val="28"/>
          <w:szCs w:val="28"/>
        </w:rPr>
      </w:pPr>
      <w:r>
        <w:rPr>
          <w:rFonts w:hint="eastAsia" w:ascii="仿宋" w:hAnsi="仿宋" w:eastAsia="仿宋" w:cs="仿宋"/>
          <w:b/>
          <w:color w:val="000000"/>
          <w:sz w:val="28"/>
          <w:szCs w:val="28"/>
          <w:lang w:val="en-US" w:eastAsia="zh-CN"/>
        </w:rPr>
        <w:t>三</w:t>
      </w:r>
      <w:r>
        <w:rPr>
          <w:rFonts w:hint="eastAsia" w:ascii="仿宋" w:hAnsi="仿宋" w:eastAsia="仿宋" w:cs="仿宋"/>
          <w:b/>
          <w:color w:val="000000"/>
          <w:sz w:val="28"/>
          <w:szCs w:val="28"/>
        </w:rPr>
        <w:t>、服务标准和要求</w:t>
      </w:r>
    </w:p>
    <w:p w14:paraId="75AA7E49">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仿宋" w:hAnsi="仿宋" w:eastAsia="仿宋" w:cs="仿宋"/>
          <w:b/>
          <w:sz w:val="28"/>
          <w:szCs w:val="28"/>
        </w:rPr>
      </w:pPr>
      <w:r>
        <w:rPr>
          <w:rFonts w:hint="eastAsia" w:ascii="仿宋" w:hAnsi="仿宋" w:eastAsia="仿宋" w:cs="仿宋"/>
          <w:b/>
          <w:sz w:val="28"/>
          <w:szCs w:val="28"/>
        </w:rPr>
        <w:t>1.服务要求</w:t>
      </w:r>
    </w:p>
    <w:p w14:paraId="78BF607D">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仿宋" w:hAnsi="仿宋" w:eastAsia="仿宋" w:cs="仿宋"/>
          <w:b/>
          <w:sz w:val="28"/>
          <w:szCs w:val="28"/>
        </w:rPr>
      </w:pPr>
      <w:r>
        <w:rPr>
          <w:rFonts w:hint="eastAsia" w:ascii="仿宋" w:hAnsi="仿宋" w:eastAsia="仿宋" w:cs="仿宋"/>
          <w:b/>
          <w:sz w:val="28"/>
          <w:szCs w:val="28"/>
        </w:rPr>
        <w:t>1.1人员要求：本项目现有工作人员24人：其中管理人员3人，清运工4人，中转站操作员4人，环卫人员13人。</w:t>
      </w:r>
      <w:r>
        <w:rPr>
          <w:rFonts w:hint="eastAsia" w:ascii="仿宋" w:hAnsi="仿宋" w:eastAsia="仿宋" w:cs="仿宋"/>
          <w:b/>
          <w:sz w:val="28"/>
          <w:szCs w:val="28"/>
          <w:lang w:eastAsia="zh-CN"/>
        </w:rPr>
        <w:t>成交供应商</w:t>
      </w:r>
      <w:r>
        <w:rPr>
          <w:rFonts w:hint="eastAsia" w:ascii="仿宋" w:hAnsi="仿宋" w:eastAsia="仿宋" w:cs="仿宋"/>
          <w:b/>
          <w:sz w:val="28"/>
          <w:szCs w:val="28"/>
        </w:rPr>
        <w:t>需对现有工作人员进行接管并计入</w:t>
      </w:r>
      <w:r>
        <w:rPr>
          <w:rFonts w:hint="eastAsia" w:ascii="仿宋" w:hAnsi="仿宋" w:eastAsia="仿宋" w:cs="仿宋"/>
          <w:b/>
          <w:sz w:val="28"/>
          <w:szCs w:val="28"/>
          <w:lang w:eastAsia="zh-CN"/>
        </w:rPr>
        <w:t>供应商</w:t>
      </w:r>
      <w:r>
        <w:rPr>
          <w:rFonts w:hint="eastAsia" w:ascii="仿宋" w:hAnsi="仿宋" w:eastAsia="仿宋" w:cs="仿宋"/>
          <w:b/>
          <w:sz w:val="28"/>
          <w:szCs w:val="28"/>
        </w:rPr>
        <w:t>员配置中，具体工作分工安排、员工劳动保障及人员考核等由</w:t>
      </w:r>
      <w:r>
        <w:rPr>
          <w:rFonts w:hint="eastAsia" w:ascii="仿宋" w:hAnsi="仿宋" w:eastAsia="仿宋" w:cs="仿宋"/>
          <w:b/>
          <w:sz w:val="28"/>
          <w:szCs w:val="28"/>
          <w:lang w:eastAsia="zh-CN"/>
        </w:rPr>
        <w:t>成交供应商</w:t>
      </w:r>
      <w:r>
        <w:rPr>
          <w:rFonts w:hint="eastAsia" w:ascii="仿宋" w:hAnsi="仿宋" w:eastAsia="仿宋" w:cs="仿宋"/>
          <w:b/>
          <w:sz w:val="28"/>
          <w:szCs w:val="28"/>
        </w:rPr>
        <w:t>负责。项目合同履行期限工作人员配置不得低于以上标准。</w:t>
      </w:r>
    </w:p>
    <w:p w14:paraId="246C61DF">
      <w:pPr>
        <w:pStyle w:val="251"/>
        <w:keepNext w:val="0"/>
        <w:keepLines w:val="0"/>
        <w:pageBreakBefore w:val="0"/>
        <w:widowControl w:val="0"/>
        <w:kinsoku/>
        <w:wordWrap/>
        <w:overflowPunct/>
        <w:topLinePunct w:val="0"/>
        <w:autoSpaceDE/>
        <w:autoSpaceDN/>
        <w:bidi w:val="0"/>
        <w:adjustRightInd/>
        <w:snapToGrid/>
        <w:spacing w:after="0"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1.2实行道路保洁时间段内不间断巡回保洁，各类道路每日在规定时间前完成不少于2次普扫，慢车道、人行道需安排保洁人员落实全天候巡回保洁。作业时间：双班路段上午5:00—下午7:00；单班路段上午6:00—10:00，下午2:00—5:00。夏季高温、恶劣天气和有重大活动任务时根据国家规定和工作需要适当调整。</w:t>
      </w:r>
    </w:p>
    <w:p w14:paraId="2B141819">
      <w:pPr>
        <w:pStyle w:val="251"/>
        <w:keepNext w:val="0"/>
        <w:keepLines w:val="0"/>
        <w:pageBreakBefore w:val="0"/>
        <w:widowControl w:val="0"/>
        <w:kinsoku/>
        <w:wordWrap/>
        <w:overflowPunct/>
        <w:topLinePunct w:val="0"/>
        <w:autoSpaceDE/>
        <w:autoSpaceDN/>
        <w:bidi w:val="0"/>
        <w:adjustRightInd/>
        <w:snapToGrid/>
        <w:spacing w:after="0"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1.3清扫垃圾采用专门车辆现场收集，不得焚烧垃圾、树叶，树枝落叶旺季及时清扫干净；</w:t>
      </w:r>
    </w:p>
    <w:p w14:paraId="55EA0DD6">
      <w:pPr>
        <w:pStyle w:val="251"/>
        <w:keepNext w:val="0"/>
        <w:keepLines w:val="0"/>
        <w:pageBreakBefore w:val="0"/>
        <w:widowControl w:val="0"/>
        <w:kinsoku/>
        <w:wordWrap/>
        <w:overflowPunct/>
        <w:topLinePunct w:val="0"/>
        <w:autoSpaceDE/>
        <w:autoSpaceDN/>
        <w:bidi w:val="0"/>
        <w:adjustRightInd/>
        <w:snapToGrid/>
        <w:spacing w:after="0"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1.4清扫、清运、收集的垃圾应统一运至垃圾中转站处理；</w:t>
      </w:r>
    </w:p>
    <w:p w14:paraId="56149E4C">
      <w:pPr>
        <w:pStyle w:val="251"/>
        <w:keepNext w:val="0"/>
        <w:keepLines w:val="0"/>
        <w:pageBreakBefore w:val="0"/>
        <w:widowControl w:val="0"/>
        <w:kinsoku/>
        <w:wordWrap/>
        <w:overflowPunct/>
        <w:topLinePunct w:val="0"/>
        <w:autoSpaceDE/>
        <w:autoSpaceDN/>
        <w:bidi w:val="0"/>
        <w:adjustRightInd/>
        <w:snapToGrid/>
        <w:spacing w:after="0"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1.5做好后勤保障，保证清扫作业正常开展。</w:t>
      </w:r>
    </w:p>
    <w:p w14:paraId="7E7589F3">
      <w:pPr>
        <w:pStyle w:val="251"/>
        <w:keepNext w:val="0"/>
        <w:keepLines w:val="0"/>
        <w:pageBreakBefore w:val="0"/>
        <w:widowControl w:val="0"/>
        <w:kinsoku/>
        <w:wordWrap/>
        <w:overflowPunct/>
        <w:topLinePunct w:val="0"/>
        <w:autoSpaceDE/>
        <w:autoSpaceDN/>
        <w:bidi w:val="0"/>
        <w:adjustRightInd/>
        <w:snapToGrid/>
        <w:spacing w:after="0"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1.6河道做到水面无漂浮物；直立墙、岸脚无杂树、杂草，沿河健身跑道和慢行步道无漂浮物、河岸栏杆无小广告,做到及时发现,及时打捞保洁,及时清运处置。离河垃圾实施分拣并清运到位；对巡查中发现的河道工程设施安全隐患、私设河障、乱排乱放、破坏绿化等渉河违章和破环行为及时拍照取证并向泰兴市市容环卫服务中心及有关部门实行动态报告制度。</w:t>
      </w:r>
    </w:p>
    <w:p w14:paraId="61DDCD9B">
      <w:pPr>
        <w:pStyle w:val="251"/>
        <w:keepNext w:val="0"/>
        <w:keepLines w:val="0"/>
        <w:pageBreakBefore w:val="0"/>
        <w:widowControl w:val="0"/>
        <w:kinsoku/>
        <w:wordWrap/>
        <w:overflowPunct/>
        <w:topLinePunct w:val="0"/>
        <w:autoSpaceDE/>
        <w:autoSpaceDN/>
        <w:bidi w:val="0"/>
        <w:adjustRightInd/>
        <w:snapToGrid/>
        <w:spacing w:after="0" w:line="360" w:lineRule="auto"/>
        <w:ind w:firstLine="480"/>
        <w:textAlignment w:val="auto"/>
        <w:rPr>
          <w:rFonts w:hint="eastAsia" w:ascii="仿宋" w:hAnsi="仿宋" w:eastAsia="仿宋" w:cs="仿宋"/>
          <w:color w:val="FF0000"/>
          <w:sz w:val="28"/>
          <w:szCs w:val="28"/>
        </w:rPr>
      </w:pPr>
      <w:r>
        <w:rPr>
          <w:rFonts w:hint="eastAsia" w:ascii="仿宋" w:hAnsi="仿宋" w:eastAsia="仿宋" w:cs="仿宋"/>
          <w:sz w:val="28"/>
          <w:szCs w:val="28"/>
        </w:rPr>
        <w:t xml:space="preserve"> 1.7</w:t>
      </w:r>
      <w:r>
        <w:rPr>
          <w:rFonts w:hint="eastAsia" w:ascii="仿宋" w:hAnsi="仿宋" w:eastAsia="仿宋" w:cs="仿宋"/>
          <w:color w:val="000000"/>
          <w:sz w:val="28"/>
          <w:szCs w:val="28"/>
        </w:rPr>
        <w:t>市场周边门店经营秩序的管理市场周边流动摊点的管理，</w:t>
      </w:r>
      <w:r>
        <w:rPr>
          <w:rFonts w:hint="eastAsia" w:ascii="仿宋" w:hAnsi="仿宋" w:eastAsia="仿宋" w:cs="仿宋"/>
          <w:color w:val="000000"/>
          <w:sz w:val="28"/>
          <w:szCs w:val="28"/>
          <w:lang w:val="en-US" w:eastAsia="zh-CN"/>
        </w:rPr>
        <w:t>每天上午7点之前对各摊贩经营产品进行检测，确保无农药、化学成分残留。对</w:t>
      </w:r>
      <w:r>
        <w:rPr>
          <w:rFonts w:hint="eastAsia" w:ascii="仿宋" w:hAnsi="仿宋" w:eastAsia="仿宋" w:cs="仿宋"/>
          <w:color w:val="000000"/>
          <w:sz w:val="28"/>
          <w:szCs w:val="28"/>
        </w:rPr>
        <w:t>市场周边店招店牌、移动式广告站牌、灯箱的管理。市场周边停车秩序的管理，市场周边乱晾晒、乱张贴、乱堆乱放的管理。</w:t>
      </w:r>
    </w:p>
    <w:p w14:paraId="18ED5C30">
      <w:pPr>
        <w:pStyle w:val="251"/>
        <w:keepNext w:val="0"/>
        <w:keepLines w:val="0"/>
        <w:pageBreakBefore w:val="0"/>
        <w:widowControl w:val="0"/>
        <w:kinsoku/>
        <w:wordWrap/>
        <w:overflowPunct/>
        <w:topLinePunct w:val="0"/>
        <w:autoSpaceDE/>
        <w:autoSpaceDN/>
        <w:bidi w:val="0"/>
        <w:adjustRightInd/>
        <w:snapToGrid/>
        <w:spacing w:after="0"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1.8市场内作业路段无积水、无积存垃圾、无漂浮物。作业路段的垃圾桶内及周边的垃圾定期清运至中转站。恶劣天气时及时清楚积水、积雪。</w:t>
      </w:r>
    </w:p>
    <w:p w14:paraId="56E08FE4">
      <w:pPr>
        <w:pStyle w:val="251"/>
        <w:keepNext w:val="0"/>
        <w:keepLines w:val="0"/>
        <w:pageBreakBefore w:val="0"/>
        <w:widowControl w:val="0"/>
        <w:kinsoku/>
        <w:wordWrap/>
        <w:overflowPunct/>
        <w:topLinePunct w:val="0"/>
        <w:autoSpaceDE/>
        <w:autoSpaceDN/>
        <w:bidi w:val="0"/>
        <w:adjustRightInd/>
        <w:snapToGrid/>
        <w:spacing w:after="0"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1.9草地无石块、纸屑、垃圾等杂物，维护草地的卫生清洁，保洁达99％以上。绿化松土除草</w:t>
      </w:r>
      <w:r>
        <w:rPr>
          <w:rFonts w:hint="eastAsia" w:ascii="仿宋" w:hAnsi="仿宋" w:eastAsia="仿宋" w:cs="仿宋"/>
          <w:sz w:val="28"/>
          <w:szCs w:val="28"/>
          <w:lang w:val="en-US" w:eastAsia="zh-CN"/>
        </w:rPr>
        <w:t>6</w:t>
      </w:r>
      <w:r>
        <w:rPr>
          <w:rFonts w:hint="eastAsia" w:ascii="仿宋" w:hAnsi="仿宋" w:eastAsia="仿宋" w:cs="仿宋"/>
          <w:sz w:val="28"/>
          <w:szCs w:val="28"/>
        </w:rPr>
        <w:t>月至11月每月一次；施肥浇水除虫</w:t>
      </w:r>
      <w:r>
        <w:rPr>
          <w:rFonts w:hint="eastAsia" w:ascii="仿宋" w:hAnsi="仿宋" w:eastAsia="仿宋" w:cs="仿宋"/>
          <w:sz w:val="28"/>
          <w:szCs w:val="28"/>
          <w:lang w:val="en-US" w:eastAsia="zh-CN"/>
        </w:rPr>
        <w:t>6</w:t>
      </w:r>
      <w:r>
        <w:rPr>
          <w:rFonts w:hint="eastAsia" w:ascii="仿宋" w:hAnsi="仿宋" w:eastAsia="仿宋" w:cs="仿宋"/>
          <w:sz w:val="28"/>
          <w:szCs w:val="28"/>
        </w:rPr>
        <w:t>月至8月每月两次；修剪每季一到两次；补植根据缺苗情况及时补栽。</w:t>
      </w:r>
    </w:p>
    <w:p w14:paraId="01B6BC3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1.10公厕做到：“五清，八无”。即地坪清、墙裙清、工具清、门窗清、管理室清；无积垃圾、无蛛网、无浮垢、无痰迹尿迹、无积水、基本无臭气、无杂草杂物、无蚊蝇孳生地。厕所内、外墙不得有乱涂、乱画、乱贴现象。做到蹲位整洁，大便槽两侧无粪便污物，槽内无积粪，洁净见底。小便槽（斗）做到无水锈、尿垢、垃圾，沟眼、管道畅通。</w:t>
      </w:r>
    </w:p>
    <w:p w14:paraId="15DF5F0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1.11 及时指挥、疏通进站垃圾运输车辆，以免秩序混乱。无人送垃圾时及时清理垃圾池或翻斗周围散落垃圾，及时打扫中转站内外场地，保持周围环境卫生。</w:t>
      </w:r>
    </w:p>
    <w:p w14:paraId="4348525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1.12及时清理门口的窨井、下水道积水，防止中转站的污水流入居民住宅区，避免不必要的居民纠纷。</w:t>
      </w:r>
    </w:p>
    <w:p w14:paraId="73D6BCA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1.13保持机械设备、电气操作工作台的安全与整洁。</w:t>
      </w:r>
    </w:p>
    <w:p w14:paraId="1C706858">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仿宋" w:hAnsi="仿宋" w:eastAsia="仿宋" w:cs="仿宋"/>
          <w:b/>
          <w:sz w:val="28"/>
          <w:szCs w:val="28"/>
        </w:rPr>
      </w:pPr>
      <w:bookmarkStart w:id="104" w:name="_Toc494102931"/>
      <w:bookmarkStart w:id="105" w:name="_Toc493856162"/>
      <w:r>
        <w:rPr>
          <w:rFonts w:hint="eastAsia" w:ascii="仿宋" w:hAnsi="仿宋" w:eastAsia="仿宋" w:cs="仿宋"/>
          <w:b/>
          <w:sz w:val="28"/>
          <w:szCs w:val="28"/>
        </w:rPr>
        <w:t>2.服务内容</w:t>
      </w:r>
      <w:bookmarkEnd w:id="104"/>
      <w:bookmarkEnd w:id="105"/>
    </w:p>
    <w:p w14:paraId="15DCADC3">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sz w:val="28"/>
          <w:szCs w:val="28"/>
        </w:rPr>
      </w:pPr>
      <w:bookmarkStart w:id="106" w:name="_Toc254873572"/>
      <w:r>
        <w:rPr>
          <w:rFonts w:hint="eastAsia" w:ascii="仿宋" w:hAnsi="仿宋" w:eastAsia="仿宋" w:cs="仿宋"/>
          <w:sz w:val="28"/>
          <w:szCs w:val="28"/>
        </w:rPr>
        <w:t>2.1</w:t>
      </w:r>
      <w:r>
        <w:rPr>
          <w:rFonts w:hint="eastAsia" w:ascii="仿宋" w:hAnsi="仿宋" w:eastAsia="仿宋" w:cs="仿宋"/>
          <w:sz w:val="28"/>
          <w:szCs w:val="28"/>
          <w:lang w:val="zh-CN"/>
        </w:rPr>
        <w:t>清扫保洁：</w:t>
      </w:r>
      <w:r>
        <w:rPr>
          <w:rFonts w:hint="eastAsia" w:ascii="仿宋" w:hAnsi="仿宋" w:eastAsia="仿宋" w:cs="仿宋"/>
          <w:sz w:val="28"/>
          <w:szCs w:val="28"/>
        </w:rPr>
        <w:t>道路清扫、保洁（含绿化带漂浮物的清捡）必须作业到两边建筑物基石（起止至道路墙边及门面前、包含车行道、人行道、绿化带、广场等），道路岔道、喇叭口清扫向外延伸6米。</w:t>
      </w:r>
      <w:r>
        <w:rPr>
          <w:rFonts w:hint="eastAsia" w:ascii="仿宋" w:hAnsi="仿宋" w:eastAsia="仿宋" w:cs="仿宋"/>
          <w:sz w:val="28"/>
          <w:szCs w:val="28"/>
          <w:lang w:val="zh-CN"/>
        </w:rPr>
        <w:t>位于主要道路上</w:t>
      </w:r>
      <w:r>
        <w:rPr>
          <w:rFonts w:hint="eastAsia" w:ascii="仿宋" w:hAnsi="仿宋" w:eastAsia="仿宋" w:cs="仿宋"/>
          <w:sz w:val="28"/>
          <w:szCs w:val="28"/>
        </w:rPr>
        <w:t>的各厂、学校、市场、村庄、医院出入口连接处、交通隔离带等的清扫保洁和绿化带漂浮物的清捡。</w:t>
      </w:r>
    </w:p>
    <w:p w14:paraId="6392D03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2.2垃圾收集清运：学校、医院、政府、企业和沿街道路两侧生活垃圾（包括垃圾桶、果壳箱、垃圾房）收集清运</w:t>
      </w:r>
      <w:r>
        <w:rPr>
          <w:rFonts w:hint="eastAsia" w:ascii="仿宋" w:hAnsi="仿宋" w:eastAsia="仿宋" w:cs="仿宋"/>
          <w:sz w:val="28"/>
          <w:szCs w:val="28"/>
          <w:lang w:val="zh-CN"/>
        </w:rPr>
        <w:t>≥3次/日，</w:t>
      </w:r>
      <w:r>
        <w:rPr>
          <w:rFonts w:hint="eastAsia" w:ascii="仿宋" w:hAnsi="仿宋" w:eastAsia="仿宋" w:cs="仿宋"/>
          <w:sz w:val="28"/>
          <w:szCs w:val="28"/>
        </w:rPr>
        <w:t>并做到即满即清。</w:t>
      </w:r>
    </w:p>
    <w:p w14:paraId="6B90B29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2.3环卫设施管理：垃圾箱（桶）、</w:t>
      </w:r>
      <w:r>
        <w:rPr>
          <w:rFonts w:hint="eastAsia" w:ascii="仿宋" w:hAnsi="仿宋" w:eastAsia="仿宋" w:cs="仿宋"/>
          <w:sz w:val="28"/>
          <w:szCs w:val="28"/>
          <w:lang w:val="zh-CN"/>
        </w:rPr>
        <w:t>果壳箱等环卫设施</w:t>
      </w:r>
      <w:r>
        <w:rPr>
          <w:rFonts w:hint="eastAsia" w:ascii="仿宋" w:hAnsi="仿宋" w:eastAsia="仿宋" w:cs="仿宋"/>
          <w:sz w:val="28"/>
          <w:szCs w:val="28"/>
        </w:rPr>
        <w:t>每天清掏、保洁，做到一日三清一擦洗，无积存垃圾，无明显污迹，外观无残标，同时保持道路垃圾箱（桶）、果壳箱的完好和整洁（盖体不得分离）对破损的垃圾箱（桶）及时更换。对不能自主修复的果壳箱应及时上报招标人。</w:t>
      </w:r>
    </w:p>
    <w:p w14:paraId="2DE5269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2.4作业车不得停放在消防栓、公交车站旁，停放离人行道侧石不超过20厘米。</w:t>
      </w:r>
    </w:p>
    <w:p w14:paraId="6C50B93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2.5道路两侧目测范围内（人行道外边沿6米内）废土应及时发现并及时清除（量比较大时，应及时上报，经核实量后及时作业）。</w:t>
      </w:r>
    </w:p>
    <w:p w14:paraId="0634D28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2.6雨水篦子：每年彻底清理两次（汛期前和入冬前完成清理），确保管道畅通。</w:t>
      </w:r>
    </w:p>
    <w:p w14:paraId="313DD3D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2.7即时打捞管护范围内水面漂浮物,河面保活达“五无”保洁效果。无漂浮生活垃圾和废弃物，无漂浮动物尸体，无成块有害水生植物(水花生、水芦、水浮莲、浮萍、野菱等)，无树枝及各类秸秆，水边无明显垃圾和废弃物。</w:t>
      </w:r>
    </w:p>
    <w:p w14:paraId="2B40444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2.8加強河道保洁巡査及时发现并制止乱抛乱扔行为。对于上下游、干支流流淌和漂浮过来的水生植物和各种漂浮物，以及面对特发性大面积河道着脏问题，应积极采取应对措施迅速组织清理，确保河道干净整洁。一年两季的秸科禁烧、禁抛期间,要强化巡查和清洁打捞,确保河道管理范围内无秸秆漂浮现象。</w:t>
      </w:r>
    </w:p>
    <w:p w14:paraId="1D877FF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000000"/>
          <w:sz w:val="28"/>
          <w:szCs w:val="28"/>
        </w:rPr>
      </w:pPr>
      <w:r>
        <w:rPr>
          <w:rFonts w:hint="eastAsia" w:ascii="仿宋" w:hAnsi="仿宋" w:eastAsia="仿宋" w:cs="仿宋"/>
          <w:sz w:val="28"/>
          <w:szCs w:val="28"/>
        </w:rPr>
        <w:t>2.9加强</w:t>
      </w:r>
      <w:r>
        <w:rPr>
          <w:rFonts w:hint="eastAsia" w:ascii="仿宋" w:hAnsi="仿宋" w:eastAsia="仿宋" w:cs="仿宋"/>
          <w:color w:val="000000"/>
          <w:sz w:val="28"/>
          <w:szCs w:val="28"/>
        </w:rPr>
        <w:t>市场周边门店经营秩序的管理市场周边流动摊点的管理，</w:t>
      </w:r>
      <w:r>
        <w:rPr>
          <w:rFonts w:hint="eastAsia" w:ascii="仿宋" w:hAnsi="仿宋" w:eastAsia="仿宋" w:cs="仿宋"/>
          <w:color w:val="000000"/>
          <w:sz w:val="28"/>
          <w:szCs w:val="28"/>
          <w:lang w:val="en-US" w:eastAsia="zh-CN"/>
        </w:rPr>
        <w:t>并对摊点各进行农药检测，</w:t>
      </w:r>
      <w:r>
        <w:rPr>
          <w:rFonts w:hint="eastAsia" w:ascii="仿宋" w:hAnsi="仿宋" w:eastAsia="仿宋" w:cs="仿宋"/>
          <w:color w:val="000000"/>
          <w:sz w:val="28"/>
          <w:szCs w:val="28"/>
        </w:rPr>
        <w:t>市场周边店招店牌、移动式广告站牌、灯箱的管理。市场周边停车秩序的管理，市场周边乱晾晒、乱张贴、乱堆乱放的管理。</w:t>
      </w:r>
    </w:p>
    <w:p w14:paraId="3972D80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color w:val="000000"/>
          <w:sz w:val="28"/>
          <w:szCs w:val="28"/>
        </w:rPr>
        <w:t>2.10</w:t>
      </w:r>
      <w:r>
        <w:rPr>
          <w:rFonts w:hint="eastAsia" w:ascii="仿宋" w:hAnsi="仿宋" w:eastAsia="仿宋" w:cs="仿宋"/>
          <w:sz w:val="28"/>
          <w:szCs w:val="28"/>
        </w:rPr>
        <w:t>公厕内地面应保持整洁、无积水，蹲位应整洁，大便槽两侧应无粪便污物，槽内无积粪，洁净见底；小便槽应无长期积累的水锈、尿垢、垃圾，做到便纸篓内无恶臭；粪槽、便槽和管道应无破损，保持畅通；公厕内墙面、天花板、门窗和隔离板应光洁无积灰、污渍、蛛网，无乱涂乱画，墙面、窗台、隔离板冲洗完毕后应将水渍擦干；公厕内设施干净，无积灰、污物，设施破损应及时维修，蹲位、便池保持畅通无污物、污迹。</w:t>
      </w:r>
    </w:p>
    <w:p w14:paraId="2B48884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2.11对绿地范围内的苗木、花卉、草坪地被、攀援植物等，要定期浇水、施肥、杀虫、修剪、植物保护、杂草清除。对各区域范围内的枯枝枯叶及时清理。</w:t>
      </w:r>
    </w:p>
    <w:p w14:paraId="0EF5CB7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2.12中转站内要做到随脏随打扫，同时每个工作日结束后，必须对站内卫生及压缩设备进行彻底清扫、冲洗。保持中转站及周围环境干净整洁，车走地面净，无抛洒、无污泥积水、无堆积物。</w:t>
      </w:r>
    </w:p>
    <w:p w14:paraId="22DA38D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2.13定期对站内进行喷药消毒、除臭；蚊蝇滋生季节（4-10 月份）要进行药物喷洒灭杀。</w:t>
      </w:r>
    </w:p>
    <w:p w14:paraId="78F8ECA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2.14重大保障：遇有重大活动或抗台、抗雪等突发事件，以及创建等中心活动，必须无条件按要求及时组织人员做好清扫保洁等保障工作，服从招标人的统一指挥。</w:t>
      </w:r>
    </w:p>
    <w:p w14:paraId="580F0A0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2.15</w:t>
      </w:r>
      <w:r>
        <w:rPr>
          <w:rFonts w:hint="eastAsia" w:ascii="仿宋" w:hAnsi="仿宋" w:eastAsia="仿宋" w:cs="仿宋"/>
          <w:sz w:val="28"/>
          <w:szCs w:val="28"/>
          <w:lang w:eastAsia="zh-CN"/>
        </w:rPr>
        <w:t>成交供应商</w:t>
      </w:r>
      <w:r>
        <w:rPr>
          <w:rFonts w:hint="eastAsia" w:ascii="仿宋" w:hAnsi="仿宋" w:eastAsia="仿宋" w:cs="仿宋"/>
          <w:sz w:val="28"/>
          <w:szCs w:val="28"/>
        </w:rPr>
        <w:t>应负责做好本标项作业范围内的长效管理，做好“数字城管”举报单和群众信访、投诉处理件的处理、整改和回复工作。</w:t>
      </w:r>
    </w:p>
    <w:p w14:paraId="73FFEFE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2.16加强管理，确保招标人在各项中心活动检查中不失分。</w:t>
      </w:r>
      <w:bookmarkStart w:id="107" w:name="_Toc319576056"/>
    </w:p>
    <w:p w14:paraId="109ACCA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2.17配合曲霞镇政府收取沿街门面物业费。</w:t>
      </w:r>
    </w:p>
    <w:p w14:paraId="1EDF5A73">
      <w:pPr>
        <w:pStyle w:val="251"/>
        <w:keepNext w:val="0"/>
        <w:keepLines w:val="0"/>
        <w:pageBreakBefore w:val="0"/>
        <w:widowControl w:val="0"/>
        <w:kinsoku/>
        <w:wordWrap/>
        <w:overflowPunct/>
        <w:topLinePunct w:val="0"/>
        <w:autoSpaceDE/>
        <w:autoSpaceDN/>
        <w:bidi w:val="0"/>
        <w:adjustRightInd/>
        <w:snapToGrid/>
        <w:spacing w:after="0"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2.18招标人提供洒水车，洒水车驾驶员工资、车辆维修费用、油费、保险费由中标人承担。</w:t>
      </w:r>
    </w:p>
    <w:p w14:paraId="000D61DF">
      <w:pPr>
        <w:pStyle w:val="251"/>
        <w:keepNext w:val="0"/>
        <w:keepLines w:val="0"/>
        <w:pageBreakBefore w:val="0"/>
        <w:widowControl w:val="0"/>
        <w:kinsoku/>
        <w:wordWrap/>
        <w:overflowPunct/>
        <w:topLinePunct w:val="0"/>
        <w:autoSpaceDE/>
        <w:autoSpaceDN/>
        <w:bidi w:val="0"/>
        <w:adjustRightInd/>
        <w:snapToGrid/>
        <w:spacing w:after="0" w:line="360" w:lineRule="auto"/>
        <w:ind w:firstLine="480"/>
        <w:textAlignment w:val="auto"/>
        <w:rPr>
          <w:rFonts w:hint="eastAsia" w:ascii="仿宋" w:hAnsi="仿宋" w:eastAsia="仿宋" w:cs="仿宋"/>
          <w:bCs/>
          <w:sz w:val="28"/>
          <w:szCs w:val="28"/>
        </w:rPr>
      </w:pPr>
      <w:r>
        <w:rPr>
          <w:rFonts w:hint="eastAsia" w:ascii="仿宋" w:hAnsi="仿宋" w:eastAsia="仿宋" w:cs="仿宋"/>
          <w:sz w:val="28"/>
          <w:szCs w:val="28"/>
        </w:rPr>
        <w:t>2.19</w:t>
      </w:r>
      <w:r>
        <w:rPr>
          <w:rFonts w:hint="eastAsia" w:ascii="仿宋" w:hAnsi="仿宋" w:eastAsia="仿宋" w:cs="仿宋"/>
          <w:bCs/>
          <w:sz w:val="28"/>
          <w:szCs w:val="28"/>
        </w:rPr>
        <w:t>重大保障：遇有重大活动或抗台、抗雪等突发事件，以及创建等中心活动，协助曲霞政府做好外环路清扫保洁洒水等保障工作，服从镇府的统一指挥。</w:t>
      </w:r>
    </w:p>
    <w:p w14:paraId="4D314935">
      <w:pPr>
        <w:keepNext w:val="0"/>
        <w:keepLines w:val="0"/>
        <w:pageBreakBefore w:val="0"/>
        <w:widowControl w:val="0"/>
        <w:kinsoku/>
        <w:wordWrap/>
        <w:overflowPunct/>
        <w:topLinePunct w:val="0"/>
        <w:autoSpaceDE/>
        <w:autoSpaceDN/>
        <w:bidi w:val="0"/>
        <w:adjustRightInd/>
        <w:snapToGrid/>
        <w:spacing w:line="360" w:lineRule="auto"/>
        <w:ind w:firstLine="361"/>
        <w:textAlignment w:val="auto"/>
        <w:outlineLvl w:val="2"/>
        <w:rPr>
          <w:rFonts w:hint="eastAsia" w:ascii="仿宋" w:hAnsi="仿宋" w:eastAsia="仿宋" w:cs="仿宋"/>
          <w:b/>
          <w:sz w:val="28"/>
          <w:szCs w:val="28"/>
        </w:rPr>
      </w:pPr>
      <w:bookmarkStart w:id="108" w:name="_Toc493856163"/>
      <w:bookmarkStart w:id="109" w:name="_Toc494102932"/>
      <w:r>
        <w:rPr>
          <w:rFonts w:hint="eastAsia" w:ascii="仿宋" w:hAnsi="仿宋" w:eastAsia="仿宋" w:cs="仿宋"/>
          <w:b/>
          <w:sz w:val="28"/>
          <w:szCs w:val="28"/>
        </w:rPr>
        <w:t>3．服务技术要求</w:t>
      </w:r>
      <w:bookmarkEnd w:id="106"/>
      <w:bookmarkEnd w:id="107"/>
      <w:bookmarkEnd w:id="108"/>
      <w:bookmarkEnd w:id="109"/>
    </w:p>
    <w:p w14:paraId="6E995A2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3.1</w:t>
      </w:r>
      <w:r>
        <w:rPr>
          <w:rFonts w:hint="eastAsia" w:ascii="仿宋" w:hAnsi="仿宋" w:eastAsia="仿宋" w:cs="仿宋"/>
          <w:sz w:val="28"/>
          <w:szCs w:val="28"/>
          <w:lang w:eastAsia="zh-CN"/>
        </w:rPr>
        <w:t>成交供应商</w:t>
      </w:r>
      <w:r>
        <w:rPr>
          <w:rFonts w:hint="eastAsia" w:ascii="仿宋" w:hAnsi="仿宋" w:eastAsia="仿宋" w:cs="仿宋"/>
          <w:sz w:val="28"/>
          <w:szCs w:val="28"/>
        </w:rPr>
        <w:t>应加强作业质量管理，做好作业质量自查记录，作业交接班必须在作业现场进行。</w:t>
      </w:r>
    </w:p>
    <w:p w14:paraId="1BE813C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3.2规范管理，文明作业，自觉接受招标人及上级各部门领导的检查和社会监督，对出现的问题要及时整改。</w:t>
      </w:r>
    </w:p>
    <w:p w14:paraId="21AF660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bCs/>
          <w:sz w:val="28"/>
          <w:szCs w:val="28"/>
        </w:rPr>
      </w:pPr>
      <w:r>
        <w:rPr>
          <w:rFonts w:hint="eastAsia" w:ascii="仿宋" w:hAnsi="仿宋" w:eastAsia="仿宋" w:cs="仿宋"/>
          <w:bCs/>
          <w:sz w:val="28"/>
          <w:szCs w:val="28"/>
        </w:rPr>
        <w:t>3.3作业时应严格遵守劳动纪律，遵守安全操作规程，确保安全，发生各种意外事故由</w:t>
      </w:r>
      <w:r>
        <w:rPr>
          <w:rFonts w:hint="eastAsia" w:ascii="仿宋" w:hAnsi="仿宋" w:eastAsia="仿宋" w:cs="仿宋"/>
          <w:bCs/>
          <w:sz w:val="28"/>
          <w:szCs w:val="28"/>
          <w:lang w:eastAsia="zh-CN"/>
        </w:rPr>
        <w:t>成交供应商</w:t>
      </w:r>
      <w:r>
        <w:rPr>
          <w:rFonts w:hint="eastAsia" w:ascii="仿宋" w:hAnsi="仿宋" w:eastAsia="仿宋" w:cs="仿宋"/>
          <w:bCs/>
          <w:sz w:val="28"/>
          <w:szCs w:val="28"/>
        </w:rPr>
        <w:t>自行依照法律法规妥善处理，招标人不承担任何责任。</w:t>
      </w:r>
    </w:p>
    <w:p w14:paraId="1DA037C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3.4保持果壳箱的整洁完好，合同期间由于作业操作不善，造成破损的，由</w:t>
      </w:r>
      <w:r>
        <w:rPr>
          <w:rFonts w:hint="eastAsia" w:ascii="仿宋" w:hAnsi="仿宋" w:eastAsia="仿宋" w:cs="仿宋"/>
          <w:sz w:val="28"/>
          <w:szCs w:val="28"/>
          <w:lang w:eastAsia="zh-CN"/>
        </w:rPr>
        <w:t>成交供应商</w:t>
      </w:r>
      <w:r>
        <w:rPr>
          <w:rFonts w:hint="eastAsia" w:ascii="仿宋" w:hAnsi="仿宋" w:eastAsia="仿宋" w:cs="仿宋"/>
          <w:sz w:val="28"/>
          <w:szCs w:val="28"/>
        </w:rPr>
        <w:t>负责赔偿；因其它原因破损要调换的应及时向招标人报告。</w:t>
      </w:r>
    </w:p>
    <w:p w14:paraId="7473732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3.5作业时作业车辆应停放适当地点，不影响行人和交通，收工后存放在招标人指定的停车场所进行集中管理。</w:t>
      </w:r>
    </w:p>
    <w:p w14:paraId="7F11AD6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3.6遇到乱丢、乱扔垃圾、渣土抛洒污染路面等不文明行为应及时进行劝阻，做到说话文明，以理服人，对不听劝阻造成不良影响的，应及时向招标人或有关部门报告。</w:t>
      </w:r>
    </w:p>
    <w:p w14:paraId="08B4F7D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3.7每月根据招标人要求，</w:t>
      </w:r>
      <w:r>
        <w:rPr>
          <w:rFonts w:hint="eastAsia" w:ascii="仿宋" w:hAnsi="仿宋" w:eastAsia="仿宋" w:cs="仿宋"/>
          <w:sz w:val="28"/>
          <w:szCs w:val="28"/>
          <w:lang w:eastAsia="zh-CN"/>
        </w:rPr>
        <w:t>成交供应商</w:t>
      </w:r>
      <w:r>
        <w:rPr>
          <w:rFonts w:hint="eastAsia" w:ascii="仿宋" w:hAnsi="仿宋" w:eastAsia="仿宋" w:cs="仿宋"/>
          <w:sz w:val="28"/>
          <w:szCs w:val="28"/>
        </w:rPr>
        <w:t>向招标人提交本月工作情况自查表、有关情况书面报告和下月作业安排计划。</w:t>
      </w:r>
    </w:p>
    <w:p w14:paraId="6DA9E7A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3.8</w:t>
      </w:r>
      <w:r>
        <w:rPr>
          <w:rFonts w:hint="eastAsia" w:ascii="仿宋" w:hAnsi="仿宋" w:eastAsia="仿宋" w:cs="仿宋"/>
          <w:sz w:val="28"/>
          <w:szCs w:val="28"/>
          <w:lang w:eastAsia="zh-CN"/>
        </w:rPr>
        <w:t>成交供应商</w:t>
      </w:r>
      <w:r>
        <w:rPr>
          <w:rFonts w:hint="eastAsia" w:ascii="仿宋" w:hAnsi="仿宋" w:eastAsia="仿宋" w:cs="仿宋"/>
          <w:sz w:val="28"/>
          <w:szCs w:val="28"/>
        </w:rPr>
        <w:t>按照以人为本的原则关心职工，严格遵守有关劳动法规，保障职工合法权益。</w:t>
      </w:r>
      <w:bookmarkStart w:id="110" w:name="_Toc493856164"/>
      <w:bookmarkStart w:id="111" w:name="_Toc494102933"/>
    </w:p>
    <w:p w14:paraId="0887FEDB">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仿宋" w:hAnsi="仿宋" w:eastAsia="仿宋" w:cs="仿宋"/>
          <w:b/>
          <w:sz w:val="28"/>
          <w:szCs w:val="28"/>
        </w:rPr>
      </w:pPr>
      <w:r>
        <w:rPr>
          <w:rFonts w:hint="eastAsia" w:ascii="仿宋" w:hAnsi="仿宋" w:eastAsia="仿宋" w:cs="仿宋"/>
          <w:b/>
          <w:sz w:val="28"/>
          <w:szCs w:val="28"/>
        </w:rPr>
        <w:t>4.员工劳动保障要求</w:t>
      </w:r>
      <w:bookmarkEnd w:id="110"/>
      <w:bookmarkEnd w:id="111"/>
    </w:p>
    <w:p w14:paraId="1C26DFA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4.1</w:t>
      </w:r>
      <w:r>
        <w:rPr>
          <w:rFonts w:hint="eastAsia" w:ascii="仿宋" w:hAnsi="仿宋" w:eastAsia="仿宋" w:cs="仿宋"/>
          <w:color w:val="000000"/>
          <w:sz w:val="28"/>
          <w:szCs w:val="28"/>
          <w:lang w:eastAsia="zh-CN"/>
        </w:rPr>
        <w:t>成交供应商</w:t>
      </w:r>
      <w:r>
        <w:rPr>
          <w:rFonts w:hint="eastAsia" w:ascii="仿宋" w:hAnsi="仿宋" w:eastAsia="仿宋" w:cs="仿宋"/>
          <w:color w:val="000000"/>
          <w:sz w:val="28"/>
          <w:szCs w:val="28"/>
        </w:rPr>
        <w:t>应依法依规与员工签订劳动合同，建立和谐的劳动关系。</w:t>
      </w:r>
      <w:r>
        <w:rPr>
          <w:rFonts w:hint="eastAsia" w:ascii="仿宋" w:hAnsi="仿宋" w:eastAsia="仿宋" w:cs="仿宋"/>
          <w:color w:val="000000"/>
          <w:sz w:val="28"/>
          <w:szCs w:val="28"/>
          <w:lang w:eastAsia="zh-CN"/>
        </w:rPr>
        <w:t>成交供应商</w:t>
      </w:r>
      <w:r>
        <w:rPr>
          <w:rFonts w:hint="eastAsia" w:ascii="仿宋" w:hAnsi="仿宋" w:eastAsia="仿宋" w:cs="仿宋"/>
          <w:color w:val="000000"/>
          <w:sz w:val="28"/>
          <w:szCs w:val="28"/>
        </w:rPr>
        <w:t>解雇原有员工时，应采取依法平稳的方式操作，不得发生歇工和维稳事件。</w:t>
      </w:r>
    </w:p>
    <w:p w14:paraId="53BE496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4.2</w:t>
      </w:r>
      <w:r>
        <w:rPr>
          <w:rFonts w:hint="eastAsia" w:ascii="仿宋" w:hAnsi="仿宋" w:eastAsia="仿宋" w:cs="仿宋"/>
          <w:bCs/>
          <w:color w:val="000000"/>
          <w:sz w:val="28"/>
          <w:szCs w:val="28"/>
          <w:lang w:eastAsia="zh-CN"/>
        </w:rPr>
        <w:t>成交供应商</w:t>
      </w:r>
      <w:r>
        <w:rPr>
          <w:rFonts w:hint="eastAsia" w:ascii="仿宋" w:hAnsi="仿宋" w:eastAsia="仿宋" w:cs="仿宋"/>
          <w:bCs/>
          <w:color w:val="000000"/>
          <w:sz w:val="28"/>
          <w:szCs w:val="28"/>
        </w:rPr>
        <w:t>支付给员工的正常工作时间工资（不含加班工资）不低于当年泰兴市最低工资标准，并作为计算员工最低工资标准的起点，以保障员工的合理报酬。最低工资标准发生变化的，</w:t>
      </w:r>
      <w:r>
        <w:rPr>
          <w:rFonts w:hint="eastAsia" w:ascii="仿宋" w:hAnsi="仿宋" w:eastAsia="仿宋" w:cs="仿宋"/>
          <w:bCs/>
          <w:color w:val="000000"/>
          <w:sz w:val="28"/>
          <w:szCs w:val="28"/>
          <w:lang w:eastAsia="zh-CN"/>
        </w:rPr>
        <w:t>成交供应商</w:t>
      </w:r>
      <w:r>
        <w:rPr>
          <w:rFonts w:hint="eastAsia" w:ascii="仿宋" w:hAnsi="仿宋" w:eastAsia="仿宋" w:cs="仿宋"/>
          <w:bCs/>
          <w:color w:val="000000"/>
          <w:sz w:val="28"/>
          <w:szCs w:val="28"/>
        </w:rPr>
        <w:t>应相应作出调整。</w:t>
      </w:r>
      <w:r>
        <w:rPr>
          <w:rFonts w:hint="eastAsia" w:ascii="仿宋" w:hAnsi="仿宋" w:eastAsia="仿宋" w:cs="仿宋"/>
          <w:bCs/>
          <w:color w:val="000000"/>
          <w:sz w:val="28"/>
          <w:szCs w:val="28"/>
          <w:lang w:eastAsia="zh-CN"/>
        </w:rPr>
        <w:t>成交供应商</w:t>
      </w:r>
      <w:r>
        <w:rPr>
          <w:rFonts w:hint="eastAsia" w:ascii="仿宋" w:hAnsi="仿宋" w:eastAsia="仿宋" w:cs="仿宋"/>
          <w:bCs/>
          <w:color w:val="000000"/>
          <w:sz w:val="28"/>
          <w:szCs w:val="28"/>
        </w:rPr>
        <w:t>不得拖欠员工工资（含加班工资）。</w:t>
      </w:r>
    </w:p>
    <w:p w14:paraId="1E243D8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bCs/>
          <w:sz w:val="28"/>
          <w:szCs w:val="28"/>
        </w:rPr>
      </w:pPr>
      <w:r>
        <w:rPr>
          <w:rFonts w:hint="eastAsia" w:ascii="仿宋" w:hAnsi="仿宋" w:eastAsia="仿宋" w:cs="仿宋"/>
          <w:bCs/>
          <w:sz w:val="28"/>
          <w:szCs w:val="28"/>
        </w:rPr>
        <w:t>4.3</w:t>
      </w:r>
      <w:r>
        <w:rPr>
          <w:rFonts w:hint="eastAsia" w:ascii="仿宋" w:hAnsi="仿宋" w:eastAsia="仿宋" w:cs="仿宋"/>
          <w:bCs/>
          <w:sz w:val="28"/>
          <w:szCs w:val="28"/>
          <w:lang w:eastAsia="zh-CN"/>
        </w:rPr>
        <w:t>成交供应商</w:t>
      </w:r>
      <w:r>
        <w:rPr>
          <w:rFonts w:hint="eastAsia" w:ascii="仿宋" w:hAnsi="仿宋" w:eastAsia="仿宋" w:cs="仿宋"/>
          <w:bCs/>
          <w:sz w:val="28"/>
          <w:szCs w:val="28"/>
        </w:rPr>
        <w:t>必须按规定为员工购买社会保险，并为环卫工人购买人身意外伤亡保险。</w:t>
      </w:r>
    </w:p>
    <w:p w14:paraId="38E15FE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4.4</w:t>
      </w:r>
      <w:r>
        <w:rPr>
          <w:rFonts w:hint="eastAsia" w:ascii="仿宋" w:hAnsi="仿宋" w:eastAsia="仿宋" w:cs="仿宋"/>
          <w:sz w:val="28"/>
          <w:szCs w:val="28"/>
          <w:lang w:eastAsia="zh-CN"/>
        </w:rPr>
        <w:t>成交供应商</w:t>
      </w:r>
      <w:r>
        <w:rPr>
          <w:rFonts w:hint="eastAsia" w:ascii="仿宋" w:hAnsi="仿宋" w:eastAsia="仿宋" w:cs="仿宋"/>
          <w:sz w:val="28"/>
          <w:szCs w:val="28"/>
        </w:rPr>
        <w:t>必须保障员工正常休息时间，加班时间不得超过法律、法规和规章规定的加班时间上限，并应按规定及时发放加班工资和高温补贴。</w:t>
      </w:r>
    </w:p>
    <w:p w14:paraId="11B8085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4.5</w:t>
      </w:r>
      <w:r>
        <w:rPr>
          <w:rFonts w:hint="eastAsia" w:ascii="仿宋" w:hAnsi="仿宋" w:eastAsia="仿宋" w:cs="仿宋"/>
          <w:sz w:val="28"/>
          <w:szCs w:val="28"/>
          <w:lang w:eastAsia="zh-CN"/>
        </w:rPr>
        <w:t>成交供应商</w:t>
      </w:r>
      <w:r>
        <w:rPr>
          <w:rFonts w:hint="eastAsia" w:ascii="仿宋" w:hAnsi="仿宋" w:eastAsia="仿宋" w:cs="仿宋"/>
          <w:sz w:val="28"/>
          <w:szCs w:val="28"/>
        </w:rPr>
        <w:t>与员工解除或终止劳动关系，必须依照劳动管理等方面法律、法规、规章和其它规范性文件的规定向员工支付经济补偿金、赔偿金及其他应当支付的款项。</w:t>
      </w:r>
    </w:p>
    <w:p w14:paraId="1E6C9D2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4.6</w:t>
      </w:r>
      <w:r>
        <w:rPr>
          <w:rFonts w:hint="eastAsia" w:ascii="仿宋" w:hAnsi="仿宋" w:eastAsia="仿宋" w:cs="仿宋"/>
          <w:sz w:val="28"/>
          <w:szCs w:val="28"/>
          <w:lang w:eastAsia="zh-CN"/>
        </w:rPr>
        <w:t>成交供应商</w:t>
      </w:r>
      <w:r>
        <w:rPr>
          <w:rFonts w:hint="eastAsia" w:ascii="仿宋" w:hAnsi="仿宋" w:eastAsia="仿宋" w:cs="仿宋"/>
          <w:sz w:val="28"/>
          <w:szCs w:val="28"/>
        </w:rPr>
        <w:t>必须执行劳动管理等方面法律、法规、规章和其它规范性文件规定的有关员工保障的其他规定。</w:t>
      </w:r>
      <w:bookmarkStart w:id="112" w:name="_Toc494102934"/>
      <w:bookmarkStart w:id="113" w:name="_Toc493856165"/>
      <w:bookmarkStart w:id="114" w:name="_Toc319576057"/>
    </w:p>
    <w:p w14:paraId="22072A1F">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仿宋" w:hAnsi="仿宋" w:eastAsia="仿宋" w:cs="仿宋"/>
          <w:b/>
          <w:sz w:val="28"/>
          <w:szCs w:val="28"/>
        </w:rPr>
      </w:pPr>
      <w:r>
        <w:rPr>
          <w:rFonts w:hint="eastAsia" w:ascii="仿宋" w:hAnsi="仿宋" w:eastAsia="仿宋" w:cs="仿宋"/>
          <w:b/>
          <w:sz w:val="28"/>
          <w:szCs w:val="28"/>
        </w:rPr>
        <w:t>5.管理考核</w:t>
      </w:r>
      <w:bookmarkEnd w:id="112"/>
      <w:bookmarkEnd w:id="113"/>
      <w:bookmarkEnd w:id="114"/>
    </w:p>
    <w:p w14:paraId="5281CB5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5.1考核办法</w:t>
      </w:r>
    </w:p>
    <w:p w14:paraId="27552CD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8"/>
          <w:szCs w:val="28"/>
        </w:rPr>
      </w:pPr>
      <w:r>
        <w:rPr>
          <w:rFonts w:hint="eastAsia" w:ascii="仿宋" w:hAnsi="仿宋" w:eastAsia="仿宋" w:cs="仿宋"/>
          <w:sz w:val="28"/>
          <w:szCs w:val="28"/>
        </w:rPr>
        <w:t>管理考核采取日常巡查考核管理和检查考核相结合；按《</w:t>
      </w:r>
      <w:r>
        <w:rPr>
          <w:rFonts w:hint="eastAsia" w:ascii="仿宋" w:hAnsi="仿宋" w:eastAsia="仿宋" w:cs="仿宋"/>
          <w:sz w:val="28"/>
          <w:szCs w:val="28"/>
          <w:lang w:eastAsia="zh-CN"/>
        </w:rPr>
        <w:t>成交供应商</w:t>
      </w:r>
      <w:r>
        <w:rPr>
          <w:rFonts w:hint="eastAsia" w:ascii="仿宋" w:hAnsi="仿宋" w:eastAsia="仿宋" w:cs="仿宋"/>
          <w:sz w:val="28"/>
          <w:szCs w:val="28"/>
        </w:rPr>
        <w:t>综合考核及评分细则》相关要求执行。</w:t>
      </w:r>
    </w:p>
    <w:p w14:paraId="2FF10315">
      <w:pPr>
        <w:keepNext w:val="0"/>
        <w:keepLines w:val="0"/>
        <w:pageBreakBefore w:val="0"/>
        <w:widowControl w:val="0"/>
        <w:kinsoku/>
        <w:wordWrap/>
        <w:overflowPunct/>
        <w:topLinePunct w:val="0"/>
        <w:autoSpaceDE/>
        <w:autoSpaceDN/>
        <w:bidi w:val="0"/>
        <w:adjustRightInd/>
        <w:snapToGrid/>
        <w:spacing w:line="360" w:lineRule="auto"/>
        <w:ind w:firstLine="539"/>
        <w:textAlignment w:val="auto"/>
        <w:rPr>
          <w:rFonts w:hint="eastAsia" w:ascii="仿宋" w:hAnsi="仿宋" w:eastAsia="仿宋" w:cs="仿宋"/>
          <w:sz w:val="28"/>
          <w:szCs w:val="28"/>
        </w:rPr>
      </w:pPr>
      <w:r>
        <w:rPr>
          <w:rFonts w:hint="eastAsia" w:ascii="仿宋" w:hAnsi="仿宋" w:eastAsia="仿宋" w:cs="仿宋"/>
          <w:sz w:val="28"/>
          <w:szCs w:val="28"/>
        </w:rPr>
        <w:t>5.1.1城市道路保洁考核扣分折合成经费从保洁款中扣除。</w:t>
      </w:r>
    </w:p>
    <w:p w14:paraId="5D31517A">
      <w:pPr>
        <w:keepNext w:val="0"/>
        <w:keepLines w:val="0"/>
        <w:pageBreakBefore w:val="0"/>
        <w:widowControl w:val="0"/>
        <w:kinsoku/>
        <w:wordWrap/>
        <w:overflowPunct/>
        <w:topLinePunct w:val="0"/>
        <w:autoSpaceDE/>
        <w:autoSpaceDN/>
        <w:bidi w:val="0"/>
        <w:adjustRightInd/>
        <w:snapToGrid/>
        <w:spacing w:line="360" w:lineRule="auto"/>
        <w:ind w:firstLine="539"/>
        <w:textAlignment w:val="auto"/>
        <w:rPr>
          <w:rFonts w:hint="eastAsia" w:ascii="仿宋" w:hAnsi="仿宋" w:eastAsia="仿宋" w:cs="仿宋"/>
          <w:sz w:val="28"/>
          <w:szCs w:val="28"/>
        </w:rPr>
      </w:pPr>
      <w:r>
        <w:rPr>
          <w:rFonts w:hint="eastAsia" w:ascii="仿宋" w:hAnsi="仿宋" w:eastAsia="仿宋" w:cs="仿宋"/>
          <w:sz w:val="28"/>
          <w:szCs w:val="28"/>
        </w:rPr>
        <w:t>5.1.2确保各项检查中不失分。被新闻媒体曝光的，接到数字城管案卷、群众来电、来信、来访投诉的，以及“12345”政府服务热线诉求的将纳入考核。</w:t>
      </w:r>
    </w:p>
    <w:p w14:paraId="47035C90">
      <w:pPr>
        <w:keepNext w:val="0"/>
        <w:keepLines w:val="0"/>
        <w:pageBreakBefore w:val="0"/>
        <w:widowControl w:val="0"/>
        <w:kinsoku/>
        <w:wordWrap/>
        <w:overflowPunct/>
        <w:topLinePunct w:val="0"/>
        <w:autoSpaceDE/>
        <w:autoSpaceDN/>
        <w:bidi w:val="0"/>
        <w:adjustRightInd/>
        <w:snapToGrid/>
        <w:spacing w:line="360" w:lineRule="auto"/>
        <w:ind w:firstLine="539"/>
        <w:textAlignment w:val="auto"/>
        <w:rPr>
          <w:rFonts w:hint="eastAsia" w:ascii="仿宋" w:hAnsi="仿宋" w:eastAsia="仿宋" w:cs="仿宋"/>
          <w:sz w:val="28"/>
          <w:szCs w:val="28"/>
        </w:rPr>
      </w:pPr>
      <w:r>
        <w:rPr>
          <w:rFonts w:hint="eastAsia" w:ascii="仿宋" w:hAnsi="仿宋" w:eastAsia="仿宋" w:cs="仿宋"/>
          <w:sz w:val="28"/>
          <w:szCs w:val="28"/>
        </w:rPr>
        <w:t>5.2专用作业车辆要有编号，有监督电话，有责任单位，车辆停放自行负责；保洁人员作业时必须佩戴上岗证。</w:t>
      </w:r>
    </w:p>
    <w:p w14:paraId="6A5ACF5E">
      <w:pPr>
        <w:keepNext w:val="0"/>
        <w:keepLines w:val="0"/>
        <w:pageBreakBefore w:val="0"/>
        <w:widowControl w:val="0"/>
        <w:kinsoku/>
        <w:wordWrap/>
        <w:overflowPunct/>
        <w:topLinePunct w:val="0"/>
        <w:autoSpaceDE/>
        <w:autoSpaceDN/>
        <w:bidi w:val="0"/>
        <w:adjustRightInd/>
        <w:snapToGrid/>
        <w:spacing w:line="360" w:lineRule="auto"/>
        <w:ind w:firstLine="539"/>
        <w:textAlignment w:val="auto"/>
        <w:rPr>
          <w:rFonts w:hint="eastAsia" w:ascii="仿宋" w:hAnsi="仿宋" w:eastAsia="仿宋" w:cs="仿宋"/>
          <w:sz w:val="28"/>
          <w:szCs w:val="28"/>
        </w:rPr>
      </w:pPr>
      <w:r>
        <w:rPr>
          <w:rFonts w:hint="eastAsia" w:ascii="仿宋" w:hAnsi="仿宋" w:eastAsia="仿宋" w:cs="仿宋"/>
          <w:sz w:val="28"/>
          <w:szCs w:val="28"/>
        </w:rPr>
        <w:t>5.3警告退出办法</w:t>
      </w:r>
    </w:p>
    <w:p w14:paraId="0053BF32">
      <w:pPr>
        <w:keepNext w:val="0"/>
        <w:keepLines w:val="0"/>
        <w:pageBreakBefore w:val="0"/>
        <w:widowControl w:val="0"/>
        <w:kinsoku/>
        <w:wordWrap/>
        <w:overflowPunct/>
        <w:topLinePunct w:val="0"/>
        <w:autoSpaceDE/>
        <w:autoSpaceDN/>
        <w:bidi w:val="0"/>
        <w:adjustRightInd/>
        <w:snapToGrid/>
        <w:spacing w:line="360" w:lineRule="auto"/>
        <w:ind w:firstLine="539"/>
        <w:textAlignment w:val="auto"/>
        <w:rPr>
          <w:rFonts w:hint="eastAsia" w:ascii="仿宋" w:hAnsi="仿宋" w:eastAsia="仿宋" w:cs="仿宋"/>
          <w:sz w:val="28"/>
          <w:szCs w:val="28"/>
        </w:rPr>
      </w:pPr>
      <w:r>
        <w:rPr>
          <w:rFonts w:hint="eastAsia" w:ascii="仿宋" w:hAnsi="仿宋" w:eastAsia="仿宋" w:cs="仿宋"/>
          <w:sz w:val="28"/>
          <w:szCs w:val="28"/>
        </w:rPr>
        <w:t>5.3.1警告。在道路街巷保洁作业合同化管理中，有下列情景之一的给予一次警告：</w:t>
      </w:r>
    </w:p>
    <w:p w14:paraId="275E392B">
      <w:pPr>
        <w:keepNext w:val="0"/>
        <w:keepLines w:val="0"/>
        <w:pageBreakBefore w:val="0"/>
        <w:widowControl w:val="0"/>
        <w:kinsoku/>
        <w:wordWrap/>
        <w:overflowPunct/>
        <w:topLinePunct w:val="0"/>
        <w:autoSpaceDE/>
        <w:autoSpaceDN/>
        <w:bidi w:val="0"/>
        <w:adjustRightInd/>
        <w:snapToGrid/>
        <w:spacing w:line="360" w:lineRule="auto"/>
        <w:ind w:firstLine="539"/>
        <w:textAlignment w:val="auto"/>
        <w:rPr>
          <w:rFonts w:hint="eastAsia" w:ascii="仿宋" w:hAnsi="仿宋" w:eastAsia="仿宋" w:cs="仿宋"/>
          <w:sz w:val="28"/>
          <w:szCs w:val="28"/>
        </w:rPr>
      </w:pPr>
      <w:r>
        <w:rPr>
          <w:rFonts w:hint="eastAsia" w:ascii="仿宋" w:hAnsi="仿宋" w:eastAsia="仿宋" w:cs="仿宋"/>
          <w:sz w:val="28"/>
          <w:szCs w:val="28"/>
        </w:rPr>
        <w:t>(1)合同标段数字城管问题及时整改率未达到100%的。</w:t>
      </w:r>
    </w:p>
    <w:p w14:paraId="07D02447">
      <w:pPr>
        <w:keepNext w:val="0"/>
        <w:keepLines w:val="0"/>
        <w:pageBreakBefore w:val="0"/>
        <w:widowControl w:val="0"/>
        <w:kinsoku/>
        <w:wordWrap/>
        <w:overflowPunct/>
        <w:topLinePunct w:val="0"/>
        <w:autoSpaceDE/>
        <w:autoSpaceDN/>
        <w:bidi w:val="0"/>
        <w:adjustRightInd/>
        <w:snapToGrid/>
        <w:spacing w:line="360" w:lineRule="auto"/>
        <w:ind w:firstLine="539"/>
        <w:textAlignment w:val="auto"/>
        <w:rPr>
          <w:rFonts w:hint="eastAsia" w:ascii="仿宋" w:hAnsi="仿宋" w:eastAsia="仿宋" w:cs="仿宋"/>
          <w:sz w:val="28"/>
          <w:szCs w:val="28"/>
        </w:rPr>
      </w:pPr>
      <w:r>
        <w:rPr>
          <w:rFonts w:hint="eastAsia" w:ascii="仿宋" w:hAnsi="仿宋" w:eastAsia="仿宋" w:cs="仿宋"/>
          <w:sz w:val="28"/>
          <w:szCs w:val="28"/>
        </w:rPr>
        <w:t>(2)市、局领导检查发现抄告问题未限期整改到位的。</w:t>
      </w:r>
    </w:p>
    <w:p w14:paraId="75FAE4C0">
      <w:pPr>
        <w:keepNext w:val="0"/>
        <w:keepLines w:val="0"/>
        <w:pageBreakBefore w:val="0"/>
        <w:widowControl w:val="0"/>
        <w:kinsoku/>
        <w:wordWrap/>
        <w:overflowPunct/>
        <w:topLinePunct w:val="0"/>
        <w:autoSpaceDE/>
        <w:autoSpaceDN/>
        <w:bidi w:val="0"/>
        <w:adjustRightInd/>
        <w:snapToGrid/>
        <w:spacing w:line="360" w:lineRule="auto"/>
        <w:ind w:firstLine="539"/>
        <w:textAlignment w:val="auto"/>
        <w:rPr>
          <w:rFonts w:hint="eastAsia" w:ascii="仿宋" w:hAnsi="仿宋" w:eastAsia="仿宋" w:cs="仿宋"/>
          <w:sz w:val="28"/>
          <w:szCs w:val="28"/>
        </w:rPr>
      </w:pPr>
      <w:r>
        <w:rPr>
          <w:rFonts w:hint="eastAsia" w:ascii="仿宋" w:hAnsi="仿宋" w:eastAsia="仿宋" w:cs="仿宋"/>
          <w:sz w:val="28"/>
          <w:szCs w:val="28"/>
        </w:rPr>
        <w:t>(3)管理混乱，发生保洁人员集体上访的。</w:t>
      </w:r>
    </w:p>
    <w:p w14:paraId="0D7079BC">
      <w:pPr>
        <w:keepNext w:val="0"/>
        <w:keepLines w:val="0"/>
        <w:pageBreakBefore w:val="0"/>
        <w:widowControl w:val="0"/>
        <w:kinsoku/>
        <w:wordWrap/>
        <w:overflowPunct/>
        <w:topLinePunct w:val="0"/>
        <w:autoSpaceDE/>
        <w:autoSpaceDN/>
        <w:bidi w:val="0"/>
        <w:adjustRightInd/>
        <w:snapToGrid/>
        <w:spacing w:line="360" w:lineRule="auto"/>
        <w:ind w:firstLine="539"/>
        <w:textAlignment w:val="auto"/>
        <w:rPr>
          <w:rFonts w:hint="eastAsia" w:ascii="仿宋" w:hAnsi="仿宋" w:eastAsia="仿宋" w:cs="仿宋"/>
          <w:sz w:val="28"/>
          <w:szCs w:val="28"/>
        </w:rPr>
      </w:pPr>
      <w:r>
        <w:rPr>
          <w:rFonts w:hint="eastAsia" w:ascii="仿宋" w:hAnsi="仿宋" w:eastAsia="仿宋" w:cs="仿宋"/>
          <w:sz w:val="28"/>
          <w:szCs w:val="28"/>
        </w:rPr>
        <w:t>(4)不遵守交通法规，未按照规程操作发生有责交通事故的。</w:t>
      </w:r>
    </w:p>
    <w:p w14:paraId="7FE2252A">
      <w:pPr>
        <w:keepNext w:val="0"/>
        <w:keepLines w:val="0"/>
        <w:pageBreakBefore w:val="0"/>
        <w:widowControl w:val="0"/>
        <w:kinsoku/>
        <w:wordWrap/>
        <w:overflowPunct/>
        <w:topLinePunct w:val="0"/>
        <w:autoSpaceDE/>
        <w:autoSpaceDN/>
        <w:bidi w:val="0"/>
        <w:adjustRightInd/>
        <w:snapToGrid/>
        <w:spacing w:line="360" w:lineRule="auto"/>
        <w:ind w:firstLine="539"/>
        <w:textAlignment w:val="auto"/>
        <w:rPr>
          <w:rFonts w:hint="eastAsia" w:ascii="仿宋" w:hAnsi="仿宋" w:eastAsia="仿宋" w:cs="仿宋"/>
          <w:sz w:val="28"/>
          <w:szCs w:val="28"/>
        </w:rPr>
      </w:pPr>
      <w:r>
        <w:rPr>
          <w:rFonts w:hint="eastAsia" w:ascii="仿宋" w:hAnsi="仿宋" w:eastAsia="仿宋" w:cs="仿宋"/>
          <w:sz w:val="28"/>
          <w:szCs w:val="28"/>
        </w:rPr>
        <w:t>(5)遇有重大活动或突发事件时，未按要求落实作业机具和人员，保障不力而造成不良影响的。</w:t>
      </w:r>
    </w:p>
    <w:p w14:paraId="026D61DE">
      <w:pPr>
        <w:keepNext w:val="0"/>
        <w:keepLines w:val="0"/>
        <w:pageBreakBefore w:val="0"/>
        <w:widowControl w:val="0"/>
        <w:kinsoku/>
        <w:wordWrap/>
        <w:overflowPunct/>
        <w:topLinePunct w:val="0"/>
        <w:autoSpaceDE/>
        <w:autoSpaceDN/>
        <w:bidi w:val="0"/>
        <w:adjustRightInd/>
        <w:snapToGrid/>
        <w:spacing w:line="360" w:lineRule="auto"/>
        <w:ind w:firstLine="539"/>
        <w:textAlignment w:val="auto"/>
        <w:rPr>
          <w:rFonts w:hint="eastAsia" w:ascii="仿宋" w:hAnsi="仿宋" w:eastAsia="仿宋" w:cs="仿宋"/>
          <w:sz w:val="28"/>
          <w:szCs w:val="28"/>
        </w:rPr>
      </w:pPr>
      <w:r>
        <w:rPr>
          <w:rFonts w:hint="eastAsia" w:ascii="仿宋" w:hAnsi="仿宋" w:eastAsia="仿宋" w:cs="仿宋"/>
          <w:sz w:val="28"/>
          <w:szCs w:val="28"/>
        </w:rPr>
        <w:t>5.3.2退出。在道路街巷保洁作业合同化管理中，符合以下之一的予以退出，提前终止保洁合同：</w:t>
      </w:r>
    </w:p>
    <w:p w14:paraId="6FCA8690">
      <w:pPr>
        <w:keepNext w:val="0"/>
        <w:keepLines w:val="0"/>
        <w:pageBreakBefore w:val="0"/>
        <w:widowControl w:val="0"/>
        <w:kinsoku/>
        <w:wordWrap/>
        <w:overflowPunct/>
        <w:topLinePunct w:val="0"/>
        <w:autoSpaceDE/>
        <w:autoSpaceDN/>
        <w:bidi w:val="0"/>
        <w:adjustRightInd/>
        <w:snapToGrid/>
        <w:spacing w:line="360" w:lineRule="auto"/>
        <w:ind w:firstLine="539"/>
        <w:textAlignment w:val="auto"/>
        <w:rPr>
          <w:rFonts w:hint="eastAsia" w:ascii="仿宋" w:hAnsi="仿宋" w:eastAsia="仿宋" w:cs="仿宋"/>
          <w:sz w:val="28"/>
          <w:szCs w:val="28"/>
        </w:rPr>
      </w:pPr>
      <w:r>
        <w:rPr>
          <w:rFonts w:hint="eastAsia" w:ascii="仿宋" w:hAnsi="仿宋" w:eastAsia="仿宋" w:cs="仿宋"/>
          <w:sz w:val="28"/>
          <w:szCs w:val="28"/>
        </w:rPr>
        <w:t>(1)组织管理机构、人员素质、作业人数等与投标承诺不符，无法完成道路保洁任务的。</w:t>
      </w:r>
    </w:p>
    <w:p w14:paraId="2DD148C2">
      <w:pPr>
        <w:keepNext w:val="0"/>
        <w:keepLines w:val="0"/>
        <w:pageBreakBefore w:val="0"/>
        <w:widowControl w:val="0"/>
        <w:kinsoku/>
        <w:wordWrap/>
        <w:overflowPunct/>
        <w:topLinePunct w:val="0"/>
        <w:autoSpaceDE/>
        <w:autoSpaceDN/>
        <w:bidi w:val="0"/>
        <w:adjustRightInd/>
        <w:snapToGrid/>
        <w:spacing w:line="360" w:lineRule="auto"/>
        <w:ind w:firstLine="539"/>
        <w:textAlignment w:val="auto"/>
        <w:rPr>
          <w:rFonts w:hint="eastAsia" w:ascii="仿宋" w:hAnsi="仿宋" w:eastAsia="仿宋" w:cs="仿宋"/>
          <w:sz w:val="28"/>
          <w:szCs w:val="28"/>
        </w:rPr>
      </w:pPr>
      <w:r>
        <w:rPr>
          <w:rFonts w:hint="eastAsia" w:ascii="仿宋" w:hAnsi="仿宋" w:eastAsia="仿宋" w:cs="仿宋"/>
          <w:sz w:val="28"/>
          <w:szCs w:val="28"/>
        </w:rPr>
        <w:t>⑵管理不善，造成人员伤亡，并负有主要责任，造成恶劣影响的；</w:t>
      </w:r>
    </w:p>
    <w:p w14:paraId="4E8F5430">
      <w:pPr>
        <w:keepNext w:val="0"/>
        <w:keepLines w:val="0"/>
        <w:pageBreakBefore w:val="0"/>
        <w:widowControl w:val="0"/>
        <w:kinsoku/>
        <w:wordWrap/>
        <w:overflowPunct/>
        <w:topLinePunct w:val="0"/>
        <w:autoSpaceDE/>
        <w:autoSpaceDN/>
        <w:bidi w:val="0"/>
        <w:adjustRightInd/>
        <w:snapToGrid/>
        <w:spacing w:line="360" w:lineRule="auto"/>
        <w:ind w:firstLine="539"/>
        <w:textAlignment w:val="auto"/>
        <w:rPr>
          <w:rFonts w:hint="eastAsia" w:ascii="仿宋" w:hAnsi="仿宋" w:eastAsia="仿宋" w:cs="仿宋"/>
          <w:sz w:val="28"/>
          <w:szCs w:val="28"/>
        </w:rPr>
      </w:pPr>
      <w:r>
        <w:rPr>
          <w:rFonts w:hint="eastAsia" w:ascii="仿宋" w:hAnsi="仿宋" w:eastAsia="仿宋" w:cs="仿宋"/>
          <w:sz w:val="28"/>
          <w:szCs w:val="28"/>
        </w:rPr>
        <w:t>⑶擅自将合同转包或部分分包给第三方的；</w:t>
      </w:r>
    </w:p>
    <w:p w14:paraId="64C5A7DC">
      <w:pPr>
        <w:keepNext w:val="0"/>
        <w:keepLines w:val="0"/>
        <w:pageBreakBefore w:val="0"/>
        <w:widowControl w:val="0"/>
        <w:kinsoku/>
        <w:wordWrap/>
        <w:overflowPunct/>
        <w:topLinePunct w:val="0"/>
        <w:autoSpaceDE/>
        <w:autoSpaceDN/>
        <w:bidi w:val="0"/>
        <w:adjustRightInd/>
        <w:snapToGrid/>
        <w:spacing w:line="360" w:lineRule="auto"/>
        <w:ind w:firstLine="539"/>
        <w:textAlignment w:val="auto"/>
        <w:rPr>
          <w:rFonts w:hint="eastAsia" w:ascii="仿宋" w:hAnsi="仿宋" w:eastAsia="仿宋" w:cs="仿宋"/>
          <w:sz w:val="28"/>
          <w:szCs w:val="28"/>
        </w:rPr>
      </w:pPr>
      <w:r>
        <w:rPr>
          <w:rFonts w:hint="eastAsia" w:ascii="仿宋" w:hAnsi="仿宋" w:eastAsia="仿宋" w:cs="仿宋"/>
          <w:sz w:val="28"/>
          <w:szCs w:val="28"/>
        </w:rPr>
        <w:t>⑷管理混乱、拖欠工资、发生保洁人员集体上访，造成恶劣影响的；</w:t>
      </w:r>
    </w:p>
    <w:p w14:paraId="1814268D">
      <w:pPr>
        <w:keepNext w:val="0"/>
        <w:keepLines w:val="0"/>
        <w:pageBreakBefore w:val="0"/>
        <w:widowControl w:val="0"/>
        <w:kinsoku/>
        <w:wordWrap/>
        <w:overflowPunct/>
        <w:topLinePunct w:val="0"/>
        <w:autoSpaceDE/>
        <w:autoSpaceDN/>
        <w:bidi w:val="0"/>
        <w:adjustRightInd/>
        <w:snapToGrid/>
        <w:spacing w:line="360" w:lineRule="auto"/>
        <w:ind w:firstLine="539"/>
        <w:textAlignment w:val="auto"/>
        <w:rPr>
          <w:rFonts w:hint="eastAsia" w:ascii="仿宋" w:hAnsi="仿宋" w:eastAsia="仿宋" w:cs="仿宋"/>
          <w:sz w:val="28"/>
          <w:szCs w:val="28"/>
        </w:rPr>
      </w:pPr>
      <w:r>
        <w:rPr>
          <w:rFonts w:hint="eastAsia" w:ascii="仿宋" w:hAnsi="仿宋" w:eastAsia="仿宋" w:cs="仿宋"/>
          <w:sz w:val="28"/>
          <w:szCs w:val="28"/>
        </w:rPr>
        <w:t>⑸同一合同标段在合同期一年内累计被警告3次的；</w:t>
      </w:r>
    </w:p>
    <w:p w14:paraId="46DA89B9">
      <w:pPr>
        <w:keepNext w:val="0"/>
        <w:keepLines w:val="0"/>
        <w:pageBreakBefore w:val="0"/>
        <w:widowControl w:val="0"/>
        <w:kinsoku/>
        <w:wordWrap/>
        <w:overflowPunct/>
        <w:topLinePunct w:val="0"/>
        <w:autoSpaceDE/>
        <w:autoSpaceDN/>
        <w:bidi w:val="0"/>
        <w:adjustRightInd/>
        <w:snapToGrid/>
        <w:spacing w:line="360" w:lineRule="auto"/>
        <w:ind w:firstLine="539"/>
        <w:textAlignment w:val="auto"/>
        <w:rPr>
          <w:rFonts w:hint="eastAsia" w:ascii="仿宋" w:hAnsi="仿宋" w:eastAsia="仿宋" w:cs="仿宋"/>
          <w:sz w:val="28"/>
          <w:szCs w:val="28"/>
        </w:rPr>
      </w:pPr>
      <w:r>
        <w:rPr>
          <w:rFonts w:hint="eastAsia" w:ascii="仿宋" w:hAnsi="仿宋" w:eastAsia="仿宋" w:cs="仿宋"/>
          <w:sz w:val="28"/>
          <w:szCs w:val="28"/>
        </w:rPr>
        <w:t>⑹同一合同标段在合同期一年内接到上级有关部门发出整改通知书且不整改或整改不力累计达到三次的。</w:t>
      </w:r>
    </w:p>
    <w:p w14:paraId="3DE732A5">
      <w:pPr>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361"/>
        <w:textAlignment w:val="auto"/>
        <w:outlineLvl w:val="2"/>
        <w:rPr>
          <w:rFonts w:hint="eastAsia" w:ascii="仿宋" w:hAnsi="仿宋" w:eastAsia="仿宋" w:cs="仿宋"/>
          <w:b/>
          <w:sz w:val="28"/>
          <w:szCs w:val="28"/>
        </w:rPr>
      </w:pPr>
      <w:r>
        <w:rPr>
          <w:rFonts w:hint="eastAsia" w:ascii="仿宋" w:hAnsi="仿宋" w:eastAsia="仿宋" w:cs="仿宋"/>
          <w:b/>
          <w:sz w:val="28"/>
          <w:szCs w:val="28"/>
        </w:rPr>
        <w:t>良好的财务制度。</w:t>
      </w:r>
    </w:p>
    <w:p w14:paraId="7211C8EB">
      <w:pPr>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361"/>
        <w:textAlignment w:val="auto"/>
        <w:outlineLvl w:val="2"/>
        <w:rPr>
          <w:rFonts w:hint="eastAsia" w:ascii="仿宋" w:hAnsi="仿宋" w:eastAsia="仿宋" w:cs="仿宋"/>
          <w:sz w:val="28"/>
          <w:szCs w:val="28"/>
        </w:rPr>
        <w:sectPr>
          <w:footerReference r:id="rId6" w:type="first"/>
          <w:headerReference r:id="rId3" w:type="default"/>
          <w:footerReference r:id="rId4" w:type="default"/>
          <w:footerReference r:id="rId5" w:type="even"/>
          <w:pgSz w:w="11906" w:h="16838"/>
          <w:pgMar w:top="1418" w:right="1361" w:bottom="1247" w:left="1361" w:header="851" w:footer="992" w:gutter="0"/>
          <w:cols w:space="720" w:num="1"/>
          <w:titlePg/>
          <w:docGrid w:linePitch="360" w:charSpace="0"/>
        </w:sectPr>
      </w:pPr>
      <w:r>
        <w:rPr>
          <w:rFonts w:hint="eastAsia" w:ascii="仿宋" w:hAnsi="仿宋" w:eastAsia="仿宋" w:cs="仿宋"/>
          <w:sz w:val="28"/>
          <w:szCs w:val="28"/>
        </w:rPr>
        <w:t>未尽事宜，由中标人与采购人协商处理。</w:t>
      </w:r>
    </w:p>
    <w:p w14:paraId="219D19E8">
      <w:pPr>
        <w:widowControl/>
        <w:jc w:val="center"/>
        <w:rPr>
          <w:rFonts w:hint="eastAsia" w:ascii="方正仿宋_GB2312" w:hAnsi="方正仿宋_GB2312" w:eastAsia="方正仿宋_GB2312" w:cs="方正仿宋_GB2312"/>
          <w:b/>
          <w:sz w:val="44"/>
          <w:szCs w:val="44"/>
        </w:rPr>
      </w:pPr>
      <w:r>
        <w:rPr>
          <w:rFonts w:hint="eastAsia" w:ascii="方正仿宋_GB2312" w:hAnsi="方正仿宋_GB2312" w:eastAsia="方正仿宋_GB2312" w:cs="方正仿宋_GB2312"/>
          <w:sz w:val="44"/>
          <w:szCs w:val="44"/>
        </w:rPr>
        <w:t>第六章 响应文件的编制要求及参考格式</w:t>
      </w:r>
    </w:p>
    <w:p w14:paraId="38B068AF">
      <w:pPr>
        <w:spacing w:line="560" w:lineRule="exact"/>
        <w:rPr>
          <w:rFonts w:hint="eastAsia" w:ascii="仿宋" w:hAnsi="仿宋" w:eastAsia="仿宋" w:cs="仿宋"/>
          <w:b/>
          <w:sz w:val="28"/>
          <w:szCs w:val="28"/>
        </w:rPr>
      </w:pPr>
      <w:r>
        <w:rPr>
          <w:rFonts w:hint="eastAsia" w:ascii="仿宋" w:hAnsi="仿宋" w:eastAsia="仿宋" w:cs="仿宋"/>
          <w:b/>
          <w:sz w:val="28"/>
          <w:szCs w:val="28"/>
        </w:rPr>
        <w:t>1.响应文件的组成</w:t>
      </w:r>
    </w:p>
    <w:p w14:paraId="3A5419F2">
      <w:pPr>
        <w:spacing w:line="560" w:lineRule="exact"/>
        <w:ind w:firstLine="560"/>
        <w:rPr>
          <w:rFonts w:hint="eastAsia" w:ascii="仿宋" w:hAnsi="仿宋" w:eastAsia="仿宋" w:cs="仿宋"/>
          <w:sz w:val="28"/>
          <w:szCs w:val="28"/>
        </w:rPr>
      </w:pPr>
      <w:bookmarkStart w:id="115" w:name="_Toc426469933"/>
      <w:r>
        <w:rPr>
          <w:rFonts w:hint="eastAsia" w:ascii="仿宋" w:hAnsi="仿宋" w:eastAsia="仿宋" w:cs="仿宋"/>
          <w:sz w:val="28"/>
          <w:szCs w:val="28"/>
        </w:rPr>
        <w:t>见第二章3.1条。</w:t>
      </w:r>
    </w:p>
    <w:p w14:paraId="14C8FB14">
      <w:pPr>
        <w:spacing w:line="560" w:lineRule="exact"/>
        <w:rPr>
          <w:rFonts w:hint="eastAsia" w:ascii="仿宋" w:hAnsi="仿宋" w:eastAsia="仿宋" w:cs="仿宋"/>
          <w:b/>
          <w:sz w:val="28"/>
          <w:szCs w:val="28"/>
        </w:rPr>
      </w:pPr>
      <w:r>
        <w:rPr>
          <w:rFonts w:hint="eastAsia" w:ascii="仿宋" w:hAnsi="仿宋" w:eastAsia="仿宋" w:cs="仿宋"/>
          <w:b/>
          <w:sz w:val="28"/>
          <w:szCs w:val="28"/>
        </w:rPr>
        <w:t>2.响应文件的编制内容及编制要求</w:t>
      </w:r>
      <w:bookmarkEnd w:id="115"/>
    </w:p>
    <w:p w14:paraId="5A9C2BDD">
      <w:pPr>
        <w:spacing w:line="560" w:lineRule="exact"/>
        <w:rPr>
          <w:rFonts w:hint="eastAsia" w:ascii="仿宋" w:hAnsi="仿宋" w:eastAsia="仿宋" w:cs="仿宋"/>
          <w:b/>
          <w:sz w:val="28"/>
          <w:szCs w:val="28"/>
        </w:rPr>
      </w:pPr>
      <w:r>
        <w:rPr>
          <w:rFonts w:hint="eastAsia" w:ascii="仿宋" w:hAnsi="仿宋" w:eastAsia="仿宋" w:cs="仿宋"/>
          <w:b/>
          <w:sz w:val="28"/>
          <w:szCs w:val="28"/>
        </w:rPr>
        <w:t>2.1报价一览表</w:t>
      </w:r>
    </w:p>
    <w:p w14:paraId="605BBED0">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2.1.1 供应商应按表中格式完整、清晰、正确填写；</w:t>
      </w:r>
    </w:p>
    <w:p w14:paraId="0059700D">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2.1.2报价一览表中的价格应与响应函中的价格一致；</w:t>
      </w:r>
    </w:p>
    <w:p w14:paraId="2E46D35A">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2.1.3报价一览表格式见附件。</w:t>
      </w:r>
    </w:p>
    <w:p w14:paraId="27B95B89">
      <w:pPr>
        <w:spacing w:line="560" w:lineRule="exact"/>
        <w:rPr>
          <w:rFonts w:hint="eastAsia" w:ascii="仿宋" w:hAnsi="仿宋" w:eastAsia="仿宋" w:cs="仿宋"/>
          <w:b/>
          <w:sz w:val="28"/>
          <w:szCs w:val="28"/>
        </w:rPr>
      </w:pPr>
      <w:r>
        <w:rPr>
          <w:rFonts w:hint="eastAsia" w:ascii="仿宋" w:hAnsi="仿宋" w:eastAsia="仿宋" w:cs="仿宋"/>
          <w:b/>
          <w:sz w:val="28"/>
          <w:szCs w:val="28"/>
        </w:rPr>
        <w:t>2.2 响应函</w:t>
      </w:r>
    </w:p>
    <w:p w14:paraId="5309BFF9">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2.2.1供应商应按表中格式完整、清晰、正确填写；</w:t>
      </w:r>
    </w:p>
    <w:p w14:paraId="7BDCD568">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2.2.2响应函必须加盖供应商法人公章并经法定代表人签字或签章。</w:t>
      </w:r>
    </w:p>
    <w:p w14:paraId="26931AB6">
      <w:pPr>
        <w:spacing w:line="560" w:lineRule="exact"/>
        <w:rPr>
          <w:rFonts w:hint="eastAsia" w:ascii="仿宋" w:hAnsi="仿宋" w:eastAsia="仿宋" w:cs="仿宋"/>
          <w:b/>
          <w:sz w:val="28"/>
          <w:szCs w:val="28"/>
        </w:rPr>
      </w:pPr>
      <w:r>
        <w:rPr>
          <w:rFonts w:hint="eastAsia" w:ascii="仿宋" w:hAnsi="仿宋" w:eastAsia="仿宋" w:cs="仿宋"/>
          <w:b/>
          <w:sz w:val="28"/>
          <w:szCs w:val="28"/>
        </w:rPr>
        <w:t>2.3 资格条件证明文件</w:t>
      </w:r>
    </w:p>
    <w:p w14:paraId="12DF491C">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（1）供应商基本资格条件承诺书；</w:t>
      </w:r>
    </w:p>
    <w:p w14:paraId="097C2F9F">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（2）磋商文件要求的其他资格条件证明材料。</w:t>
      </w:r>
    </w:p>
    <w:p w14:paraId="261D0C53">
      <w:pPr>
        <w:spacing w:line="560" w:lineRule="exact"/>
        <w:rPr>
          <w:rFonts w:hint="eastAsia" w:ascii="仿宋" w:hAnsi="仿宋" w:eastAsia="仿宋" w:cs="仿宋"/>
          <w:b/>
          <w:sz w:val="28"/>
          <w:szCs w:val="28"/>
        </w:rPr>
      </w:pPr>
      <w:r>
        <w:rPr>
          <w:rFonts w:hint="eastAsia" w:ascii="仿宋" w:hAnsi="仿宋" w:eastAsia="仿宋" w:cs="仿宋"/>
          <w:b/>
          <w:sz w:val="28"/>
          <w:szCs w:val="28"/>
        </w:rPr>
        <w:t>2.4采购需求响应表</w:t>
      </w:r>
    </w:p>
    <w:p w14:paraId="116C6613">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供应商应仔细阅读采购需求，结合自身的实际情况，如实编制，格式自拟。采购需求响应表须详细说明实际提供的货物、服务及其他采购需求中相关要求的响应情况。</w:t>
      </w:r>
    </w:p>
    <w:p w14:paraId="0333934B">
      <w:pPr>
        <w:spacing w:line="560" w:lineRule="exact"/>
        <w:rPr>
          <w:rFonts w:hint="eastAsia" w:ascii="仿宋" w:hAnsi="仿宋" w:eastAsia="仿宋" w:cs="仿宋"/>
          <w:b/>
          <w:sz w:val="28"/>
          <w:szCs w:val="28"/>
        </w:rPr>
      </w:pPr>
      <w:r>
        <w:rPr>
          <w:rFonts w:hint="eastAsia" w:ascii="仿宋" w:hAnsi="仿宋" w:eastAsia="仿宋" w:cs="仿宋"/>
          <w:b/>
          <w:sz w:val="28"/>
          <w:szCs w:val="28"/>
        </w:rPr>
        <w:t>2.5供应商认为应列入响应文件的其他材料</w:t>
      </w:r>
    </w:p>
    <w:p w14:paraId="3A97BA0C">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供应商应对照第三章的评审因素，结合自身的实际情况，如实编制，格式自拟。</w:t>
      </w:r>
    </w:p>
    <w:p w14:paraId="4E84D77C">
      <w:pPr>
        <w:spacing w:line="560" w:lineRule="exact"/>
        <w:rPr>
          <w:rFonts w:hint="eastAsia" w:ascii="仿宋" w:hAnsi="仿宋" w:eastAsia="仿宋" w:cs="仿宋"/>
          <w:b/>
          <w:sz w:val="28"/>
          <w:szCs w:val="28"/>
        </w:rPr>
      </w:pPr>
      <w:r>
        <w:rPr>
          <w:rFonts w:hint="eastAsia" w:ascii="仿宋" w:hAnsi="仿宋" w:eastAsia="仿宋" w:cs="仿宋"/>
          <w:b/>
          <w:sz w:val="28"/>
          <w:szCs w:val="28"/>
        </w:rPr>
        <w:t>3.响应文件参考格式</w:t>
      </w:r>
    </w:p>
    <w:p w14:paraId="4B0AC8ED">
      <w:pPr>
        <w:widowControl/>
        <w:jc w:val="left"/>
        <w:rPr>
          <w:rFonts w:hint="eastAsia" w:ascii="仿宋" w:hAnsi="仿宋" w:eastAsia="仿宋" w:cs="仿宋"/>
          <w:b/>
          <w:sz w:val="28"/>
          <w:szCs w:val="28"/>
        </w:rPr>
      </w:pPr>
      <w:r>
        <w:rPr>
          <w:rFonts w:hint="eastAsia" w:ascii="仿宋" w:hAnsi="仿宋" w:eastAsia="仿宋" w:cs="仿宋"/>
          <w:sz w:val="28"/>
          <w:szCs w:val="28"/>
        </w:rPr>
        <w:br w:type="page" w:clear="all"/>
      </w:r>
      <w:r>
        <w:rPr>
          <w:rFonts w:hint="eastAsia" w:ascii="仿宋" w:hAnsi="仿宋" w:eastAsia="仿宋" w:cs="仿宋"/>
          <w:b/>
          <w:sz w:val="28"/>
          <w:szCs w:val="28"/>
        </w:rPr>
        <w:t>3.1响应文件封面格式</w:t>
      </w:r>
    </w:p>
    <w:p w14:paraId="57C75BB9">
      <w:pPr>
        <w:spacing w:line="360" w:lineRule="exact"/>
        <w:ind w:firstLine="480"/>
        <w:jc w:val="center"/>
        <w:rPr>
          <w:rFonts w:hint="eastAsia" w:ascii="仿宋" w:hAnsi="仿宋" w:eastAsia="仿宋" w:cs="仿宋"/>
        </w:rPr>
      </w:pPr>
    </w:p>
    <w:p w14:paraId="4E23E344">
      <w:pPr>
        <w:spacing w:line="360" w:lineRule="exact"/>
        <w:ind w:firstLine="480"/>
        <w:jc w:val="center"/>
        <w:rPr>
          <w:rFonts w:hint="eastAsia" w:ascii="仿宋" w:hAnsi="仿宋" w:eastAsia="仿宋" w:cs="仿宋"/>
        </w:rPr>
      </w:pPr>
    </w:p>
    <w:p w14:paraId="42592DDD">
      <w:pPr>
        <w:jc w:val="center"/>
        <w:rPr>
          <w:rFonts w:hint="eastAsia" w:ascii="仿宋" w:hAnsi="仿宋" w:eastAsia="仿宋" w:cs="仿宋"/>
          <w:b/>
          <w:sz w:val="44"/>
          <w:szCs w:val="44"/>
        </w:rPr>
      </w:pPr>
      <w:bookmarkStart w:id="116" w:name="OLE_LINK91"/>
      <w:bookmarkStart w:id="117" w:name="OLE_LINK90"/>
      <w:bookmarkStart w:id="118" w:name="OLE_LINK164"/>
      <w:bookmarkStart w:id="119" w:name="OLE_LINK92"/>
      <w:bookmarkStart w:id="120" w:name="OLE_LINK137"/>
      <w:bookmarkStart w:id="121" w:name="OLE_LINK126"/>
      <w:r>
        <w:rPr>
          <w:rFonts w:hint="eastAsia" w:ascii="仿宋" w:hAnsi="仿宋" w:eastAsia="仿宋" w:cs="仿宋"/>
          <w:b/>
          <w:sz w:val="44"/>
          <w:szCs w:val="44"/>
        </w:rPr>
        <w:t>响应文件</w:t>
      </w:r>
    </w:p>
    <w:p w14:paraId="3C9A46A6">
      <w:pPr>
        <w:jc w:val="center"/>
        <w:rPr>
          <w:rFonts w:hint="eastAsia" w:ascii="仿宋" w:hAnsi="仿宋" w:eastAsia="仿宋" w:cs="仿宋"/>
          <w:sz w:val="28"/>
          <w:szCs w:val="28"/>
        </w:rPr>
      </w:pPr>
    </w:p>
    <w:p w14:paraId="339BF3D3">
      <w:pPr>
        <w:spacing w:line="440" w:lineRule="exact"/>
        <w:ind w:firstLine="2520"/>
        <w:jc w:val="left"/>
        <w:rPr>
          <w:rFonts w:hint="eastAsia" w:ascii="仿宋" w:hAnsi="仿宋" w:eastAsia="仿宋" w:cs="仿宋"/>
          <w:sz w:val="28"/>
          <w:szCs w:val="28"/>
        </w:rPr>
      </w:pPr>
      <w:r>
        <w:rPr>
          <w:rFonts w:hint="eastAsia" w:ascii="仿宋" w:hAnsi="仿宋" w:eastAsia="仿宋" w:cs="仿宋"/>
          <w:sz w:val="28"/>
          <w:szCs w:val="28"/>
        </w:rPr>
        <w:t>项目名称：</w:t>
      </w:r>
    </w:p>
    <w:p w14:paraId="35F82978">
      <w:pPr>
        <w:spacing w:line="440" w:lineRule="exact"/>
        <w:ind w:firstLine="2520"/>
        <w:jc w:val="left"/>
        <w:rPr>
          <w:rFonts w:hint="eastAsia" w:ascii="仿宋" w:hAnsi="仿宋" w:eastAsia="仿宋" w:cs="仿宋"/>
          <w:sz w:val="28"/>
          <w:szCs w:val="28"/>
        </w:rPr>
      </w:pPr>
      <w:r>
        <w:rPr>
          <w:rFonts w:hint="eastAsia" w:ascii="仿宋" w:hAnsi="仿宋" w:eastAsia="仿宋" w:cs="仿宋"/>
          <w:sz w:val="28"/>
          <w:szCs w:val="28"/>
        </w:rPr>
        <w:t>项目编号：</w:t>
      </w:r>
    </w:p>
    <w:p w14:paraId="7982132B">
      <w:pPr>
        <w:spacing w:line="440" w:lineRule="exact"/>
        <w:ind w:firstLine="2520"/>
        <w:rPr>
          <w:rFonts w:hint="eastAsia" w:ascii="仿宋" w:hAnsi="仿宋" w:eastAsia="仿宋" w:cs="仿宋"/>
          <w:sz w:val="28"/>
          <w:szCs w:val="28"/>
        </w:rPr>
      </w:pPr>
    </w:p>
    <w:p w14:paraId="091A03B6">
      <w:pPr>
        <w:spacing w:line="440" w:lineRule="exact"/>
        <w:ind w:firstLine="2520"/>
        <w:rPr>
          <w:rFonts w:hint="eastAsia" w:ascii="仿宋" w:hAnsi="仿宋" w:eastAsia="仿宋" w:cs="仿宋"/>
          <w:sz w:val="28"/>
          <w:szCs w:val="28"/>
        </w:rPr>
      </w:pPr>
    </w:p>
    <w:p w14:paraId="55CD2F33">
      <w:pPr>
        <w:spacing w:line="440" w:lineRule="exact"/>
        <w:ind w:firstLine="2520"/>
        <w:rPr>
          <w:rFonts w:hint="eastAsia" w:ascii="仿宋" w:hAnsi="仿宋" w:eastAsia="仿宋" w:cs="仿宋"/>
          <w:sz w:val="28"/>
          <w:szCs w:val="28"/>
        </w:rPr>
      </w:pPr>
    </w:p>
    <w:p w14:paraId="5D0F29F2">
      <w:pPr>
        <w:spacing w:line="440" w:lineRule="exact"/>
        <w:ind w:firstLine="2520"/>
        <w:rPr>
          <w:rFonts w:hint="eastAsia" w:ascii="仿宋" w:hAnsi="仿宋" w:eastAsia="仿宋" w:cs="仿宋"/>
          <w:sz w:val="28"/>
          <w:szCs w:val="28"/>
        </w:rPr>
      </w:pPr>
    </w:p>
    <w:p w14:paraId="6B7927E5">
      <w:pPr>
        <w:spacing w:line="440" w:lineRule="exact"/>
        <w:ind w:firstLine="2520"/>
        <w:rPr>
          <w:rFonts w:hint="eastAsia" w:ascii="仿宋" w:hAnsi="仿宋" w:eastAsia="仿宋" w:cs="仿宋"/>
          <w:sz w:val="28"/>
          <w:szCs w:val="28"/>
        </w:rPr>
      </w:pPr>
    </w:p>
    <w:p w14:paraId="0C680DF1">
      <w:pPr>
        <w:tabs>
          <w:tab w:val="left" w:pos="2700"/>
        </w:tabs>
        <w:spacing w:line="400" w:lineRule="exact"/>
        <w:ind w:firstLine="700"/>
        <w:rPr>
          <w:rFonts w:hint="eastAsia" w:ascii="仿宋" w:hAnsi="仿宋" w:eastAsia="仿宋" w:cs="仿宋"/>
          <w:sz w:val="28"/>
          <w:szCs w:val="28"/>
          <w:u w:val="single"/>
        </w:rPr>
      </w:pPr>
      <w:r>
        <w:rPr>
          <w:rFonts w:hint="eastAsia" w:ascii="仿宋" w:hAnsi="仿宋" w:eastAsia="仿宋" w:cs="仿宋"/>
          <w:sz w:val="28"/>
          <w:szCs w:val="28"/>
        </w:rPr>
        <w:t>供应商名称：</w:t>
      </w:r>
      <w:r>
        <w:rPr>
          <w:rFonts w:hint="eastAsia" w:ascii="仿宋" w:hAnsi="仿宋" w:eastAsia="仿宋" w:cs="仿宋"/>
          <w:sz w:val="28"/>
          <w:szCs w:val="28"/>
          <w:u w:val="single"/>
        </w:rPr>
        <w:t xml:space="preserve">  （盖法人章）     </w:t>
      </w:r>
    </w:p>
    <w:p w14:paraId="1CEE1000">
      <w:pPr>
        <w:tabs>
          <w:tab w:val="left" w:pos="2700"/>
        </w:tabs>
        <w:spacing w:line="400" w:lineRule="exact"/>
        <w:ind w:firstLine="700"/>
        <w:rPr>
          <w:rFonts w:hint="eastAsia" w:ascii="仿宋" w:hAnsi="仿宋" w:eastAsia="仿宋" w:cs="仿宋"/>
          <w:sz w:val="28"/>
          <w:szCs w:val="28"/>
          <w:u w:val="single"/>
        </w:rPr>
      </w:pPr>
      <w:r>
        <w:rPr>
          <w:rFonts w:hint="eastAsia" w:ascii="仿宋" w:hAnsi="仿宋" w:eastAsia="仿宋" w:cs="仿宋"/>
          <w:sz w:val="28"/>
          <w:szCs w:val="28"/>
        </w:rPr>
        <w:t>联系人：</w:t>
      </w:r>
    </w:p>
    <w:p w14:paraId="723C6FEC">
      <w:pPr>
        <w:tabs>
          <w:tab w:val="left" w:pos="2700"/>
        </w:tabs>
        <w:spacing w:line="400" w:lineRule="exact"/>
        <w:ind w:firstLine="700"/>
        <w:rPr>
          <w:rFonts w:hint="eastAsia" w:ascii="仿宋" w:hAnsi="仿宋" w:eastAsia="仿宋" w:cs="仿宋"/>
          <w:sz w:val="28"/>
          <w:szCs w:val="28"/>
          <w:u w:val="single"/>
        </w:rPr>
      </w:pPr>
      <w:r>
        <w:rPr>
          <w:rFonts w:hint="eastAsia" w:ascii="仿宋" w:hAnsi="仿宋" w:eastAsia="仿宋" w:cs="仿宋"/>
          <w:sz w:val="28"/>
          <w:szCs w:val="28"/>
        </w:rPr>
        <w:t>联系电话：</w:t>
      </w:r>
    </w:p>
    <w:p w14:paraId="3FBE9BBD">
      <w:pPr>
        <w:spacing w:line="400" w:lineRule="exact"/>
        <w:ind w:firstLine="708"/>
        <w:rPr>
          <w:rFonts w:hint="eastAsia" w:ascii="仿宋" w:hAnsi="仿宋" w:eastAsia="仿宋" w:cs="仿宋"/>
          <w:sz w:val="28"/>
          <w:szCs w:val="28"/>
        </w:rPr>
      </w:pPr>
      <w:r>
        <w:rPr>
          <w:rFonts w:hint="eastAsia" w:ascii="仿宋" w:hAnsi="仿宋" w:eastAsia="仿宋" w:cs="仿宋"/>
          <w:sz w:val="28"/>
          <w:szCs w:val="28"/>
        </w:rPr>
        <w:t>日期：______年____月____日</w:t>
      </w:r>
      <w:bookmarkEnd w:id="116"/>
      <w:bookmarkEnd w:id="117"/>
      <w:bookmarkEnd w:id="118"/>
      <w:bookmarkEnd w:id="119"/>
    </w:p>
    <w:bookmarkEnd w:id="120"/>
    <w:bookmarkEnd w:id="121"/>
    <w:p w14:paraId="280430EC">
      <w:pPr>
        <w:pStyle w:val="195"/>
        <w:rPr>
          <w:rFonts w:hint="eastAsia" w:ascii="仿宋" w:hAnsi="仿宋" w:eastAsia="仿宋" w:cs="仿宋"/>
        </w:rPr>
      </w:pPr>
    </w:p>
    <w:p w14:paraId="208F4198">
      <w:pPr>
        <w:widowControl/>
        <w:jc w:val="left"/>
        <w:rPr>
          <w:rFonts w:hint="eastAsia" w:ascii="仿宋" w:hAnsi="仿宋" w:eastAsia="仿宋" w:cs="仿宋"/>
          <w:sz w:val="28"/>
          <w:szCs w:val="28"/>
        </w:rPr>
      </w:pPr>
    </w:p>
    <w:p w14:paraId="5DCC6DCF">
      <w:pPr>
        <w:widowControl/>
        <w:jc w:val="left"/>
        <w:rPr>
          <w:rFonts w:hint="eastAsia" w:ascii="仿宋" w:hAnsi="仿宋" w:eastAsia="仿宋" w:cs="仿宋"/>
          <w:sz w:val="28"/>
          <w:szCs w:val="28"/>
        </w:rPr>
      </w:pPr>
    </w:p>
    <w:p w14:paraId="09991505">
      <w:pPr>
        <w:pStyle w:val="195"/>
        <w:rPr>
          <w:rFonts w:hint="eastAsia" w:ascii="仿宋" w:hAnsi="仿宋" w:eastAsia="仿宋" w:cs="仿宋"/>
        </w:rPr>
      </w:pPr>
    </w:p>
    <w:p w14:paraId="414DE4C4">
      <w:pPr>
        <w:pStyle w:val="195"/>
        <w:rPr>
          <w:rFonts w:hint="eastAsia" w:ascii="仿宋" w:hAnsi="仿宋" w:eastAsia="仿宋" w:cs="仿宋"/>
        </w:rPr>
      </w:pPr>
    </w:p>
    <w:p w14:paraId="44A3754B">
      <w:pPr>
        <w:pStyle w:val="195"/>
        <w:rPr>
          <w:rFonts w:hint="eastAsia" w:ascii="仿宋" w:hAnsi="仿宋" w:eastAsia="仿宋" w:cs="仿宋"/>
        </w:rPr>
      </w:pPr>
    </w:p>
    <w:p w14:paraId="31167BC7">
      <w:pPr>
        <w:pStyle w:val="195"/>
        <w:rPr>
          <w:rFonts w:hint="eastAsia" w:ascii="仿宋" w:hAnsi="仿宋" w:eastAsia="仿宋" w:cs="仿宋"/>
        </w:rPr>
      </w:pPr>
    </w:p>
    <w:p w14:paraId="1228B97D">
      <w:pPr>
        <w:pStyle w:val="195"/>
        <w:rPr>
          <w:rFonts w:hint="eastAsia" w:ascii="仿宋" w:hAnsi="仿宋" w:eastAsia="仿宋" w:cs="仿宋"/>
        </w:rPr>
      </w:pPr>
    </w:p>
    <w:p w14:paraId="5D868027">
      <w:pPr>
        <w:pStyle w:val="195"/>
        <w:rPr>
          <w:rFonts w:hint="eastAsia" w:ascii="仿宋" w:hAnsi="仿宋" w:eastAsia="仿宋" w:cs="仿宋"/>
        </w:rPr>
      </w:pPr>
    </w:p>
    <w:p w14:paraId="0D1F25B6">
      <w:pPr>
        <w:pStyle w:val="195"/>
        <w:rPr>
          <w:rFonts w:hint="eastAsia" w:ascii="仿宋" w:hAnsi="仿宋" w:eastAsia="仿宋" w:cs="仿宋"/>
        </w:rPr>
      </w:pPr>
    </w:p>
    <w:p w14:paraId="51970D99">
      <w:pPr>
        <w:pStyle w:val="195"/>
        <w:rPr>
          <w:rFonts w:hint="eastAsia" w:ascii="仿宋" w:hAnsi="仿宋" w:eastAsia="仿宋" w:cs="仿宋"/>
        </w:rPr>
      </w:pPr>
    </w:p>
    <w:p w14:paraId="032CC1E1">
      <w:pPr>
        <w:pStyle w:val="195"/>
        <w:rPr>
          <w:rFonts w:hint="eastAsia" w:ascii="仿宋" w:hAnsi="仿宋" w:eastAsia="仿宋" w:cs="仿宋"/>
        </w:rPr>
      </w:pPr>
    </w:p>
    <w:p w14:paraId="12E05B6D">
      <w:pPr>
        <w:pStyle w:val="195"/>
        <w:rPr>
          <w:rFonts w:hint="eastAsia" w:ascii="仿宋" w:hAnsi="仿宋" w:eastAsia="仿宋" w:cs="仿宋"/>
        </w:rPr>
      </w:pPr>
    </w:p>
    <w:p w14:paraId="1F806802">
      <w:pPr>
        <w:pStyle w:val="195"/>
        <w:rPr>
          <w:rFonts w:hint="eastAsia" w:ascii="仿宋" w:hAnsi="仿宋" w:eastAsia="仿宋" w:cs="仿宋"/>
        </w:rPr>
      </w:pPr>
    </w:p>
    <w:p w14:paraId="1470AEB3">
      <w:pPr>
        <w:pStyle w:val="195"/>
        <w:rPr>
          <w:rFonts w:hint="eastAsia" w:ascii="仿宋" w:hAnsi="仿宋" w:eastAsia="仿宋" w:cs="仿宋"/>
        </w:rPr>
      </w:pPr>
    </w:p>
    <w:p w14:paraId="45B9A9C7">
      <w:pPr>
        <w:pStyle w:val="195"/>
        <w:rPr>
          <w:rFonts w:hint="eastAsia" w:ascii="仿宋" w:hAnsi="仿宋" w:eastAsia="仿宋" w:cs="仿宋"/>
        </w:rPr>
      </w:pPr>
    </w:p>
    <w:p w14:paraId="40A842AB">
      <w:pPr>
        <w:pStyle w:val="195"/>
        <w:rPr>
          <w:rFonts w:hint="eastAsia" w:ascii="仿宋" w:hAnsi="仿宋" w:eastAsia="仿宋" w:cs="仿宋"/>
        </w:rPr>
      </w:pPr>
    </w:p>
    <w:p w14:paraId="0F674233">
      <w:pPr>
        <w:pStyle w:val="195"/>
        <w:rPr>
          <w:rFonts w:hint="eastAsia" w:ascii="仿宋" w:hAnsi="仿宋" w:eastAsia="仿宋" w:cs="仿宋"/>
        </w:rPr>
      </w:pPr>
    </w:p>
    <w:p w14:paraId="7B79507B">
      <w:pPr>
        <w:pStyle w:val="195"/>
        <w:rPr>
          <w:rFonts w:hint="eastAsia" w:ascii="仿宋" w:hAnsi="仿宋" w:eastAsia="仿宋" w:cs="仿宋"/>
        </w:rPr>
      </w:pPr>
    </w:p>
    <w:p w14:paraId="126310FE">
      <w:pPr>
        <w:pStyle w:val="195"/>
        <w:rPr>
          <w:rFonts w:hint="eastAsia" w:ascii="仿宋" w:hAnsi="仿宋" w:eastAsia="仿宋" w:cs="仿宋"/>
        </w:rPr>
      </w:pPr>
    </w:p>
    <w:p w14:paraId="3348E379">
      <w:pPr>
        <w:pStyle w:val="195"/>
        <w:rPr>
          <w:rFonts w:hint="eastAsia" w:ascii="仿宋" w:hAnsi="仿宋" w:eastAsia="仿宋" w:cs="仿宋"/>
        </w:rPr>
      </w:pPr>
    </w:p>
    <w:p w14:paraId="1AD55180">
      <w:pPr>
        <w:pStyle w:val="195"/>
        <w:rPr>
          <w:rFonts w:hint="eastAsia" w:ascii="仿宋" w:hAnsi="仿宋" w:eastAsia="仿宋" w:cs="仿宋"/>
        </w:rPr>
      </w:pPr>
    </w:p>
    <w:p w14:paraId="596A388D">
      <w:pPr>
        <w:pStyle w:val="195"/>
        <w:rPr>
          <w:rFonts w:hint="eastAsia" w:ascii="仿宋" w:hAnsi="仿宋" w:eastAsia="仿宋" w:cs="仿宋"/>
        </w:rPr>
      </w:pPr>
    </w:p>
    <w:p w14:paraId="44EAED76">
      <w:pPr>
        <w:pStyle w:val="195"/>
        <w:rPr>
          <w:rFonts w:hint="eastAsia" w:ascii="仿宋" w:hAnsi="仿宋" w:eastAsia="仿宋" w:cs="仿宋"/>
        </w:rPr>
      </w:pPr>
    </w:p>
    <w:p w14:paraId="5337B566">
      <w:pPr>
        <w:pStyle w:val="195"/>
        <w:rPr>
          <w:rFonts w:hint="eastAsia" w:ascii="仿宋" w:hAnsi="仿宋" w:eastAsia="仿宋" w:cs="仿宋"/>
        </w:rPr>
      </w:pPr>
    </w:p>
    <w:p w14:paraId="1AFFAC71">
      <w:pPr>
        <w:pStyle w:val="195"/>
        <w:rPr>
          <w:rFonts w:hint="eastAsia" w:ascii="仿宋" w:hAnsi="仿宋" w:eastAsia="仿宋" w:cs="仿宋"/>
        </w:rPr>
      </w:pPr>
    </w:p>
    <w:p w14:paraId="14E0C390">
      <w:pPr>
        <w:pStyle w:val="195"/>
        <w:rPr>
          <w:rFonts w:hint="eastAsia" w:ascii="仿宋" w:hAnsi="仿宋" w:eastAsia="仿宋" w:cs="仿宋"/>
        </w:rPr>
      </w:pPr>
    </w:p>
    <w:p w14:paraId="0F102588">
      <w:pPr>
        <w:pStyle w:val="195"/>
        <w:rPr>
          <w:rFonts w:hint="eastAsia" w:ascii="仿宋" w:hAnsi="仿宋" w:eastAsia="仿宋" w:cs="仿宋"/>
        </w:rPr>
      </w:pPr>
    </w:p>
    <w:p w14:paraId="79460DAE">
      <w:pPr>
        <w:widowControl/>
        <w:jc w:val="left"/>
        <w:rPr>
          <w:rFonts w:hint="eastAsia" w:ascii="仿宋" w:hAnsi="仿宋" w:eastAsia="仿宋" w:cs="仿宋"/>
          <w:b/>
          <w:sz w:val="28"/>
          <w:szCs w:val="28"/>
        </w:rPr>
      </w:pPr>
      <w:r>
        <w:rPr>
          <w:rFonts w:hint="eastAsia" w:ascii="仿宋" w:hAnsi="仿宋" w:eastAsia="仿宋" w:cs="仿宋"/>
          <w:b/>
          <w:sz w:val="28"/>
          <w:szCs w:val="28"/>
        </w:rPr>
        <w:t>3.2报价一览表</w:t>
      </w:r>
    </w:p>
    <w:p w14:paraId="34062910">
      <w:pPr>
        <w:jc w:val="center"/>
        <w:rPr>
          <w:rFonts w:hint="eastAsia" w:ascii="仿宋" w:hAnsi="仿宋" w:eastAsia="仿宋" w:cs="仿宋"/>
          <w:b/>
          <w:sz w:val="32"/>
          <w:szCs w:val="32"/>
        </w:rPr>
      </w:pPr>
    </w:p>
    <w:p w14:paraId="4676138A">
      <w:pPr>
        <w:jc w:val="center"/>
        <w:rPr>
          <w:rFonts w:hint="eastAsia" w:ascii="仿宋" w:hAnsi="仿宋" w:eastAsia="仿宋" w:cs="仿宋"/>
          <w:b/>
          <w:sz w:val="28"/>
          <w:szCs w:val="28"/>
        </w:rPr>
      </w:pPr>
      <w:r>
        <w:rPr>
          <w:rFonts w:hint="eastAsia" w:ascii="仿宋" w:hAnsi="仿宋" w:eastAsia="仿宋" w:cs="仿宋"/>
          <w:b/>
          <w:sz w:val="28"/>
          <w:szCs w:val="28"/>
        </w:rPr>
        <w:t>报价一览表</w:t>
      </w:r>
    </w:p>
    <w:p w14:paraId="3F46E649">
      <w:pPr>
        <w:spacing w:after="120"/>
        <w:rPr>
          <w:rFonts w:hint="eastAsia" w:ascii="仿宋" w:hAnsi="仿宋" w:eastAsia="仿宋" w:cs="仿宋"/>
          <w:sz w:val="28"/>
          <w:szCs w:val="28"/>
        </w:rPr>
      </w:pPr>
      <w:r>
        <w:rPr>
          <w:rFonts w:hint="eastAsia" w:ascii="仿宋" w:hAnsi="仿宋" w:eastAsia="仿宋" w:cs="仿宋"/>
          <w:sz w:val="28"/>
          <w:szCs w:val="28"/>
        </w:rPr>
        <w:t xml:space="preserve">     按“江苏省政府采购管理交易系统（苏采云）”中格式填写。</w:t>
      </w:r>
    </w:p>
    <w:p w14:paraId="710FF1C3">
      <w:pPr>
        <w:widowControl/>
        <w:jc w:val="left"/>
        <w:rPr>
          <w:rFonts w:hint="eastAsia" w:ascii="仿宋" w:hAnsi="仿宋" w:eastAsia="仿宋" w:cs="仿宋"/>
          <w:b/>
          <w:sz w:val="28"/>
          <w:szCs w:val="28"/>
        </w:rPr>
      </w:pPr>
      <w:r>
        <w:rPr>
          <w:rFonts w:hint="eastAsia" w:ascii="仿宋" w:hAnsi="仿宋" w:eastAsia="仿宋" w:cs="仿宋"/>
          <w:sz w:val="28"/>
          <w:szCs w:val="28"/>
        </w:rPr>
        <w:br w:type="page" w:clear="all"/>
      </w:r>
      <w:r>
        <w:rPr>
          <w:rFonts w:hint="eastAsia" w:ascii="仿宋" w:hAnsi="仿宋" w:eastAsia="仿宋" w:cs="仿宋"/>
          <w:b/>
          <w:sz w:val="28"/>
          <w:szCs w:val="28"/>
        </w:rPr>
        <w:t>3.3响应函</w:t>
      </w:r>
    </w:p>
    <w:p w14:paraId="5059E307">
      <w:pPr>
        <w:spacing w:line="560" w:lineRule="exact"/>
        <w:jc w:val="center"/>
        <w:rPr>
          <w:rFonts w:hint="eastAsia" w:ascii="仿宋" w:hAnsi="仿宋" w:eastAsia="仿宋" w:cs="仿宋"/>
          <w:b/>
          <w:sz w:val="32"/>
          <w:szCs w:val="32"/>
        </w:rPr>
      </w:pPr>
      <w:bookmarkStart w:id="122" w:name="_Toc367785041"/>
      <w:bookmarkStart w:id="123" w:name="OLE_LINK93"/>
      <w:bookmarkStart w:id="124" w:name="OLE_LINK94"/>
      <w:bookmarkStart w:id="125" w:name="OLE_LINK102"/>
      <w:bookmarkStart w:id="126" w:name="OLE_LINK143"/>
      <w:bookmarkStart w:id="127" w:name="OLE_LINK159"/>
      <w:bookmarkStart w:id="128" w:name="OLE_LINK169"/>
      <w:r>
        <w:rPr>
          <w:rFonts w:hint="eastAsia" w:ascii="仿宋" w:hAnsi="仿宋" w:eastAsia="仿宋" w:cs="仿宋"/>
          <w:b/>
          <w:sz w:val="32"/>
          <w:szCs w:val="32"/>
        </w:rPr>
        <w:t>响 应 函</w:t>
      </w:r>
      <w:bookmarkEnd w:id="122"/>
    </w:p>
    <w:p w14:paraId="522F820F">
      <w:pPr>
        <w:spacing w:line="560" w:lineRule="exact"/>
        <w:rPr>
          <w:rFonts w:hint="eastAsia" w:ascii="仿宋" w:hAnsi="仿宋" w:eastAsia="仿宋" w:cs="仿宋"/>
          <w:sz w:val="28"/>
          <w:szCs w:val="28"/>
        </w:rPr>
      </w:pPr>
      <w:r>
        <w:rPr>
          <w:rFonts w:hint="eastAsia" w:ascii="仿宋" w:hAnsi="仿宋" w:eastAsia="仿宋" w:cs="仿宋"/>
          <w:sz w:val="28"/>
          <w:szCs w:val="28"/>
        </w:rPr>
        <w:t>致：</w:t>
      </w:r>
      <w:r>
        <w:rPr>
          <w:rFonts w:hint="eastAsia" w:ascii="仿宋" w:hAnsi="仿宋" w:eastAsia="仿宋" w:cs="仿宋"/>
          <w:sz w:val="28"/>
          <w:szCs w:val="28"/>
          <w:u w:val="single"/>
        </w:rPr>
        <w:t>（采购人名称）</w:t>
      </w:r>
      <w:r>
        <w:rPr>
          <w:rFonts w:hint="eastAsia" w:ascii="仿宋" w:hAnsi="仿宋" w:eastAsia="仿宋" w:cs="仿宋"/>
          <w:sz w:val="28"/>
          <w:szCs w:val="28"/>
        </w:rPr>
        <w:t xml:space="preserve"> </w:t>
      </w:r>
    </w:p>
    <w:p w14:paraId="318F9FA4">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根据</w:t>
      </w:r>
      <w:r>
        <w:rPr>
          <w:rFonts w:hint="eastAsia" w:ascii="仿宋" w:hAnsi="仿宋" w:eastAsia="仿宋" w:cs="仿宋"/>
          <w:sz w:val="28"/>
          <w:szCs w:val="28"/>
          <w:u w:val="single"/>
        </w:rPr>
        <w:t xml:space="preserve">                           </w:t>
      </w:r>
      <w:r>
        <w:rPr>
          <w:rFonts w:hint="eastAsia" w:ascii="仿宋" w:hAnsi="仿宋" w:eastAsia="仿宋" w:cs="仿宋"/>
          <w:sz w:val="28"/>
          <w:szCs w:val="28"/>
        </w:rPr>
        <w:t>项目采购文件的所有条款要求，遵照《中华人民共和国政府采购法》、《中华人民共和国政府采购法实施条例》等有关规定，我方承诺如下：</w:t>
      </w:r>
    </w:p>
    <w:p w14:paraId="25986CAA">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1.</w:t>
      </w:r>
      <w:r>
        <w:rPr>
          <w:rFonts w:hint="eastAsia" w:ascii="宋体" w:hAnsi="宋体" w:cs="宋体"/>
          <w:sz w:val="28"/>
          <w:szCs w:val="28"/>
        </w:rPr>
        <w:t xml:space="preserve"> </w:t>
      </w:r>
      <w:r>
        <w:rPr>
          <w:rFonts w:hint="eastAsia" w:ascii="仿宋" w:hAnsi="仿宋" w:eastAsia="仿宋" w:cs="仿宋"/>
          <w:sz w:val="28"/>
          <w:szCs w:val="28"/>
        </w:rPr>
        <w:t>投标价格为：（大写）：</w:t>
      </w:r>
      <w:r>
        <w:rPr>
          <w:rFonts w:hint="eastAsia" w:ascii="宋体" w:hAnsi="宋体" w:cs="宋体"/>
          <w:color w:val="000000"/>
          <w:sz w:val="28"/>
          <w:szCs w:val="28"/>
          <w:u w:val="single"/>
        </w:rPr>
        <w:t xml:space="preserve">         </w:t>
      </w:r>
      <w:r>
        <w:rPr>
          <w:rFonts w:hint="eastAsia" w:ascii="仿宋" w:hAnsi="仿宋" w:eastAsia="仿宋" w:cs="仿宋"/>
          <w:sz w:val="28"/>
          <w:szCs w:val="28"/>
        </w:rPr>
        <w:t>（人民币）。一旦我方成为成交人,我方将根据采购文件的规定，严格履行合同的责任和义务。成交价在履行合同约定的责任和义务的过程中不再调整。</w:t>
      </w:r>
    </w:p>
    <w:p w14:paraId="680AACE4">
      <w:pPr>
        <w:spacing w:line="560" w:lineRule="exact"/>
        <w:ind w:firstLine="560"/>
        <w:rPr>
          <w:rFonts w:hint="eastAsia" w:ascii="仿宋" w:hAnsi="仿宋" w:eastAsia="仿宋" w:cs="仿宋"/>
          <w:sz w:val="28"/>
          <w:szCs w:val="28"/>
          <w:u w:val="single"/>
          <w:lang w:eastAsia="zh-CN"/>
        </w:rPr>
      </w:pPr>
      <w:r>
        <w:rPr>
          <w:rFonts w:hint="eastAsia" w:ascii="仿宋" w:hAnsi="仿宋" w:eastAsia="仿宋" w:cs="仿宋"/>
          <w:sz w:val="28"/>
          <w:szCs w:val="28"/>
        </w:rPr>
        <w:t>2.合同履行期限：</w:t>
      </w:r>
      <w:r>
        <w:rPr>
          <w:rFonts w:hint="eastAsia" w:ascii="仿宋" w:hAnsi="仿宋" w:eastAsia="仿宋" w:cs="仿宋"/>
          <w:sz w:val="28"/>
          <w:szCs w:val="28"/>
          <w:u w:val="single"/>
          <w:lang w:eastAsia="zh-CN"/>
        </w:rPr>
        <w:t>自合同签订之日起一年</w:t>
      </w:r>
    </w:p>
    <w:p w14:paraId="761E2D79">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3.我方已详细审查全部采购文件。我们完全理解并同意放弃对这方面有不明及误解的权力。</w:t>
      </w:r>
    </w:p>
    <w:p w14:paraId="543BBBAE">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4.我方响应文件中作出的所有承诺，在采购项目评审结束后，随时接受采购人的检查验证，并自觉配合提供相关证明材料。经调查核实为虚假承诺的，同意视为“提供虚假材料谋取中标、成交”的违法行为，依照《政府采购法》等法律法规承担相应责任。</w:t>
      </w:r>
    </w:p>
    <w:p w14:paraId="1579A081">
      <w:pPr>
        <w:spacing w:before="156" w:line="560" w:lineRule="exact"/>
        <w:rPr>
          <w:rFonts w:hint="eastAsia" w:ascii="仿宋" w:hAnsi="仿宋" w:eastAsia="仿宋" w:cs="仿宋"/>
          <w:sz w:val="28"/>
          <w:szCs w:val="28"/>
        </w:rPr>
      </w:pPr>
    </w:p>
    <w:p w14:paraId="6E2B870B">
      <w:pPr>
        <w:spacing w:before="156" w:line="560" w:lineRule="exact"/>
        <w:ind w:firstLine="3920"/>
        <w:rPr>
          <w:rFonts w:hint="eastAsia" w:ascii="仿宋" w:hAnsi="仿宋" w:eastAsia="仿宋" w:cs="仿宋"/>
          <w:sz w:val="28"/>
          <w:szCs w:val="28"/>
        </w:rPr>
      </w:pPr>
      <w:bookmarkStart w:id="129" w:name="OLE_LINK115"/>
      <w:bookmarkStart w:id="130" w:name="OLE_LINK114"/>
      <w:r>
        <w:rPr>
          <w:rFonts w:hint="eastAsia" w:ascii="仿宋" w:hAnsi="仿宋" w:eastAsia="仿宋" w:cs="仿宋"/>
          <w:sz w:val="28"/>
          <w:szCs w:val="28"/>
        </w:rPr>
        <w:t>供应商名称(盖法人章)：</w:t>
      </w:r>
    </w:p>
    <w:p w14:paraId="442859D8">
      <w:pPr>
        <w:spacing w:before="156" w:line="560" w:lineRule="exact"/>
        <w:ind w:firstLine="3920"/>
        <w:rPr>
          <w:rFonts w:hint="eastAsia" w:ascii="仿宋" w:hAnsi="仿宋" w:eastAsia="仿宋" w:cs="仿宋"/>
          <w:sz w:val="28"/>
          <w:szCs w:val="28"/>
        </w:rPr>
      </w:pPr>
      <w:r>
        <w:rPr>
          <w:rFonts w:hint="eastAsia" w:ascii="仿宋" w:hAnsi="仿宋" w:eastAsia="仿宋" w:cs="仿宋"/>
          <w:sz w:val="28"/>
          <w:szCs w:val="28"/>
        </w:rPr>
        <w:t>法定代表人 (签字或签章)：</w:t>
      </w:r>
    </w:p>
    <w:p w14:paraId="50AA44E5">
      <w:pPr>
        <w:spacing w:before="156" w:line="560" w:lineRule="exact"/>
        <w:ind w:firstLine="3920"/>
        <w:rPr>
          <w:rFonts w:hint="eastAsia" w:ascii="仿宋" w:hAnsi="仿宋" w:eastAsia="仿宋" w:cs="仿宋"/>
          <w:sz w:val="28"/>
          <w:szCs w:val="28"/>
        </w:rPr>
      </w:pPr>
      <w:r>
        <w:rPr>
          <w:rFonts w:hint="eastAsia" w:ascii="仿宋" w:hAnsi="仿宋" w:eastAsia="仿宋" w:cs="仿宋"/>
          <w:sz w:val="28"/>
          <w:szCs w:val="28"/>
        </w:rPr>
        <w:t>日期：   年  月   日</w:t>
      </w:r>
      <w:bookmarkEnd w:id="123"/>
      <w:bookmarkEnd w:id="124"/>
      <w:bookmarkEnd w:id="125"/>
      <w:bookmarkEnd w:id="126"/>
      <w:bookmarkEnd w:id="127"/>
      <w:bookmarkEnd w:id="128"/>
      <w:bookmarkEnd w:id="129"/>
      <w:bookmarkEnd w:id="130"/>
      <w:bookmarkStart w:id="131" w:name="_Hlt26955041"/>
      <w:bookmarkEnd w:id="131"/>
    </w:p>
    <w:p w14:paraId="22D534F9">
      <w:pPr>
        <w:widowControl/>
        <w:jc w:val="left"/>
        <w:rPr>
          <w:rFonts w:hint="eastAsia" w:ascii="仿宋" w:hAnsi="仿宋" w:eastAsia="仿宋" w:cs="仿宋"/>
          <w:b/>
          <w:sz w:val="28"/>
          <w:szCs w:val="28"/>
        </w:rPr>
      </w:pPr>
      <w:r>
        <w:rPr>
          <w:rFonts w:hint="eastAsia" w:ascii="仿宋" w:hAnsi="仿宋" w:eastAsia="仿宋" w:cs="仿宋"/>
          <w:sz w:val="28"/>
          <w:szCs w:val="28"/>
        </w:rPr>
        <w:br w:type="page" w:clear="all"/>
      </w:r>
      <w:r>
        <w:rPr>
          <w:rFonts w:hint="eastAsia" w:ascii="仿宋" w:hAnsi="仿宋" w:eastAsia="仿宋" w:cs="仿宋"/>
          <w:b/>
          <w:sz w:val="28"/>
          <w:szCs w:val="28"/>
        </w:rPr>
        <w:t>3.4供应商资格条件证明文件</w:t>
      </w:r>
    </w:p>
    <w:p w14:paraId="0FC077CC">
      <w:pPr>
        <w:rPr>
          <w:rFonts w:hint="eastAsia" w:ascii="仿宋" w:hAnsi="仿宋" w:eastAsia="仿宋" w:cs="仿宋"/>
          <w:sz w:val="28"/>
          <w:szCs w:val="28"/>
        </w:rPr>
      </w:pPr>
      <w:r>
        <w:rPr>
          <w:rFonts w:hint="eastAsia" w:ascii="仿宋" w:hAnsi="仿宋" w:eastAsia="仿宋" w:cs="仿宋"/>
          <w:sz w:val="28"/>
          <w:szCs w:val="28"/>
        </w:rPr>
        <w:t>（1）供应商基本资格条件承诺书</w:t>
      </w:r>
    </w:p>
    <w:p w14:paraId="04F9A724">
      <w:pPr>
        <w:jc w:val="center"/>
        <w:rPr>
          <w:rFonts w:hint="eastAsia" w:ascii="仿宋" w:hAnsi="仿宋" w:eastAsia="仿宋" w:cs="仿宋"/>
          <w:b/>
          <w:sz w:val="32"/>
          <w:szCs w:val="32"/>
        </w:rPr>
      </w:pPr>
      <w:bookmarkStart w:id="132" w:name="OLE_LINK100"/>
      <w:bookmarkStart w:id="133" w:name="OLE_LINK154"/>
      <w:bookmarkStart w:id="134" w:name="OLE_LINK167"/>
      <w:bookmarkStart w:id="135" w:name="OLE_LINK99"/>
      <w:bookmarkStart w:id="136" w:name="OLE_LINK209"/>
      <w:bookmarkStart w:id="137" w:name="OLE_LINK210"/>
      <w:r>
        <w:rPr>
          <w:rFonts w:hint="eastAsia" w:ascii="仿宋" w:hAnsi="仿宋" w:eastAsia="仿宋" w:cs="仿宋"/>
          <w:b/>
          <w:sz w:val="32"/>
          <w:szCs w:val="32"/>
        </w:rPr>
        <w:t>供应商基本资格条件承诺书</w:t>
      </w:r>
    </w:p>
    <w:p w14:paraId="08C9D61C">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一、按照《政府采购法》第二十二条规定的供应商基本资格条件，我公司郑重承诺如下：</w:t>
      </w:r>
    </w:p>
    <w:p w14:paraId="3A7B976E">
      <w:pPr>
        <w:spacing w:line="560" w:lineRule="exact"/>
        <w:ind w:firstLine="560"/>
        <w:rPr>
          <w:rFonts w:hint="eastAsia" w:ascii="仿宋" w:hAnsi="仿宋" w:eastAsia="仿宋" w:cs="仿宋"/>
          <w:sz w:val="28"/>
          <w:szCs w:val="28"/>
          <w:shd w:val="clear" w:color="auto" w:fill="FFFFFF"/>
        </w:rPr>
      </w:pPr>
      <w:r>
        <w:rPr>
          <w:rFonts w:hint="eastAsia" w:ascii="仿宋" w:hAnsi="仿宋" w:eastAsia="仿宋" w:cs="仿宋"/>
          <w:sz w:val="28"/>
          <w:szCs w:val="28"/>
        </w:rPr>
        <w:t>1.我公司具有</w:t>
      </w:r>
      <w:r>
        <w:rPr>
          <w:rFonts w:hint="eastAsia" w:ascii="仿宋" w:hAnsi="仿宋" w:eastAsia="仿宋" w:cs="仿宋"/>
          <w:sz w:val="28"/>
          <w:szCs w:val="28"/>
          <w:shd w:val="clear" w:color="auto" w:fill="FFFFFF"/>
        </w:rPr>
        <w:t>良好的商业信誉和健全的财务制度；</w:t>
      </w:r>
    </w:p>
    <w:p w14:paraId="61D1A690">
      <w:pPr>
        <w:spacing w:line="560" w:lineRule="exact"/>
        <w:ind w:firstLine="56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2.我公司具有履行合同所必须的设备和专业技术能力；</w:t>
      </w:r>
    </w:p>
    <w:p w14:paraId="561DC903">
      <w:pPr>
        <w:spacing w:line="560" w:lineRule="exact"/>
        <w:ind w:firstLine="56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3.我公司具有依法缴纳税收和社会保障资金的良好记录；</w:t>
      </w:r>
    </w:p>
    <w:p w14:paraId="42DC7F4A">
      <w:pPr>
        <w:spacing w:line="560" w:lineRule="exact"/>
        <w:ind w:firstLine="56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4.我公司参加政府采购活动前三年内，在经营活动中没有重大违法记录；</w:t>
      </w:r>
    </w:p>
    <w:p w14:paraId="7EF49216">
      <w:pPr>
        <w:spacing w:line="560" w:lineRule="exact"/>
        <w:ind w:firstLine="56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5.我公司未列入在信用中国网站（www.creditchina.gov.cn）“失信被执行人”“重大税收违法案件当事人名单”中，也未列入中国政府采购网（www.ccgp.gov.cn）“政府采购严重违法失信行为记录名单”中</w:t>
      </w:r>
      <w:r>
        <w:rPr>
          <w:rFonts w:hint="eastAsia" w:ascii="仿宋" w:hAnsi="仿宋" w:eastAsia="仿宋" w:cs="仿宋"/>
          <w:sz w:val="28"/>
          <w:szCs w:val="28"/>
        </w:rPr>
        <w:t>。</w:t>
      </w:r>
    </w:p>
    <w:p w14:paraId="57D97351">
      <w:pPr>
        <w:spacing w:line="560" w:lineRule="exact"/>
        <w:ind w:firstLine="560"/>
        <w:rPr>
          <w:rFonts w:hint="eastAsia" w:ascii="仿宋" w:hAnsi="仿宋" w:eastAsia="仿宋" w:cs="仿宋"/>
          <w:sz w:val="28"/>
          <w:szCs w:val="28"/>
        </w:rPr>
      </w:pPr>
      <w:r>
        <w:rPr>
          <w:rFonts w:hint="eastAsia" w:ascii="仿宋" w:hAnsi="仿宋" w:eastAsia="仿宋" w:cs="仿宋"/>
          <w:sz w:val="28"/>
          <w:szCs w:val="28"/>
          <w:shd w:val="clear" w:color="auto" w:fill="FFFFFF"/>
        </w:rPr>
        <w:t>二、</w:t>
      </w:r>
      <w:r>
        <w:rPr>
          <w:rFonts w:hint="eastAsia" w:ascii="仿宋" w:hAnsi="仿宋" w:eastAsia="仿宋" w:cs="仿宋"/>
          <w:sz w:val="28"/>
          <w:szCs w:val="28"/>
        </w:rPr>
        <w:t>我公司承诺：在本次投标过程中，我公司不存在本项目采购文件第二章第1.3.3条所列情形之一。</w:t>
      </w:r>
    </w:p>
    <w:p w14:paraId="0EE87F6E">
      <w:pPr>
        <w:spacing w:before="156" w:line="560" w:lineRule="exact"/>
        <w:ind w:firstLine="3920"/>
        <w:rPr>
          <w:rFonts w:hint="eastAsia" w:ascii="仿宋" w:hAnsi="仿宋" w:eastAsia="仿宋" w:cs="仿宋"/>
          <w:sz w:val="28"/>
          <w:szCs w:val="28"/>
        </w:rPr>
      </w:pPr>
    </w:p>
    <w:p w14:paraId="5EC86CC4">
      <w:pPr>
        <w:spacing w:before="156" w:line="560" w:lineRule="exact"/>
        <w:ind w:firstLine="3920"/>
        <w:rPr>
          <w:rFonts w:hint="eastAsia" w:ascii="仿宋" w:hAnsi="仿宋" w:eastAsia="仿宋" w:cs="仿宋"/>
          <w:sz w:val="28"/>
          <w:szCs w:val="28"/>
        </w:rPr>
      </w:pPr>
      <w:r>
        <w:rPr>
          <w:rFonts w:hint="eastAsia" w:ascii="仿宋" w:hAnsi="仿宋" w:eastAsia="仿宋" w:cs="仿宋"/>
          <w:sz w:val="28"/>
          <w:szCs w:val="28"/>
        </w:rPr>
        <w:t>供应商名称(盖法人章)：</w:t>
      </w:r>
    </w:p>
    <w:p w14:paraId="24405DE6">
      <w:pPr>
        <w:spacing w:before="156" w:line="560" w:lineRule="exact"/>
        <w:ind w:firstLine="3920"/>
        <w:rPr>
          <w:rFonts w:hint="eastAsia" w:ascii="仿宋" w:hAnsi="仿宋" w:eastAsia="仿宋" w:cs="仿宋"/>
          <w:sz w:val="28"/>
          <w:szCs w:val="28"/>
          <w:u w:val="single"/>
        </w:rPr>
      </w:pPr>
      <w:r>
        <w:rPr>
          <w:rFonts w:hint="eastAsia" w:ascii="仿宋" w:hAnsi="仿宋" w:eastAsia="仿宋" w:cs="仿宋"/>
          <w:sz w:val="28"/>
          <w:szCs w:val="28"/>
        </w:rPr>
        <w:t>法定代表人 (签字或签章)：</w:t>
      </w:r>
    </w:p>
    <w:p w14:paraId="637E3879">
      <w:pPr>
        <w:spacing w:before="156" w:line="560" w:lineRule="exact"/>
        <w:ind w:firstLine="3920"/>
        <w:rPr>
          <w:rFonts w:hint="eastAsia" w:ascii="仿宋" w:hAnsi="仿宋" w:eastAsia="仿宋" w:cs="仿宋"/>
          <w:sz w:val="28"/>
          <w:szCs w:val="28"/>
        </w:rPr>
      </w:pPr>
      <w:r>
        <w:rPr>
          <w:rFonts w:hint="eastAsia" w:ascii="仿宋" w:hAnsi="仿宋" w:eastAsia="仿宋" w:cs="仿宋"/>
          <w:sz w:val="28"/>
          <w:szCs w:val="28"/>
        </w:rPr>
        <w:t>日期：   年  月   日</w:t>
      </w:r>
      <w:bookmarkEnd w:id="132"/>
      <w:bookmarkEnd w:id="133"/>
      <w:bookmarkEnd w:id="134"/>
      <w:bookmarkEnd w:id="135"/>
    </w:p>
    <w:bookmarkEnd w:id="136"/>
    <w:bookmarkEnd w:id="137"/>
    <w:p w14:paraId="4B769633">
      <w:pPr>
        <w:widowControl/>
        <w:jc w:val="left"/>
        <w:rPr>
          <w:rFonts w:hint="eastAsia" w:ascii="仿宋" w:hAnsi="仿宋" w:eastAsia="仿宋" w:cs="仿宋"/>
          <w:b/>
          <w:sz w:val="28"/>
          <w:szCs w:val="28"/>
        </w:rPr>
      </w:pPr>
      <w:r>
        <w:rPr>
          <w:rFonts w:hint="eastAsia" w:ascii="仿宋" w:hAnsi="仿宋" w:eastAsia="仿宋" w:cs="仿宋"/>
          <w:sz w:val="28"/>
          <w:szCs w:val="28"/>
        </w:rPr>
        <w:br w:type="page" w:clear="all"/>
      </w:r>
      <w:r>
        <w:rPr>
          <w:rFonts w:hint="eastAsia" w:ascii="仿宋" w:hAnsi="仿宋" w:eastAsia="仿宋" w:cs="仿宋"/>
          <w:b/>
          <w:sz w:val="28"/>
          <w:szCs w:val="28"/>
        </w:rPr>
        <w:t>（2）中小企业声明函；</w:t>
      </w:r>
    </w:p>
    <w:p w14:paraId="4D2BD1E4">
      <w:pPr>
        <w:spacing w:line="600" w:lineRule="exact"/>
        <w:jc w:val="center"/>
        <w:rPr>
          <w:rFonts w:hint="eastAsia" w:ascii="仿宋" w:hAnsi="仿宋" w:eastAsia="仿宋" w:cs="仿宋"/>
          <w:b/>
          <w:sz w:val="28"/>
          <w:szCs w:val="28"/>
        </w:rPr>
      </w:pPr>
      <w:bookmarkStart w:id="138" w:name="OLE_LINK140"/>
      <w:bookmarkStart w:id="139" w:name="OLE_LINK101"/>
      <w:bookmarkStart w:id="140" w:name="OLE_LINK105"/>
      <w:bookmarkStart w:id="141" w:name="OLE_LINK155"/>
      <w:bookmarkStart w:id="142" w:name="OLE_LINK153"/>
      <w:bookmarkStart w:id="143" w:name="OLE_LINK125"/>
      <w:bookmarkStart w:id="144" w:name="OLE_LINK96"/>
      <w:bookmarkStart w:id="145" w:name="OLE_LINK165"/>
      <w:bookmarkStart w:id="146" w:name="OLE_LINK168"/>
      <w:bookmarkStart w:id="147" w:name="OLE_LINK171"/>
      <w:bookmarkStart w:id="148" w:name="OLE_LINK95"/>
      <w:bookmarkStart w:id="149" w:name="OLE_LINK178"/>
      <w:r>
        <w:rPr>
          <w:rFonts w:hint="eastAsia" w:ascii="仿宋" w:hAnsi="仿宋" w:eastAsia="仿宋" w:cs="仿宋"/>
          <w:b/>
          <w:sz w:val="28"/>
          <w:szCs w:val="28"/>
        </w:rPr>
        <w:t>中小企业声明函</w:t>
      </w:r>
    </w:p>
    <w:p w14:paraId="77634467">
      <w:pPr>
        <w:spacing w:line="560" w:lineRule="exact"/>
        <w:ind w:firstLine="570"/>
        <w:rPr>
          <w:rFonts w:hint="eastAsia" w:ascii="仿宋" w:hAnsi="仿宋" w:eastAsia="仿宋" w:cs="仿宋"/>
          <w:sz w:val="28"/>
          <w:szCs w:val="28"/>
        </w:rPr>
      </w:pPr>
      <w:r>
        <w:rPr>
          <w:rFonts w:hint="eastAsia" w:ascii="仿宋" w:hAnsi="仿宋" w:eastAsia="仿宋" w:cs="仿宋"/>
          <w:sz w:val="28"/>
          <w:szCs w:val="28"/>
        </w:rPr>
        <w:t>本企业郑重声明，根据《政府采购促进中小企业发展管理办法》（财库[2020]46号）的规定，本企业参加</w:t>
      </w:r>
      <w:r>
        <w:rPr>
          <w:rFonts w:hint="eastAsia" w:ascii="仿宋" w:hAnsi="仿宋" w:eastAsia="仿宋" w:cs="仿宋"/>
          <w:sz w:val="28"/>
          <w:szCs w:val="28"/>
          <w:u w:val="single"/>
        </w:rPr>
        <w:t xml:space="preserve">     </w:t>
      </w:r>
      <w:r>
        <w:rPr>
          <w:rFonts w:hint="eastAsia" w:ascii="仿宋" w:hAnsi="仿宋" w:eastAsia="仿宋" w:cs="仿宋"/>
          <w:sz w:val="28"/>
          <w:szCs w:val="28"/>
        </w:rPr>
        <w:t>的</w:t>
      </w:r>
      <w:r>
        <w:rPr>
          <w:rFonts w:hint="eastAsia" w:ascii="仿宋" w:hAnsi="仿宋" w:eastAsia="仿宋" w:cs="仿宋"/>
          <w:sz w:val="28"/>
          <w:szCs w:val="28"/>
          <w:u w:val="single"/>
        </w:rPr>
        <w:t xml:space="preserve">         </w:t>
      </w:r>
      <w:r>
        <w:rPr>
          <w:rFonts w:hint="eastAsia" w:ascii="仿宋" w:hAnsi="仿宋" w:eastAsia="仿宋" w:cs="仿宋"/>
          <w:sz w:val="28"/>
          <w:szCs w:val="28"/>
        </w:rPr>
        <w:t>采购活动，提供的服务全部由本企业提供。我方的具体情况如下：</w:t>
      </w:r>
    </w:p>
    <w:p w14:paraId="35911B11">
      <w:pPr>
        <w:spacing w:line="560" w:lineRule="exact"/>
        <w:ind w:firstLine="560"/>
        <w:rPr>
          <w:rFonts w:hint="eastAsia" w:ascii="仿宋" w:hAnsi="仿宋" w:eastAsia="仿宋" w:cs="仿宋"/>
          <w:sz w:val="28"/>
          <w:szCs w:val="28"/>
          <w:u w:val="single"/>
        </w:rPr>
      </w:pPr>
      <w:r>
        <w:rPr>
          <w:rFonts w:hint="eastAsia" w:ascii="仿宋" w:hAnsi="仿宋" w:eastAsia="仿宋" w:cs="仿宋"/>
          <w:sz w:val="28"/>
          <w:szCs w:val="28"/>
          <w:u w:val="single"/>
        </w:rPr>
        <w:t xml:space="preserve">            </w:t>
      </w:r>
      <w:r>
        <w:rPr>
          <w:rFonts w:hint="eastAsia" w:ascii="仿宋" w:hAnsi="仿宋" w:eastAsia="仿宋" w:cs="仿宋"/>
          <w:sz w:val="28"/>
          <w:szCs w:val="28"/>
        </w:rPr>
        <w:t>，属于</w:t>
      </w:r>
      <w:r>
        <w:rPr>
          <w:rFonts w:hint="eastAsia" w:ascii="仿宋" w:hAnsi="仿宋" w:eastAsia="仿宋" w:cs="仿宋"/>
          <w:sz w:val="28"/>
          <w:szCs w:val="28"/>
          <w:u w:val="single"/>
        </w:rPr>
        <w:t xml:space="preserve">          </w:t>
      </w:r>
      <w:r>
        <w:rPr>
          <w:rFonts w:hint="eastAsia" w:ascii="仿宋" w:hAnsi="仿宋" w:eastAsia="仿宋" w:cs="仿宋"/>
          <w:sz w:val="28"/>
          <w:szCs w:val="28"/>
        </w:rPr>
        <w:t>；本企业从业人员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人，营业收入</w:t>
      </w:r>
      <w:r>
        <w:rPr>
          <w:rFonts w:hint="eastAsia" w:ascii="仿宋" w:hAnsi="仿宋" w:eastAsia="仿宋" w:cs="仿宋"/>
          <w:sz w:val="28"/>
          <w:szCs w:val="28"/>
          <w:u w:val="single"/>
        </w:rPr>
        <w:t xml:space="preserve">        </w:t>
      </w:r>
      <w:r>
        <w:rPr>
          <w:rFonts w:hint="eastAsia" w:ascii="仿宋" w:hAnsi="仿宋" w:eastAsia="仿宋" w:cs="仿宋"/>
          <w:sz w:val="28"/>
          <w:szCs w:val="28"/>
        </w:rPr>
        <w:t>万元，依据《关于印发中小企业划型标准规定的通知》的中小企业划分标准，本企业属于</w:t>
      </w:r>
      <w:r>
        <w:rPr>
          <w:rFonts w:hint="eastAsia" w:ascii="仿宋" w:hAnsi="仿宋" w:eastAsia="仿宋" w:cs="仿宋"/>
          <w:sz w:val="28"/>
          <w:szCs w:val="28"/>
          <w:u w:val="single"/>
        </w:rPr>
        <w:t xml:space="preserve"> （中型企业、小型企业、微型企业）   </w:t>
      </w:r>
      <w:r>
        <w:rPr>
          <w:rFonts w:hint="eastAsia" w:ascii="仿宋" w:hAnsi="仿宋" w:eastAsia="仿宋" w:cs="仿宋"/>
          <w:sz w:val="28"/>
          <w:szCs w:val="28"/>
        </w:rPr>
        <w:t>。</w:t>
      </w:r>
    </w:p>
    <w:p w14:paraId="14E1A0CC">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本企业不属于大企业的分支机构，不存在控股股东为大企业的情形，也不存在与大企业的负责人为同一人的情形。</w:t>
      </w:r>
    </w:p>
    <w:p w14:paraId="2AE054D6">
      <w:pPr>
        <w:spacing w:line="560" w:lineRule="exact"/>
        <w:ind w:firstLine="570"/>
        <w:rPr>
          <w:rFonts w:hint="eastAsia" w:ascii="仿宋" w:hAnsi="仿宋" w:eastAsia="仿宋" w:cs="仿宋"/>
          <w:sz w:val="28"/>
          <w:szCs w:val="28"/>
        </w:rPr>
      </w:pPr>
      <w:r>
        <w:rPr>
          <w:rFonts w:hint="eastAsia" w:ascii="仿宋" w:hAnsi="仿宋" w:eastAsia="仿宋" w:cs="仿宋"/>
          <w:sz w:val="28"/>
          <w:szCs w:val="28"/>
        </w:rPr>
        <w:t>本企业对上述声明内容的真实性负责。如有虚假，将依法承担相应责任。</w:t>
      </w:r>
    </w:p>
    <w:p w14:paraId="1C1D084C">
      <w:pPr>
        <w:spacing w:line="560" w:lineRule="exact"/>
        <w:ind w:firstLine="4760"/>
        <w:rPr>
          <w:rFonts w:hint="eastAsia" w:ascii="仿宋" w:hAnsi="仿宋" w:eastAsia="仿宋" w:cs="仿宋"/>
          <w:sz w:val="28"/>
          <w:szCs w:val="28"/>
        </w:rPr>
      </w:pPr>
      <w:r>
        <w:rPr>
          <w:rFonts w:hint="eastAsia" w:ascii="仿宋" w:hAnsi="仿宋" w:eastAsia="仿宋" w:cs="仿宋"/>
          <w:sz w:val="28"/>
          <w:szCs w:val="28"/>
        </w:rPr>
        <w:t>企业名称（盖章）：</w:t>
      </w:r>
    </w:p>
    <w:p w14:paraId="155AE155">
      <w:pPr>
        <w:spacing w:line="560" w:lineRule="exact"/>
        <w:ind w:firstLine="4760"/>
        <w:rPr>
          <w:rFonts w:hint="eastAsia" w:ascii="仿宋" w:hAnsi="仿宋" w:eastAsia="仿宋" w:cs="仿宋"/>
          <w:sz w:val="28"/>
          <w:szCs w:val="28"/>
        </w:rPr>
      </w:pPr>
      <w:r>
        <w:rPr>
          <w:rFonts w:hint="eastAsia" w:ascii="仿宋" w:hAnsi="仿宋" w:eastAsia="仿宋" w:cs="仿宋"/>
          <w:sz w:val="28"/>
          <w:szCs w:val="28"/>
        </w:rPr>
        <w:t>日  期：</w:t>
      </w:r>
    </w:p>
    <w:p w14:paraId="6D8AACB5">
      <w:pPr>
        <w:widowControl/>
        <w:spacing w:line="560" w:lineRule="exact"/>
        <w:ind w:left="560" w:hanging="560"/>
        <w:rPr>
          <w:rFonts w:hint="eastAsia" w:ascii="仿宋" w:hAnsi="仿宋" w:eastAsia="仿宋" w:cs="仿宋"/>
          <w:sz w:val="28"/>
          <w:szCs w:val="28"/>
        </w:rPr>
      </w:pPr>
      <w:r>
        <w:rPr>
          <w:rFonts w:hint="eastAsia" w:ascii="仿宋" w:hAnsi="仿宋" w:eastAsia="仿宋" w:cs="仿宋"/>
          <w:sz w:val="28"/>
          <w:szCs w:val="28"/>
        </w:rPr>
        <w:t>备注说明：</w:t>
      </w:r>
    </w:p>
    <w:p w14:paraId="19D5D04C">
      <w:pPr>
        <w:spacing w:line="560" w:lineRule="exact"/>
        <w:rPr>
          <w:rFonts w:hint="eastAsia" w:ascii="仿宋" w:hAnsi="仿宋" w:eastAsia="仿宋" w:cs="仿宋"/>
          <w:sz w:val="28"/>
          <w:szCs w:val="28"/>
        </w:rPr>
      </w:pPr>
      <w:r>
        <w:rPr>
          <w:rFonts w:hint="eastAsia" w:ascii="仿宋" w:hAnsi="仿宋" w:eastAsia="仿宋" w:cs="仿宋"/>
          <w:sz w:val="28"/>
          <w:szCs w:val="28"/>
        </w:rPr>
        <w:t>1.从业人员、营业收入填报上一年度数据，无上一年度数据的新成立企业可不填报。</w:t>
      </w:r>
    </w:p>
    <w:p w14:paraId="350E7119">
      <w:pPr>
        <w:spacing w:line="560" w:lineRule="exact"/>
        <w:rPr>
          <w:rFonts w:hint="eastAsia" w:ascii="仿宋" w:hAnsi="仿宋" w:eastAsia="仿宋" w:cs="仿宋"/>
          <w:sz w:val="28"/>
          <w:szCs w:val="28"/>
        </w:rPr>
      </w:pPr>
      <w:r>
        <w:rPr>
          <w:rFonts w:hint="eastAsia" w:ascii="仿宋" w:hAnsi="仿宋" w:eastAsia="仿宋" w:cs="仿宋"/>
          <w:sz w:val="28"/>
          <w:szCs w:val="28"/>
        </w:rPr>
        <w:t>2.供应商提供的声明函内容不实的，属于提供虚假材料谋取中标，依照《中华人民共和国政府采购法》等国家有关规定追究相应责任。</w:t>
      </w:r>
    </w:p>
    <w:p w14:paraId="1DA7B669">
      <w:pPr>
        <w:spacing w:line="480" w:lineRule="exact"/>
        <w:rPr>
          <w:rFonts w:hint="eastAsia" w:ascii="仿宋" w:hAnsi="仿宋" w:eastAsia="仿宋" w:cs="仿宋"/>
          <w:sz w:val="28"/>
          <w:szCs w:val="28"/>
          <w:lang w:eastAsia="zh-CN"/>
        </w:rPr>
      </w:pPr>
      <w:r>
        <w:rPr>
          <w:rFonts w:hint="eastAsia" w:ascii="仿宋" w:hAnsi="仿宋" w:eastAsia="仿宋" w:cs="仿宋"/>
          <w:b/>
          <w:bCs/>
          <w:sz w:val="28"/>
          <w:szCs w:val="28"/>
        </w:rPr>
        <w:t>3、本项目属于</w:t>
      </w:r>
      <w:bookmarkStart w:id="150" w:name="OLE_LINK109"/>
      <w:bookmarkStart w:id="151" w:name="OLE_LINK108"/>
      <w:r>
        <w:rPr>
          <w:rFonts w:hint="eastAsia" w:ascii="仿宋" w:hAnsi="仿宋" w:eastAsia="仿宋" w:cs="仿宋"/>
          <w:b/>
          <w:bCs/>
          <w:sz w:val="28"/>
          <w:szCs w:val="28"/>
        </w:rPr>
        <w:t>商务服务业</w:t>
      </w:r>
      <w:bookmarkEnd w:id="150"/>
      <w:bookmarkEnd w:id="151"/>
      <w:r>
        <w:rPr>
          <w:rFonts w:hint="eastAsia" w:ascii="仿宋" w:hAnsi="仿宋" w:eastAsia="仿宋" w:cs="仿宋"/>
          <w:b/>
          <w:bCs/>
          <w:sz w:val="28"/>
          <w:szCs w:val="28"/>
        </w:rPr>
        <w:t>。</w:t>
      </w:r>
      <w:bookmarkEnd w:id="138"/>
      <w:bookmarkEnd w:id="139"/>
      <w:bookmarkEnd w:id="140"/>
      <w:bookmarkEnd w:id="141"/>
      <w:bookmarkEnd w:id="142"/>
      <w:bookmarkEnd w:id="143"/>
      <w:bookmarkEnd w:id="144"/>
      <w:bookmarkEnd w:id="145"/>
      <w:bookmarkEnd w:id="146"/>
      <w:bookmarkEnd w:id="147"/>
      <w:bookmarkEnd w:id="148"/>
      <w:bookmarkEnd w:id="149"/>
      <w:r>
        <w:rPr>
          <w:rFonts w:hint="eastAsia" w:ascii="仿宋" w:hAnsi="仿宋" w:eastAsia="仿宋" w:cs="仿宋"/>
          <w:sz w:val="28"/>
          <w:szCs w:val="28"/>
        </w:rPr>
        <w:br w:type="page" w:clear="all"/>
      </w:r>
      <w:bookmarkStart w:id="152" w:name="_Toc49090579"/>
      <w:bookmarkStart w:id="153" w:name="_Toc382811203"/>
      <w:bookmarkStart w:id="154" w:name="_Toc382811608"/>
      <w:bookmarkStart w:id="155" w:name="_Toc382812317"/>
      <w:bookmarkStart w:id="156" w:name="_Toc26554097"/>
      <w:bookmarkStart w:id="157" w:name="_Toc120614286"/>
      <w:bookmarkStart w:id="158" w:name="_Toc282446333"/>
      <w:bookmarkStart w:id="159" w:name="_Toc382812508"/>
      <w:bookmarkStart w:id="160" w:name="_Toc288030361"/>
      <w:bookmarkStart w:id="161" w:name="_Toc23828480"/>
      <w:r>
        <w:rPr>
          <w:rFonts w:hint="eastAsia" w:ascii="仿宋" w:hAnsi="仿宋" w:eastAsia="仿宋" w:cs="仿宋"/>
          <w:sz w:val="28"/>
          <w:szCs w:val="28"/>
        </w:rPr>
        <w:t>（3）本项目的特定资格要求提供的证明材料：</w:t>
      </w:r>
      <w:r>
        <w:rPr>
          <w:rFonts w:hint="eastAsia" w:ascii="仿宋_GB2312" w:hAnsi="宋体" w:eastAsia="仿宋_GB2312"/>
          <w:sz w:val="28"/>
          <w:szCs w:val="28"/>
          <w:lang w:eastAsia="zh-CN"/>
        </w:rPr>
        <w:t>无</w:t>
      </w:r>
    </w:p>
    <w:p w14:paraId="1F39E1DB">
      <w:pPr>
        <w:spacing w:line="480" w:lineRule="exact"/>
        <w:rPr>
          <w:rFonts w:hint="eastAsia" w:ascii="仿宋" w:hAnsi="仿宋" w:eastAsia="仿宋" w:cs="仿宋"/>
          <w:sz w:val="28"/>
          <w:szCs w:val="28"/>
        </w:rPr>
      </w:pPr>
    </w:p>
    <w:p w14:paraId="107576FA">
      <w:pPr>
        <w:widowControl/>
        <w:jc w:val="left"/>
        <w:rPr>
          <w:rFonts w:hint="eastAsia" w:ascii="仿宋" w:hAnsi="仿宋" w:eastAsia="仿宋" w:cs="仿宋"/>
          <w:b/>
          <w:sz w:val="28"/>
          <w:szCs w:val="28"/>
        </w:rPr>
      </w:pPr>
      <w:r>
        <w:rPr>
          <w:rFonts w:hint="eastAsia" w:ascii="仿宋" w:hAnsi="仿宋" w:eastAsia="仿宋" w:cs="仿宋"/>
          <w:b/>
          <w:sz w:val="28"/>
          <w:szCs w:val="28"/>
        </w:rPr>
        <w:t>3.5采购需求响应表</w:t>
      </w:r>
    </w:p>
    <w:p w14:paraId="2B8DC49D">
      <w:pPr>
        <w:spacing w:line="500" w:lineRule="exact"/>
        <w:ind w:firstLine="562"/>
        <w:jc w:val="center"/>
        <w:rPr>
          <w:rFonts w:hint="eastAsia" w:ascii="仿宋" w:hAnsi="仿宋" w:eastAsia="仿宋" w:cs="仿宋"/>
          <w:b/>
          <w:sz w:val="28"/>
          <w:szCs w:val="28"/>
        </w:rPr>
      </w:pPr>
      <w:bookmarkStart w:id="162" w:name="OLE_LINK103"/>
      <w:bookmarkStart w:id="163" w:name="OLE_LINK104"/>
      <w:bookmarkStart w:id="164" w:name="OLE_LINK177"/>
      <w:bookmarkStart w:id="165" w:name="OLE_LINK170"/>
      <w:bookmarkStart w:id="166" w:name="OLE_LINK138"/>
      <w:bookmarkStart w:id="167" w:name="OLE_LINK139"/>
      <w:r>
        <w:rPr>
          <w:rFonts w:hint="eastAsia" w:ascii="仿宋" w:hAnsi="仿宋" w:eastAsia="仿宋" w:cs="仿宋"/>
          <w:b/>
          <w:sz w:val="28"/>
          <w:szCs w:val="28"/>
        </w:rPr>
        <w:t>采购需求响应承诺</w:t>
      </w:r>
    </w:p>
    <w:p w14:paraId="6CCD4DBE">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仿宋" w:hAnsi="仿宋" w:eastAsia="仿宋" w:cs="仿宋"/>
          <w:sz w:val="28"/>
          <w:szCs w:val="28"/>
        </w:rPr>
      </w:pPr>
      <w:r>
        <w:rPr>
          <w:rFonts w:hint="eastAsia" w:ascii="仿宋" w:hAnsi="仿宋" w:eastAsia="仿宋" w:cs="仿宋"/>
          <w:sz w:val="28"/>
          <w:szCs w:val="28"/>
        </w:rPr>
        <w:t>一、我方已经仔细阅读并充分理解本磋商文件第五章《采购需求》的要求，并郑重承诺完全按照《采购需求》要求提供相应的服务。</w:t>
      </w:r>
    </w:p>
    <w:p w14:paraId="002AD8BC">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仿宋" w:hAnsi="仿宋" w:eastAsia="仿宋" w:cs="仿宋"/>
          <w:sz w:val="28"/>
          <w:szCs w:val="28"/>
        </w:rPr>
      </w:pPr>
      <w:r>
        <w:rPr>
          <w:rFonts w:hint="eastAsia" w:ascii="仿宋" w:hAnsi="仿宋" w:eastAsia="仿宋" w:cs="仿宋"/>
          <w:sz w:val="28"/>
          <w:szCs w:val="28"/>
        </w:rPr>
        <w:t>二、技术要求响应</w:t>
      </w:r>
    </w:p>
    <w:p w14:paraId="1959D231">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仿宋" w:hAnsi="仿宋" w:eastAsia="仿宋" w:cs="仿宋"/>
          <w:sz w:val="28"/>
          <w:szCs w:val="28"/>
        </w:rPr>
      </w:pPr>
      <w:r>
        <w:rPr>
          <w:rFonts w:hint="eastAsia" w:ascii="仿宋" w:hAnsi="仿宋" w:eastAsia="仿宋" w:cs="仿宋"/>
          <w:sz w:val="28"/>
          <w:szCs w:val="28"/>
        </w:rPr>
        <w:t>三、商务要求响应</w:t>
      </w:r>
    </w:p>
    <w:p w14:paraId="08DA707A">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四、合同草案条款响应</w:t>
      </w:r>
    </w:p>
    <w:p w14:paraId="0EA73B2B">
      <w:pPr>
        <w:spacing w:before="156" w:line="560" w:lineRule="exact"/>
        <w:ind w:firstLine="3920"/>
        <w:rPr>
          <w:rFonts w:hint="eastAsia" w:ascii="仿宋" w:hAnsi="仿宋" w:eastAsia="仿宋" w:cs="仿宋"/>
          <w:sz w:val="28"/>
          <w:szCs w:val="28"/>
        </w:rPr>
      </w:pPr>
      <w:r>
        <w:rPr>
          <w:rFonts w:hint="eastAsia" w:ascii="仿宋" w:hAnsi="仿宋" w:eastAsia="仿宋" w:cs="仿宋"/>
          <w:sz w:val="28"/>
          <w:szCs w:val="28"/>
        </w:rPr>
        <w:t>供应商名称(盖法人章)：</w:t>
      </w:r>
    </w:p>
    <w:p w14:paraId="1468D41E">
      <w:pPr>
        <w:spacing w:before="156" w:line="560" w:lineRule="exact"/>
        <w:ind w:firstLine="3920"/>
        <w:rPr>
          <w:rFonts w:hint="eastAsia" w:ascii="仿宋" w:hAnsi="仿宋" w:eastAsia="仿宋" w:cs="仿宋"/>
          <w:sz w:val="28"/>
          <w:szCs w:val="28"/>
        </w:rPr>
      </w:pPr>
      <w:r>
        <w:rPr>
          <w:rFonts w:hint="eastAsia" w:ascii="仿宋" w:hAnsi="仿宋" w:eastAsia="仿宋" w:cs="仿宋"/>
          <w:sz w:val="28"/>
          <w:szCs w:val="28"/>
        </w:rPr>
        <w:t>法定代表人 (签字或签章)：</w:t>
      </w:r>
    </w:p>
    <w:p w14:paraId="40C42751">
      <w:pPr>
        <w:spacing w:before="156" w:line="560" w:lineRule="exact"/>
        <w:ind w:firstLine="3920"/>
        <w:rPr>
          <w:rFonts w:hint="eastAsia" w:ascii="仿宋" w:hAnsi="仿宋" w:eastAsia="仿宋" w:cs="仿宋"/>
          <w:sz w:val="28"/>
          <w:szCs w:val="28"/>
        </w:rPr>
      </w:pPr>
      <w:r>
        <w:rPr>
          <w:rFonts w:hint="eastAsia" w:ascii="仿宋" w:hAnsi="仿宋" w:eastAsia="仿宋" w:cs="仿宋"/>
          <w:sz w:val="28"/>
          <w:szCs w:val="28"/>
        </w:rPr>
        <w:t>日期：   年  月   日</w:t>
      </w:r>
      <w:bookmarkEnd w:id="162"/>
      <w:bookmarkEnd w:id="163"/>
      <w:bookmarkEnd w:id="164"/>
      <w:bookmarkEnd w:id="165"/>
    </w:p>
    <w:bookmarkEnd w:id="166"/>
    <w:bookmarkEnd w:id="167"/>
    <w:p w14:paraId="6996009B">
      <w:pPr>
        <w:rPr>
          <w:rFonts w:hint="eastAsia" w:ascii="仿宋" w:hAnsi="仿宋" w:eastAsia="仿宋" w:cs="仿宋"/>
          <w:b/>
          <w:sz w:val="28"/>
          <w:szCs w:val="28"/>
        </w:rPr>
      </w:pPr>
    </w:p>
    <w:p w14:paraId="40D76042">
      <w:pPr>
        <w:pStyle w:val="195"/>
        <w:rPr>
          <w:rFonts w:hint="eastAsia" w:ascii="仿宋" w:hAnsi="仿宋" w:eastAsia="仿宋" w:cs="仿宋"/>
        </w:rPr>
      </w:pPr>
    </w:p>
    <w:bookmarkEnd w:id="152"/>
    <w:bookmarkEnd w:id="153"/>
    <w:bookmarkEnd w:id="154"/>
    <w:bookmarkEnd w:id="155"/>
    <w:bookmarkEnd w:id="156"/>
    <w:bookmarkEnd w:id="157"/>
    <w:bookmarkEnd w:id="158"/>
    <w:bookmarkEnd w:id="159"/>
    <w:bookmarkEnd w:id="160"/>
    <w:bookmarkEnd w:id="161"/>
    <w:p w14:paraId="19E54C5B">
      <w:pPr>
        <w:widowControl/>
        <w:jc w:val="left"/>
        <w:rPr>
          <w:rFonts w:hint="eastAsia" w:ascii="仿宋" w:hAnsi="仿宋" w:eastAsia="仿宋" w:cs="仿宋"/>
          <w:b/>
          <w:sz w:val="28"/>
          <w:szCs w:val="28"/>
        </w:rPr>
      </w:pPr>
      <w:r>
        <w:rPr>
          <w:rFonts w:hint="eastAsia" w:ascii="仿宋" w:hAnsi="仿宋" w:eastAsia="仿宋" w:cs="仿宋"/>
          <w:b/>
          <w:sz w:val="28"/>
          <w:szCs w:val="28"/>
        </w:rPr>
        <w:br w:type="page" w:clear="all"/>
      </w:r>
      <w:r>
        <w:rPr>
          <w:rFonts w:hint="eastAsia" w:ascii="仿宋" w:hAnsi="仿宋" w:eastAsia="仿宋" w:cs="仿宋"/>
          <w:b/>
          <w:sz w:val="28"/>
          <w:szCs w:val="28"/>
        </w:rPr>
        <w:t>3.6报价明细表</w:t>
      </w:r>
    </w:p>
    <w:p w14:paraId="6A059AB3">
      <w:pPr>
        <w:ind w:firstLine="161"/>
        <w:jc w:val="center"/>
        <w:rPr>
          <w:rFonts w:hint="eastAsia" w:ascii="仿宋" w:hAnsi="仿宋" w:eastAsia="仿宋" w:cs="仿宋"/>
          <w:b/>
          <w:bCs/>
          <w:sz w:val="32"/>
          <w:szCs w:val="32"/>
        </w:rPr>
      </w:pPr>
      <w:bookmarkStart w:id="168" w:name="OLE_LINK144"/>
      <w:bookmarkStart w:id="169" w:name="OLE_LINK142"/>
      <w:bookmarkStart w:id="170" w:name="OLE_LINK98"/>
      <w:bookmarkStart w:id="171" w:name="OLE_LINK166"/>
      <w:bookmarkStart w:id="172" w:name="OLE_LINK97"/>
      <w:bookmarkStart w:id="173" w:name="OLE_LINK145"/>
      <w:bookmarkStart w:id="174" w:name="OLE_LINK141"/>
      <w:bookmarkStart w:id="175" w:name="OLE_LINK179"/>
      <w:r>
        <w:rPr>
          <w:rFonts w:hint="eastAsia" w:ascii="仿宋" w:hAnsi="仿宋" w:eastAsia="仿宋" w:cs="仿宋"/>
          <w:b/>
          <w:bCs/>
          <w:sz w:val="32"/>
          <w:szCs w:val="32"/>
        </w:rPr>
        <w:t>报价明细表</w:t>
      </w:r>
      <w:bookmarkEnd w:id="168"/>
      <w:bookmarkEnd w:id="169"/>
      <w:r>
        <w:rPr>
          <w:rFonts w:hint="eastAsia" w:ascii="仿宋" w:hAnsi="仿宋" w:eastAsia="仿宋" w:cs="仿宋"/>
          <w:b/>
          <w:bCs/>
          <w:sz w:val="32"/>
          <w:szCs w:val="32"/>
        </w:rPr>
        <w:t>（含税）</w:t>
      </w:r>
    </w:p>
    <w:p w14:paraId="7002B4FF">
      <w:pPr>
        <w:ind w:left="210"/>
        <w:jc w:val="left"/>
        <w:rPr>
          <w:rFonts w:hint="eastAsia" w:ascii="仿宋" w:hAnsi="仿宋" w:eastAsia="仿宋" w:cs="仿宋"/>
          <w:smallCaps/>
        </w:rPr>
      </w:pPr>
    </w:p>
    <w:p w14:paraId="665FA89B">
      <w:pPr>
        <w:ind w:left="210"/>
        <w:jc w:val="left"/>
        <w:rPr>
          <w:rFonts w:hint="eastAsia" w:ascii="仿宋" w:hAnsi="仿宋" w:eastAsia="仿宋" w:cs="仿宋"/>
          <w:sz w:val="28"/>
          <w:szCs w:val="28"/>
        </w:rPr>
      </w:pPr>
    </w:p>
    <w:p w14:paraId="3C2FBFB5">
      <w:pPr>
        <w:ind w:left="210"/>
        <w:jc w:val="left"/>
        <w:rPr>
          <w:rFonts w:hint="eastAsia" w:ascii="仿宋" w:hAnsi="仿宋" w:eastAsia="仿宋" w:cs="仿宋"/>
          <w:sz w:val="28"/>
          <w:szCs w:val="28"/>
        </w:rPr>
      </w:pPr>
    </w:p>
    <w:p w14:paraId="18D5D618">
      <w:pPr>
        <w:ind w:left="210"/>
        <w:jc w:val="left"/>
        <w:rPr>
          <w:rFonts w:hint="eastAsia" w:ascii="仿宋" w:hAnsi="仿宋" w:eastAsia="仿宋" w:cs="仿宋"/>
          <w:sz w:val="28"/>
          <w:szCs w:val="28"/>
        </w:rPr>
      </w:pPr>
      <w:r>
        <w:rPr>
          <w:rFonts w:hint="eastAsia" w:ascii="仿宋" w:hAnsi="仿宋" w:eastAsia="仿宋" w:cs="仿宋"/>
          <w:sz w:val="28"/>
          <w:szCs w:val="28"/>
        </w:rPr>
        <w:t>根据第五章《采购需求》自行拟定</w:t>
      </w:r>
    </w:p>
    <w:p w14:paraId="0FF04F62">
      <w:pPr>
        <w:pStyle w:val="224"/>
        <w:ind w:firstLine="560"/>
        <w:rPr>
          <w:rFonts w:hint="eastAsia" w:ascii="仿宋" w:hAnsi="仿宋" w:eastAsia="仿宋" w:cs="仿宋"/>
          <w:sz w:val="28"/>
          <w:szCs w:val="28"/>
        </w:rPr>
      </w:pPr>
    </w:p>
    <w:p w14:paraId="7A917877">
      <w:pPr>
        <w:spacing w:before="156" w:line="560" w:lineRule="exact"/>
        <w:ind w:firstLine="3920"/>
        <w:rPr>
          <w:rFonts w:hint="eastAsia" w:ascii="仿宋" w:hAnsi="仿宋" w:eastAsia="仿宋" w:cs="仿宋"/>
          <w:sz w:val="28"/>
          <w:szCs w:val="28"/>
        </w:rPr>
      </w:pPr>
      <w:r>
        <w:rPr>
          <w:rFonts w:hint="eastAsia" w:ascii="仿宋" w:hAnsi="仿宋" w:eastAsia="仿宋" w:cs="仿宋"/>
          <w:sz w:val="28"/>
          <w:szCs w:val="28"/>
        </w:rPr>
        <w:t>供应商名称(盖法人章)：</w:t>
      </w:r>
    </w:p>
    <w:p w14:paraId="2B7CDA05">
      <w:pPr>
        <w:spacing w:before="156" w:line="560" w:lineRule="exact"/>
        <w:ind w:firstLine="3920"/>
        <w:rPr>
          <w:rFonts w:hint="eastAsia" w:ascii="仿宋" w:hAnsi="仿宋" w:eastAsia="仿宋" w:cs="仿宋"/>
          <w:sz w:val="28"/>
          <w:szCs w:val="28"/>
        </w:rPr>
      </w:pPr>
      <w:r>
        <w:rPr>
          <w:rFonts w:hint="eastAsia" w:ascii="仿宋" w:hAnsi="仿宋" w:eastAsia="仿宋" w:cs="仿宋"/>
          <w:sz w:val="28"/>
          <w:szCs w:val="28"/>
        </w:rPr>
        <w:t>法定代表人 (签字或签章)：</w:t>
      </w:r>
    </w:p>
    <w:p w14:paraId="4FFE9AF3">
      <w:pPr>
        <w:spacing w:before="156" w:line="560" w:lineRule="exact"/>
        <w:ind w:firstLine="3920"/>
        <w:rPr>
          <w:rFonts w:hint="eastAsia" w:ascii="仿宋" w:hAnsi="仿宋" w:eastAsia="仿宋" w:cs="仿宋"/>
          <w:sz w:val="28"/>
          <w:szCs w:val="28"/>
        </w:rPr>
      </w:pPr>
      <w:r>
        <w:rPr>
          <w:rFonts w:hint="eastAsia" w:ascii="仿宋" w:hAnsi="仿宋" w:eastAsia="仿宋" w:cs="仿宋"/>
          <w:sz w:val="28"/>
          <w:szCs w:val="28"/>
        </w:rPr>
        <w:t>日期：   年  月   日</w:t>
      </w:r>
      <w:bookmarkEnd w:id="170"/>
      <w:bookmarkEnd w:id="171"/>
      <w:bookmarkEnd w:id="172"/>
      <w:bookmarkEnd w:id="173"/>
      <w:bookmarkEnd w:id="174"/>
      <w:bookmarkEnd w:id="175"/>
    </w:p>
    <w:p w14:paraId="1BE85E6A">
      <w:pPr>
        <w:spacing w:line="560" w:lineRule="exact"/>
        <w:rPr>
          <w:rFonts w:hint="eastAsia" w:ascii="仿宋" w:hAnsi="仿宋" w:eastAsia="仿宋" w:cs="仿宋"/>
          <w:sz w:val="28"/>
          <w:szCs w:val="28"/>
        </w:rPr>
      </w:pPr>
    </w:p>
    <w:p w14:paraId="64A40933">
      <w:pPr>
        <w:jc w:val="center"/>
        <w:rPr>
          <w:rFonts w:hint="eastAsia" w:ascii="仿宋" w:hAnsi="仿宋" w:eastAsia="仿宋" w:cs="仿宋"/>
        </w:rPr>
      </w:pPr>
    </w:p>
    <w:p w14:paraId="7F8541ED">
      <w:pPr>
        <w:widowControl/>
        <w:jc w:val="left"/>
        <w:rPr>
          <w:rFonts w:hint="eastAsia" w:ascii="仿宋" w:hAnsi="仿宋" w:eastAsia="仿宋" w:cs="仿宋"/>
          <w:b/>
          <w:sz w:val="28"/>
          <w:szCs w:val="28"/>
        </w:rPr>
      </w:pPr>
      <w:r>
        <w:rPr>
          <w:rFonts w:hint="eastAsia" w:ascii="仿宋" w:hAnsi="仿宋" w:eastAsia="仿宋" w:cs="仿宋"/>
          <w:b/>
          <w:sz w:val="28"/>
          <w:szCs w:val="28"/>
        </w:rPr>
        <w:t>3.7供应商认为应列入响应文件的其他材料</w:t>
      </w:r>
    </w:p>
    <w:p w14:paraId="50504B17">
      <w:pPr>
        <w:jc w:val="center"/>
        <w:rPr>
          <w:rFonts w:hint="eastAsia" w:ascii="仿宋" w:hAnsi="仿宋" w:eastAsia="仿宋" w:cs="仿宋"/>
        </w:rPr>
      </w:pPr>
    </w:p>
    <w:p w14:paraId="026328F1">
      <w:pPr>
        <w:pStyle w:val="195"/>
        <w:rPr>
          <w:rFonts w:hint="eastAsia" w:ascii="仿宋" w:hAnsi="仿宋" w:eastAsia="仿宋" w:cs="仿宋"/>
        </w:rPr>
      </w:pPr>
    </w:p>
    <w:sectPr>
      <w:footerReference r:id="rId7" w:type="default"/>
      <w:pgSz w:w="11906" w:h="16838"/>
      <w:pgMar w:top="1440" w:right="1416" w:bottom="1440" w:left="1560" w:header="851" w:footer="992" w:gutter="0"/>
      <w:cols w:space="720" w:num="1"/>
      <w:rtlGutter w:val="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1CE26F2-94A3-4C86-917C-187F5A314AA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embedRegular r:id="rId2" w:fontKey="{432E3372-513F-4FED-A3D2-1B3A17BCB1D3}"/>
  </w:font>
  <w:font w:name="楷体_GB2312">
    <w:panose1 w:val="02010609030101010101"/>
    <w:charset w:val="86"/>
    <w:family w:val="auto"/>
    <w:pitch w:val="default"/>
    <w:sig w:usb0="00000001" w:usb1="080E0000" w:usb2="00000000" w:usb3="00000000" w:csb0="00040000" w:csb1="00000000"/>
    <w:embedRegular r:id="rId3" w:fontKey="{726778CD-1705-4C2B-8D4E-7AC13C0F2D16}"/>
  </w:font>
  <w:font w:name="仿宋_GB2312">
    <w:panose1 w:val="02010609030101010101"/>
    <w:charset w:val="86"/>
    <w:family w:val="auto"/>
    <w:pitch w:val="default"/>
    <w:sig w:usb0="00000001" w:usb1="080E0000" w:usb2="00000000" w:usb3="00000000" w:csb0="00040000" w:csb1="00000000"/>
    <w:embedRegular r:id="rId4" w:fontKey="{B54A417E-59C9-410F-932D-8CA9880E324D}"/>
  </w:font>
  <w:font w:name="仿宋">
    <w:panose1 w:val="02010609060101010101"/>
    <w:charset w:val="86"/>
    <w:family w:val="auto"/>
    <w:pitch w:val="default"/>
    <w:sig w:usb0="800002BF" w:usb1="38CF7CFA" w:usb2="00000016" w:usb3="00000000" w:csb0="00040001" w:csb1="00000000"/>
    <w:embedRegular r:id="rId5" w:fontKey="{7E35B459-5355-4AB6-9B85-82A186341202}"/>
  </w:font>
  <w:font w:name="方正细等线_GBK">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方正仿宋_GBK">
    <w:altName w:val="微软雅黑"/>
    <w:panose1 w:val="020B0503020202020204"/>
    <w:charset w:val="00"/>
    <w:family w:val="auto"/>
    <w:pitch w:val="default"/>
    <w:sig w:usb0="00000000" w:usb1="00000000" w:usb2="00000000" w:usb3="00000000" w:csb0="00000000" w:csb1="00000000"/>
  </w:font>
  <w:font w:name="方正仿宋_GB2312">
    <w:panose1 w:val="02000000000000000000"/>
    <w:charset w:val="86"/>
    <w:family w:val="auto"/>
    <w:pitch w:val="default"/>
    <w:sig w:usb0="A00002BF" w:usb1="184F6CFA" w:usb2="00000012" w:usb3="00000000" w:csb0="00040001" w:csb1="00000000"/>
    <w:embedRegular r:id="rId6" w:fontKey="{1A83F83B-954A-49C0-A9D7-57A59D057F67}"/>
  </w:font>
  <w:font w:name="方正小标宋_GBK">
    <w:panose1 w:val="03000509000000000000"/>
    <w:charset w:val="86"/>
    <w:family w:val="auto"/>
    <w:pitch w:val="default"/>
    <w:sig w:usb0="00000001" w:usb1="080E0000" w:usb2="00000000" w:usb3="00000000" w:csb0="00040000" w:csb1="00000000"/>
    <w:embedRegular r:id="rId7" w:fontKey="{4391B34E-22E2-469C-A234-2442292BE27F}"/>
  </w:font>
  <w:font w:name="楷体">
    <w:panose1 w:val="02010609060101010101"/>
    <w:charset w:val="86"/>
    <w:family w:val="auto"/>
    <w:pitch w:val="default"/>
    <w:sig w:usb0="800002BF" w:usb1="38CF7CFA" w:usb2="00000016" w:usb3="00000000" w:csb0="00040001" w:csb1="00000000"/>
    <w:embedRegular r:id="rId8" w:fontKey="{C5FCA2E7-95BB-44B9-8E4C-C181F18C3385}"/>
  </w:font>
  <w:font w:name="WPSEMBED2">
    <w:panose1 w:val="02010609030101010101"/>
    <w:charset w:val="86"/>
    <w:family w:val="auto"/>
    <w:pitch w:val="default"/>
    <w:sig w:usb0="00000001" w:usb1="080E0000" w:usb2="00000000" w:usb3="00000000" w:csb0="00040000" w:csb1="00000000"/>
  </w:font>
  <w:font w:name="WPSEMBED3">
    <w:panose1 w:val="03000509000000000000"/>
    <w:charset w:val="86"/>
    <w:family w:val="auto"/>
    <w:pitch w:val="default"/>
    <w:sig w:usb0="00000001" w:usb1="080E0000" w:usb2="00000000" w:usb3="00000000" w:csb0="00040000" w:csb1="00000000"/>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F0233A">
    <w:pPr>
      <w:pStyle w:val="212"/>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720795E5">
                          <w:pPr>
                            <w:pStyle w:val="212"/>
                            <w:jc w:val="center"/>
                          </w:pPr>
                          <w:r>
                            <w:fldChar w:fldCharType="begin"/>
                          </w:r>
                          <w:r>
                            <w:instrText xml:space="preserve">PAGE   \* MERGEFORMAT</w:instrText>
                          </w:r>
                          <w:r>
                            <w:fldChar w:fldCharType="separate"/>
                          </w:r>
                          <w:r>
                            <w:rPr>
                              <w:lang w:val="zh-CN"/>
                            </w:rPr>
                            <w:t>2</w:t>
                          </w:r>
                          <w:r>
                            <w:rPr>
                              <w:lang w:val="zh-CN"/>
                            </w:rPr>
                            <w:fldChar w:fldCharType="end"/>
                          </w:r>
                        </w:p>
                        <w:p w14:paraId="7FA0217F"/>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ByxJBTcAQAAsQMAAA4AAAAA&#10;AAAAAQAgAAAAIgEAAGRycy9lMm9Eb2MueG1sUEsFBgAAAAAGAAYAWQEAAHAFAAAAAA==&#10;">
              <v:fill on="f" focussize="0,0"/>
              <v:stroke on="f" weight="1.25pt"/>
              <v:imagedata o:title=""/>
              <o:lock v:ext="edit" aspectratio="f"/>
              <v:textbox inset="0mm,0mm,0mm,0mm" style="mso-fit-shape-to-text:t;">
                <w:txbxContent>
                  <w:p w14:paraId="720795E5">
                    <w:pPr>
                      <w:pStyle w:val="212"/>
                      <w:jc w:val="center"/>
                    </w:pPr>
                    <w:r>
                      <w:fldChar w:fldCharType="begin"/>
                    </w:r>
                    <w:r>
                      <w:instrText xml:space="preserve">PAGE   \* MERGEFORMAT</w:instrText>
                    </w:r>
                    <w:r>
                      <w:fldChar w:fldCharType="separate"/>
                    </w:r>
                    <w:r>
                      <w:rPr>
                        <w:lang w:val="zh-CN"/>
                      </w:rPr>
                      <w:t>2</w:t>
                    </w:r>
                    <w:r>
                      <w:rPr>
                        <w:lang w:val="zh-CN"/>
                      </w:rPr>
                      <w:fldChar w:fldCharType="end"/>
                    </w:r>
                  </w:p>
                  <w:p w14:paraId="7FA0217F"/>
                </w:txbxContent>
              </v:textbox>
            </v:shape>
          </w:pict>
        </mc:Fallback>
      </mc:AlternateContent>
    </w:r>
  </w:p>
  <w:p w14:paraId="135E24C2">
    <w:pPr>
      <w:pStyle w:val="21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F1102">
    <w:pPr>
      <w:pStyle w:val="212"/>
      <w:framePr w:wrap="around" w:vAnchor="text" w:hAnchor="margin" w:xAlign="right" w:y="1"/>
      <w:rPr>
        <w:rStyle w:val="229"/>
      </w:rPr>
    </w:pPr>
    <w:r>
      <w:fldChar w:fldCharType="begin"/>
    </w:r>
    <w:r>
      <w:rPr>
        <w:rStyle w:val="229"/>
      </w:rPr>
      <w:instrText xml:space="preserve">PAGE  </w:instrText>
    </w:r>
    <w:r>
      <w:fldChar w:fldCharType="end"/>
    </w:r>
  </w:p>
  <w:p w14:paraId="060C5F34">
    <w:pPr>
      <w:pStyle w:val="21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4D6867">
    <w:pPr>
      <w:pStyle w:val="212"/>
      <w:jc w:val="right"/>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6AD64F58">
                          <w:pPr>
                            <w:pStyle w:val="212"/>
                            <w:jc w:val="right"/>
                          </w:pPr>
                          <w:r>
                            <w:fldChar w:fldCharType="begin"/>
                          </w:r>
                          <w:r>
                            <w:instrText xml:space="preserve">PAGE   \* MERGEFORMAT</w:instrText>
                          </w:r>
                          <w:r>
                            <w:fldChar w:fldCharType="separate"/>
                          </w:r>
                          <w:r>
                            <w:rPr>
                              <w:lang w:val="zh-CN"/>
                            </w:rPr>
                            <w:t>1</w:t>
                          </w:r>
                          <w:r>
                            <w:rPr>
                              <w:lang w:val="zh-CN"/>
                            </w:rPr>
                            <w:fldChar w:fldCharType="end"/>
                          </w:r>
                        </w:p>
                        <w:p w14:paraId="4ED6D42F"/>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CC2qgzcAQAAsQMAAA4AAAAA&#10;AAAAAQAgAAAAIgEAAGRycy9lMm9Eb2MueG1sUEsFBgAAAAAGAAYAWQEAAHAFAAAAAA==&#10;">
              <v:fill on="f" focussize="0,0"/>
              <v:stroke on="f" weight="1.25pt"/>
              <v:imagedata o:title=""/>
              <o:lock v:ext="edit" aspectratio="f"/>
              <v:textbox inset="0mm,0mm,0mm,0mm" style="mso-fit-shape-to-text:t;">
                <w:txbxContent>
                  <w:p w14:paraId="6AD64F58">
                    <w:pPr>
                      <w:pStyle w:val="212"/>
                      <w:jc w:val="right"/>
                    </w:pPr>
                    <w:r>
                      <w:fldChar w:fldCharType="begin"/>
                    </w:r>
                    <w:r>
                      <w:instrText xml:space="preserve">PAGE   \* MERGEFORMAT</w:instrText>
                    </w:r>
                    <w:r>
                      <w:fldChar w:fldCharType="separate"/>
                    </w:r>
                    <w:r>
                      <w:rPr>
                        <w:lang w:val="zh-CN"/>
                      </w:rPr>
                      <w:t>1</w:t>
                    </w:r>
                    <w:r>
                      <w:rPr>
                        <w:lang w:val="zh-CN"/>
                      </w:rPr>
                      <w:fldChar w:fldCharType="end"/>
                    </w:r>
                  </w:p>
                  <w:p w14:paraId="4ED6D42F"/>
                </w:txbxContent>
              </v:textbox>
            </v:shape>
          </w:pict>
        </mc:Fallback>
      </mc:AlternateContent>
    </w:r>
  </w:p>
  <w:p w14:paraId="6A662D41">
    <w:pPr>
      <w:pStyle w:val="21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278937">
    <w:pPr>
      <w:pStyle w:val="212"/>
      <w:jc w:val="center"/>
    </w:pPr>
    <w:r>
      <w:fldChar w:fldCharType="begin"/>
    </w:r>
    <w:r>
      <w:instrText xml:space="preserve">PAGE   \* MERGEFORMAT</w:instrText>
    </w:r>
    <w:r>
      <w:fldChar w:fldCharType="separate"/>
    </w:r>
    <w:r>
      <w:rPr>
        <w:lang w:val="zh-CN"/>
      </w:rPr>
      <w:t>66</w:t>
    </w:r>
    <w:r>
      <w:rPr>
        <w:lang w:val="zh-CN"/>
      </w:rPr>
      <w:fldChar w:fldCharType="end"/>
    </w:r>
  </w:p>
  <w:p w14:paraId="45473BDB">
    <w:pPr>
      <w:pStyle w:val="212"/>
    </w:pPr>
  </w:p>
  <w:p w14:paraId="0C33FC34"/>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F4D411">
    <w:pPr>
      <w:pStyle w:val="215"/>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pStyle w:val="247"/>
      <w:lvlText w:val="%1."/>
      <w:lvlJc w:val="left"/>
      <w:pPr>
        <w:tabs>
          <w:tab w:val="left" w:pos="1055"/>
        </w:tabs>
        <w:ind w:left="0" w:firstLine="0"/>
      </w:pPr>
      <w:rPr>
        <w:rFonts w:hint="eastAsia"/>
      </w:rPr>
    </w:lvl>
    <w:lvl w:ilvl="1" w:tentative="0">
      <w:start w:val="1"/>
      <w:numFmt w:val="decimal"/>
      <w:lvlText w:val="%1.%2."/>
      <w:lvlJc w:val="left"/>
      <w:pPr>
        <w:tabs>
          <w:tab w:val="left" w:pos="1055"/>
        </w:tabs>
        <w:ind w:left="0" w:firstLine="0"/>
      </w:pPr>
      <w:rPr>
        <w:rFonts w:hint="eastAsia"/>
      </w:rPr>
    </w:lvl>
    <w:lvl w:ilvl="2" w:tentative="0">
      <w:start w:val="1"/>
      <w:numFmt w:val="decimal"/>
      <w:lvlText w:val="%1.%2.%3."/>
      <w:lvlJc w:val="left"/>
      <w:pPr>
        <w:tabs>
          <w:tab w:val="left" w:pos="1055"/>
        </w:tabs>
        <w:ind w:left="0" w:firstLine="0"/>
      </w:pPr>
      <w:rPr>
        <w:rFonts w:hint="eastAsia"/>
      </w:rPr>
    </w:lvl>
    <w:lvl w:ilvl="3" w:tentative="0">
      <w:start w:val="1"/>
      <w:numFmt w:val="decimal"/>
      <w:lvlText w:val="%1.%2.%3.%4."/>
      <w:lvlJc w:val="left"/>
      <w:pPr>
        <w:tabs>
          <w:tab w:val="left" w:pos="1055"/>
        </w:tabs>
        <w:ind w:left="0" w:firstLine="0"/>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D57EFCB9"/>
    <w:multiLevelType w:val="singleLevel"/>
    <w:tmpl w:val="D57EFCB9"/>
    <w:lvl w:ilvl="0" w:tentative="0">
      <w:start w:val="6"/>
      <w:numFmt w:val="decimal"/>
      <w:suff w:val="nothing"/>
      <w:lvlText w:val="%1、"/>
      <w:lvlJc w:val="left"/>
    </w:lvl>
  </w:abstractNum>
  <w:abstractNum w:abstractNumId="2">
    <w:nsid w:val="0053208E"/>
    <w:multiLevelType w:val="multilevel"/>
    <w:tmpl w:val="0053208E"/>
    <w:lvl w:ilvl="0" w:tentative="0">
      <w:start w:val="1"/>
      <w:numFmt w:val="decimal"/>
      <w:lvlText w:val="%1."/>
      <w:lvlJc w:val="left"/>
      <w:pPr>
        <w:tabs>
          <w:tab w:val="left" w:pos="360"/>
        </w:tabs>
        <w:ind w:left="0" w:firstLine="0"/>
      </w:pPr>
      <w:rPr>
        <w:rFonts w:ascii="Arial" w:hAnsi="Arial"/>
        <w:b/>
        <w:i w:val="0"/>
        <w:sz w:val="32"/>
      </w:rPr>
    </w:lvl>
    <w:lvl w:ilvl="1" w:tentative="0">
      <w:start w:val="1"/>
      <w:numFmt w:val="decimal"/>
      <w:lvlText w:val="%1.%2."/>
      <w:lvlJc w:val="left"/>
      <w:pPr>
        <w:tabs>
          <w:tab w:val="left" w:pos="720"/>
        </w:tabs>
        <w:ind w:left="567" w:hanging="567"/>
      </w:pPr>
      <w:rPr>
        <w:rFonts w:hint="eastAsia"/>
      </w:rPr>
    </w:lvl>
    <w:lvl w:ilvl="2" w:tentative="0">
      <w:start w:val="1"/>
      <w:numFmt w:val="decimal"/>
      <w:pStyle w:val="40"/>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12282F"/>
    <w:rsid w:val="01536654"/>
    <w:rsid w:val="01B05C95"/>
    <w:rsid w:val="025B2DC4"/>
    <w:rsid w:val="02924A37"/>
    <w:rsid w:val="031439CE"/>
    <w:rsid w:val="03C61840"/>
    <w:rsid w:val="05050109"/>
    <w:rsid w:val="06A213FD"/>
    <w:rsid w:val="06A6368C"/>
    <w:rsid w:val="06E21D3B"/>
    <w:rsid w:val="074B78AB"/>
    <w:rsid w:val="09445E00"/>
    <w:rsid w:val="0A56459C"/>
    <w:rsid w:val="0DDA54E4"/>
    <w:rsid w:val="0EC96857"/>
    <w:rsid w:val="0EED3B7D"/>
    <w:rsid w:val="12FA36E0"/>
    <w:rsid w:val="13C8344C"/>
    <w:rsid w:val="13CD63BD"/>
    <w:rsid w:val="14A3624C"/>
    <w:rsid w:val="14D07641"/>
    <w:rsid w:val="156941CE"/>
    <w:rsid w:val="17B7367F"/>
    <w:rsid w:val="18972950"/>
    <w:rsid w:val="1E01086B"/>
    <w:rsid w:val="1E0A6CD7"/>
    <w:rsid w:val="207C5722"/>
    <w:rsid w:val="227D0BA3"/>
    <w:rsid w:val="228855E4"/>
    <w:rsid w:val="22FB1363"/>
    <w:rsid w:val="24CD14A7"/>
    <w:rsid w:val="24E77782"/>
    <w:rsid w:val="25B97D70"/>
    <w:rsid w:val="270E54F5"/>
    <w:rsid w:val="27EE293E"/>
    <w:rsid w:val="280653FC"/>
    <w:rsid w:val="292D69B8"/>
    <w:rsid w:val="2A831702"/>
    <w:rsid w:val="2B2F299C"/>
    <w:rsid w:val="2C6818BB"/>
    <w:rsid w:val="2E671D49"/>
    <w:rsid w:val="2E805510"/>
    <w:rsid w:val="30582A97"/>
    <w:rsid w:val="348543E0"/>
    <w:rsid w:val="34DD1293"/>
    <w:rsid w:val="38F9283E"/>
    <w:rsid w:val="3A1D7D60"/>
    <w:rsid w:val="3DDA78ED"/>
    <w:rsid w:val="3EBC214A"/>
    <w:rsid w:val="3F6176B1"/>
    <w:rsid w:val="41EE4ADF"/>
    <w:rsid w:val="42010CB6"/>
    <w:rsid w:val="442A5A15"/>
    <w:rsid w:val="45F0214F"/>
    <w:rsid w:val="47A2310F"/>
    <w:rsid w:val="49A14974"/>
    <w:rsid w:val="4A72504B"/>
    <w:rsid w:val="50595BFA"/>
    <w:rsid w:val="516F72BF"/>
    <w:rsid w:val="54B071E9"/>
    <w:rsid w:val="551D463E"/>
    <w:rsid w:val="585B62E8"/>
    <w:rsid w:val="5A2F4F1B"/>
    <w:rsid w:val="5BED4E7F"/>
    <w:rsid w:val="62467299"/>
    <w:rsid w:val="68842D0C"/>
    <w:rsid w:val="6A7470AD"/>
    <w:rsid w:val="6AF9542E"/>
    <w:rsid w:val="6E677722"/>
    <w:rsid w:val="6EC96D8A"/>
    <w:rsid w:val="6F800BBD"/>
    <w:rsid w:val="706758D9"/>
    <w:rsid w:val="71EC71AA"/>
    <w:rsid w:val="724E2320"/>
    <w:rsid w:val="74D23A3D"/>
    <w:rsid w:val="75E72F4C"/>
    <w:rsid w:val="761810EA"/>
    <w:rsid w:val="771C2F08"/>
    <w:rsid w:val="77B03E6E"/>
    <w:rsid w:val="78FA1D50"/>
    <w:rsid w:val="7B586985"/>
    <w:rsid w:val="7B9945F6"/>
    <w:rsid w:val="7BE572CE"/>
    <w:rsid w:val="7C2F3E7C"/>
    <w:rsid w:val="7C3A19F0"/>
    <w:rsid w:val="7C792290"/>
    <w:rsid w:val="7CC869E7"/>
    <w:rsid w:val="7D601EB2"/>
    <w:rsid w:val="7E320B69"/>
    <w:rsid w:val="7EE87CEA"/>
    <w:rsid w:val="7F9E417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50"/>
    <w:qFormat/>
    <w:uiPriority w:val="0"/>
    <w:pPr>
      <w:widowControl w:val="0"/>
      <w:jc w:val="both"/>
    </w:pPr>
    <w:rPr>
      <w:rFonts w:hint="default" w:ascii="Times New Roman" w:hAnsi="Times New Roman" w:eastAsia="宋体" w:cs="Times New Roman"/>
      <w:sz w:val="24"/>
      <w:szCs w:val="24"/>
      <w:lang w:val="en-US" w:eastAsia="zh-CN" w:bidi="ar-SA"/>
    </w:rPr>
  </w:style>
  <w:style w:type="paragraph" w:styleId="2">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qFormat/>
    <w:uiPriority w:val="0"/>
    <w:pPr>
      <w:jc w:val="left"/>
    </w:pPr>
  </w:style>
  <w:style w:type="paragraph" w:styleId="14">
    <w:name w:val="Body Text"/>
    <w:basedOn w:val="1"/>
    <w:qFormat/>
    <w:uiPriority w:val="0"/>
    <w:pPr>
      <w:spacing w:afterAutospacing="0" w:line="240" w:lineRule="auto"/>
      <w:ind w:firstLine="0" w:firstLineChars="0"/>
    </w:pPr>
    <w:rPr>
      <w:rFonts w:ascii="微软雅黑" w:hAnsi="微软雅黑"/>
      <w:sz w:val="21"/>
      <w:szCs w:val="21"/>
    </w:rPr>
  </w:style>
  <w:style w:type="paragraph" w:styleId="15">
    <w:name w:val="Body Text Indent"/>
    <w:basedOn w:val="1"/>
    <w:next w:val="16"/>
    <w:qFormat/>
    <w:uiPriority w:val="0"/>
    <w:pPr>
      <w:spacing w:after="120"/>
      <w:ind w:left="200" w:leftChars="200"/>
    </w:pPr>
  </w:style>
  <w:style w:type="paragraph" w:styleId="16">
    <w:name w:val="envelope return"/>
    <w:basedOn w:val="1"/>
    <w:next w:val="11"/>
    <w:qFormat/>
    <w:uiPriority w:val="0"/>
    <w:pPr>
      <w:snapToGrid w:val="0"/>
    </w:pPr>
    <w:rPr>
      <w:rFonts w:ascii="Arial" w:hAnsi="Arial"/>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87"/>
    <w:semiHidden/>
    <w:unhideWhenUsed/>
    <w:qFormat/>
    <w:uiPriority w:val="99"/>
    <w:pPr>
      <w:spacing w:after="0" w:line="240" w:lineRule="auto"/>
    </w:pPr>
    <w:rPr>
      <w:sz w:val="20"/>
    </w:rPr>
  </w:style>
  <w:style w:type="paragraph" w:styleId="21">
    <w:name w:val="footer"/>
    <w:basedOn w:val="1"/>
    <w:link w:val="60"/>
    <w:unhideWhenUsed/>
    <w:qFormat/>
    <w:uiPriority w:val="99"/>
    <w:pPr>
      <w:tabs>
        <w:tab w:val="center" w:pos="7143"/>
        <w:tab w:val="right" w:pos="14287"/>
      </w:tabs>
      <w:spacing w:after="0" w:line="240" w:lineRule="auto"/>
    </w:pPr>
  </w:style>
  <w:style w:type="paragraph" w:styleId="22">
    <w:name w:val="header"/>
    <w:basedOn w:val="1"/>
    <w:link w:val="58"/>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3"/>
    <w:qFormat/>
    <w:uiPriority w:val="11"/>
    <w:pPr>
      <w:spacing w:before="200" w:after="200"/>
    </w:pPr>
    <w:rPr>
      <w:sz w:val="24"/>
      <w:szCs w:val="24"/>
    </w:rPr>
  </w:style>
  <w:style w:type="paragraph" w:styleId="26">
    <w:name w:val="footnote text"/>
    <w:basedOn w:val="1"/>
    <w:link w:val="186"/>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32">
    <w:name w:val="Title"/>
    <w:basedOn w:val="1"/>
    <w:next w:val="1"/>
    <w:link w:val="52"/>
    <w:qFormat/>
    <w:uiPriority w:val="10"/>
    <w:pPr>
      <w:spacing w:before="300" w:after="200"/>
      <w:contextualSpacing/>
    </w:pPr>
    <w:rPr>
      <w:sz w:val="48"/>
      <w:szCs w:val="48"/>
    </w:rPr>
  </w:style>
  <w:style w:type="paragraph" w:styleId="33">
    <w:name w:val="Body Text First Indent 2"/>
    <w:basedOn w:val="15"/>
    <w:next w:val="1"/>
    <w:qFormat/>
    <w:uiPriority w:val="0"/>
    <w:pPr>
      <w:ind w:left="420" w:firstLine="420" w:firstLineChars="200"/>
    </w:pPr>
  </w:style>
  <w:style w:type="table" w:styleId="35">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paragraph" w:customStyle="1" w:styleId="40">
    <w:name w:val="标题 31"/>
    <w:basedOn w:val="1"/>
    <w:next w:val="1"/>
    <w:link w:val="192"/>
    <w:qFormat/>
    <w:uiPriority w:val="0"/>
    <w:pPr>
      <w:numPr>
        <w:ilvl w:val="2"/>
        <w:numId w:val="1"/>
      </w:numPr>
      <w:spacing w:line="300" w:lineRule="auto"/>
      <w:outlineLvl w:val="2"/>
    </w:pPr>
    <w:rPr>
      <w:b/>
      <w:color w:val="000000"/>
      <w:sz w:val="28"/>
    </w:rPr>
  </w:style>
  <w:style w:type="character" w:customStyle="1" w:styleId="41">
    <w:name w:val="Heading 1 Char"/>
    <w:link w:val="2"/>
    <w:qFormat/>
    <w:uiPriority w:val="9"/>
    <w:rPr>
      <w:rFonts w:ascii="Arial" w:hAnsi="Arial" w:eastAsia="Arial" w:cs="Arial"/>
      <w:sz w:val="40"/>
      <w:szCs w:val="40"/>
    </w:rPr>
  </w:style>
  <w:style w:type="character" w:customStyle="1" w:styleId="42">
    <w:name w:val="Heading 2 Char"/>
    <w:link w:val="3"/>
    <w:qFormat/>
    <w:uiPriority w:val="9"/>
    <w:rPr>
      <w:rFonts w:ascii="Arial" w:hAnsi="Arial" w:eastAsia="Arial" w:cs="Arial"/>
      <w:sz w:val="34"/>
    </w:rPr>
  </w:style>
  <w:style w:type="character" w:customStyle="1" w:styleId="43">
    <w:name w:val="Heading 3 Char"/>
    <w:link w:val="4"/>
    <w:qFormat/>
    <w:uiPriority w:val="9"/>
    <w:rPr>
      <w:rFonts w:ascii="Arial" w:hAnsi="Arial" w:eastAsia="Arial" w:cs="Arial"/>
      <w:sz w:val="30"/>
      <w:szCs w:val="30"/>
    </w:rPr>
  </w:style>
  <w:style w:type="character" w:customStyle="1" w:styleId="44">
    <w:name w:val="Heading 4 Char"/>
    <w:link w:val="5"/>
    <w:qFormat/>
    <w:uiPriority w:val="9"/>
    <w:rPr>
      <w:rFonts w:ascii="Arial" w:hAnsi="Arial" w:eastAsia="Arial" w:cs="Arial"/>
      <w:b/>
      <w:bCs/>
      <w:sz w:val="26"/>
      <w:szCs w:val="26"/>
    </w:rPr>
  </w:style>
  <w:style w:type="character" w:customStyle="1" w:styleId="45">
    <w:name w:val="Heading 5 Char"/>
    <w:link w:val="6"/>
    <w:qFormat/>
    <w:uiPriority w:val="9"/>
    <w:rPr>
      <w:rFonts w:ascii="Arial" w:hAnsi="Arial" w:eastAsia="Arial" w:cs="Arial"/>
      <w:b/>
      <w:bCs/>
      <w:sz w:val="24"/>
      <w:szCs w:val="24"/>
    </w:rPr>
  </w:style>
  <w:style w:type="character" w:customStyle="1" w:styleId="46">
    <w:name w:val="Heading 6 Char"/>
    <w:link w:val="7"/>
    <w:qFormat/>
    <w:uiPriority w:val="9"/>
    <w:rPr>
      <w:rFonts w:ascii="Arial" w:hAnsi="Arial" w:eastAsia="Arial" w:cs="Arial"/>
      <w:b/>
      <w:bCs/>
      <w:sz w:val="22"/>
      <w:szCs w:val="22"/>
    </w:rPr>
  </w:style>
  <w:style w:type="character" w:customStyle="1" w:styleId="47">
    <w:name w:val="Heading 7 Char"/>
    <w:link w:val="8"/>
    <w:qFormat/>
    <w:uiPriority w:val="9"/>
    <w:rPr>
      <w:rFonts w:ascii="Arial" w:hAnsi="Arial" w:eastAsia="Arial" w:cs="Arial"/>
      <w:b/>
      <w:bCs/>
      <w:i/>
      <w:iCs/>
      <w:sz w:val="22"/>
      <w:szCs w:val="22"/>
    </w:rPr>
  </w:style>
  <w:style w:type="character" w:customStyle="1" w:styleId="48">
    <w:name w:val="Heading 8 Char"/>
    <w:link w:val="9"/>
    <w:qFormat/>
    <w:uiPriority w:val="9"/>
    <w:rPr>
      <w:rFonts w:ascii="Arial" w:hAnsi="Arial" w:eastAsia="Arial" w:cs="Arial"/>
      <w:i/>
      <w:iCs/>
      <w:sz w:val="22"/>
      <w:szCs w:val="22"/>
    </w:rPr>
  </w:style>
  <w:style w:type="character" w:customStyle="1" w:styleId="49">
    <w:name w:val="Heading 9 Char"/>
    <w:link w:val="10"/>
    <w:qFormat/>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paragraph" w:styleId="51">
    <w:name w:val="No Spacing"/>
    <w:qFormat/>
    <w:uiPriority w:val="1"/>
    <w:pPr>
      <w:spacing w:before="0" w:after="0" w:line="240" w:lineRule="auto"/>
    </w:pPr>
    <w:rPr>
      <w:rFonts w:hint="default" w:ascii="Calibri" w:hAnsi="Calibri" w:eastAsia="宋体" w:cs="Times New Roman"/>
    </w:rPr>
  </w:style>
  <w:style w:type="character" w:customStyle="1" w:styleId="52">
    <w:name w:val="Title Char"/>
    <w:link w:val="32"/>
    <w:qFormat/>
    <w:uiPriority w:val="10"/>
    <w:rPr>
      <w:sz w:val="48"/>
      <w:szCs w:val="48"/>
    </w:rPr>
  </w:style>
  <w:style w:type="character" w:customStyle="1" w:styleId="53">
    <w:name w:val="Subtitle Char"/>
    <w:link w:val="25"/>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link w:val="22"/>
    <w:qFormat/>
    <w:uiPriority w:val="99"/>
  </w:style>
  <w:style w:type="character" w:customStyle="1" w:styleId="59">
    <w:name w:val="Footer Char"/>
    <w:link w:val="21"/>
    <w:qFormat/>
    <w:uiPriority w:val="99"/>
  </w:style>
  <w:style w:type="character" w:customStyle="1" w:styleId="60">
    <w:name w:val="Caption Char"/>
    <w:link w:val="21"/>
    <w:qFormat/>
    <w:uiPriority w:val="99"/>
  </w:style>
  <w:style w:type="table" w:customStyle="1" w:styleId="61">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9">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0">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1">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2">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3">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4">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0">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7">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8">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9">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0">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1">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2">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9">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6">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8">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9">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0">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1">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2">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3">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2">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3">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4">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5">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6">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7">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6">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7">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8">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9">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0">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1">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1">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2">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3">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4">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5">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6">
    <w:name w:val="Footnote Text Char"/>
    <w:link w:val="26"/>
    <w:qFormat/>
    <w:uiPriority w:val="99"/>
    <w:rPr>
      <w:sz w:val="18"/>
    </w:rPr>
  </w:style>
  <w:style w:type="character" w:customStyle="1" w:styleId="187">
    <w:name w:val="Endnote Text Char"/>
    <w:link w:val="20"/>
    <w:qFormat/>
    <w:uiPriority w:val="99"/>
    <w:rPr>
      <w:sz w:val="20"/>
    </w:rPr>
  </w:style>
  <w:style w:type="paragraph" w:customStyle="1" w:styleId="188">
    <w:name w:val="TOC Heading"/>
    <w:unhideWhenUsed/>
    <w:qFormat/>
    <w:uiPriority w:val="39"/>
    <w:rPr>
      <w:rFonts w:hint="default" w:ascii="Calibri" w:hAnsi="Calibri" w:eastAsia="宋体" w:cs="Times New Roman"/>
    </w:rPr>
  </w:style>
  <w:style w:type="paragraph" w:customStyle="1" w:styleId="189">
    <w:name w:val="标题 11"/>
    <w:basedOn w:val="1"/>
    <w:next w:val="1"/>
    <w:link w:val="193"/>
    <w:qFormat/>
    <w:uiPriority w:val="0"/>
    <w:pPr>
      <w:keepNext/>
      <w:keepLines/>
      <w:spacing w:before="340" w:after="330" w:line="578" w:lineRule="auto"/>
      <w:outlineLvl w:val="0"/>
    </w:pPr>
    <w:rPr>
      <w:b/>
      <w:bCs/>
      <w:sz w:val="44"/>
      <w:szCs w:val="44"/>
    </w:rPr>
  </w:style>
  <w:style w:type="character" w:customStyle="1" w:styleId="190">
    <w:name w:val="默认段落字体1"/>
    <w:link w:val="1"/>
    <w:unhideWhenUsed/>
    <w:qFormat/>
    <w:uiPriority w:val="1"/>
  </w:style>
  <w:style w:type="table" w:customStyle="1" w:styleId="191">
    <w:name w:val="普通表格1"/>
    <w:unhideWhenUsed/>
    <w:qFormat/>
    <w:uiPriority w:val="99"/>
  </w:style>
  <w:style w:type="character" w:customStyle="1" w:styleId="192">
    <w:name w:val="标题 3 Char"/>
    <w:basedOn w:val="190"/>
    <w:link w:val="40"/>
    <w:qFormat/>
    <w:uiPriority w:val="0"/>
    <w:rPr>
      <w:rFonts w:ascii="Times New Roman" w:hAnsi="Times New Roman" w:eastAsia="宋体" w:cs="Times New Roman"/>
      <w:b/>
      <w:color w:val="000000"/>
      <w:sz w:val="28"/>
      <w:szCs w:val="24"/>
    </w:rPr>
  </w:style>
  <w:style w:type="character" w:customStyle="1" w:styleId="193">
    <w:name w:val="标题 1 Char"/>
    <w:basedOn w:val="190"/>
    <w:link w:val="189"/>
    <w:qFormat/>
    <w:uiPriority w:val="0"/>
    <w:rPr>
      <w:rFonts w:ascii="Times New Roman" w:hAnsi="Times New Roman" w:eastAsia="宋体" w:cs="Times New Roman"/>
      <w:b/>
      <w:bCs/>
      <w:sz w:val="44"/>
      <w:szCs w:val="44"/>
    </w:rPr>
  </w:style>
  <w:style w:type="paragraph" w:customStyle="1" w:styleId="194">
    <w:name w:val="正文缩进1"/>
    <w:basedOn w:val="1"/>
    <w:next w:val="1"/>
    <w:qFormat/>
    <w:uiPriority w:val="0"/>
    <w:pPr>
      <w:ind w:firstLine="420"/>
    </w:pPr>
    <w:rPr>
      <w:sz w:val="21"/>
      <w:szCs w:val="20"/>
    </w:rPr>
  </w:style>
  <w:style w:type="paragraph" w:customStyle="1" w:styleId="195">
    <w:name w:val="文档结构图1"/>
    <w:basedOn w:val="1"/>
    <w:link w:val="196"/>
    <w:semiHidden/>
    <w:qFormat/>
    <w:uiPriority w:val="99"/>
    <w:rPr>
      <w:rFonts w:ascii="宋体"/>
      <w:sz w:val="18"/>
      <w:szCs w:val="18"/>
    </w:rPr>
  </w:style>
  <w:style w:type="character" w:customStyle="1" w:styleId="196">
    <w:name w:val="文档结构图 Char"/>
    <w:basedOn w:val="190"/>
    <w:link w:val="195"/>
    <w:semiHidden/>
    <w:qFormat/>
    <w:uiPriority w:val="99"/>
    <w:rPr>
      <w:rFonts w:ascii="宋体" w:hAnsi="Times New Roman" w:eastAsia="宋体" w:cs="Times New Roman"/>
      <w:sz w:val="18"/>
      <w:szCs w:val="18"/>
    </w:rPr>
  </w:style>
  <w:style w:type="paragraph" w:customStyle="1" w:styleId="197">
    <w:name w:val="引文目录标题1"/>
    <w:basedOn w:val="1"/>
    <w:next w:val="1"/>
    <w:semiHidden/>
    <w:qFormat/>
    <w:uiPriority w:val="0"/>
    <w:pPr>
      <w:spacing w:before="120"/>
    </w:pPr>
    <w:rPr>
      <w:rFonts w:ascii="Arial" w:hAnsi="Arial"/>
      <w:szCs w:val="20"/>
    </w:rPr>
  </w:style>
  <w:style w:type="paragraph" w:customStyle="1" w:styleId="198">
    <w:name w:val="批注文字1"/>
    <w:basedOn w:val="1"/>
    <w:link w:val="199"/>
    <w:qFormat/>
    <w:uiPriority w:val="0"/>
    <w:pPr>
      <w:jc w:val="left"/>
    </w:pPr>
  </w:style>
  <w:style w:type="character" w:customStyle="1" w:styleId="199">
    <w:name w:val="批注文字 Char"/>
    <w:basedOn w:val="190"/>
    <w:link w:val="198"/>
    <w:qFormat/>
    <w:uiPriority w:val="0"/>
    <w:rPr>
      <w:rFonts w:ascii="Times New Roman" w:hAnsi="Times New Roman" w:eastAsia="宋体" w:cs="Times New Roman"/>
      <w:sz w:val="24"/>
      <w:szCs w:val="24"/>
    </w:rPr>
  </w:style>
  <w:style w:type="paragraph" w:customStyle="1" w:styleId="200">
    <w:name w:val="正文文本1"/>
    <w:basedOn w:val="1"/>
    <w:next w:val="201"/>
    <w:link w:val="202"/>
    <w:qFormat/>
    <w:uiPriority w:val="99"/>
    <w:pPr>
      <w:spacing w:after="120"/>
    </w:pPr>
    <w:rPr>
      <w:lang w:val="en-US" w:eastAsia="en-US"/>
    </w:rPr>
  </w:style>
  <w:style w:type="paragraph" w:customStyle="1" w:styleId="201">
    <w:name w:val="目录 21"/>
    <w:basedOn w:val="1"/>
    <w:next w:val="1"/>
    <w:qFormat/>
    <w:uiPriority w:val="39"/>
    <w:pPr>
      <w:ind w:left="210"/>
      <w:jc w:val="left"/>
    </w:pPr>
    <w:rPr>
      <w:smallCaps/>
    </w:rPr>
  </w:style>
  <w:style w:type="character" w:customStyle="1" w:styleId="202">
    <w:name w:val="正文文本 Char"/>
    <w:basedOn w:val="190"/>
    <w:link w:val="200"/>
    <w:semiHidden/>
    <w:qFormat/>
    <w:uiPriority w:val="99"/>
    <w:rPr>
      <w:rFonts w:ascii="Times New Roman" w:hAnsi="Times New Roman" w:eastAsia="宋体" w:cs="Times New Roman"/>
      <w:sz w:val="24"/>
      <w:szCs w:val="24"/>
    </w:rPr>
  </w:style>
  <w:style w:type="paragraph" w:customStyle="1" w:styleId="203">
    <w:name w:val="正文文本缩进1"/>
    <w:basedOn w:val="1"/>
    <w:link w:val="204"/>
    <w:qFormat/>
    <w:uiPriority w:val="0"/>
    <w:pPr>
      <w:ind w:firstLine="645"/>
    </w:pPr>
    <w:rPr>
      <w:rFonts w:ascii="楷体_GB2312" w:hAnsi="Calibri" w:eastAsia="楷体_GB2312"/>
      <w:sz w:val="32"/>
      <w:szCs w:val="32"/>
    </w:rPr>
  </w:style>
  <w:style w:type="character" w:customStyle="1" w:styleId="204">
    <w:name w:val="正文文本缩进 Char"/>
    <w:basedOn w:val="190"/>
    <w:link w:val="203"/>
    <w:qFormat/>
    <w:uiPriority w:val="0"/>
    <w:rPr>
      <w:rFonts w:ascii="楷体_GB2312" w:hAnsi="Calibri" w:eastAsia="楷体_GB2312" w:cs="Times New Roman"/>
      <w:sz w:val="32"/>
      <w:szCs w:val="32"/>
    </w:rPr>
  </w:style>
  <w:style w:type="paragraph" w:customStyle="1" w:styleId="205">
    <w:name w:val="索引 41"/>
    <w:basedOn w:val="1"/>
    <w:next w:val="1"/>
    <w:qFormat/>
    <w:uiPriority w:val="0"/>
    <w:pPr>
      <w:ind w:left="1260"/>
    </w:pPr>
  </w:style>
  <w:style w:type="paragraph" w:customStyle="1" w:styleId="206">
    <w:name w:val="纯文本1"/>
    <w:basedOn w:val="1"/>
    <w:link w:val="207"/>
    <w:qFormat/>
    <w:uiPriority w:val="99"/>
    <w:rPr>
      <w:rFonts w:ascii="宋体" w:hAnsi="Courier New"/>
      <w:sz w:val="21"/>
      <w:szCs w:val="22"/>
    </w:rPr>
  </w:style>
  <w:style w:type="character" w:customStyle="1" w:styleId="207">
    <w:name w:val="纯文本 Char"/>
    <w:basedOn w:val="190"/>
    <w:link w:val="206"/>
    <w:qFormat/>
    <w:uiPriority w:val="99"/>
    <w:rPr>
      <w:rFonts w:ascii="宋体" w:hAnsi="Courier New" w:eastAsia="宋体" w:cs="Times New Roman"/>
    </w:rPr>
  </w:style>
  <w:style w:type="paragraph" w:customStyle="1" w:styleId="208">
    <w:name w:val="日期1"/>
    <w:basedOn w:val="1"/>
    <w:next w:val="1"/>
    <w:link w:val="209"/>
    <w:qFormat/>
    <w:uiPriority w:val="99"/>
    <w:pPr>
      <w:ind w:left="100"/>
    </w:pPr>
    <w:rPr>
      <w:rFonts w:ascii="Calibri" w:hAnsi="Calibri" w:eastAsia="宋体" w:cs="Times New Roman"/>
      <w:sz w:val="21"/>
    </w:rPr>
  </w:style>
  <w:style w:type="character" w:customStyle="1" w:styleId="209">
    <w:name w:val="日期 Char"/>
    <w:basedOn w:val="190"/>
    <w:link w:val="208"/>
    <w:qFormat/>
    <w:uiPriority w:val="99"/>
    <w:rPr>
      <w:rFonts w:ascii="Calibri" w:hAnsi="Calibri" w:eastAsia="宋体" w:cs="Times New Roman"/>
      <w:sz w:val="21"/>
      <w:szCs w:val="24"/>
    </w:rPr>
  </w:style>
  <w:style w:type="paragraph" w:customStyle="1" w:styleId="210">
    <w:name w:val="批注框文本1"/>
    <w:basedOn w:val="1"/>
    <w:link w:val="211"/>
    <w:semiHidden/>
    <w:qFormat/>
    <w:uiPriority w:val="99"/>
    <w:rPr>
      <w:sz w:val="18"/>
      <w:szCs w:val="18"/>
    </w:rPr>
  </w:style>
  <w:style w:type="character" w:customStyle="1" w:styleId="211">
    <w:name w:val="批注框文本 Char"/>
    <w:basedOn w:val="190"/>
    <w:link w:val="210"/>
    <w:semiHidden/>
    <w:qFormat/>
    <w:uiPriority w:val="99"/>
    <w:rPr>
      <w:rFonts w:ascii="Times New Roman" w:hAnsi="Times New Roman" w:eastAsia="宋体" w:cs="Times New Roman"/>
      <w:sz w:val="18"/>
      <w:szCs w:val="18"/>
    </w:rPr>
  </w:style>
  <w:style w:type="paragraph" w:customStyle="1" w:styleId="212">
    <w:name w:val="页脚1"/>
    <w:basedOn w:val="1"/>
    <w:link w:val="213"/>
    <w:qFormat/>
    <w:uiPriority w:val="99"/>
    <w:pPr>
      <w:tabs>
        <w:tab w:val="center" w:pos="4153"/>
        <w:tab w:val="right" w:pos="8306"/>
      </w:tabs>
      <w:jc w:val="left"/>
    </w:pPr>
    <w:rPr>
      <w:sz w:val="18"/>
      <w:szCs w:val="18"/>
    </w:rPr>
  </w:style>
  <w:style w:type="character" w:customStyle="1" w:styleId="213">
    <w:name w:val="页脚 Char"/>
    <w:basedOn w:val="190"/>
    <w:link w:val="212"/>
    <w:qFormat/>
    <w:uiPriority w:val="99"/>
    <w:rPr>
      <w:rFonts w:ascii="Times New Roman" w:hAnsi="Times New Roman" w:eastAsia="宋体" w:cs="Times New Roman"/>
      <w:sz w:val="18"/>
      <w:szCs w:val="18"/>
    </w:rPr>
  </w:style>
  <w:style w:type="paragraph" w:customStyle="1" w:styleId="214">
    <w:name w:val="寄信人地址1"/>
    <w:basedOn w:val="1"/>
    <w:unhideWhenUsed/>
    <w:qFormat/>
    <w:uiPriority w:val="99"/>
    <w:rPr>
      <w:rFonts w:ascii="Arial" w:hAnsi="Arial" w:cs="Arial"/>
      <w:sz w:val="21"/>
      <w:szCs w:val="20"/>
    </w:rPr>
  </w:style>
  <w:style w:type="paragraph" w:customStyle="1" w:styleId="215">
    <w:name w:val="页眉1"/>
    <w:basedOn w:val="1"/>
    <w:link w:val="216"/>
    <w:qFormat/>
    <w:uiPriority w:val="99"/>
    <w:pPr>
      <w:pBdr>
        <w:bottom w:val="single" w:color="000000" w:sz="6" w:space="1"/>
      </w:pBdr>
      <w:tabs>
        <w:tab w:val="center" w:pos="4153"/>
        <w:tab w:val="right" w:pos="8306"/>
      </w:tabs>
      <w:jc w:val="center"/>
    </w:pPr>
    <w:rPr>
      <w:sz w:val="18"/>
      <w:szCs w:val="18"/>
    </w:rPr>
  </w:style>
  <w:style w:type="character" w:customStyle="1" w:styleId="216">
    <w:name w:val="页眉 Char"/>
    <w:basedOn w:val="190"/>
    <w:link w:val="215"/>
    <w:qFormat/>
    <w:uiPriority w:val="99"/>
    <w:rPr>
      <w:rFonts w:ascii="Times New Roman" w:hAnsi="Times New Roman" w:eastAsia="宋体" w:cs="Times New Roman"/>
      <w:sz w:val="18"/>
      <w:szCs w:val="18"/>
    </w:rPr>
  </w:style>
  <w:style w:type="paragraph" w:customStyle="1" w:styleId="217">
    <w:name w:val="正文文本缩进 31"/>
    <w:basedOn w:val="1"/>
    <w:link w:val="218"/>
    <w:qFormat/>
    <w:uiPriority w:val="99"/>
    <w:pPr>
      <w:ind w:left="645" w:firstLine="645"/>
    </w:pPr>
    <w:rPr>
      <w:rFonts w:ascii="Arial" w:hAnsi="Arial"/>
      <w:color w:val="FFFF00"/>
      <w:sz w:val="32"/>
      <w:szCs w:val="20"/>
      <w:lang w:val="en-US" w:eastAsia="en-US"/>
    </w:rPr>
  </w:style>
  <w:style w:type="character" w:customStyle="1" w:styleId="218">
    <w:name w:val="正文文本缩进 3 Char"/>
    <w:basedOn w:val="190"/>
    <w:link w:val="217"/>
    <w:semiHidden/>
    <w:qFormat/>
    <w:uiPriority w:val="99"/>
    <w:rPr>
      <w:rFonts w:ascii="Times New Roman" w:hAnsi="Times New Roman" w:eastAsia="宋体" w:cs="Times New Roman"/>
      <w:sz w:val="16"/>
      <w:szCs w:val="16"/>
    </w:rPr>
  </w:style>
  <w:style w:type="paragraph" w:customStyle="1" w:styleId="219">
    <w:name w:val="正文文本 21"/>
    <w:basedOn w:val="1"/>
    <w:link w:val="220"/>
    <w:qFormat/>
    <w:uiPriority w:val="99"/>
    <w:rPr>
      <w:rFonts w:eastAsia="仿宋_GB2312"/>
      <w:color w:val="000000"/>
      <w:sz w:val="21"/>
      <w:szCs w:val="20"/>
    </w:rPr>
  </w:style>
  <w:style w:type="character" w:customStyle="1" w:styleId="220">
    <w:name w:val="正文文本 2 Char"/>
    <w:basedOn w:val="190"/>
    <w:link w:val="219"/>
    <w:qFormat/>
    <w:uiPriority w:val="99"/>
    <w:rPr>
      <w:rFonts w:ascii="Times New Roman" w:hAnsi="Times New Roman" w:eastAsia="仿宋_GB2312"/>
      <w:color w:val="000000"/>
      <w:sz w:val="21"/>
    </w:rPr>
  </w:style>
  <w:style w:type="paragraph" w:customStyle="1" w:styleId="221">
    <w:name w:val="普通(网站)1"/>
    <w:basedOn w:val="1"/>
    <w:unhideWhenUsed/>
    <w:qFormat/>
    <w:uiPriority w:val="99"/>
    <w:pPr>
      <w:widowControl/>
      <w:spacing w:before="100" w:beforeAutospacing="1" w:after="100" w:afterAutospacing="1"/>
      <w:jc w:val="left"/>
    </w:pPr>
    <w:rPr>
      <w:rFonts w:ascii="宋体" w:hAnsi="宋体" w:cs="宋体"/>
    </w:rPr>
  </w:style>
  <w:style w:type="paragraph" w:customStyle="1" w:styleId="222">
    <w:name w:val="批注主题1"/>
    <w:basedOn w:val="198"/>
    <w:next w:val="198"/>
    <w:link w:val="223"/>
    <w:semiHidden/>
    <w:qFormat/>
    <w:uiPriority w:val="99"/>
    <w:rPr>
      <w:b/>
      <w:bCs/>
    </w:rPr>
  </w:style>
  <w:style w:type="character" w:customStyle="1" w:styleId="223">
    <w:name w:val="批注主题 Char"/>
    <w:basedOn w:val="199"/>
    <w:link w:val="222"/>
    <w:semiHidden/>
    <w:qFormat/>
    <w:uiPriority w:val="99"/>
    <w:rPr>
      <w:b/>
      <w:bCs/>
    </w:rPr>
  </w:style>
  <w:style w:type="paragraph" w:customStyle="1" w:styleId="224">
    <w:name w:val="正文首行缩进1"/>
    <w:basedOn w:val="200"/>
    <w:link w:val="225"/>
    <w:qFormat/>
    <w:uiPriority w:val="0"/>
    <w:pPr>
      <w:spacing w:line="360" w:lineRule="auto"/>
      <w:ind w:firstLine="200"/>
    </w:pPr>
    <w:rPr>
      <w:rFonts w:ascii="仿宋_GB2312" w:hAnsi="Arial" w:eastAsia="仿宋_GB2312"/>
      <w:sz w:val="30"/>
      <w:szCs w:val="30"/>
    </w:rPr>
  </w:style>
  <w:style w:type="character" w:customStyle="1" w:styleId="225">
    <w:name w:val="正文首行缩进 Char"/>
    <w:basedOn w:val="202"/>
    <w:link w:val="224"/>
    <w:qFormat/>
    <w:uiPriority w:val="0"/>
    <w:rPr>
      <w:rFonts w:ascii="仿宋_GB2312" w:hAnsi="Arial" w:eastAsia="仿宋_GB2312"/>
      <w:sz w:val="30"/>
      <w:szCs w:val="30"/>
    </w:rPr>
  </w:style>
  <w:style w:type="paragraph" w:customStyle="1" w:styleId="226">
    <w:name w:val="正文首行缩进 211"/>
    <w:basedOn w:val="203"/>
    <w:next w:val="224"/>
    <w:link w:val="227"/>
    <w:qFormat/>
    <w:uiPriority w:val="0"/>
    <w:pPr>
      <w:spacing w:line="360" w:lineRule="auto"/>
      <w:ind w:firstLine="420"/>
    </w:pPr>
    <w:rPr>
      <w:rFonts w:ascii="宋体" w:hAnsi="宋体"/>
      <w:sz w:val="21"/>
    </w:rPr>
  </w:style>
  <w:style w:type="character" w:customStyle="1" w:styleId="227">
    <w:name w:val="正文首行缩进 2 Char"/>
    <w:basedOn w:val="204"/>
    <w:link w:val="226"/>
    <w:qFormat/>
    <w:uiPriority w:val="0"/>
    <w:rPr>
      <w:rFonts w:ascii="宋体" w:hAnsi="宋体"/>
    </w:rPr>
  </w:style>
  <w:style w:type="table" w:customStyle="1" w:styleId="228">
    <w:name w:val="网格型1"/>
    <w:basedOn w:val="191"/>
    <w:unhideWhenUsed/>
    <w:qFormat/>
    <w:uiPriority w:val="99"/>
    <w:pPr>
      <w:widowControl w:val="0"/>
      <w:jc w:val="both"/>
    </w:pPr>
    <w:rPr>
      <w:rFonts w:ascii="Times New Roman" w:hAnsi="Times New Roman"/>
    </w:rPr>
  </w:style>
  <w:style w:type="character" w:customStyle="1" w:styleId="229">
    <w:name w:val="页码1"/>
    <w:basedOn w:val="190"/>
    <w:link w:val="1"/>
    <w:qFormat/>
    <w:uiPriority w:val="0"/>
  </w:style>
  <w:style w:type="character" w:customStyle="1" w:styleId="230">
    <w:name w:val="超链接1"/>
    <w:link w:val="1"/>
    <w:qFormat/>
    <w:uiPriority w:val="99"/>
    <w:rPr>
      <w:rFonts w:cs="Times New Roman"/>
      <w:color w:val="336699"/>
      <w:sz w:val="18"/>
      <w:u w:val="none"/>
    </w:rPr>
  </w:style>
  <w:style w:type="character" w:customStyle="1" w:styleId="231">
    <w:name w:val="批注引用1"/>
    <w:link w:val="1"/>
    <w:semiHidden/>
    <w:qFormat/>
    <w:uiPriority w:val="99"/>
    <w:rPr>
      <w:rFonts w:cs="Times New Roman"/>
      <w:sz w:val="21"/>
      <w:szCs w:val="21"/>
    </w:rPr>
  </w:style>
  <w:style w:type="character" w:customStyle="1" w:styleId="232">
    <w:name w:val="正文文本 Char1"/>
    <w:link w:val="1"/>
    <w:qFormat/>
    <w:uiPriority w:val="99"/>
    <w:rPr>
      <w:rFonts w:ascii="Times New Roman" w:hAnsi="Times New Roman" w:eastAsia="宋体" w:cs="Times New Roman"/>
      <w:sz w:val="24"/>
      <w:szCs w:val="24"/>
    </w:rPr>
  </w:style>
  <w:style w:type="character" w:customStyle="1" w:styleId="233">
    <w:name w:val="正文文本缩进 3 Char1"/>
    <w:link w:val="1"/>
    <w:qFormat/>
    <w:uiPriority w:val="99"/>
    <w:rPr>
      <w:rFonts w:ascii="Arial" w:hAnsi="Arial" w:eastAsia="宋体" w:cs="Times New Roman"/>
      <w:color w:val="FFFF00"/>
      <w:sz w:val="32"/>
      <w:szCs w:val="20"/>
    </w:rPr>
  </w:style>
  <w:style w:type="character" w:customStyle="1" w:styleId="234">
    <w:name w:val="正文文本 Char2"/>
    <w:link w:val="1"/>
    <w:semiHidden/>
    <w:qFormat/>
    <w:uiPriority w:val="99"/>
    <w:rPr>
      <w:rFonts w:ascii="Times New Roman" w:hAnsi="Times New Roman"/>
      <w:sz w:val="24"/>
    </w:rPr>
  </w:style>
  <w:style w:type="paragraph" w:customStyle="1" w:styleId="235">
    <w:name w:val="Default"/>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236">
    <w:name w:val="f3"/>
    <w:basedOn w:val="1"/>
    <w:qFormat/>
    <w:uiPriority w:val="99"/>
    <w:pPr>
      <w:widowControl/>
      <w:spacing w:before="100" w:beforeAutospacing="1" w:after="100" w:afterAutospacing="1" w:line="280" w:lineRule="atLeast"/>
      <w:jc w:val="left"/>
    </w:pPr>
    <w:rPr>
      <w:rFonts w:ascii="宋体" w:hAnsi="宋体"/>
      <w:sz w:val="18"/>
      <w:szCs w:val="18"/>
    </w:rPr>
  </w:style>
  <w:style w:type="paragraph" w:customStyle="1" w:styleId="237">
    <w:name w:val="WPS Plain"/>
    <w:qFormat/>
    <w:uiPriority w:val="0"/>
    <w:rPr>
      <w:rFonts w:hint="default" w:ascii="Times New Roman" w:hAnsi="Times New Roman" w:eastAsia="宋体" w:cs="Times New Roman"/>
      <w:lang w:val="en-US" w:eastAsia="zh-CN" w:bidi="ar-SA"/>
    </w:rPr>
  </w:style>
  <w:style w:type="paragraph" w:customStyle="1" w:styleId="238">
    <w:name w:val="列出段落"/>
    <w:basedOn w:val="1"/>
    <w:qFormat/>
    <w:uiPriority w:val="99"/>
    <w:pPr>
      <w:ind w:firstLine="420"/>
    </w:pPr>
  </w:style>
  <w:style w:type="paragraph" w:customStyle="1" w:styleId="239">
    <w:name w:val="无间隔1"/>
    <w:qFormat/>
    <w:uiPriority w:val="1"/>
    <w:pPr>
      <w:widowControl w:val="0"/>
      <w:jc w:val="both"/>
    </w:pPr>
    <w:rPr>
      <w:rFonts w:hint="default" w:ascii="Times New Roman" w:hAnsi="Times New Roman" w:eastAsia="宋体" w:cs="Times New Roman"/>
      <w:sz w:val="21"/>
      <w:szCs w:val="22"/>
      <w:lang w:val="en-US" w:eastAsia="zh-CN" w:bidi="ar-SA"/>
    </w:rPr>
  </w:style>
  <w:style w:type="paragraph" w:customStyle="1" w:styleId="240">
    <w:name w:val="正文首行缩进 21"/>
    <w:basedOn w:val="241"/>
    <w:unhideWhenUsed/>
    <w:qFormat/>
    <w:uiPriority w:val="0"/>
    <w:pPr>
      <w:spacing w:after="0" w:line="360" w:lineRule="auto"/>
      <w:ind w:left="0" w:firstLine="420"/>
    </w:pPr>
    <w:rPr>
      <w:rFonts w:ascii="宋体" w:hAnsi="宋体"/>
      <w:szCs w:val="20"/>
    </w:rPr>
  </w:style>
  <w:style w:type="paragraph" w:customStyle="1" w:styleId="241">
    <w:name w:val="正文文本缩进11"/>
    <w:basedOn w:val="1"/>
    <w:unhideWhenUsed/>
    <w:qFormat/>
    <w:uiPriority w:val="99"/>
    <w:pPr>
      <w:spacing w:after="120"/>
      <w:ind w:left="420"/>
    </w:pPr>
  </w:style>
  <w:style w:type="paragraph" w:customStyle="1" w:styleId="242">
    <w:name w:val="目录 51"/>
    <w:basedOn w:val="1"/>
    <w:next w:val="1"/>
    <w:qFormat/>
    <w:uiPriority w:val="99"/>
    <w:pPr>
      <w:ind w:left="800"/>
    </w:pPr>
    <w:rPr>
      <w:rFonts w:ascii="Calibri" w:hAnsi="Calibri"/>
      <w:szCs w:val="22"/>
    </w:rPr>
  </w:style>
  <w:style w:type="table" w:customStyle="1" w:styleId="243">
    <w:name w:val="Table Normal"/>
    <w:unhideWhenUsed/>
    <w:qFormat/>
    <w:uiPriority w:val="0"/>
    <w:rPr>
      <w:rFonts w:ascii="Times New Roman" w:hAnsi="Times New Roman"/>
      <w:lang w:val="en-US" w:eastAsia="zh-CN" w:bidi="ar-SA"/>
    </w:rPr>
  </w:style>
  <w:style w:type="paragraph" w:customStyle="1" w:styleId="244">
    <w:name w:val="Table Text"/>
    <w:basedOn w:val="1"/>
    <w:semiHidden/>
    <w:qFormat/>
    <w:uiPriority w:val="0"/>
    <w:rPr>
      <w:rFonts w:ascii="宋体" w:hAnsi="宋体" w:cs="宋体"/>
      <w:lang w:eastAsia="en-US"/>
    </w:rPr>
  </w:style>
  <w:style w:type="character" w:customStyle="1" w:styleId="245">
    <w:name w:val="NormalCharacter1"/>
    <w:link w:val="1"/>
    <w:qFormat/>
    <w:uiPriority w:val="0"/>
    <w:rPr>
      <w:rFonts w:ascii="Times New Roman" w:hAnsi="Times New Roman" w:eastAsia="宋体" w:cs="Times New Roman"/>
    </w:rPr>
  </w:style>
  <w:style w:type="character" w:customStyle="1" w:styleId="246">
    <w:name w:val="wx_text_underline"/>
    <w:basedOn w:val="190"/>
    <w:link w:val="1"/>
    <w:qFormat/>
    <w:uiPriority w:val="0"/>
  </w:style>
  <w:style w:type="paragraph" w:customStyle="1" w:styleId="247">
    <w:name w:val="标书一级编号"/>
    <w:basedOn w:val="1"/>
    <w:qFormat/>
    <w:uiPriority w:val="0"/>
    <w:pPr>
      <w:numPr>
        <w:ilvl w:val="0"/>
        <w:numId w:val="2"/>
      </w:numPr>
      <w:spacing w:line="480" w:lineRule="exact"/>
      <w:outlineLvl w:val="2"/>
    </w:pPr>
    <w:rPr>
      <w:rFonts w:eastAsia="方正细等线_GBK"/>
      <w:b/>
    </w:rPr>
  </w:style>
  <w:style w:type="paragraph" w:customStyle="1" w:styleId="248">
    <w:name w:val="Other|1"/>
    <w:basedOn w:val="1"/>
    <w:qFormat/>
    <w:uiPriority w:val="0"/>
    <w:pPr>
      <w:spacing w:line="270" w:lineRule="exact"/>
    </w:pPr>
    <w:rPr>
      <w:rFonts w:ascii="宋体" w:hAnsi="宋体" w:cs="宋体"/>
      <w:sz w:val="19"/>
      <w:szCs w:val="19"/>
      <w:lang w:val="zh-TW" w:eastAsia="zh-TW" w:bidi="zh-TW"/>
    </w:rPr>
  </w:style>
  <w:style w:type="character" w:customStyle="1" w:styleId="249">
    <w:name w:val="font01"/>
    <w:basedOn w:val="190"/>
    <w:link w:val="1"/>
    <w:qFormat/>
    <w:uiPriority w:val="0"/>
    <w:rPr>
      <w:rFonts w:ascii="方正仿宋_GBK" w:hAnsi="方正仿宋_GBK" w:eastAsia="方正仿宋_GBK" w:cs="方正仿宋_GBK"/>
      <w:color w:val="000000"/>
      <w:sz w:val="21"/>
      <w:szCs w:val="21"/>
      <w:u w:val="none"/>
    </w:rPr>
  </w:style>
  <w:style w:type="character" w:customStyle="1" w:styleId="250">
    <w:name w:val="font31"/>
    <w:basedOn w:val="190"/>
    <w:link w:val="1"/>
    <w:qFormat/>
    <w:uiPriority w:val="0"/>
    <w:rPr>
      <w:rFonts w:ascii="Times New Roman" w:hAnsi="Times New Roman" w:cs="Times New Roman"/>
      <w:color w:val="000000"/>
      <w:sz w:val="21"/>
      <w:szCs w:val="21"/>
      <w:u w:val="none"/>
    </w:rPr>
  </w:style>
  <w:style w:type="paragraph" w:customStyle="1" w:styleId="251">
    <w:name w:val="正文文本11"/>
    <w:basedOn w:val="1"/>
    <w:next w:val="252"/>
    <w:qFormat/>
    <w:uiPriority w:val="0"/>
    <w:pPr>
      <w:spacing w:after="120"/>
    </w:pPr>
    <w:rPr>
      <w:rFonts w:ascii="Calibri" w:hAnsi="Calibri"/>
    </w:rPr>
  </w:style>
  <w:style w:type="paragraph" w:customStyle="1" w:styleId="252">
    <w:name w:val="目录 211"/>
    <w:basedOn w:val="1"/>
    <w:next w:val="1"/>
    <w:unhideWhenUsed/>
    <w:qFormat/>
    <w:uiPriority w:val="39"/>
    <w:pPr>
      <w:spacing w:after="57"/>
      <w:ind w:left="283" w:right="0" w:firstLine="0"/>
    </w:pPr>
  </w:style>
  <w:style w:type="paragraph" w:customStyle="1" w:styleId="253">
    <w:name w:val="正文1"/>
    <w:basedOn w:val="1"/>
    <w:qFormat/>
    <w:uiPriority w:val="0"/>
    <w:rPr>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48</Pages>
  <Words>5955</Words>
  <Characters>6446</Characters>
  <TotalTime>193</TotalTime>
  <ScaleCrop>false</ScaleCrop>
  <LinksUpToDate>false</LinksUpToDate>
  <CharactersWithSpaces>8065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2025-06-17T08:27:00Z</dcterms:created>
  <dc:creator>Administrator</dc:creator>
  <cp:lastModifiedBy>江苏嘉泽</cp:lastModifiedBy>
  <dcterms:modified xsi:type="dcterms:W3CDTF">2026-05-29T07:06:41Z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eyJoZGlkIjoiNTdjODJlM2NlNjdiOGNhZTgxODMzYjI5NzllZmY3ZjkiLCJ1c2VySWQiOiIxMzkzMDAxNjkwIn0=</vt:lpwstr>
  </property>
  <property fmtid="{D5CDD505-2E9C-101B-9397-08002B2CF9AE}" pid="3" name="KSOProductBuildVer">
    <vt:lpwstr>2052-12.1.0.26375</vt:lpwstr>
  </property>
  <property fmtid="{D5CDD505-2E9C-101B-9397-08002B2CF9AE}" pid="4" name="ICV">
    <vt:lpwstr>918FEB1317C64B2BB7F4C95B6B21E075_13</vt:lpwstr>
  </property>
</Properties>
</file>