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000000" w:themeColor="text1"/>
          <w:sz w:val="72"/>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72"/>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72"/>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72"/>
          <w:szCs w:val="20"/>
          <w:highlight w:val="none"/>
          <w:shd w:val="clear" w:color="auto" w:fill="ffffff"/>
          <w14:textFill>
            <w14:solidFill>
              <w14:schemeClr w14:val="tx1"/>
            </w14:solidFill>
          </w14:textFill>
        </w:rPr>
        <w:t xml:space="preserve">苏 州 市 政 府 采 购</w:t>
      </w:r>
      <w:r/>
    </w:p>
    <w:p>
      <w:pPr>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72"/>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72"/>
          <w:szCs w:val="20"/>
          <w:highlight w:val="none"/>
          <w:shd w:val="clear" w:color="auto" w:fill="ffffff"/>
          <w14:textFill>
            <w14:solidFill>
              <w14:schemeClr w14:val="tx1"/>
            </w14:solidFill>
          </w14:textFill>
        </w:rPr>
        <w:t xml:space="preserve">招 标 文 件</w:t>
      </w:r>
      <w:r/>
    </w:p>
    <w:p>
      <w:pPr>
        <w:jc w:val="center"/>
        <w:spacing w:line="360" w:lineRule="auto"/>
        <w:rPr>
          <w:rFonts w:hint="eastAsia" w:ascii="宋体" w:hAnsi="宋体" w:eastAsia="宋体" w:cs="宋体"/>
          <w:color w:val="000000" w:themeColor="text1"/>
          <w:sz w:val="26"/>
          <w:szCs w:val="26"/>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6"/>
          <w:highlight w:val="none"/>
          <w:shd w:val="clear" w:color="auto" w:fill="ffffff"/>
          <w14:textFill>
            <w14:solidFill>
              <w14:schemeClr w14:val="tx1"/>
            </w14:solidFill>
          </w14:textFill>
        </w:rPr>
      </w:r>
      <w:r/>
    </w:p>
    <w:p>
      <w:pPr>
        <w:pStyle w:val="991"/>
        <w:ind w:firstLine="0"/>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1928"/>
        <w:spacing w:line="360" w:lineRule="auto"/>
        <w:rPr>
          <w:rFonts w:hint="default" w:ascii="宋体" w:hAnsi="宋体" w:eastAsia="宋体" w:cs="宋体"/>
          <w:b/>
          <w:bCs/>
          <w:color w:val="000000" w:themeColor="text1"/>
          <w:sz w:val="32"/>
          <w:szCs w:val="20"/>
          <w:highlight w:val="none"/>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采购编号：</w:t>
      </w:r>
      <w:r>
        <w:rPr>
          <w:rFonts w:hint="eastAsia" w:ascii="宋体" w:hAnsi="宋体" w:eastAsia="宋体" w:cs="宋体"/>
          <w:b/>
          <w:bCs/>
          <w:color w:val="000000" w:themeColor="text1"/>
          <w:sz w:val="32"/>
          <w:szCs w:val="20"/>
          <w:highlight w:val="none"/>
          <w:shd w:val="clear" w:color="auto" w:fill="ffffff"/>
          <w:lang w:val="en-US" w:eastAsia="zh-CN"/>
          <w14:textFill>
            <w14:solidFill>
              <w14:schemeClr w14:val="tx1"/>
            </w14:solidFill>
          </w14:textFill>
        </w:rPr>
        <w:t xml:space="preserve">JSZC-320500-XCXC-G2026-0006</w:t>
      </w:r>
      <w:r/>
    </w:p>
    <w:p>
      <w:pPr>
        <w:ind w:firstLine="1928"/>
        <w:spacing w:line="360" w:lineRule="auto"/>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 购 人：苏州幼儿师范高等专科学校</w:t>
      </w:r>
      <w:r/>
    </w:p>
    <w:p>
      <w:pPr>
        <w:ind w:firstLine="1928"/>
        <w:spacing w:line="360" w:lineRule="auto"/>
        <w:rPr>
          <w:rFonts w:hint="eastAsia" w:ascii="宋体" w:hAnsi="宋体" w:eastAsia="宋体" w:cs="宋体"/>
          <w:b/>
          <w:bCs/>
          <w:color w:val="000000" w:themeColor="text1"/>
          <w:sz w:val="32"/>
          <w:szCs w:val="20"/>
          <w:highlight w:val="none"/>
          <w:shd w:val="clear" w:color="auto" w:fill="ffffff"/>
          <w:lang w:eastAsia="zh-CN"/>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采购内容：</w:t>
      </w:r>
      <w:r>
        <w:rPr>
          <w:rFonts w:hint="eastAsia" w:ascii="宋体" w:hAnsi="宋体" w:eastAsia="宋体" w:cs="宋体"/>
          <w:b/>
          <w:bCs/>
          <w:color w:val="000000" w:themeColor="text1"/>
          <w:sz w:val="32"/>
          <w:szCs w:val="20"/>
          <w:highlight w:val="none"/>
          <w:shd w:val="clear" w:color="auto" w:fill="ffffff"/>
          <w:lang w:eastAsia="zh-CN"/>
          <w14:textFill>
            <w14:solidFill>
              <w14:schemeClr w14:val="tx1"/>
            </w14:solidFill>
          </w14:textFill>
        </w:rPr>
        <w:t xml:space="preserve">苏州幼儿师范高等专科学校食堂后勤服务采购项目</w:t>
      </w:r>
      <w:r/>
    </w:p>
    <w:p>
      <w:pPr>
        <w:ind w:firstLine="1928"/>
        <w:spacing w:line="360" w:lineRule="auto"/>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采购类别：服务类</w:t>
      </w:r>
      <w:r/>
    </w:p>
    <w:p>
      <w:pPr>
        <w:pStyle w:val="835"/>
        <w:ind w:left="0"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6"/>
          <w:szCs w:val="26"/>
          <w:highlight w:val="none"/>
          <w:shd w:val="clear" w:color="auto" w:fill="ffffff"/>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058160" cy="210883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9">
                          <a:clrChange>
                            <a:clrFrom>
                              <a:srgbClr val="FFFFFF"/>
                            </a:clrFrom>
                            <a:clrTo>
                              <a:srgbClr val="FFFFFF">
                                <a:alpha val="0"/>
                              </a:srgbClr>
                            </a:clrTo>
                          </a:clrChange>
                        </a:blip>
                        <a:stretch/>
                      </pic:blipFill>
                      <pic:spPr bwMode="auto">
                        <a:xfrm>
                          <a:off x="0" y="0"/>
                          <a:ext cx="3058160" cy="2108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40.8pt;height:166.0pt;mso-wrap-distance-left:0.0pt;mso-wrap-distance-top:0.0pt;mso-wrap-distance-right:0.0pt;mso-wrap-distance-bottom:0.0pt;" stroked="f">
                <v:path textboxrect="0,0,0,0"/>
                <v:imagedata r:id="rId19" o:title=""/>
              </v:shape>
            </w:pict>
          </mc:Fallback>
        </mc:AlternateContent>
      </w:r>
      <w:r/>
    </w:p>
    <w:p>
      <w:pPr>
        <w:pStyle w:val="835"/>
        <w:ind w:left="0"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highlight w:val="none"/>
          <w:lang w:val="en-US" w:eastAsia="zh-CN"/>
          <w14:textFill>
            <w14:solidFill>
              <w14:schemeClr w14:val="tx1"/>
            </w14:solidFill>
          </w14:textFill>
        </w:rP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苏州星创招投标咨询有限公司</w:t>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b/>
          <w:color w:val="000000" w:themeColor="text1"/>
          <w:sz w:val="32"/>
          <w:szCs w:val="20"/>
          <w:highlight w:val="none"/>
          <w:shd w:val="clear" w:color="auto" w:fill="ffffff"/>
          <w14:textFill>
            <w14:solidFill>
              <w14:schemeClr w14:val="tx1"/>
            </w14:solidFill>
          </w14:textFill>
        </w:rPr>
        <w:t xml:space="preserve">二○二</w:t>
      </w:r>
      <w:r>
        <w:rPr>
          <w:rFonts w:hint="eastAsia" w:ascii="宋体" w:hAnsi="宋体" w:eastAsia="宋体" w:cs="宋体"/>
          <w:b/>
          <w:color w:val="000000" w:themeColor="text1"/>
          <w:sz w:val="32"/>
          <w:szCs w:val="20"/>
          <w:highlight w:val="none"/>
          <w:shd w:val="clear" w:color="auto" w:fill="ffffff"/>
          <w:lang w:val="en-US" w:eastAsia="zh-CN"/>
          <w14:textFill>
            <w14:solidFill>
              <w14:schemeClr w14:val="tx1"/>
            </w14:solidFill>
          </w14:textFill>
        </w:rPr>
        <w:t xml:space="preserve">六</w:t>
      </w:r>
      <w:r>
        <w:rPr>
          <w:rFonts w:hint="eastAsia" w:ascii="宋体" w:hAnsi="宋体" w:eastAsia="宋体" w:cs="宋体"/>
          <w:b/>
          <w:color w:val="000000" w:themeColor="text1"/>
          <w:sz w:val="32"/>
          <w:szCs w:val="20"/>
          <w:highlight w:val="none"/>
          <w:shd w:val="clear" w:color="auto" w:fill="ffffff"/>
          <w14:textFill>
            <w14:solidFill>
              <w14:schemeClr w14:val="tx1"/>
            </w14:solidFill>
          </w14:textFill>
        </w:rPr>
        <w:t xml:space="preserve">年</w:t>
      </w:r>
      <w:r>
        <w:rPr>
          <w:rFonts w:hint="eastAsia" w:ascii="宋体" w:hAnsi="宋体" w:eastAsia="宋体" w:cs="宋体"/>
          <w:b/>
          <w:color w:val="000000" w:themeColor="text1"/>
          <w:sz w:val="32"/>
          <w:szCs w:val="20"/>
          <w:highlight w:val="none"/>
          <w:shd w:val="clear" w:color="auto" w:fill="ffffff"/>
          <w:lang w:val="en-US" w:eastAsia="zh-CN"/>
          <w14:textFill>
            <w14:solidFill>
              <w14:schemeClr w14:val="tx1"/>
            </w14:solidFill>
          </w14:textFill>
        </w:rPr>
        <w:t xml:space="preserve">六</w:t>
      </w:r>
      <w:r>
        <w:rPr>
          <w:rFonts w:hint="eastAsia" w:ascii="宋体" w:hAnsi="宋体" w:eastAsia="宋体" w:cs="宋体"/>
          <w:b/>
          <w:color w:val="000000" w:themeColor="text1"/>
          <w:sz w:val="32"/>
          <w:szCs w:val="20"/>
          <w:highlight w:val="none"/>
          <w:shd w:val="clear" w:color="auto" w:fill="ffffff"/>
          <w14:textFill>
            <w14:solidFill>
              <w14:schemeClr w14:val="tx1"/>
            </w14:solidFill>
          </w14:textFill>
        </w:rPr>
        <w:t xml:space="preserve">月</w:t>
      </w:r>
      <w:r/>
    </w:p>
    <w:p>
      <w:pP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t xml:space="preserve">前附表</w:t>
      </w:r>
      <w:r/>
    </w:p>
    <w:tbl>
      <w:tblPr>
        <w:tblStyle w:val="792"/>
        <w:tblW w:w="95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49"/>
        <w:gridCol w:w="8950"/>
      </w:tblGrid>
      <w:tr>
        <w:trPr>
          <w:jc w:val="center"/>
          <w:trHeight w:val="527"/>
        </w:trPr>
        <w:tc>
          <w:tcPr>
            <w:tcW w:w="649" w:type="dxa"/>
            <w:vAlign w:val="center"/>
            <w:textDirection w:val="lrTb"/>
            <w:noWrap w:val="false"/>
          </w:tcPr>
          <w:p>
            <w:pPr>
              <w:jc w:val="center"/>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序号</w:t>
            </w:r>
            <w:r/>
          </w:p>
        </w:tc>
        <w:tc>
          <w:tcPr>
            <w:tcW w:w="8950" w:type="dxa"/>
            <w:vAlign w:val="center"/>
            <w:textDirection w:val="lrTb"/>
            <w:noWrap w:val="false"/>
          </w:tcPr>
          <w:p>
            <w:pPr>
              <w:jc w:val="center"/>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内容规定</w:t>
            </w:r>
            <w:r/>
          </w:p>
        </w:tc>
      </w:tr>
      <w:tr>
        <w:trPr>
          <w:jc w:val="center"/>
          <w:trHeight w:val="489"/>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1</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采购内容：</w:t>
            </w:r>
            <w:r>
              <w:rPr>
                <w:rFonts w:hint="eastAsia" w:ascii="宋体" w:hAnsi="宋体" w:eastAsia="宋体" w:cs="宋体"/>
                <w:color w:val="000000" w:themeColor="text1"/>
                <w:szCs w:val="21"/>
                <w:highlight w:val="none"/>
                <w:shd w:val="clear" w:color="auto" w:fill="ffffff"/>
                <w:lang w:eastAsia="zh-CN"/>
                <w14:textFill>
                  <w14:solidFill>
                    <w14:schemeClr w14:val="tx1"/>
                  </w14:solidFill>
                </w14:textFill>
              </w:rPr>
              <w:t xml:space="preserve">苏州幼儿师范高等专科学校食堂后勤服务采购项目</w:t>
            </w:r>
            <w:r/>
          </w:p>
        </w:tc>
      </w:tr>
      <w:tr>
        <w:trPr>
          <w:jc w:val="center"/>
          <w:trHeight w:val="520"/>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投标（响应）有效期：自投标（响应）截止日起</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九十天（日历日）</w:t>
            </w:r>
            <w:r/>
          </w:p>
        </w:tc>
      </w:tr>
      <w:tr>
        <w:trPr>
          <w:jc w:val="center"/>
          <w:trHeight w:val="1116"/>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3</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投标（响应）保证金：</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ascii="Wingdings" w:hAnsi="Wingdings" w:eastAsia="Wingdings" w:cs="Wingdings"/>
                <w:color w:val="000000" w:themeColor="text1"/>
                <w:szCs w:val="21"/>
                <w:highlight w:val="none"/>
                <w:shd w:val="clear" w:color="auto" w:fill="ffffff"/>
                <w14:textFill>
                  <w14:solidFill>
                    <w14:schemeClr w14:val="tx1"/>
                  </w14:solidFill>
                </w14:textFill>
              </w:rPr>
              <w:t xml:space="preserve">þ</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不需提交，招标文件中有关投标（响应）保证金的规定均不适用。</w:t>
            </w:r>
            <w:r/>
          </w:p>
          <w:p>
            <w:pPr>
              <w:pStyle w:val="803"/>
              <w:ind w:left="0"/>
              <w:spacing w:line="240" w:lineRule="auto"/>
              <w:rPr>
                <w:rFonts w:hint="eastAsia" w:ascii="宋体" w:hAnsi="宋体" w:eastAsia="宋体" w:cs="宋体"/>
                <w:color w:val="000000" w:themeColor="text1"/>
                <w:highlight w:val="none"/>
                <w14:textFill>
                  <w14:solidFill>
                    <w14:schemeClr w14:val="tx1"/>
                  </w14:solidFill>
                </w14:textFill>
              </w:rPr>
            </w:pPr>
            <w:r>
              <w:rPr>
                <w:rFonts w:ascii="Wingdings" w:hAnsi="Wingdings" w:eastAsia="Wingdings" w:cs="Wingdings"/>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需提交，投标（响应）保证金金额： 元整。</w:t>
            </w:r>
            <w:r/>
          </w:p>
        </w:tc>
      </w:tr>
      <w:tr>
        <w:trPr>
          <w:jc w:val="center"/>
          <w:trHeight w:val="750"/>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4</w:t>
            </w:r>
            <w:r/>
          </w:p>
        </w:tc>
        <w:tc>
          <w:tcPr>
            <w:tcW w:w="895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投标（响应）文件：</w:t>
            </w:r>
            <w:r>
              <w:rPr>
                <w:rFonts w:hint="eastAsia" w:ascii="宋体" w:hAnsi="宋体" w:eastAsia="宋体" w:cs="宋体"/>
                <w:b/>
                <w:bCs/>
                <w:color w:val="000000" w:themeColor="text1"/>
                <w:szCs w:val="21"/>
                <w:highlight w:val="none"/>
                <w14:textFill>
                  <w14:solidFill>
                    <w14:schemeClr w14:val="tx1"/>
                  </w14:solidFill>
                </w14:textFill>
              </w:rPr>
              <w:t xml:space="preserve">本项目采用网上提交电子投标（响应）文件，不接受纸质投标（响应）文件。</w:t>
            </w:r>
            <w:r/>
          </w:p>
        </w:tc>
      </w:tr>
      <w:tr>
        <w:trPr>
          <w:jc w:val="center"/>
          <w:trHeight w:val="2213"/>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5</w:t>
            </w:r>
            <w:r/>
          </w:p>
        </w:tc>
        <w:tc>
          <w:tcPr>
            <w:tcW w:w="8950" w:type="dxa"/>
            <w:vAlign w:val="center"/>
            <w:textDirection w:val="lrTb"/>
            <w:noWrap w:val="false"/>
          </w:tcPr>
          <w:p>
            <w:pPr>
              <w:rPr>
                <w:rFonts w:hint="eastAsia" w:ascii="宋体" w:hAnsi="宋体" w:eastAsia="宋体" w:cs="宋体"/>
                <w:bCs/>
                <w:color w:val="000000" w:themeColor="text1"/>
                <w:szCs w:val="21"/>
                <w:highlight w:val="none"/>
                <w:shd w:val="clear" w:color="auto" w:fill="ffffff"/>
                <w14:textFill>
                  <w14:solidFill>
                    <w14:schemeClr w14:val="tx1"/>
                  </w14:solidFill>
                </w14:textFill>
              </w:rPr>
            </w:pPr>
            <w:r>
              <w:rPr>
                <w:rFonts w:hint="eastAsia" w:ascii="宋体" w:hAnsi="宋体" w:eastAsia="宋体" w:cs="宋体"/>
                <w:bCs/>
                <w:color w:val="000000" w:themeColor="text1"/>
                <w:szCs w:val="21"/>
                <w:highlight w:val="none"/>
                <w:shd w:val="clear" w:color="auto" w:fill="ffffff"/>
                <w14:textFill>
                  <w14:solidFill>
                    <w14:schemeClr w14:val="tx1"/>
                  </w14:solidFill>
                </w14:textFill>
              </w:rPr>
              <w:t xml:space="preserve">开标信息</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投标（响应）截止时间：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2026</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14</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日</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点</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30</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分（北京时间）</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开标时间：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2026</w:t>
            </w:r>
            <w:r>
              <w:rPr>
                <w:rFonts w:hint="eastAsia" w:ascii="宋体" w:hAnsi="宋体" w:eastAsia="宋体" w:cs="宋体"/>
                <w:color w:val="000000" w:themeColor="text1"/>
                <w:szCs w:val="21"/>
                <w:highlight w:val="none"/>
                <w:shd w:val="clear" w:color="auto" w:fill="ffffff"/>
                <w:lang w:eastAsia="zh-CN"/>
                <w14:textFill>
                  <w14:solidFill>
                    <w14:schemeClr w14:val="tx1"/>
                  </w14:solidFill>
                </w14:textFill>
              </w:rPr>
              <w:t xml:space="preserve">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14</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日</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点</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30</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分（北京时间）</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开标地点：“苏采云”系统（网址：http://jszfcg.jsczt.cn/）</w:t>
            </w:r>
            <w:r/>
          </w:p>
          <w:p>
            <w:pPr>
              <w:widowControl/>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1481"/>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6</w:t>
            </w:r>
            <w:r/>
          </w:p>
        </w:tc>
        <w:tc>
          <w:tcPr>
            <w:tcW w:w="8950" w:type="dxa"/>
            <w:vAlign w:val="center"/>
            <w:textDirection w:val="lrTb"/>
            <w:noWrap w:val="false"/>
          </w:tcPr>
          <w:p>
            <w:pPr>
              <w:ind w:right="-159"/>
              <w:jc w:val="left"/>
              <w:widowControl/>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履约保证金：</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ascii="Wingdings" w:hAnsi="Wingdings" w:eastAsia="Wingdings" w:cs="Wingdings"/>
                <w:color w:val="000000" w:themeColor="text1"/>
                <w:szCs w:val="21"/>
                <w:highlight w:val="none"/>
                <w:shd w:val="clear" w:color="auto" w:fill="ffffff"/>
                <w14:textFill>
                  <w14:solidFill>
                    <w14:schemeClr w14:val="tx1"/>
                  </w14:solidFill>
                </w14:textFill>
              </w:rPr>
              <w:t xml:space="preserve">þ</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不需提交，招标文件中有关履约保证金的规定均不适用。</w:t>
            </w:r>
            <w:r/>
          </w:p>
          <w:p>
            <w:pPr>
              <w:ind w:right="-159"/>
              <w:jc w:val="left"/>
              <w:widowControl/>
              <w:rPr>
                <w:rFonts w:hint="eastAsia" w:ascii="宋体" w:hAnsi="宋体" w:eastAsia="宋体" w:cs="宋体"/>
                <w:bCs/>
                <w:color w:val="000000" w:themeColor="text1"/>
                <w:sz w:val="24"/>
                <w:szCs w:val="24"/>
                <w:highlight w:val="none"/>
                <w14:textFill>
                  <w14:solidFill>
                    <w14:schemeClr w14:val="tx1"/>
                  </w14:solidFill>
                </w14:textFill>
              </w:rPr>
            </w:pPr>
            <w:r>
              <w:rPr>
                <w:rFonts w:ascii="Wingdings" w:hAnsi="Wingdings" w:eastAsia="Wingdings" w:cs="Wingdings"/>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需提交，中标金额的5%。（可提供符合《关于在全省政府采购领域推行电子履约保函(保险)的通知》（苏财购[2023]150号）要求的电子履约保函）</w:t>
            </w:r>
            <w:r/>
          </w:p>
        </w:tc>
      </w:tr>
      <w:tr>
        <w:trPr>
          <w:jc w:val="center"/>
          <w:trHeight w:val="4612"/>
        </w:trPr>
        <w:tc>
          <w:tcPr>
            <w:tcW w:w="649" w:type="dxa"/>
            <w:vAlign w:val="center"/>
            <w:textDirection w:val="lrTb"/>
            <w:noWrap w:val="false"/>
          </w:tcPr>
          <w:p>
            <w:pPr>
              <w:ind w:right="18"/>
              <w:jc w:val="center"/>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8950" w:type="dxa"/>
            <w:vAlign w:val="center"/>
            <w:textDirection w:val="lrTb"/>
            <w:noWrap w:val="false"/>
          </w:tcPr>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代理服务费收费标准：代理服务费收费按以下标准的</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65</w:t>
            </w:r>
            <w:r>
              <w:rPr>
                <w:rFonts w:hint="eastAsia" w:ascii="宋体" w:hAnsi="宋体" w:eastAsia="宋体" w:cs="宋体"/>
                <w:color w:val="000000" w:themeColor="text1"/>
                <w:szCs w:val="21"/>
                <w:highlight w:val="none"/>
                <w:u w:val="singl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收取：</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预算金额100万元以下部分，费率为该部分预算金额的1.5%；</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预算金额100万元（含）-500万元部分，费率为该部分预算金额的1.1%；</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预算金额500万元（含）-1000万元部分，费率为该部分预算金额的0.8%；</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预算金额1000万元（含）-5000万元部分，费率为该部分预算金额的0.5%；</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预算金额5000万元以上部分，费率为该部分预算金额的0.25%。</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成交通知书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1"/>
                <w:highlight w:val="none"/>
                <w14:textFill>
                  <w14:solidFill>
                    <w14:schemeClr w14:val="tx1"/>
                  </w14:solidFill>
                </w14:textFill>
              </w:rPr>
              <w:t xml:space="preserve">人向采购代理机构一次性付清。</w:t>
            </w:r>
            <w:r/>
          </w:p>
          <w:p>
            <w:pPr>
              <w:ind w:right="18"/>
              <w:jc w:val="left"/>
              <w:tabs>
                <w:tab w:val="left" w:pos="720" w:leader="none"/>
              </w:tabs>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注：</w:t>
            </w:r>
            <w:r>
              <w:rPr>
                <w:rFonts w:hint="eastAsia"/>
                <w:color w:val="000000" w:themeColor="text1"/>
                <w:highlight w:val="none"/>
                <w:lang w:val="en-US" w:eastAsia="zh-CN"/>
                <w14:textFill>
                  <w14:solidFill>
                    <w14:schemeClr w14:val="tx1"/>
                  </w14:solidFill>
                </w14:textFill>
              </w:rPr>
              <w:t xml:space="preserve">因本项目代理服务费在财政预算申报时已经包含在采购预算内，故由中标单位支付”</w:t>
            </w:r>
            <w:r/>
          </w:p>
          <w:p>
            <w:pPr>
              <w:ind w:right="18"/>
              <w:jc w:val="left"/>
              <w:tabs>
                <w:tab w:val="left" w:pos="720" w:leader="none"/>
              </w:tabs>
              <w:rPr>
                <w:rFonts w:hint="eastAsia" w:ascii="宋体" w:hAnsi="宋体" w:eastAsia="宋体" w:cs="宋体"/>
                <w:color w:val="000000" w:themeColor="text1"/>
                <w:szCs w:val="21"/>
                <w:highlight w:val="none"/>
                <w:lang w:val="zh-TW" w:eastAsia="zh-TW"/>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收款单位：苏州星创招投标咨询有限公司</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银行账号：</w:t>
            </w:r>
            <w:r>
              <w:rPr>
                <w:rFonts w:hint="eastAsia" w:ascii="宋体" w:hAnsi="宋体" w:eastAsia="宋体" w:cs="宋体"/>
                <w:color w:val="000000" w:themeColor="text1"/>
                <w:szCs w:val="21"/>
                <w:highlight w:val="none"/>
                <w14:textFill>
                  <w14:solidFill>
                    <w14:schemeClr w14:val="tx1"/>
                  </w14:solidFill>
                </w14:textFill>
              </w:rPr>
              <w:t xml:space="preserve">32250198903600002434</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开户银行：中国建设银行股份有限公司苏州城中支行</w:t>
            </w:r>
            <w:r/>
          </w:p>
        </w:tc>
      </w:tr>
      <w:tr>
        <w:trPr>
          <w:jc w:val="center"/>
          <w:trHeight w:val="816"/>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8</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政府采购监督电话：</w:t>
            </w:r>
            <w:r>
              <w:rPr>
                <w:rFonts w:ascii="宋体" w:hAnsi="宋体" w:eastAsia="宋体" w:cs="宋体"/>
                <w:color w:val="000000" w:themeColor="text1"/>
                <w:szCs w:val="21"/>
                <w:highlight w:val="none"/>
                <w:shd w:val="clear" w:color="auto" w:fill="ffffff"/>
                <w14:textFill>
                  <w14:solidFill>
                    <w14:schemeClr w14:val="tx1"/>
                  </w14:solidFill>
                </w14:textFill>
              </w:rPr>
              <w:t xml:space="preserve">0512-68616651</w:t>
            </w:r>
            <w:r/>
          </w:p>
        </w:tc>
      </w:tr>
    </w:tbl>
    <w:p>
      <w:pPr>
        <w:jc w:val="center"/>
        <w:spacing w:line="360" w:lineRule="auto"/>
        <w:rPr>
          <w:rFonts w:hint="eastAsia" w:ascii="宋体" w:hAnsi="宋体" w:eastAsia="宋体" w:cs="宋体"/>
          <w:color w:val="000000" w:themeColor="text1"/>
          <w:sz w:val="52"/>
          <w:szCs w:val="52"/>
          <w:highlight w:val="none"/>
          <w:shd w:val="clear" w:color="auto" w:fill="ffffff"/>
          <w14:textFill>
            <w14:solidFill>
              <w14:schemeClr w14:val="tx1"/>
            </w14:solidFill>
          </w14:textFill>
        </w:rPr>
      </w:pPr>
      <w:r>
        <w:rPr>
          <w:rFonts w:hint="eastAsia" w:ascii="宋体" w:hAnsi="宋体" w:eastAsia="宋体" w:cs="宋体"/>
          <w:color w:val="000000" w:themeColor="text1"/>
          <w:sz w:val="52"/>
          <w:szCs w:val="52"/>
          <w:highlight w:val="none"/>
          <w:shd w:val="clear" w:color="auto" w:fill="ffffff"/>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48"/>
          <w:szCs w:val="48"/>
          <w:highlight w:val="none"/>
          <w:shd w:val="clear" w:color="auto" w:fill="ffffff"/>
          <w14:textFill>
            <w14:solidFill>
              <w14:schemeClr w14:val="tx1"/>
            </w14:solidFill>
          </w14:textFill>
        </w:rPr>
      </w:pPr>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t xml:space="preserve">总目录</w:t>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fldChar w:fldCharType="begin"/>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instrText xml:space="preserve"> TOC \o "1-1"</w:instrTex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fldChar w:fldCharType="separate"/>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第一章投标邀请函</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_Toc105940237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3</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第二章供应商须知</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_Toc105940238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9</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第三章投标文件格式</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_Toc105940239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26</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第四章招标书</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_Toc105940240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40</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第五章合同主要条款</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_Toc105940241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49</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第六章评分标准</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_Toc105940242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56</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第七章附件</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_Toc105940243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60</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fldChar w:fldCharType="end"/>
      </w:r>
      <w:r/>
    </w:p>
    <w:p>
      <w:pPr>
        <w:spacing w:line="360" w:lineRule="auto"/>
        <w:rPr>
          <w:rFonts w:hint="eastAsia" w:ascii="宋体" w:hAnsi="宋体" w:eastAsia="宋体" w:cs="宋体"/>
          <w:b/>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bookmarkStart w:id="0" w:name="_Toc105940237"/>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第一章 投标邀请函</w:t>
      </w:r>
      <w:bookmarkEnd w:id="0"/>
      <w:r/>
      <w:bookmarkStart w:id="1" w:name="_Hlk117242093"/>
      <w:r/>
      <w:bookmarkEnd w:id="1"/>
      <w:r/>
      <w:r/>
    </w:p>
    <w:p>
      <w:pPr>
        <w:jc w:val="lef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bl>
      <w:tblPr>
        <w:tblStyle w:val="79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项目概况：</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苏州幼儿师范高等专科学校食堂后勤服务采购项目</w:t>
            </w:r>
            <w:r>
              <w:rPr>
                <w:rFonts w:hint="eastAsia" w:ascii="宋体" w:hAnsi="宋体" w:eastAsia="宋体" w:cs="宋体"/>
                <w:color w:val="000000" w:themeColor="text1"/>
                <w:sz w:val="24"/>
                <w:highlight w:val="none"/>
                <w14:textFill>
                  <w14:solidFill>
                    <w14:schemeClr w14:val="tx1"/>
                  </w14:solidFill>
                </w14:textFill>
              </w:rPr>
              <w:t xml:space="preserve">项目</w:t>
            </w:r>
            <w:r>
              <w:rPr>
                <w:rFonts w:hint="eastAsia" w:ascii="宋体" w:hAnsi="宋体" w:eastAsia="宋体" w:cs="宋体"/>
                <w:color w:val="000000" w:themeColor="text1"/>
                <w:sz w:val="24"/>
                <w:highlight w:val="none"/>
                <w:lang w:eastAsia="zh-CN"/>
                <w14:textFill>
                  <w14:solidFill>
                    <w14:schemeClr w14:val="tx1"/>
                  </w14:solidFill>
                </w14:textFill>
              </w:rPr>
              <w:t xml:space="preserve">JSZC-320500-XCXC-G2026-0006</w:t>
            </w:r>
            <w:r>
              <w:rPr>
                <w:rFonts w:hint="eastAsia" w:ascii="宋体" w:hAnsi="宋体" w:eastAsia="宋体" w:cs="宋体"/>
                <w:color w:val="000000" w:themeColor="text1"/>
                <w:sz w:val="24"/>
                <w:highlight w:val="none"/>
                <w14:textFill>
                  <w14:solidFill>
                    <w14:schemeClr w14:val="tx1"/>
                  </w14:solidFill>
                </w14:textFill>
              </w:rPr>
              <w:t xml:space="preserve">的潜在投标人应在江苏省政府采购一体化平台“苏采云”系统自行免费下载招标（采购）文件，并于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eastAsia="zh-CN"/>
                <w14:textFill>
                  <w14:solidFill>
                    <w14:schemeClr w14:val="tx1"/>
                  </w14:solidFill>
                </w14:textFill>
              </w:rPr>
              <w:t xml:space="preserve">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lang w:eastAsia="zh-CN"/>
                <w14:textFill>
                  <w14:solidFill>
                    <w14:schemeClr w14:val="tx1"/>
                  </w14:solidFill>
                </w14:textFill>
              </w:rPr>
              <w:t xml:space="preserve">分</w:t>
            </w:r>
            <w:r>
              <w:rPr>
                <w:rFonts w:hint="eastAsia" w:ascii="宋体" w:hAnsi="宋体" w:eastAsia="宋体" w:cs="宋体"/>
                <w:color w:val="000000" w:themeColor="text1"/>
                <w:sz w:val="24"/>
                <w:highlight w:val="none"/>
                <w14:textFill>
                  <w14:solidFill>
                    <w14:schemeClr w14:val="tx1"/>
                  </w14:solidFill>
                </w14:textFill>
              </w:rPr>
              <w:t xml:space="preserve">（北京时间）前递交投标文件。</w:t>
            </w:r>
            <w:r/>
          </w:p>
        </w:tc>
      </w:tr>
    </w:tbl>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eastAsia="zh-CN"/>
          <w14:textFill>
            <w14:solidFill>
              <w14:schemeClr w14:val="tx1"/>
            </w14:solidFill>
          </w14:textFill>
        </w:rPr>
        <w:t xml:space="preserve">JSZC-320500-XCXC-G2026-0006</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苏州幼儿师范高等专科学校食堂后勤服务采购项目</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采购方式：公开招标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2" w:name="_Hlk193370935"/>
      <w:r>
        <w:rPr>
          <w:rFonts w:hint="eastAsia" w:ascii="宋体" w:hAnsi="宋体" w:eastAsia="宋体" w:cs="宋体"/>
          <w:color w:val="000000" w:themeColor="text1"/>
          <w:sz w:val="24"/>
          <w:highlight w:val="none"/>
          <w14:textFill>
            <w14:solidFill>
              <w14:schemeClr w14:val="tx1"/>
            </w14:solidFill>
          </w14:textFill>
        </w:rPr>
        <w:t xml:space="preserve">预算金额：</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人民币（大写）：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贰佰柒拾叁万陆仟</w:t>
      </w:r>
      <w:r>
        <w:rPr>
          <w:rFonts w:hint="eastAsia" w:ascii="宋体" w:hAnsi="宋体" w:eastAsia="宋体" w:cs="宋体"/>
          <w:color w:val="000000" w:themeColor="text1"/>
          <w:sz w:val="24"/>
          <w:highlight w:val="none"/>
          <w14:textFill>
            <w14:solidFill>
              <w14:schemeClr w14:val="tx1"/>
            </w14:solidFill>
          </w14:textFill>
        </w:rPr>
        <w:t xml:space="preserve">元</w:t>
      </w:r>
      <w:r>
        <w:rPr>
          <w:rFonts w:hint="eastAsia" w:ascii="宋体" w:hAnsi="宋体" w:eastAsia="宋体" w:cs="宋体"/>
          <w:color w:val="000000" w:themeColor="text1"/>
          <w:sz w:val="24"/>
          <w:szCs w:val="20"/>
          <w:highlight w:val="none"/>
          <w14:textFill>
            <w14:solidFill>
              <w14:schemeClr w14:val="tx1"/>
            </w14:solidFill>
          </w14:textFill>
        </w:rPr>
        <w:t xml:space="preserve">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人民币（小写）：￥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2736000.00</w:t>
      </w:r>
      <w:r>
        <w:rPr>
          <w:rFonts w:hint="eastAsia" w:ascii="宋体" w:hAnsi="宋体" w:eastAsia="宋体" w:cs="宋体"/>
          <w:color w:val="000000" w:themeColor="text1"/>
          <w:sz w:val="24"/>
          <w:highlight w:val="none"/>
          <w14:textFill>
            <w14:solidFill>
              <w14:schemeClr w14:val="tx1"/>
            </w14:solidFill>
          </w14:textFill>
        </w:rPr>
        <w:t xml:space="preserve">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最高限价（如有）：</w:t>
      </w:r>
      <w:bookmarkEnd w:id="2"/>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人民币（大写）：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贰佰柒拾叁万陆仟</w:t>
      </w:r>
      <w:r>
        <w:rPr>
          <w:rFonts w:hint="eastAsia" w:ascii="宋体" w:hAnsi="宋体" w:eastAsia="宋体" w:cs="宋体"/>
          <w:color w:val="000000" w:themeColor="text1"/>
          <w:sz w:val="24"/>
          <w:highlight w:val="none"/>
          <w14:textFill>
            <w14:solidFill>
              <w14:schemeClr w14:val="tx1"/>
            </w14:solidFill>
          </w14:textFill>
        </w:rPr>
        <w:t xml:space="preserve">元</w:t>
      </w:r>
      <w:r>
        <w:rPr>
          <w:rFonts w:hint="eastAsia" w:ascii="宋体" w:hAnsi="宋体" w:eastAsia="宋体" w:cs="宋体"/>
          <w:color w:val="000000" w:themeColor="text1"/>
          <w:sz w:val="24"/>
          <w:szCs w:val="20"/>
          <w:highlight w:val="none"/>
          <w14:textFill>
            <w14:solidFill>
              <w14:schemeClr w14:val="tx1"/>
            </w14:solidFill>
          </w14:textFill>
        </w:rPr>
        <w:t xml:space="preserve">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人民币（小写）：￥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2736000.00</w:t>
      </w:r>
      <w:r>
        <w:rPr>
          <w:rFonts w:hint="eastAsia" w:ascii="宋体" w:hAnsi="宋体" w:eastAsia="宋体" w:cs="宋体"/>
          <w:color w:val="000000" w:themeColor="text1"/>
          <w:sz w:val="24"/>
          <w:highlight w:val="none"/>
          <w14:textFill>
            <w14:solidFill>
              <w14:schemeClr w14:val="tx1"/>
            </w14:solidFill>
          </w14:textFill>
        </w:rPr>
        <w:t xml:space="preserve">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采购需求：苏州幼儿师范高等专科学校坐落在苏州市相城区华元路2号，学校现有全日制在校生（住宿生）约2300人，教职工及外来服务单位人员</w:t>
      </w:r>
      <w:r>
        <w:rPr>
          <w:rFonts w:hint="eastAsia" w:ascii="宋体" w:hAnsi="宋体" w:eastAsia="宋体" w:cs="宋体"/>
          <w:color w:val="000000" w:themeColor="text1"/>
          <w:sz w:val="24"/>
          <w:szCs w:val="24"/>
          <w:highlight w:val="none"/>
          <w14:textFill>
            <w14:solidFill>
              <w14:schemeClr w14:val="tx1"/>
            </w14:solidFill>
          </w14:textFill>
        </w:rPr>
        <w:t xml:space="preserve">约250人。学校食堂建筑总面积约4800平方米（其中老食堂：学生餐厅2个、食堂操作间1个。新食堂：学生餐厅1个，教工餐厅1个，食堂操作间一个）。共分为两个食堂，可同时容纳1396人同时用餐（其中：老食堂一楼学生餐厅有280个餐位，二楼学生餐厅有716个餐位。新食堂教师餐厅有200个餐位，学生餐厅有380个餐位）。老食堂：一、二层设中餐组、风味小吃组、面食组、西点组、早点组等等；新食堂：设置教工餐及各类风味小吃组。学校为各组配备了基本的厨房设备，水、电、气铺设到位，配备了餐桌椅，可供正常使用。具体详见第四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3" w:name="_Hlk193370988"/>
      <w:r>
        <w:rPr>
          <w:rFonts w:hint="eastAsia" w:ascii="宋体" w:hAnsi="宋体" w:eastAsia="宋体" w:cs="宋体"/>
          <w:color w:val="000000" w:themeColor="text1"/>
          <w:sz w:val="24"/>
          <w:szCs w:val="24"/>
          <w:highlight w:val="none"/>
          <w14:textFill>
            <w14:solidFill>
              <w14:schemeClr w14:val="tx1"/>
            </w14:solidFill>
          </w14:textFill>
        </w:rPr>
        <w:t xml:space="preserve">合同履行期限：合同签订之日起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年。</w:t>
      </w:r>
      <w:bookmarkEnd w:id="3"/>
      <w:r/>
      <w:r/>
    </w:p>
    <w:p>
      <w:pPr>
        <w:ind w:firstLine="480"/>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本项目（是/否）接受联合体：</w:t>
      </w:r>
      <w:r>
        <w:rPr>
          <w:rFonts w:hint="eastAsia" w:ascii="宋体" w:hAnsi="宋体" w:eastAsia="宋体" w:cs="宋体"/>
          <w:color w:val="000000" w:themeColor="text1"/>
          <w:sz w:val="24"/>
          <w:highlight w:val="none"/>
          <w14:textFill>
            <w14:solidFill>
              <w14:schemeClr w14:val="tx1"/>
            </w14:solidFill>
          </w14:textFill>
        </w:rPr>
        <w:t xml:space="preserve">否</w:t>
      </w:r>
      <w:r/>
    </w:p>
    <w:p>
      <w:pPr>
        <w:ind w:firstLine="482"/>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二、申请人的资格要求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（一）满足《中华人民共和国政府采购法》第二十二条规定</w:t>
      </w:r>
      <w:r/>
    </w:p>
    <w:p>
      <w:pPr>
        <w:pStyle w:val="796"/>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bookmarkStart w:id="4" w:name="_Hlk193371023"/>
      <w:r>
        <w:rPr>
          <w:rFonts w:hint="eastAsia" w:ascii="宋体" w:hAnsi="宋体" w:eastAsia="宋体" w:cs="宋体"/>
          <w:color w:val="000000" w:themeColor="text1"/>
          <w:szCs w:val="22"/>
          <w:highlight w:val="none"/>
          <w14:textFill>
            <w14:solidFill>
              <w14:schemeClr w14:val="tx1"/>
            </w14:solidFill>
          </w14:textFill>
        </w:rPr>
        <w:t xml:space="preserve">1、具有独立承担民事责任的能力。</w:t>
      </w:r>
      <w:r/>
    </w:p>
    <w:p>
      <w:pPr>
        <w:pStyle w:val="796"/>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2、具有良好的商业信誉和健全的财务会计制度。</w:t>
      </w:r>
      <w:r/>
    </w:p>
    <w:p>
      <w:pPr>
        <w:pStyle w:val="796"/>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3、具有履行合同所必需的设备和专业技术能力。</w:t>
      </w:r>
      <w:r/>
    </w:p>
    <w:p>
      <w:pPr>
        <w:pStyle w:val="796"/>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4、有依法缴纳税收和社会保障资金的良好记录。</w:t>
      </w:r>
      <w:r/>
    </w:p>
    <w:p>
      <w:pPr>
        <w:pStyle w:val="796"/>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6、法律、行政法规规定的其他条件。</w:t>
      </w:r>
      <w:bookmarkEnd w:id="4"/>
      <w:r/>
      <w:r/>
    </w:p>
    <w:p>
      <w:pPr>
        <w:pStyle w:val="831"/>
        <w:ind w:firstLine="480"/>
        <w:jc w:val="both"/>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（二）落实政府采购政策需满足的资格要求</w:t>
      </w:r>
      <w:r/>
    </w:p>
    <w:p>
      <w:pPr>
        <w:pStyle w:val="831"/>
        <w:ind w:firstLine="480"/>
        <w:jc w:val="both"/>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根据《政府采购促进中小企业发展管理办法》的相关规定，本项目专门面向中小企业，所属行业为</w:t>
      </w:r>
      <w:r>
        <w:rPr>
          <w:rFonts w:hint="eastAsia" w:ascii="宋体" w:hAnsi="宋体" w:eastAsia="宋体" w:cs="宋体"/>
          <w:color w:val="000000" w:themeColor="text1"/>
          <w:highlight w:val="none"/>
          <w:u w:val="single"/>
          <w14:textFill>
            <w14:solidFill>
              <w14:schemeClr w14:val="tx1"/>
            </w14:solidFill>
          </w14:textFill>
        </w:rPr>
        <w:t xml:space="preserve">餐饮业</w:t>
      </w:r>
      <w:r>
        <w:rPr>
          <w:rFonts w:hint="eastAsia" w:ascii="宋体" w:hAnsi="宋体" w:eastAsia="宋体" w:cs="宋体"/>
          <w:color w:val="000000" w:themeColor="text1"/>
          <w:highlight w:val="none"/>
          <w14:textFill>
            <w14:solidFill>
              <w14:schemeClr w14:val="tx1"/>
            </w14:solidFill>
          </w14:textFill>
        </w:rPr>
        <w:t xml:space="preserve">，供应商应为中小微企业、监狱企业或残疾人福利单位。</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p>
    <w:p>
      <w:pPr>
        <w:pStyle w:val="831"/>
        <w:ind w:firstLine="480"/>
        <w:jc w:val="both"/>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"https://www.creditchina.gov.cn" \o "https://www.creditchina.gov.cn"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www.creditchina.gov.cn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）列入失信被执行人、重大税收违法案件当事人名单、政府采购严重失信行为记录名单。</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2、投标单位具有有效期内的食品经营许可证[经营项目：餐饮服务管理（承包集中用餐单位食堂）]。</w:t>
      </w:r>
      <w:r/>
    </w:p>
    <w:p>
      <w:pPr>
        <w:ind w:firstLine="482"/>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三、获取招标文件</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bookmarkStart w:id="5" w:name="_Hlk97035982"/>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szCs w:val="20"/>
          <w:highlight w:val="none"/>
          <w14:textFill>
            <w14:solidFill>
              <w14:schemeClr w14:val="tx1"/>
            </w14:solidFill>
          </w14:textFill>
        </w:rPr>
        <w:t xml:space="preserve">、时间：自招标公告发布之日起</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5个工作日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地点：江苏省政府采购一体化平台“苏采云”系统</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color w:val="000000" w:themeColor="text1"/>
          <w:sz w:val="24"/>
          <w:szCs w:val="20"/>
          <w:highlight w:val="none"/>
          <w14:textFill>
            <w14:solidFill>
              <w14:schemeClr w14:val="tx1"/>
            </w14:solidFill>
          </w14:textFill>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4、售价：0.00元</w:t>
      </w:r>
      <w:bookmarkEnd w:id="5"/>
      <w:r/>
      <w:r/>
    </w:p>
    <w:p>
      <w:pPr>
        <w:ind w:firstLine="482"/>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四、提交投标文件截止时间、开标时间和地点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lang w:eastAsia="zh-CN"/>
          <w14:textFill>
            <w14:solidFill>
              <w14:schemeClr w14:val="tx1"/>
            </w14:solidFill>
          </w14:textFill>
        </w:rPr>
        <w:t xml:space="preserve">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0分</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Style w:val="840"/>
          <w:rFonts w:hint="eastAsia" w:ascii="宋体" w:hAnsi="宋体" w:eastAsia="宋体" w:cs="宋体"/>
          <w:color w:val="000000" w:themeColor="text1"/>
          <w:sz w:val="24"/>
          <w:highlight w:val="none"/>
          <w14:textFill>
            <w14:solidFill>
              <w14:schemeClr w14:val="tx1"/>
            </w14:solidFill>
          </w14:textFill>
        </w:rPr>
        <w:t xml:space="preserve">http://jszfcg.jsczt.cn/）</w:t>
      </w:r>
      <w:r>
        <w:rPr>
          <w:rStyle w:val="840"/>
          <w:rFonts w:hint="eastAsia" w:ascii="宋体" w:hAnsi="宋体" w:eastAsia="宋体" w:cs="宋体"/>
          <w:color w:val="000000" w:themeColor="text1"/>
          <w:sz w:val="24"/>
          <w:highlight w:val="none"/>
          <w14:textFill>
            <w14:solidFill>
              <w14:schemeClr w14:val="tx1"/>
            </w14:solidFill>
          </w14:textFill>
        </w:rPr>
        <w:fldChar w:fldCharType="end"/>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五、公告期限：自本公告发布之日起5个工作日。</w:t>
      </w:r>
      <w:r/>
    </w:p>
    <w:p>
      <w:pPr>
        <w:ind w:firstLine="482"/>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六、其他补充事宜</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7" w:name="_Hlk193371515"/>
      <w:r>
        <w:rPr>
          <w:rFonts w:hint="eastAsia" w:ascii="宋体" w:hAnsi="宋体" w:eastAsia="宋体" w:cs="宋体"/>
          <w:color w:val="000000" w:themeColor="text1"/>
          <w:sz w:val="24"/>
          <w:highlight w:val="none"/>
          <w14:textFill>
            <w14:solidFill>
              <w14:schemeClr w14:val="tx1"/>
            </w14:solidFill>
          </w14:textFill>
        </w:rPr>
        <w:t xml:space="preserve">4、CA证书办理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themeColor="text1"/>
          <w:sz w:val="24"/>
          <w:highlight w:val="none"/>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 w:val="24"/>
          <w:highlight w:val="none"/>
          <w14:textFill>
            <w14:solidFill>
              <w14:schemeClr w14:val="tx1"/>
            </w14:solidFill>
          </w14:textFill>
        </w:rPr>
        <w:t xml:space="preserve">苏州现场办理地址：苏州市高新区邓尉路105号狮山科技馆一楼服务大厅，咨询电话：0512-65737699。。</w:t>
      </w:r>
      <w:bookmarkEnd w:id="7"/>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8" w:name="_Hlk193371550"/>
      <w:r>
        <w:rPr>
          <w:rFonts w:hint="eastAsia" w:ascii="宋体" w:hAnsi="宋体" w:eastAsia="宋体" w:cs="宋体"/>
          <w:color w:val="000000" w:themeColor="text1"/>
          <w:sz w:val="24"/>
          <w:highlight w:val="none"/>
          <w14:textFill>
            <w14:solidFill>
              <w14:schemeClr w14:val="tx1"/>
            </w14:solidFill>
          </w14:textFill>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7、如不同投标（响应）文件制作机器码一致，则投标（响应）无效。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8、制作电子投标（响应）文件：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color w:val="000000" w:themeColor="text1"/>
          <w:sz w:val="24"/>
          <w:szCs w:val="24"/>
          <w:highlight w:val="none"/>
          <w:shd w:val="clear" w:color="auto" w:fill="ffffff"/>
          <w:lang w:bidi="ar"/>
          <w14:textFill>
            <w14:solidFill>
              <w14:schemeClr w14:val="tx1"/>
            </w14:solidFill>
          </w14:textFill>
        </w:rPr>
        <w:t xml:space="preserve">电子投标（响应）文件制作完成后请于投标（响应）文件递交截止时间前成功上传至“苏采云”系统，否则视为放弃参加该采购项目。</w:t>
      </w:r>
      <w:r>
        <w:rPr>
          <w:rFonts w:hint="eastAsia" w:ascii="宋体" w:hAnsi="宋体" w:eastAsia="宋体" w:cs="宋体"/>
          <w:color w:val="000000" w:themeColor="text1"/>
          <w:sz w:val="24"/>
          <w:highlight w:val="none"/>
          <w14:textFill>
            <w14:solidFill>
              <w14:schemeClr w14:val="tx1"/>
            </w14:solidFill>
          </w14:textFill>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 w:name="_Hlk193371673"/>
      <w:r>
        <w:rPr>
          <w:rFonts w:hint="eastAsia" w:ascii="宋体" w:hAnsi="宋体" w:eastAsia="宋体" w:cs="宋体"/>
          <w:color w:val="000000" w:themeColor="text1"/>
          <w:sz w:val="24"/>
          <w:highlight w:val="none"/>
          <w14:textFill>
            <w14:solidFill>
              <w14:schemeClr w14:val="tx1"/>
            </w14:solidFill>
          </w14:textFill>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9"/>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11、技术支持：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CA技术咨询服务电话：400-608-6099</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电子签章技术咨询服务电话：15380932027、15371015030 、13675197356、13675197221</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“苏采云”平台技术咨询电话：0512-69820854、0519-86722802、13914088964、18261002950</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12、根据《政府采购促进中小企业发展管理办法》（财库〔2020〕46号）及《中小企业划型标准规定》（工信部联企业〔2011〕300号），本采购标的对应的中小企业划分标准所属行业为：餐饮业。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13、本项目支持政府采购合同信用融资。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14、政府采购监督电话：</w:t>
      </w:r>
      <w:r>
        <w:rPr>
          <w:rFonts w:ascii="宋体" w:hAnsi="宋体" w:eastAsia="宋体" w:cs="宋体"/>
          <w:color w:val="000000" w:themeColor="text1"/>
          <w:sz w:val="24"/>
          <w:highlight w:val="none"/>
          <w14:textFill>
            <w14:solidFill>
              <w14:schemeClr w14:val="tx1"/>
            </w14:solidFill>
          </w14:textFill>
        </w:rPr>
        <w:t xml:space="preserve">0512-68616651</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七、对本次招标提出询问，请按以下方式联系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1、采购人信息</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单位名称：苏州幼儿师范高等专科学校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单位地址：苏州市相城区华元路2号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联系人：何兴财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联系电话：0512-69395631</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2、采购代理机构信息</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称：苏州星创招投标咨询有限公司            </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址：苏州姑苏区桐泾北路218号今雨荟商务大厦908            </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联系人：周星宇、李文祥、吴苏玲、葛希璟               </w:t>
      </w:r>
      <w:r/>
    </w:p>
    <w:p>
      <w:pPr>
        <w:ind w:firstLine="480"/>
        <w:spacing w:line="360" w:lineRule="auto"/>
        <w:shd w:val="clear" w:color="auto" w:fill="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rPr>
          <w:rFonts w:hint="eastAsia" w:ascii="宋体" w:hAnsi="宋体" w:cs="宋体"/>
          <w:color w:val="000000" w:themeColor="text1"/>
          <w:sz w:val="24"/>
          <w:highlight w:val="none"/>
          <w:lang w:val="en-US" w:eastAsia="zh-CN"/>
          <w14:textFill>
            <w14:solidFill>
              <w14:schemeClr w14:val="tx1"/>
            </w14:solidFill>
          </w14:textFill>
        </w:rPr>
        <w:t xml:space="preserve">15850222980</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 </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项目联系人：周星宇、李文祥、吴苏玲、葛希璟 </w:t>
      </w:r>
      <w:r/>
    </w:p>
    <w:p>
      <w:pPr>
        <w:ind w:firstLine="480"/>
        <w:spacing w:line="360" w:lineRule="auto"/>
        <w:shd w:val="clear" w:color="auto" w:fill="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val="en-US" w:eastAsia="zh-CN"/>
          <w14:textFill>
            <w14:solidFill>
              <w14:schemeClr w14:val="tx1"/>
            </w14:solidFill>
          </w14:textFill>
        </w:rPr>
        <w:t xml:space="preserve">15850222980</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80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159" w:firstLine="482"/>
        <w:jc w:val="right"/>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4"/>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bookmarkStart w:id="10" w:name="_Toc105940238"/>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第二章 供应商须知</w:t>
      </w:r>
      <w:bookmarkEnd w:id="10"/>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br w:type="page" w:clear="all"/>
      </w:r>
      <w:r/>
    </w:p>
    <w:p>
      <w:pPr>
        <w:ind w:firstLine="482"/>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A.说明和释义</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1.说明</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1.1本招标文件仅适用于</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组织的招标活动。</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1.2本次招标活动及因本次招标产生的合同受中国法律制约和保护。</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1.3本招标文件的解释权属于</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2.词语释义</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11" w:name="_Hlk19337203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2.1采购人：指依法进行政府采购的国家机关、事业单位、团体组织。</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2.3供应商：指响应招标、参加投标竞争的法人、其他组织或者自然人。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2.11天：日历天。</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2.12时间：除特别说明，均指北京时间。</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2.13交货地点：合同中明确约定的乙方提交的货物和服务最终到达地点。</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2.14合同价款：根据合同规定，乙方在正确地履行合同义务后甲方应支付乙方的价款。</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2.15产地：货物开采、生长、生产、最终制造、加工或提供服务的来源地。</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2.16不可抗力：不能预见、不能避免并且不能克服的客观情况。</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2.18进口产品：通过中国海关报关验放进入中国境内且产自关境外的产品。</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2.20核心产品：根据本项目技术构成、产品价格比重等合理确定的产品。</w:t>
      </w:r>
      <w:bookmarkEnd w:id="11"/>
      <w:r/>
      <w:r/>
    </w:p>
    <w:p>
      <w:pPr>
        <w:ind w:firstLine="482"/>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B.供应商</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3.申请人的资格要求</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12" w:name="_Hlk19337210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详见本项目招标公告中的“申请人的资格要求”。</w:t>
      </w:r>
      <w:bookmarkEnd w:id="12"/>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4.供应商代表</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详见统一格式</w:t>
      </w:r>
      <w:bookmarkEnd w:id="13"/>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5.投标费用</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6.联合投标（响应）</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bookmarkStart w:id="14" w:name="_Hlk193372378"/>
      <w:r>
        <w:rPr>
          <w:rFonts w:hint="eastAsia" w:ascii="宋体" w:hAnsi="宋体" w:eastAsia="宋体" w:cs="宋体"/>
          <w:color w:val="000000" w:themeColor="text1"/>
          <w:sz w:val="24"/>
          <w:szCs w:val="20"/>
          <w:highlight w:val="none"/>
          <w14:textFill>
            <w14:solidFill>
              <w14:schemeClr w14:val="tx1"/>
            </w14:solidFill>
          </w14:textFill>
        </w:rPr>
        <w:t xml:space="preserve">6.1本项目不接受联合体投标（响应）。</w:t>
      </w:r>
      <w:bookmarkEnd w:id="14"/>
      <w:r/>
      <w:r/>
    </w:p>
    <w:p>
      <w:pPr>
        <w:ind w:firstLine="482"/>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C.招标文件和投标（响应）文件的说明</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7.招标文件</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w:t>
      </w:r>
      <w:bookmarkStart w:id="15" w:name="_Hlk193372537"/>
      <w:r>
        <w:rPr>
          <w:rFonts w:hint="eastAsia" w:ascii="宋体" w:hAnsi="宋体" w:eastAsia="宋体" w:cs="宋体"/>
          <w:color w:val="000000" w:themeColor="text1"/>
          <w:sz w:val="24"/>
          <w:szCs w:val="24"/>
          <w:highlight w:val="none"/>
          <w14:textFill>
            <w14:solidFill>
              <w14:schemeClr w14:val="tx1"/>
            </w14:solidFill>
          </w14:textFill>
        </w:rPr>
        <w:t xml:space="preserve">招标文件由招标文件总目录所列内容组成，</w:t>
      </w:r>
      <w:bookmarkEnd w:id="15"/>
      <w:r>
        <w:rPr>
          <w:rFonts w:hint="eastAsia" w:ascii="宋体" w:hAnsi="宋体" w:eastAsia="宋体" w:cs="宋体"/>
          <w:color w:val="000000" w:themeColor="text1"/>
          <w:sz w:val="24"/>
          <w:szCs w:val="24"/>
          <w:highlight w:val="none"/>
          <w14:textFill>
            <w14:solidFill>
              <w14:schemeClr w14:val="tx1"/>
            </w14:solidFill>
          </w14:textFill>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color w:val="000000" w:themeColor="text1"/>
          <w:sz w:val="24"/>
          <w:szCs w:val="24"/>
          <w:highlight w:val="none"/>
          <w14:textFill>
            <w14:solidFill>
              <w14:schemeClr w14:val="tx1"/>
            </w14:solidFill>
          </w14:textFill>
        </w:rPr>
        <w:t xml:space="preserve">该电子投标（响应）文件将被视为未实质性响应。</w:t>
      </w:r>
      <w:bookmarkEnd w:id="16"/>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7.2招标文件及其补充文件</w:t>
      </w:r>
      <w:bookmarkStart w:id="17" w:name="_Hlk193372622"/>
      <w:r>
        <w:rPr>
          <w:rFonts w:hint="eastAsia" w:ascii="宋体" w:hAnsi="宋体" w:eastAsia="宋体" w:cs="宋体"/>
          <w:color w:val="000000" w:themeColor="text1"/>
          <w:sz w:val="24"/>
          <w:szCs w:val="24"/>
          <w:highlight w:val="none"/>
          <w14:textFill>
            <w14:solidFill>
              <w14:schemeClr w14:val="tx1"/>
            </w14:solidFill>
          </w14:textFill>
        </w:rPr>
        <w:t xml:space="preserve">未按规定的方式获得的</w:t>
      </w:r>
      <w:bookmarkEnd w:id="17"/>
      <w:r>
        <w:rPr>
          <w:rFonts w:hint="eastAsia" w:ascii="宋体" w:hAnsi="宋体" w:eastAsia="宋体" w:cs="宋体"/>
          <w:color w:val="000000" w:themeColor="text1"/>
          <w:sz w:val="24"/>
          <w:szCs w:val="24"/>
          <w:highlight w:val="none"/>
          <w14:textFill>
            <w14:solidFill>
              <w14:schemeClr w14:val="tx1"/>
            </w14:solidFill>
          </w14:textFill>
        </w:rPr>
        <w:t xml:space="preserve">，采购代理机构对招标文件及其补遗的真实性、完整性不承担任何责任。</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bookmarkStart w:id="18" w:name="_Hlk193372773"/>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8.招标文件的询问</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供应商在收到招标文件后，若有问题需要询问，应于下载招标文件后，可通过公告中的联系方式及时提出，采购人或采购代理机构将予以解答。</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9.现场踏勘</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供应商可自行对有关现场和周围环境进行踏勘，以获取编制投标（响应）文件和签署合同所需的信息，踏勘现场所发生的费用由供应商自己承担。</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10.集中现场考察</w:t>
      </w:r>
      <w:r/>
    </w:p>
    <w:p>
      <w:pPr>
        <w:ind w:firstLine="480"/>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种方式组织集中现场考察：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①采购人不组织集中现场考察；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②采购人组织集中现场考察，请供应商持在“苏采云”系统中下载本项目采购文件的</w:t>
      </w:r>
      <w:r>
        <w:rPr>
          <w:rFonts w:hint="eastAsia" w:ascii="宋体" w:hAnsi="宋体" w:eastAsia="宋体" w:cs="宋体"/>
          <w:b/>
          <w:color w:val="000000" w:themeColor="text1"/>
          <w:sz w:val="24"/>
          <w:szCs w:val="24"/>
          <w:highlight w:val="none"/>
          <w14:textFill>
            <w14:solidFill>
              <w14:schemeClr w14:val="tx1"/>
            </w14:solidFill>
          </w14:textFill>
        </w:rPr>
        <w:t xml:space="preserve">《投标供应商确认函》</w:t>
      </w:r>
      <w:r>
        <w:rPr>
          <w:rFonts w:hint="eastAsia" w:ascii="宋体" w:hAnsi="宋体" w:eastAsia="宋体" w:cs="宋体"/>
          <w:color w:val="000000" w:themeColor="text1"/>
          <w:sz w:val="24"/>
          <w:szCs w:val="24"/>
          <w:highlight w:val="none"/>
          <w14:textFill>
            <w14:solidFill>
              <w14:schemeClr w14:val="tx1"/>
            </w14:solidFill>
          </w14:textFill>
        </w:rPr>
        <w:t xml:space="preserve">，按以下时间地点参加集中现场考察：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集合时间：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/年/月/日/时/分（北京时间）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集合地点：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请供应商安排好行程，不得迟到。未提供《投标供应商确认函》或迟到者，恕不接待。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10.5由于未进行现场考察造成的任何问题由供应商自行承担。</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11.招标文件的澄清或修改</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11.2为保证供应商有足够时间修正投标（响应）文件，或出于其他合理原因，采购代理机构可依法顺延投标（响应）截止时间和开标时间。</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12.提示与要求</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13.投标（响应）文件计量单位和使用文字</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13.1投标（响应）文件中所使用的计量单位，除招标文件中有特殊要求外，均应使用中华人民共和国法定计量单位。</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采购人或采购代理机构概不负责。</w:t>
      </w:r>
      <w:bookmarkEnd w:id="19"/>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14.投标（响应）文件的组成</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14.1投标（响应）书：</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14.1.1封面；</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14.1.2开标一览表（格式详见第三章）；</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14.1.4资格性审查文件</w:t>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733"/>
        <w:gridCol w:w="5418"/>
      </w:tblGrid>
      <w:tr>
        <w:trPr>
          <w:jc w:val="center"/>
          <w:trHeight w:val="462"/>
        </w:trPr>
        <w:tc>
          <w:tcPr>
            <w:tcW w:w="357" w:type="pct"/>
            <w:vAlign w:val="center"/>
            <w:textDirection w:val="lrTb"/>
            <w:noWrap w:val="false"/>
          </w:tcPr>
          <w:p>
            <w:pPr>
              <w:pStyle w:val="802"/>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894" w:type="pct"/>
            <w:vAlign w:val="center"/>
            <w:textDirection w:val="lrTb"/>
            <w:noWrap w:val="false"/>
          </w:tcPr>
          <w:p>
            <w:pPr>
              <w:pStyle w:val="802"/>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评审项</w:t>
            </w:r>
            <w:r/>
          </w:p>
        </w:tc>
        <w:tc>
          <w:tcPr>
            <w:tcW w:w="2749" w:type="pct"/>
            <w:vAlign w:val="center"/>
            <w:textDirection w:val="lrTb"/>
            <w:noWrap w:val="false"/>
          </w:tcPr>
          <w:p>
            <w:pPr>
              <w:pStyle w:val="802"/>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评审要求</w:t>
            </w:r>
            <w:r/>
          </w:p>
        </w:tc>
      </w:tr>
      <w:tr>
        <w:trPr>
          <w:jc w:val="center"/>
          <w:trHeight w:val="462"/>
        </w:trPr>
        <w:tc>
          <w:tcPr>
            <w:gridSpan w:val="3"/>
            <w:tcW w:w="5000" w:type="pct"/>
            <w:vAlign w:val="center"/>
            <w:textDirection w:val="lrTb"/>
            <w:noWrap w:val="false"/>
          </w:tcPr>
          <w:p>
            <w:pPr>
              <w:pStyle w:val="802"/>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一、基本资格条件</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具有独立承担民事责任的能力</w:t>
            </w:r>
            <w:r/>
          </w:p>
        </w:tc>
        <w:tc>
          <w:tcPr>
            <w:tcW w:w="2749"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供应商提供包括法人或者其他组织的营业执照等证明文件，自然人的身份证明。</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具有良好的商业信誉和健全的财务会计制度</w:t>
            </w:r>
            <w:r/>
          </w:p>
        </w:tc>
        <w:tc>
          <w:tcPr>
            <w:tcW w:w="2749"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具有履行合同所必需的设备和专业技术能力</w:t>
            </w:r>
            <w:r/>
          </w:p>
        </w:tc>
        <w:tc>
          <w:tcPr>
            <w:tcW w:w="2749"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供应商提供设备清单、相关技术人员的职称证书和用工合同或</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具有履行合同所必需的设备和专业技术能力的承诺书（格式自拟）。</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有依法缴纳税收和社会保障资金的良好记录</w:t>
            </w:r>
            <w:r/>
          </w:p>
        </w:tc>
        <w:tc>
          <w:tcPr>
            <w:tcW w:w="2749" w:type="pct"/>
            <w:vAlign w:val="center"/>
            <w:textDirection w:val="lrTb"/>
            <w:noWrap w:val="false"/>
          </w:tcPr>
          <w:p>
            <w:pPr>
              <w:jc w:val="left"/>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供应商提供</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参加本次政府采购活动前一段时间内依法缴纳税收和社会保险的凭据；依法免税或不需要缴纳社会保障资金的</w:t>
            </w:r>
            <w:r>
              <w:rPr>
                <w:rFonts w:hint="eastAsia" w:ascii="宋体" w:hAnsi="宋体" w:eastAsia="宋体" w:cs="宋体"/>
                <w:bCs/>
                <w:color w:val="000000" w:themeColor="text1"/>
                <w:szCs w:val="21"/>
                <w:highlight w:val="none"/>
                <w14:textFill>
                  <w14:solidFill>
                    <w14:schemeClr w14:val="tx1"/>
                  </w14:solidFill>
                </w14:textFill>
              </w:rPr>
              <w:t xml:space="preserve">供应商</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，应提供相应证明资料证明其依法免税或不需要缴纳社会保障资金。</w:t>
            </w:r>
            <w:r/>
          </w:p>
        </w:tc>
      </w:tr>
      <w:tr>
        <w:trPr>
          <w:jc w:val="center"/>
          <w:trHeight w:val="785"/>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w:t>
            </w:r>
            <w:r/>
          </w:p>
        </w:tc>
        <w:tc>
          <w:tcPr>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参加政府采购活动前三年内，在经营活动中没有重大违法记录</w:t>
            </w:r>
            <w:r/>
          </w:p>
        </w:tc>
        <w:tc>
          <w:tcPr>
            <w:tcW w:w="2749"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供应商提供参加政府采购活动前三年内在经营活动中没有重大违法记录的书面声明。</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w:t>
            </w:r>
            <w:r/>
          </w:p>
        </w:tc>
        <w:tc>
          <w:tcPr>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法律、行政法规规定的其他条件</w:t>
            </w:r>
            <w:r/>
          </w:p>
        </w:tc>
        <w:tc>
          <w:tcPr>
            <w:tcW w:w="2749"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符合法律、行政法规规定的其他条件的证明材料或书面声明。</w:t>
            </w:r>
            <w:r/>
          </w:p>
        </w:tc>
      </w:tr>
      <w:tr>
        <w:trPr>
          <w:jc w:val="center"/>
          <w:trHeight w:val="472"/>
        </w:trPr>
        <w:tc>
          <w:tcPr>
            <w:gridSpan w:val="3"/>
            <w:tcW w:w="5000"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二、落实政府采购政策需满足的资格要求</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tcW w:w="1894" w:type="pct"/>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bookmarkStart w:id="20" w:name="_Hlk193373891"/>
            <w:r>
              <w:rPr>
                <w:rFonts w:hint="eastAsia" w:ascii="宋体" w:hAnsi="宋体" w:eastAsia="宋体" w:cs="宋体"/>
                <w:color w:val="000000" w:themeColor="text1"/>
                <w:szCs w:val="21"/>
                <w:highlight w:val="none"/>
                <w14:textFill>
                  <w14:solidFill>
                    <w14:schemeClr w14:val="tx1"/>
                  </w14:solidFill>
                </w14:textFill>
              </w:rPr>
              <w:t xml:space="preserve">根据《政府采购促进中小企业发展管理办法》的相关规定，本项目</w:t>
            </w:r>
            <w:r>
              <w:rPr>
                <w:rFonts w:hint="eastAsia" w:ascii="宋体" w:hAnsi="宋体" w:eastAsia="宋体" w:cs="宋体"/>
                <w:b/>
                <w:bCs/>
                <w:color w:val="000000" w:themeColor="text1"/>
                <w:szCs w:val="21"/>
                <w:highlight w:val="none"/>
                <w14:textFill>
                  <w14:solidFill>
                    <w14:schemeClr w14:val="tx1"/>
                  </w14:solidFill>
                </w14:textFill>
              </w:rPr>
              <w:t xml:space="preserve">专门面向中小企业</w:t>
            </w:r>
            <w:r>
              <w:rPr>
                <w:rFonts w:hint="eastAsia" w:ascii="宋体" w:hAnsi="宋体" w:eastAsia="宋体" w:cs="宋体"/>
                <w:color w:val="000000" w:themeColor="text1"/>
                <w:szCs w:val="21"/>
                <w:highlight w:val="none"/>
                <w14:textFill>
                  <w14:solidFill>
                    <w14:schemeClr w14:val="tx1"/>
                  </w14:solidFill>
                </w14:textFill>
              </w:rPr>
              <w:t xml:space="preserve">，供应商应为中小微企业、监狱企业、残疾人福利性单位。</w:t>
            </w:r>
            <w:bookmarkEnd w:id="20"/>
            <w:r/>
            <w:r/>
          </w:p>
        </w:tc>
        <w:tc>
          <w:tcPr>
            <w:tcW w:w="2749" w:type="pct"/>
            <w:vAlign w:val="center"/>
            <w:textDirection w:val="lrTb"/>
            <w:noWrap w:val="false"/>
          </w:tcPr>
          <w:p>
            <w:pPr>
              <w:pStyle w:val="802"/>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供应商提供以下三类文件之一的即符合本条要求，否则，将不享受中小企业扶持政策：</w:t>
            </w:r>
            <w:r/>
          </w:p>
          <w:p>
            <w:pPr>
              <w:pStyle w:val="802"/>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1、中小企业声明函（格式见第三章）；</w:t>
            </w:r>
            <w:r/>
          </w:p>
          <w:p>
            <w:pPr>
              <w:pStyle w:val="802"/>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2、残疾人福利性单位声明函（格式见第三章）；</w:t>
            </w:r>
            <w:r/>
          </w:p>
          <w:p>
            <w:pPr>
              <w:pStyle w:val="802"/>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3、监狱企业证明文件，由省级以上监狱管理局、戒毒管理局（含新疆生产建设兵团）出具。</w:t>
            </w:r>
            <w:r/>
          </w:p>
          <w:p>
            <w:pPr>
              <w:pStyle w:val="802"/>
              <w:jc w:val="left"/>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405"/>
        </w:trPr>
        <w:tc>
          <w:tcPr>
            <w:gridSpan w:val="3"/>
            <w:tcW w:w="5000"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2"/>
                <w:szCs w:val="22"/>
                <w:highlight w:val="none"/>
                <w:shd w:val="clear" w:color="auto" w:fill="ffffff"/>
                <w14:textFill>
                  <w14:solidFill>
                    <w14:schemeClr w14:val="tx1"/>
                  </w14:solidFill>
                </w14:textFill>
              </w:rPr>
              <w:t xml:space="preserve">三、本项目的特定资格要求</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shd w:val="clear" w:color="auto" w:fill="auto"/>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未被“信用中国”（www.creditchina.gov.cn）等相关网站列入失信被执行人、重大税收违法案件当事人名单、政府采购严重失信行为记录名单。</w:t>
            </w:r>
            <w:r/>
          </w:p>
        </w:tc>
        <w:tc>
          <w:tcPr>
            <w:shd w:val="clear" w:color="auto" w:fill="auto"/>
            <w:tcW w:w="2749"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供应商无需提供相关证明资料，由采购代理机构按照招标文件第二章“21.信用查询”要求执行。</w:t>
            </w:r>
            <w:r/>
          </w:p>
        </w:tc>
      </w:tr>
      <w:tr>
        <w:trPr>
          <w:jc w:val="center"/>
          <w:trHeight w:val="23"/>
        </w:trPr>
        <w:tc>
          <w:tcPr>
            <w:tcW w:w="357"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w:t>
            </w:r>
            <w:r/>
          </w:p>
        </w:tc>
        <w:tc>
          <w:tcPr>
            <w:shd w:val="clear" w:color="auto" w:fill="auto"/>
            <w:tcW w:w="1894"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投标单位具有有效期内的食品经营许可证</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经营项目：餐饮服务管理（承包集中用餐单位食堂）</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shd w:val="clear" w:color="auto" w:fill="auto"/>
            <w:tcW w:w="2749" w:type="pct"/>
            <w:vAlign w:val="center"/>
            <w:textDirection w:val="lrTb"/>
            <w:noWrap w:val="false"/>
          </w:tcPr>
          <w:p>
            <w:pPr>
              <w:pStyle w:val="802"/>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供应商提供有效期内的食品经营许可证</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经营项目：餐饮服务管理（承包集中用餐单位食堂）</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扫描件。</w:t>
            </w:r>
            <w:r/>
          </w:p>
        </w:tc>
      </w:tr>
    </w:tbl>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bookmarkStart w:id="21" w:name="_Hlk193373287"/>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以上是资格性审查的要求和必须提供的材料，未按要求提供的投标（响应）无效。</w:t>
      </w:r>
      <w:bookmarkEnd w:id="21"/>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14.1.5符合性审查响应文件</w:t>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4170"/>
        <w:gridCol w:w="4990"/>
      </w:tblGrid>
      <w:tr>
        <w:trPr>
          <w:jc w:val="center"/>
          <w:trHeight w:val="452"/>
        </w:trPr>
        <w:tc>
          <w:tcPr>
            <w:tcW w:w="352" w:type="pct"/>
            <w:vAlign w:val="center"/>
            <w:textDirection w:val="lrTb"/>
            <w:noWrap w:val="false"/>
          </w:tcPr>
          <w:p>
            <w:pPr>
              <w:pStyle w:val="802"/>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2116" w:type="pct"/>
            <w:vAlign w:val="center"/>
            <w:textDirection w:val="lrTb"/>
            <w:noWrap w:val="false"/>
          </w:tcPr>
          <w:p>
            <w:pPr>
              <w:pStyle w:val="802"/>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评审项</w:t>
            </w:r>
            <w:r/>
          </w:p>
        </w:tc>
        <w:tc>
          <w:tcPr>
            <w:tcW w:w="2532" w:type="pct"/>
            <w:vAlign w:val="center"/>
            <w:textDirection w:val="lrTb"/>
            <w:noWrap w:val="false"/>
          </w:tcPr>
          <w:p>
            <w:pPr>
              <w:pStyle w:val="802"/>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评审要求</w:t>
            </w:r>
            <w:r/>
          </w:p>
        </w:tc>
      </w:tr>
      <w:tr>
        <w:trPr>
          <w:jc w:val="center"/>
          <w:trHeight w:val="392"/>
        </w:trPr>
        <w:tc>
          <w:tcPr>
            <w:gridSpan w:val="3"/>
            <w:tcW w:w="5000" w:type="pct"/>
            <w:vAlign w:val="center"/>
            <w:textDirection w:val="lrTb"/>
            <w:noWrap w:val="false"/>
          </w:tcPr>
          <w:p>
            <w:pPr>
              <w:pStyle w:val="802"/>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一、报价要求</w:t>
            </w:r>
            <w:r/>
          </w:p>
        </w:tc>
      </w:tr>
      <w:tr>
        <w:trPr>
          <w:jc w:val="center"/>
          <w:trHeight w:val="23"/>
        </w:trPr>
        <w:tc>
          <w:tcPr>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116"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供应商报价不得超出采购预算及最高限价</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供应商提供报价未超过采购预算及最高限价的声明</w:t>
            </w:r>
            <w:r/>
          </w:p>
        </w:tc>
      </w:tr>
      <w:tr>
        <w:trPr>
          <w:jc w:val="center"/>
          <w:trHeight w:val="412"/>
        </w:trPr>
        <w:tc>
          <w:tcPr>
            <w:gridSpan w:val="3"/>
            <w:tcW w:w="5000"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二、商务要求</w:t>
            </w:r>
            <w:r/>
          </w:p>
        </w:tc>
      </w:tr>
      <w:tr>
        <w:trPr>
          <w:jc w:val="center"/>
          <w:trHeight w:val="482"/>
        </w:trPr>
        <w:tc>
          <w:tcPr>
            <w:shd w:val="clear" w:color="auto" w:fill="auto"/>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tcW w:w="2116" w:type="pct"/>
            <w:vAlign w:val="center"/>
            <w:textDirection w:val="lrTb"/>
            <w:noWrap w:val="false"/>
          </w:tcPr>
          <w:p>
            <w:pPr>
              <w:pStyle w:val="802"/>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投标（响应）函</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32"/>
        </w:trPr>
        <w:tc>
          <w:tcPr>
            <w:shd w:val="clear" w:color="auto" w:fill="auto"/>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w:t>
            </w:r>
            <w:r/>
          </w:p>
        </w:tc>
        <w:tc>
          <w:tcPr>
            <w:tcW w:w="2116" w:type="pct"/>
            <w:vAlign w:val="center"/>
            <w:textDirection w:val="lrTb"/>
            <w:noWrap w:val="false"/>
          </w:tcPr>
          <w:p>
            <w:pPr>
              <w:pStyle w:val="802"/>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法定代表人授权委托书（如有授权）</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624"/>
        </w:trPr>
        <w:tc>
          <w:tcPr>
            <w:shd w:val="clear" w:color="auto" w:fill="auto"/>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w:t>
            </w:r>
            <w:r/>
          </w:p>
        </w:tc>
        <w:tc>
          <w:tcPr>
            <w:tcW w:w="2116" w:type="pct"/>
            <w:vAlign w:val="center"/>
            <w:textDirection w:val="lrTb"/>
            <w:noWrap w:val="false"/>
          </w:tcPr>
          <w:p>
            <w:pPr>
              <w:pStyle w:val="802"/>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供应商法定代表人身份证扫描件、供应商代理人身份证扫描件（如有授权）</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供应商法定代表人身份证扫描件、供应商代理人身份证扫描件（如有授权）</w:t>
            </w:r>
            <w:r/>
          </w:p>
        </w:tc>
      </w:tr>
      <w:tr>
        <w:trPr>
          <w:jc w:val="center"/>
          <w:trHeight w:val="604"/>
        </w:trPr>
        <w:tc>
          <w:tcPr>
            <w:shd w:val="clear" w:color="auto" w:fill="auto"/>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4</w:t>
            </w:r>
            <w:r/>
          </w:p>
        </w:tc>
        <w:tc>
          <w:tcPr>
            <w:tcW w:w="2116" w:type="pct"/>
            <w:vAlign w:val="center"/>
            <w:textDirection w:val="lrTb"/>
            <w:noWrap w:val="false"/>
          </w:tcPr>
          <w:p>
            <w:pPr>
              <w:pStyle w:val="802"/>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《供应商基本情况表》、《资格文件的声明函》</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614"/>
        </w:trPr>
        <w:tc>
          <w:tcPr>
            <w:shd w:val="clear" w:color="auto" w:fill="auto"/>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w:t>
            </w:r>
            <w:r/>
          </w:p>
        </w:tc>
        <w:tc>
          <w:tcPr>
            <w:tcW w:w="2116" w:type="pct"/>
            <w:vAlign w:val="center"/>
            <w:textDirection w:val="lrTb"/>
            <w:noWrap w:val="false"/>
          </w:tcPr>
          <w:p>
            <w:pPr>
              <w:pStyle w:val="802"/>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《供应商与其他单位存在直接控股、管理关系情况表》</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482"/>
        </w:trPr>
        <w:tc>
          <w:tcPr>
            <w:shd w:val="clear" w:color="auto" w:fill="auto"/>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w:t>
            </w:r>
            <w:r/>
          </w:p>
        </w:tc>
        <w:tc>
          <w:tcPr>
            <w:tcW w:w="2116"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《商务要求偏离表》</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12"/>
        </w:trPr>
        <w:tc>
          <w:tcPr>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7</w:t>
            </w:r>
            <w:r/>
          </w:p>
        </w:tc>
        <w:tc>
          <w:tcPr>
            <w:tcW w:w="2116" w:type="pct"/>
            <w:vAlign w:val="center"/>
            <w:textDirection w:val="lrTb"/>
            <w:noWrap w:val="false"/>
          </w:tcPr>
          <w:p>
            <w:pPr>
              <w:pStyle w:val="802"/>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《拟投入本项目人员配备一览表》</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462"/>
        </w:trPr>
        <w:tc>
          <w:tcPr>
            <w:gridSpan w:val="3"/>
            <w:tcW w:w="5000"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三、技术要求</w:t>
            </w:r>
            <w:r/>
          </w:p>
        </w:tc>
      </w:tr>
      <w:tr>
        <w:trPr>
          <w:jc w:val="center"/>
          <w:trHeight w:val="482"/>
        </w:trPr>
        <w:tc>
          <w:tcPr>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116"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《服务或技术要求偏离表》</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12"/>
        </w:trPr>
        <w:tc>
          <w:tcPr>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116"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《针对本项目制定的服务实施方案》</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12"/>
        </w:trPr>
        <w:tc>
          <w:tcPr>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bookmarkStart w:id="22" w:name="_Hlk193373412"/>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116"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方在投标文件中必须书面承诺：服务方若因自身原因受到食品药品监管部门、卫生防疫部门、市（区）创建部门、经营管理部门等处罚的，服务方承担全部责任，学校不负连带责任。因服务方的管理不善造成师生食物中毒的，由服务方负全部责任。未按上述要求承诺或未提供承诺的，视同非实质性响应招标文件的要求。</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格式自拟</w:t>
            </w:r>
            <w:r/>
          </w:p>
        </w:tc>
      </w:tr>
      <w:tr>
        <w:trPr>
          <w:jc w:val="center"/>
          <w:trHeight w:val="512"/>
        </w:trPr>
        <w:tc>
          <w:tcPr>
            <w:tcW w:w="352" w:type="pct"/>
            <w:vAlign w:val="center"/>
            <w:textDirection w:val="lrTb"/>
            <w:noWrap w:val="false"/>
          </w:tcPr>
          <w:p>
            <w:pPr>
              <w:pStyle w:val="802"/>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116"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方在投标文件中必须书面承诺：在以往经营过程中无食物中毒事故及消防安全事故的不良记录。若提供虚假承诺，将按政府采购的相关规定接受处理，由此造成的影响和损失全部由服务方承担。未按上述要求承诺或未提供承诺的，视同非实质性响应招标文件的要求。</w:t>
            </w:r>
            <w:r/>
          </w:p>
        </w:tc>
        <w:tc>
          <w:tcPr>
            <w:tcW w:w="2532" w:type="pct"/>
            <w:vAlign w:val="center"/>
            <w:textDirection w:val="lrTb"/>
            <w:noWrap w:val="false"/>
          </w:tcPr>
          <w:p>
            <w:pPr>
              <w:pStyle w:val="802"/>
              <w:jc w:val="left"/>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格式自拟</w:t>
            </w:r>
            <w:bookmarkEnd w:id="22"/>
            <w:r/>
            <w:r/>
          </w:p>
        </w:tc>
      </w:tr>
    </w:tbl>
    <w:p>
      <w:pPr>
        <w:ind w:firstLine="482"/>
        <w:spacing w:line="360" w:lineRule="auto"/>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以上为符合性审查的要求和必须提供的材料，</w:t>
      </w:r>
      <w:bookmarkStart w:id="23" w:name="_Hlk193373771"/>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未按要求提供</w:t>
      </w:r>
      <w:bookmarkEnd w:id="23"/>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的投标（响应）无效。</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14.1.6综合评审其他文件相关要求详见采购文件第六章评审办法。</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注：供应商必须提交上述14.1.1—14.1.5款规定的资料。否则，投标响应文件将被视为因未实质性响应招标文件要求而被拒绝。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24" w:name="_Hlk158131259"/>
      <w:r/>
      <w:bookmarkStart w:id="25" w:name="_Hlk19337407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供应商必须保证全部投标（响应）资料的真实性，如有虚假或对招标文件所要求说明的情况故意隐瞒或虚报，视为不实质性响应招标文件，响应无效。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如供应商投标（响应）文件中某些条款不响应招标文件提出的全部采购内容与服务要求，须在偏离表中逐条列出，未列出的视同响应。</w:t>
      </w:r>
      <w:bookmarkEnd w:id="24"/>
      <w:r/>
      <w:bookmarkEnd w:id="25"/>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15.电子投标（响应）文件的制作及递交</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26" w:name="_Hlk14024779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15.3投标（响应）文件未按照招标文件要求加盖CA电子公章的，响应无效。</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15.4如不同投标（响应）文件制作机器码一致，则投标（响应）无效。</w:t>
      </w:r>
      <w:bookmarkEnd w:id="26"/>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16.投标（响应）报价（编制）要求的说明</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16.1</w:t>
      </w:r>
      <w:bookmarkStart w:id="27" w:name="_Hlk19337441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7"/>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16.2供应商应对招标文件内所要采购的全部内容进行报价，只投其中部分内容者，其标书将被拒绝。但如果招标文件要求分标段投标（响应）的，则供应商可以按招标文件要求有选择地只投其中一个或几个标段，但各标段应分别计算填写单价和总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16.3一项投标（响应）内容只允许一个报价，采购人或采购代理机构不接受任何有选择性的投标（响应）报价。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16.4投标（响应）文件报价中的单价和总价全部采用人民币表示，除非合同的特殊条款另有规定。</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16.5最低报价不能作为中标的保证。</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bookmarkStart w:id="28" w:name="_Hlk193374841"/>
      <w:r>
        <w:rPr>
          <w:rFonts w:hint="eastAsia" w:ascii="宋体" w:hAnsi="宋体" w:eastAsia="宋体" w:cs="宋体"/>
          <w:b/>
          <w:color w:val="000000" w:themeColor="text1"/>
          <w:sz w:val="24"/>
          <w:highlight w:val="none"/>
          <w14:textFill>
            <w14:solidFill>
              <w14:schemeClr w14:val="tx1"/>
            </w14:solidFill>
          </w14:textFill>
        </w:rPr>
        <w:t xml:space="preserve">17.履约保证金</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17.1中标的供应商应按前附表的规定提交履约保证金。</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17.2在中标通知书发出的七天内，中标单位应当以支票、汇票、本票或者金融机构、担保机构出具的保函等非现金形式提交履约保证金。如选择转账方式提交履约保证金的，款项转入以下账户：</w:t>
      </w:r>
      <w:r/>
    </w:p>
    <w:p>
      <w:pPr>
        <w:pStyle w:val="1102"/>
        <w:ind w:firstLine="480"/>
        <w:spacing w:line="360" w:lineRule="auto"/>
        <w:rPr>
          <w:rFonts w:ascii="宋体" w:hAnsi="宋体" w:eastAsia="宋体" w:cs="宋体"/>
          <w:color w:val="000000" w:themeColor="text1"/>
          <w:sz w:val="24"/>
          <w:szCs w:val="24"/>
          <w:highlight w:val="none"/>
          <w:lang w:val="zh-TW" w:eastAsia="zh-TW"/>
          <w14:textFill>
            <w14:solidFill>
              <w14:schemeClr w14:val="tx1"/>
            </w14:solidFill>
          </w14:textFill>
        </w:rPr>
      </w:pPr>
      <w:r>
        <w:rPr>
          <w:rFonts w:ascii="宋体" w:hAnsi="宋体" w:eastAsia="宋体" w:cs="宋体"/>
          <w:color w:val="000000" w:themeColor="text1"/>
          <w:sz w:val="24"/>
          <w:szCs w:val="24"/>
          <w:highlight w:val="none"/>
          <w:lang w:val="zh-TW" w:eastAsia="zh-TW"/>
          <w14:textFill>
            <w14:solidFill>
              <w14:schemeClr w14:val="tx1"/>
            </w14:solidFill>
          </w14:textFill>
        </w:rPr>
        <w:t xml:space="preserve">收款单位：</w:t>
      </w:r>
      <w:r/>
    </w:p>
    <w:p>
      <w:pPr>
        <w:pStyle w:val="1102"/>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lang w:val="zh-TW" w:eastAsia="zh-TW"/>
          <w14:textFill>
            <w14:solidFill>
              <w14:schemeClr w14:val="tx1"/>
            </w14:solidFill>
          </w14:textFill>
        </w:rPr>
        <w:t xml:space="preserve">银行账号：</w:t>
      </w:r>
      <w:r/>
    </w:p>
    <w:p>
      <w:pPr>
        <w:pStyle w:val="1102"/>
        <w:ind w:firstLine="480"/>
        <w:spacing w:line="360" w:lineRule="auto"/>
        <w:rPr>
          <w:rFonts w:ascii="宋体" w:hAnsi="宋体" w:eastAsia="宋体" w:cs="宋体"/>
          <w:color w:val="000000" w:themeColor="text1"/>
          <w:sz w:val="24"/>
          <w:szCs w:val="24"/>
          <w:highlight w:val="none"/>
          <w:lang w:val="zh-TW" w:eastAsia="zh-TW"/>
          <w14:textFill>
            <w14:solidFill>
              <w14:schemeClr w14:val="tx1"/>
            </w14:solidFill>
          </w14:textFill>
        </w:rPr>
      </w:pPr>
      <w:r>
        <w:rPr>
          <w:rFonts w:ascii="宋体" w:hAnsi="宋体" w:eastAsia="宋体" w:cs="宋体"/>
          <w:color w:val="000000" w:themeColor="text1"/>
          <w:sz w:val="24"/>
          <w:szCs w:val="24"/>
          <w:highlight w:val="none"/>
          <w:lang w:val="zh-TW" w:eastAsia="zh-TW"/>
          <w14:textFill>
            <w14:solidFill>
              <w14:schemeClr w14:val="tx1"/>
            </w14:solidFill>
          </w14:textFill>
        </w:rPr>
        <w:t xml:space="preserve">开户银行：</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8"/>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18.投标（响应）文件的有效期</w:t>
      </w:r>
      <w:r/>
    </w:p>
    <w:p>
      <w:pPr>
        <w:ind w:firstLine="480"/>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18.1自投标（响应）截止日起</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90</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天内，投标（响应）书应保持有效。</w: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有效期短于这个规定期限的投标（响应）将被拒绝。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19.投标（响应）截止时间</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19.1电子投标（响应）文件制作完成后请于投标（响应）截止时间前上传，否则视为放弃参加该采购项目。</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19.2</w:t>
      </w:r>
      <w:bookmarkStart w:id="29" w:name="_Hlk193375017"/>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采购人或采购代理机构推迟投标（响应）截止时间时，以更正公告形式发布。在这种情况下，采购人或采购代理机构和投标（响应）单位的权利和义务将受到新的截止期的约束。</w:t>
      </w:r>
      <w:bookmarkEnd w:id="29"/>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19.3</w:t>
      </w:r>
      <w:bookmarkStart w:id="30" w:name="_Hlk117242692"/>
      <w:r/>
      <w:bookmarkStart w:id="31" w:name="_Hlk116314345"/>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19.4供应商在投标（响应）截止时间前，可以对所递交的投标（响应）文件进行补充、修改或者撤回。</w:t>
      </w:r>
      <w:bookmarkEnd w:id="30"/>
      <w:r/>
      <w:bookmarkEnd w:id="31"/>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D.开标和评标</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20.开标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2" w:name="_Hlk9279407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3" w:name="_Hlk9065296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20.2线上参加（观看）开标（开启）会方式：登录“苏采云”系统，点击“开标大厅”，选择对应项目，点击进入不见面开标系统。</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3"/>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4" w:name="_Hlk158135485"/>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20.5供应商在“苏采云”系统规定的时间内未成功解密电子投标（响应）文件的，投标（响应）无效。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20.8至投标（响应）文件提交截止时间，递交投标（响应）文件的供应商不足三家的，不得开标。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20.9开标在招标文件规定的时间、地点进行，由采购人或采购代理机构主持，供应商参加（观看），评标委员会成员不得参加开标活动。</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5" w:name="_Hlk193375492"/>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20.10以上开标活动</w:t>
      </w:r>
      <w:bookmarkStart w:id="36" w:name="_Hlk193375633"/>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所涉及系统操作，以“苏采云”系统最新要求为准</w:t>
      </w:r>
      <w:bookmarkEnd w:id="3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bookmarkEnd w:id="32"/>
      <w:r/>
      <w:bookmarkEnd w:id="35"/>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21.信用查询</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7" w:name="_Hlk19337565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21.1查询时间：投标（响应）文件提交截止时间。</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21.2查询渠道：</w:t>
      </w:r>
      <w:bookmarkStart w:id="38" w:name="_Hlk9279428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中国政府采购网（www.ccgp.gov.cn）、信用中国（www.creditchina.gov.cn）、信用江苏（</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"http://www.jscredit.gov.cn/" \o "http://www.jscredit.gov.cn/"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www.jscredit.gov.cn</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）、诚信苏州（www.szcredit.gov.cn）。</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21.3查询证据留存方式：</w:t>
      </w:r>
      <w:bookmarkEnd w:id="3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21.4信用记录使用规则：在对供应商进行资格性审查时，应根据查询结果对供应商的不良信用记录逐项甄别确认。</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21.4.1政府采购严重违法记录，即供应商被全国各级财政部门列入“政府采购严重违法失信行为记录名单”，且在处罚有效期内的。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21.4.2财政部门与法院、工商、税务等部门联合惩戒的失信信息，包括：</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21.4.2.1被列入失信被执行人名单；</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21.4.2.2被列入重大税收违法案件当事人名单；</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9" w:name="_Hlk9279437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7"/>
      <w:r/>
      <w:bookmarkEnd w:id="39"/>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22.评标委员会</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22.1评标委员会由采购人或采购代理机构依法组建,由采购单位代表、专家评委组成。</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22.2评标委员会负责具体的评标事务，并独立履行以下职责：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22.2.1审查、评价投标（响应）文件是否符合招标文件的商务、技术等实质性要求；</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22.2.2要求供应商对投标（响应）文件有关事项作出澄清或者说明；</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22.2.3对投标（响应）文件进行比较和评价；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22.2.4按照评标办法和标准推荐不低于3家中标候选人，并根据采购人的委托及评审结果直接确定中标人；</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22.2.5向采购人、采购代理机构或者有关部门报告评标中发现的违法行为；</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22.3评标委员会成员应当履行下列义务：</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22.3.1遵纪守法，客观、公正、廉洁地履行职责；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22.3.2按照招标文件规定的评标办法和评标标准进行评标，对评审意见承担个人责任；</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22.3.3对评标过程和结果，以及供应商的商业秘密保密；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22.3.4参与评审报告的起草；</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22.3.5配合相关部门的投诉处理工作；</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22.3.6配合采购人或采购代理机构答复投标（响应）供应商提出的质疑。</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23.评标内容的保密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23.3在评标期间，</w:t>
      </w:r>
      <w:bookmarkStart w:id="40" w:name="_Hlk19337655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采购人或采购代理机构将通过指定联络人与供应商进行联系。</w:t>
      </w:r>
      <w:bookmarkEnd w:id="40"/>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24.对投标（响应）文件初审</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24.1开标结束后，采购人依法对供应商的资格进行审查。</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24.2.1供应商的投标（响应）文件未按照本须知规定制作的；</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24.2.2与招标文件有重大偏离；</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24.2.3供应商拒绝修正错误；</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24.2.4供应商的报价是选择性的；</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24.2.5供应商的报价只投了部分内容；</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24.2.6供应商的投标（响应）文件出现了评标委员会认为不应当雷同的情况；</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24.2.7其他被评标委员会认定无效的情况。</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24.5评标委员会将拒绝被确定为非实质性响应的投标，供应商不能通过修正或撤销不符之处而使其投标成为实质性响应的投标。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1" w:name="_Hlk19337726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24.6.1投标（响应）文件中开标一览表内容与投标（响应）文件中相应内容不一致的，以开标一览表为准；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24.6.2大写金额和小写金额不一致的，以大写金额为准；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24.6.3单价金额小数点或者百分比有明显错位的，以开标一览表的总价为准，并修改单价；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24.6.4总价金额与按单价汇总金额不一致的，以单价金额计算结果为准。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24.7供应商不同意以上修正，则其投标（响应）将被拒绝。</w:t>
      </w:r>
      <w:bookmarkEnd w:id="41"/>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24.8评标委员会认为供应商的报价明显低于其他通过符合性审查供应商的报价，有可能影响产品质量或者不能诚信履约的，应当要求其在评标现场合理的时间内提供书面说明</w:t>
      </w:r>
      <w:bookmarkStart w:id="42" w:name="_Hlk15814034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（线上开评标项目可通过“苏采云”系统要求其提供）</w:t>
      </w:r>
      <w:bookmarkEnd w:id="42"/>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3" w:name="_Hlk19337742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24.9评标委员会对投标（响应）文件的判定，只依据投标（响应）内容本身，不依靠开标后的任何外来证明。</w:t>
      </w:r>
      <w:bookmarkEnd w:id="43"/>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25.投标的澄清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4" w:name="_Hlk158140503"/>
      <w:r/>
      <w:bookmarkStart w:id="45" w:name="_Hlk158140452"/>
      <w:r/>
      <w:bookmarkStart w:id="46" w:name="_Hlk90656398"/>
      <w:r/>
      <w:bookmarkStart w:id="47" w:name="_Hlk19337753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25.2本项目采用线上澄清</w:t>
      </w:r>
      <w:bookmarkEnd w:id="4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bookmarkEnd w:id="45"/>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25.2.2接到评标委员会澄清、说明和更正要求的供应商如未按规定做出澄清、说明和更正，其风险由供应商自行承担。</w:t>
      </w:r>
      <w:bookmarkEnd w:id="46"/>
      <w:r/>
      <w:bookmarkEnd w:id="47"/>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26.废标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26.1在招标过程中，出现下列情况之一的，应予废标：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26.1.1符合专业条件的供应商或者对招标文件作实质响应的供应商不足三家的；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26.1.2出现影响采购公正的违法、违规行为的；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26.1.3供应商的报价均超过了采购预算，采购人不能支付的；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26.1.4因重大变故，采购任务取消的；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26.2废标后，采购代理机构将把废标的理由通知所有供应商。</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27.2.1投标（响应）者的资信情况和履约能力；</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27.2.2投标（响应）者提供的其他优惠条件；</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27.3最低的投标（响应）报价或最高的折扣比例是中标的重要条件，但不是唯一条件。</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28.中标单位的确认</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28.2经评</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E.授予合同</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29.合同授予标准</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30.中标通知书</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8" w:name="_Hlk19337790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30.2采购人或采购代理机构对未中标单位不承担解释未中标原因的义务。</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30.3中标通知书将成为合同的组成部分。</w:t>
      </w:r>
      <w:bookmarkEnd w:id="48"/>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31.合同的签订</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bookmarkStart w:id="49" w:name="_Hlk193378097"/>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F.其他事项</w:t>
      </w:r>
      <w:bookmarkEnd w:id="49"/>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32.质疑</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32.2.2对采购过程提出质疑的，为各采购程序环节结束之日；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32.2.3对中标结果提出质疑的，为中标结果公告期限届满之日。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32.6接收质疑函的方式为书面形式（当场送达或邮寄方式）。供应商质疑函范本格式请参照“苏州市政府采购”网站——“下载中心”——“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"http://czju.suzhou.gov.cn/zfcg/html/content/20180305093615738.shtml" \o "政府采购供应商质疑函范本"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32.7供应商提出书面质疑必须有理、有据，不得捏造事实、提供虚假材料进行恶意质疑。否则，一经查实，将报请政府采购监管部门按照政府采购相关法规规定，依法进行处罚和失信记录。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32.8质疑递交信息：详见第一章采购人及采购代理机构联系信息。</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33.代理服务费</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33.1中标单位须按前附表的规定计算并支付代理服务费，该费用应在领取中标通知书时付清。</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33.2中标单位如果未按规定缴纳代理服务费，采购代理机构将保留诉讼的权利。</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34.监督和公证</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34.1有关监督部门将对招投标全过程进行监督。</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34.2开、评标过程将通过公证机关进行公证（如有）。</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35.未尽事宜</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50" w:name="_Hlk19337869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未尽事宜应按《中华人民共和国民法典》、《中华人民共和国政府采购法》以及其它相关法律、法规之规定解释。</w:t>
      </w:r>
      <w:bookmarkEnd w:id="50"/>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color w:val="000000" w:themeColor="text1"/>
          <w:sz w:val="52"/>
          <w:szCs w:val="20"/>
          <w:highlight w:val="none"/>
          <w:shd w:val="clear" w:color="auto" w:fill="ffffff"/>
          <w14:textFill>
            <w14:solidFill>
              <w14:schemeClr w14:val="tx1"/>
            </w14:solidFill>
          </w14:textFill>
        </w:rPr>
        <w:outlineLvl w:val="0"/>
      </w:pPr>
      <w:r/>
      <w:bookmarkStart w:id="51" w:name="_Toc105940239"/>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第三章 投标（响应）文件格式</w:t>
      </w:r>
      <w:bookmarkEnd w:id="51"/>
      <w:r/>
      <w:r/>
    </w:p>
    <w:p>
      <w:pPr>
        <w:jc w:val="left"/>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说明：</w:t>
      </w:r>
      <w:r/>
    </w:p>
    <w:p>
      <w:pPr>
        <w:ind w:firstLine="482"/>
        <w:jc w:val="left"/>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1"/>
          <w:highlight w:val="none"/>
          <w:shd w:val="clear" w:color="auto" w:fill="ffffff"/>
          <w14:textFill>
            <w14:solidFill>
              <w14:schemeClr w14:val="tx1"/>
            </w14:solidFill>
          </w14:textFill>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w:t>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8"/>
          <w:szCs w:val="20"/>
          <w:highlight w:val="none"/>
          <w:shd w:val="clear" w:color="auto" w:fill="ffffff"/>
          <w14:textFill>
            <w14:solidFill>
              <w14:schemeClr w14:val="tx1"/>
            </w14:solidFill>
          </w14:textFill>
        </w:rPr>
        <w:br w:type="page" w:clear="all"/>
      </w: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1、（供应商）法定代表人授权委托书</w:t>
      </w:r>
      <w:r/>
    </w:p>
    <w:p>
      <w:pPr>
        <w:jc w:val="cente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授权委托书</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bookmarkStart w:id="52" w:name="_Hlk117242496"/>
      <w:r>
        <w:rPr>
          <w:rFonts w:hint="eastAsia" w:ascii="宋体" w:hAnsi="宋体" w:eastAsia="宋体" w:cs="宋体"/>
          <w:color w:val="000000" w:themeColor="text1"/>
          <w:sz w:val="24"/>
          <w:szCs w:val="20"/>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（姓名）系</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（供应商名称）的法定代表人，现授权委托</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（供应商名称）的</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（姓名+手机号码）为本公司代理人，以本公司的名义参加</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0"/>
          <w:highlight w:val="none"/>
          <w14:textFill>
            <w14:solidFill>
              <w14:schemeClr w14:val="tx1"/>
            </w14:solidFill>
          </w14:textFill>
        </w:rPr>
        <w:t xml:space="preserve">组织实施的编号为</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JSZC-320500-XCXC-G2026-0006</w:t>
      </w:r>
      <w:r>
        <w:rPr>
          <w:rFonts w:hint="eastAsia" w:ascii="宋体" w:hAnsi="宋体" w:eastAsia="宋体" w:cs="宋体"/>
          <w:color w:val="000000" w:themeColor="text1"/>
          <w:sz w:val="24"/>
          <w:szCs w:val="20"/>
          <w:highlight w:val="none"/>
          <w14:textFill>
            <w14:solidFill>
              <w14:schemeClr w14:val="tx1"/>
            </w14:solidFill>
          </w14:textFill>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代理人无转委托权。特此委托。</w:t>
      </w:r>
      <w:bookmarkEnd w:id="52"/>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br w:type="page" w:clear="all"/>
      </w:r>
      <w:r/>
    </w:p>
    <w:p>
      <w:pPr>
        <w:jc w:val="left"/>
        <w:spacing w:line="360" w:lineRule="auto"/>
        <w:rPr>
          <w:rFonts w:hint="eastAsia" w:ascii="宋体" w:hAnsi="宋体" w:eastAsia="宋体" w:cs="宋体"/>
          <w:b/>
          <w:color w:val="000000" w:themeColor="text1"/>
          <w:sz w:val="24"/>
          <w:szCs w:val="20"/>
          <w:highlight w:val="none"/>
          <w14:textFill>
            <w14:solidFill>
              <w14:schemeClr w14:val="tx1"/>
            </w14:solidFill>
          </w14:textFill>
        </w:rPr>
        <w:outlineLvl w:val="1"/>
      </w:pPr>
      <w:r>
        <w:rPr>
          <w:rFonts w:hint="eastAsia" w:ascii="宋体" w:hAnsi="宋体" w:eastAsia="宋体" w:cs="宋体"/>
          <w:b/>
          <w:color w:val="000000" w:themeColor="text1"/>
          <w:sz w:val="24"/>
          <w:szCs w:val="20"/>
          <w:highlight w:val="none"/>
          <w14:textFill>
            <w14:solidFill>
              <w14:schemeClr w14:val="tx1"/>
            </w14:solidFill>
          </w14:textFill>
        </w:rPr>
        <w:t xml:space="preserve">2、投标（响应）函</w:t>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投标（响应）函</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本公司收到贵司</w:t>
      </w:r>
      <w:r>
        <w:rPr>
          <w:rFonts w:hint="eastAsia" w:ascii="宋体" w:hAnsi="宋体" w:eastAsia="宋体" w:cs="宋体"/>
          <w:color w:val="000000" w:themeColor="text1"/>
          <w:sz w:val="24"/>
          <w:szCs w:val="20"/>
          <w:highlight w:val="none"/>
          <w:u w:val="single"/>
          <w:shd w:val="clear" w:color="auto" w:fill="ffffff"/>
          <w:lang w:eastAsia="zh-CN"/>
          <w14:textFill>
            <w14:solidFill>
              <w14:schemeClr w14:val="tx1"/>
            </w14:solidFill>
          </w14:textFill>
        </w:rPr>
        <w:t xml:space="preserve">JSZC-320500-XCXC-G2026-0006</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号招标文件，经仔细阅读和研究，本公司决定参加投标（响应）。</w:t>
      </w:r>
      <w:r/>
    </w:p>
    <w:p>
      <w:pPr>
        <w:ind w:firstLine="48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1、本公司愿意按照招标文件的一切要求，提供完成该项目的全部内容，本公司的投标（响应）报价</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包括但不限于完成该项工作所需的所有服务管理费、税金、人工费用（本项目所有用工人员基本工资、绩效工资、全年福利、年终奖金等）、投入的工作设施设备费用、国家规定的社保、公积金等其他全部费用以及投标人企业利润和政策性文件规定及合同包含的各项应有费用，合同价中还包括耗材、服装、高温费、加班费、节日慰问费、代理服务费、体检费、劳保、各种税费及政策性文件规定及合同包含的所有风险（如人员工资、材料上涨等）、责任等各项应有费用。</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4、本公司同意按招标文件中的规定，本投标（响应）书的有效期限为投标（响应）截止日起</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90</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天。</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5、本公司愿意提供采购人或采购代理机构在招标文件中要求的所有资料。</w:t>
      </w:r>
      <w:r/>
    </w:p>
    <w:p>
      <w:pPr>
        <w:ind w:firstLine="48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本公司声明：本公司在参加本次政府采购活动前3年内在经营活动中没有重大违法记录。</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7、本公司愿意遵守招标公告及招标文件中所列的收费标准。</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8、本公司承诺该项投标（响应）在开标后的全过程中保持有效，不作任何更改和变动。</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9、如果本公司中标，本公司愿意按招标文件规定支付履约保证金和代理服务费。</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10、本公司承诺符合</w:t>
      </w:r>
      <w:r>
        <w:rPr>
          <w:rFonts w:hint="eastAsia" w:ascii="宋体" w:hAnsi="宋体" w:eastAsia="宋体" w:cs="宋体"/>
          <w:color w:val="000000" w:themeColor="text1"/>
          <w:sz w:val="24"/>
          <w:szCs w:val="24"/>
          <w:highlight w:val="none"/>
          <w14:textFill>
            <w14:solidFill>
              <w14:schemeClr w14:val="tx1"/>
            </w14:solidFill>
          </w14:textFill>
        </w:rPr>
        <w:t xml:space="preserve">招标公告中的“申请人的资格要求”</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的要求，若与真实情况不符，本公司愿意承担由此而产生的一切后果。</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11、综合说明：</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（1）伴随服务及配合措施；</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（2）要求甲方提供的配合；</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（3）对招标文件有不同意见的偏离说明；</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（4）其它说明。</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所有有关标书的函电，请按下列地址联系：</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单位：                     联系人：                 地址：</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邮政编码：                 联系电话：               传真：</w:t>
      </w:r>
      <w:r/>
    </w:p>
    <w:p>
      <w:pPr>
        <w:ind w:firstLine="48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公司电子邮箱：</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银行账号：</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银行开户行：</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数字人民币开户行（如有）：</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数字人民币账户（数币钱包ID）：</w:t>
      </w:r>
      <w:r/>
    </w:p>
    <w:p>
      <w:pPr>
        <w:ind w:firstLine="21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240" w:firstLine="21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796"/>
        <w:ind w:firstLine="0"/>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color w:val="000000" w:themeColor="text1"/>
          <w:szCs w:val="24"/>
          <w:highlight w:val="none"/>
          <w14:textFill>
            <w14:solidFill>
              <w14:schemeClr w14:val="tx1"/>
            </w14:solidFill>
          </w14:textFill>
        </w:rPr>
        <w:t xml:space="preserve">3、开标一览表</w:t>
      </w:r>
      <w:r/>
    </w:p>
    <w:p>
      <w:pPr>
        <w:pStyle w:val="1084"/>
        <w:jc w:val="center"/>
        <w:spacing w:line="360" w:lineRule="auto"/>
        <w:rPr>
          <w:rFonts w:hint="eastAsia"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r>
      <w:r/>
    </w:p>
    <w:p>
      <w:pPr>
        <w:pStyle w:val="1084"/>
        <w:jc w:val="center"/>
        <w:spacing w:line="360" w:lineRule="auto"/>
        <w:rPr>
          <w:rFonts w:hint="eastAsia"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开标一览表</w:t>
      </w:r>
      <w:r/>
    </w:p>
    <w:p>
      <w:pPr>
        <w:pStyle w:val="1084"/>
        <w:jc w:val="center"/>
        <w:spacing w:line="360" w:lineRule="auto"/>
        <w:rPr>
          <w:rFonts w:hint="eastAsia"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投标人全称（加盖公章）：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采购包1</w:t>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91"/>
        <w:gridCol w:w="5763"/>
      </w:tblGrid>
      <w:tr>
        <w:trPr>
          <w:cantSplit/>
          <w:jc w:val="center"/>
          <w:trHeight w:val="109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优惠率</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53" w:name="XMMC"/>
            <w:r/>
            <w:bookmarkEnd w:id="5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苏州幼儿师范高等专科学校食堂后勤服务采购项目</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ind w:left="1024"/>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420" w:firstLine="21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     年</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     日</w:t>
      </w:r>
      <w:r/>
    </w:p>
    <w:p>
      <w:pPr>
        <w:pStyle w:val="835"/>
        <w:ind w:left="0" w:firstLine="480"/>
        <w:spacing w:after="0"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填写说明:</w:t>
      </w:r>
      <w:r/>
    </w:p>
    <w:p>
      <w:pPr>
        <w:pStyle w:val="835"/>
        <w:ind w:left="0" w:firstLine="480"/>
        <w:spacing w:after="0"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1、开标一览表必须加盖投标</w:t>
      </w:r>
      <w:r>
        <w:rPr>
          <w:rFonts w:hint="eastAsia" w:ascii="宋体" w:hAnsi="宋体" w:eastAsia="宋体" w:cs="宋体"/>
          <w:color w:val="000000" w:themeColor="text1"/>
          <w:sz w:val="24"/>
          <w:szCs w:val="24"/>
          <w:highlight w:val="none"/>
          <w:u w:val="single"/>
          <w14:textFill>
            <w14:solidFill>
              <w14:schemeClr w14:val="tx1"/>
            </w14:solidFill>
          </w14:textFill>
        </w:rPr>
        <w:t xml:space="preserve">人公章（复印件无效）。</w:t>
      </w:r>
      <w:r/>
    </w:p>
    <w:p>
      <w:pPr>
        <w:ind w:firstLine="480"/>
        <w:jc w:val="left"/>
        <w:spacing w:line="360" w:lineRule="auto"/>
        <w:widowControl/>
        <w:rPr>
          <w:rFonts w:hint="eastAsia" w:ascii="宋体" w:hAnsi="宋体" w:eastAsia="宋体" w:cs="宋体"/>
          <w:color w:val="000000" w:themeColor="text1"/>
          <w:sz w:val="24"/>
          <w:szCs w:val="24"/>
          <w:highlight w:val="none"/>
          <w:u w:val="single"/>
          <w:lang w:val="zh-CN"/>
          <w14:textFill>
            <w14:solidFill>
              <w14:schemeClr w14:val="tx1"/>
            </w14:solidFill>
          </w14:textFill>
        </w:rPr>
      </w:pP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2、如有分包，投标人投任何</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一个</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包的标的，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都需单</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独填写开标一览表。</w:t>
      </w:r>
      <w:r/>
    </w:p>
    <w:p>
      <w:pPr>
        <w:pStyle w:val="835"/>
        <w:ind w:firstLine="52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35"/>
        <w:ind w:firstLine="52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35"/>
        <w:ind w:left="0" w:firstLine="482"/>
        <w:rPr>
          <w:rFonts w:hint="eastAsia" w:ascii="宋体" w:hAnsi="宋体" w:eastAsia="宋体"/>
          <w:b/>
          <w:bCs/>
          <w:color w:val="000000" w:themeColor="text1"/>
          <w:sz w:val="24"/>
          <w:szCs w:val="24"/>
          <w:highlight w:val="none"/>
          <w:lang w:val="zh-CN"/>
          <w14:textFill>
            <w14:solidFill>
              <w14:schemeClr w14:val="tx1"/>
            </w14:solidFill>
          </w14:textFill>
        </w:rPr>
      </w:pPr>
      <w:r>
        <w:rPr>
          <w:rFonts w:hint="eastAsia" w:ascii="宋体" w:hAnsi="宋体" w:eastAsia="宋体"/>
          <w:b/>
          <w:bCs/>
          <w:color w:val="000000" w:themeColor="text1"/>
          <w:sz w:val="24"/>
          <w:szCs w:val="24"/>
          <w:highlight w:val="none"/>
          <w:lang w:val="zh-CN"/>
          <w14:textFill>
            <w14:solidFill>
              <w14:schemeClr w14:val="tx1"/>
            </w14:solidFill>
          </w14:textFill>
        </w:rPr>
        <w:t xml:space="preserve">注：</w:t>
      </w:r>
      <w:r/>
    </w:p>
    <w:p>
      <w:pPr>
        <w:pStyle w:val="835"/>
        <w:ind w:left="0" w:firstLine="482"/>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pPr>
      <w:r>
        <w:rPr>
          <w:rFonts w:hint="eastAsia" w:ascii="宋体" w:hAnsi="宋体" w:eastAsia="宋体"/>
          <w:b/>
          <w:bCs/>
          <w:color w:val="000000" w:themeColor="text1"/>
          <w:sz w:val="24"/>
          <w:szCs w:val="24"/>
          <w:highlight w:val="none"/>
          <w:lang w:val="zh-CN"/>
          <w14:textFill>
            <w14:solidFill>
              <w14:schemeClr w14:val="tx1"/>
            </w14:solidFill>
          </w14:textFill>
        </w:rPr>
        <w:t xml:space="preserve">（1）</w:t>
      </w:r>
      <w:r>
        <w:rPr>
          <w:rFonts w:hint="eastAsia" w:ascii="宋体" w:hAnsi="宋体" w:eastAsia="宋体" w:cs="Times New Roman"/>
          <w:b/>
          <w:bCs/>
          <w:color w:val="000000" w:themeColor="text1"/>
          <w:sz w:val="24"/>
          <w:szCs w:val="24"/>
          <w:highlight w:val="none"/>
          <w:lang w:val="zh-CN"/>
          <w14:textFill>
            <w14:solidFill>
              <w14:schemeClr w14:val="tx1"/>
            </w14:solidFill>
          </w14:textFill>
        </w:rPr>
        <w:t xml:space="preserve">报价优惠率10%，即是指下浮10%。</w:t>
      </w:r>
      <w:r/>
    </w:p>
    <w:p>
      <w:pPr>
        <w:pStyle w:val="835"/>
        <w:ind w:left="0" w:firstLine="1205"/>
        <w:rPr>
          <w:rFonts w:hint="eastAsia" w:ascii="宋体" w:hAnsi="宋体" w:eastAsia="宋体"/>
          <w:b/>
          <w:bCs/>
          <w:color w:val="000000" w:themeColor="text1"/>
          <w:sz w:val="24"/>
          <w:szCs w:val="24"/>
          <w:highlight w:val="none"/>
          <w:lang w:val="zh-CN"/>
          <w14:textFill>
            <w14:solidFill>
              <w14:schemeClr w14:val="tx1"/>
            </w14:solidFill>
          </w14:textFill>
        </w:rPr>
      </w:pPr>
      <w:r>
        <w:rPr>
          <w:rFonts w:hint="eastAsia" w:ascii="宋体" w:hAnsi="宋体" w:eastAsia="宋体"/>
          <w:b/>
          <w:bCs/>
          <w:color w:val="000000" w:themeColor="text1"/>
          <w:sz w:val="24"/>
          <w:szCs w:val="24"/>
          <w:highlight w:val="none"/>
          <w:lang w:val="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4、针对本项目制定的服务实施方案</w:t>
      </w:r>
      <w:r/>
    </w:p>
    <w:p>
      <w:pPr>
        <w:jc w:val="center"/>
        <w:spacing w:before="240"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针对本项目制定的服务实施方案</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color w:val="000000" w:themeColor="text1"/>
                <w:sz w:val="24"/>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提示：</w:t>
            </w:r>
            <w:r>
              <w:rPr>
                <w:rFonts w:hint="eastAsia" w:ascii="宋体" w:hAnsi="宋体" w:eastAsia="宋体" w:cs="宋体"/>
                <w:bCs/>
                <w:color w:val="000000" w:themeColor="text1"/>
                <w:sz w:val="24"/>
                <w:szCs w:val="24"/>
                <w:highlight w:val="none"/>
                <w14:textFill>
                  <w14:solidFill>
                    <w14:schemeClr w14:val="tx1"/>
                  </w14:solidFill>
                </w14:textFill>
              </w:rPr>
              <w:t xml:space="preserve">供应商应根据本次采购项目要求，对服务实施方案等进行详细的说明与描述。</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260"/>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260"/>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ffffff"/>
          <w:lang w:val="zh-CN"/>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br w:type="page" w:clear="all"/>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5、服务或技术要求偏离表</w:t>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服务或技术要求偏离表</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序号</w:t>
            </w:r>
            <w:r/>
          </w:p>
        </w:tc>
        <w:tc>
          <w:tcPr>
            <w:tcW w:w="748"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采购内容</w:t>
            </w:r>
            <w:r/>
          </w:p>
        </w:tc>
        <w:tc>
          <w:tcPr>
            <w:tcW w:w="938"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采购要求</w:t>
            </w:r>
            <w:r/>
          </w:p>
        </w:tc>
        <w:tc>
          <w:tcPr>
            <w:tcW w:w="834"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响应情况</w:t>
            </w:r>
            <w:r/>
          </w:p>
        </w:tc>
        <w:tc>
          <w:tcPr>
            <w:tcW w:w="984"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偏离/响应</w:t>
            </w:r>
            <w:r/>
          </w:p>
        </w:tc>
        <w:tc>
          <w:tcPr>
            <w:tcW w:w="1017"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说明</w:t>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bl>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注：</w:t>
      </w:r>
      <w:r/>
    </w:p>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w:t>
      </w: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、本表不作为响应单位对所响应标的物</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服务</w:t>
      </w: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条款详细描述和说明的替代。</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6、商务要求偏离表</w:t>
      </w:r>
      <w:r/>
    </w:p>
    <w:p>
      <w:pPr>
        <w:jc w:val="center"/>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商务要求偏离表</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序号</w:t>
            </w:r>
            <w:r/>
          </w:p>
        </w:tc>
        <w:tc>
          <w:tcPr>
            <w:tcW w:w="748"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采购内容</w:t>
            </w:r>
            <w:r/>
          </w:p>
        </w:tc>
        <w:tc>
          <w:tcPr>
            <w:tcW w:w="938"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采购要求</w:t>
            </w:r>
            <w:r/>
          </w:p>
        </w:tc>
        <w:tc>
          <w:tcPr>
            <w:tcW w:w="834"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响应情况</w:t>
            </w:r>
            <w:r/>
          </w:p>
        </w:tc>
        <w:tc>
          <w:tcPr>
            <w:tcW w:w="984"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偏离/响应</w:t>
            </w:r>
            <w:r/>
          </w:p>
        </w:tc>
        <w:tc>
          <w:tcPr>
            <w:tcW w:w="1017" w:type="pct"/>
            <w:vAlign w:val="center"/>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说明</w:t>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101"/>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bl>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注：</w:t>
      </w:r>
      <w:r/>
    </w:p>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w:t>
      </w: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7、拟投入本项目人员配备一览表</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拟投入本项目人员配备一览表</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985"/>
        <w:gridCol w:w="1064"/>
        <w:gridCol w:w="826"/>
        <w:gridCol w:w="717"/>
        <w:gridCol w:w="859"/>
        <w:gridCol w:w="926"/>
        <w:gridCol w:w="1255"/>
        <w:gridCol w:w="1402"/>
        <w:gridCol w:w="1002"/>
      </w:tblGrid>
      <w:tr>
        <w:trPr>
          <w:jc w:val="center"/>
          <w:trHeight w:val="85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序号</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岗位</w:t>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姓名</w:t>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性别</w:t>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年龄</w:t>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学历</w:t>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专业</w:t>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证书情况</w:t>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从事本工作时间</w:t>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备注</w:t>
            </w:r>
            <w:r/>
          </w:p>
        </w:tc>
      </w:tr>
      <w:tr>
        <w:trPr>
          <w:jc w:val="center"/>
          <w:trHeight w:val="40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08"/>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2</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0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3</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2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4</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5</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9"/>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6</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7</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7"/>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8</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2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9</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4"/>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10</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2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11</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12</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9"/>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13</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0"/>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14</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567"/>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eastAsia="宋体" w:cs="宋体"/>
          <w:b/>
          <w:color w:val="000000" w:themeColor="text1"/>
          <w:sz w:val="24"/>
          <w:szCs w:val="21"/>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1"/>
          <w:highlight w:val="none"/>
          <w14:textFill>
            <w14:solidFill>
              <w14:schemeClr w14:val="tx1"/>
            </w14:solidFill>
          </w14:textFill>
        </w:rPr>
        <w:t xml:space="preserve">8、类似业绩情况表</w:t>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类似业绩情况表</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06"/>
        <w:gridCol w:w="2437"/>
        <w:gridCol w:w="2633"/>
        <w:gridCol w:w="1881"/>
        <w:gridCol w:w="1937"/>
      </w:tblGrid>
      <w:tr>
        <w:trPr>
          <w:cantSplit/>
          <w:jc w:val="center"/>
          <w:trHeight w:val="740"/>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序号</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项目名称</w:t>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合同期</w:t>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合同金额（万元）</w:t>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备注</w:t>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2</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3</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4</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5</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bl>
    <w:p>
      <w:pPr>
        <w:pStyle w:val="804"/>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1"/>
          <w:highlight w:val="none"/>
          <w14:textFill>
            <w14:solidFill>
              <w14:schemeClr w14:val="tx1"/>
            </w14:solidFill>
          </w14:textFill>
        </w:rPr>
        <w:t xml:space="preserve">9、资格证明文件</w:t>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（1）资格文件的声明函</w:t>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资格文件的声明函</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本公司愿就由贵司组织实施的编号为</w:t>
      </w:r>
      <w:r>
        <w:rPr>
          <w:rFonts w:hint="eastAsia" w:ascii="宋体" w:hAnsi="宋体" w:eastAsia="宋体" w:cs="宋体"/>
          <w:color w:val="000000" w:themeColor="text1"/>
          <w:sz w:val="24"/>
          <w:szCs w:val="20"/>
          <w:highlight w:val="none"/>
          <w:u w:val="single"/>
          <w:shd w:val="clear" w:color="auto" w:fill="ffffff"/>
          <w:lang w:eastAsia="zh-CN"/>
          <w14:textFill>
            <w14:solidFill>
              <w14:schemeClr w14:val="tx1"/>
            </w14:solidFill>
          </w14:textFill>
        </w:rPr>
        <w:t xml:space="preserve">JSZC-320500-XCXC-G2026-0006</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bookmarkStart w:id="54" w:name="_Hlk193378870"/>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（2）供应商基本情况表</w:t>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供应商基本情况表</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单位名称：</w:t>
      </w:r>
      <w:r/>
    </w:p>
    <w:tbl>
      <w:tblPr>
        <w:tblStyle w:val="792"/>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法定代表人</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成立日期</w:t>
            </w:r>
            <w:r/>
          </w:p>
        </w:tc>
        <w:tc>
          <w:tcPr>
            <w:gridSpan w:val="2"/>
            <w:tcW w:w="162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企业地址</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经营范围</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职工人数</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gridSpan w:val="2"/>
            <w:tcW w:w="188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其中：有中高级以上职称的人数</w:t>
            </w:r>
            <w:r/>
          </w:p>
        </w:tc>
        <w:tc>
          <w:tcPr>
            <w:tcW w:w="52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资产总计</w:t>
            </w:r>
            <w:r/>
          </w:p>
        </w:tc>
        <w:tc>
          <w:tcPr>
            <w:tcW w:w="1036" w:type="pct"/>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c>
          <w:tcPr>
            <w:tcW w:w="793"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净资产</w:t>
            </w:r>
            <w:r/>
          </w:p>
        </w:tc>
        <w:tc>
          <w:tcPr>
            <w:gridSpan w:val="2"/>
            <w:tcW w:w="1623" w:type="pct"/>
            <w:vAlign w:val="center"/>
            <w:textDirection w:val="lrTb"/>
            <w:noWrap w:val="false"/>
          </w:tcPr>
          <w:p>
            <w:pPr>
              <w:ind w:firstLine="96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股东权益</w:t>
            </w:r>
            <w:r/>
          </w:p>
        </w:tc>
        <w:tc>
          <w:tcPr>
            <w:tcW w:w="1036" w:type="pct"/>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c>
          <w:tcPr>
            <w:tcW w:w="793"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销售收入</w:t>
            </w:r>
            <w:r/>
          </w:p>
        </w:tc>
        <w:tc>
          <w:tcPr>
            <w:gridSpan w:val="2"/>
            <w:tcW w:w="1623" w:type="pct"/>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实现利润</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  万元</w:t>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gridSpan w:val="2"/>
            <w:tcW w:w="162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营业面积（含厂房面积）</w:t>
            </w:r>
            <w:r/>
          </w:p>
        </w:tc>
        <w:tc>
          <w:tcPr>
            <w:tcW w:w="1036" w:type="pct"/>
            <w:vAlign w:val="center"/>
            <w:textDirection w:val="lrTb"/>
            <w:noWrap w:val="false"/>
          </w:tcPr>
          <w:p>
            <w:pPr>
              <w:ind w:firstLine="96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平方米</w:t>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其中：</w:t>
            </w:r>
            <w:r/>
          </w:p>
        </w:tc>
        <w:tc>
          <w:tcPr>
            <w:gridSpan w:val="2"/>
            <w:tcW w:w="162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自有面积      平方米</w:t>
            </w:r>
            <w:r/>
          </w:p>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单位优势及特长</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bl>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bookmarkEnd w:id="54"/>
      <w:r/>
      <w:r/>
    </w:p>
    <w:p>
      <w:pP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（3）中小企业声明函</w:t>
      </w:r>
      <w:r/>
    </w:p>
    <w:p>
      <w:pPr>
        <w:jc w:val="center"/>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p>
      <w:pPr>
        <w:ind w:firstLine="482"/>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中小企业声明函（服务）</w:t>
      </w:r>
      <w:r/>
    </w:p>
    <w:p>
      <w:pPr>
        <w:ind w:left="57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苏州幼儿师范高等专科学校</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0"/>
          <w:highlight w:val="none"/>
          <w:u w:val="single"/>
          <w:shd w:val="clear" w:color="auto" w:fill="ffffff"/>
          <w:lang w:eastAsia="zh-CN"/>
          <w14:textFill>
            <w14:solidFill>
              <w14:schemeClr w14:val="tx1"/>
            </w14:solidFill>
          </w14:textFill>
        </w:rPr>
        <w:t xml:space="preserve">苏州幼儿师范高等专科学校食堂后勤服务采购项目</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苏州幼儿师范高等专科学校食堂后勤服务采购项目</w:t>
      </w:r>
      <w:r>
        <w:rPr>
          <w:rFonts w:hint="eastAsia" w:ascii="宋体" w:hAnsi="宋体" w:eastAsia="宋体" w:cs="宋体"/>
          <w:b/>
          <w:color w:val="000000" w:themeColor="text1"/>
          <w:sz w:val="24"/>
          <w:szCs w:val="20"/>
          <w:highlight w:val="none"/>
          <w:u w:val="singl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餐饮业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；承建（承接）企业为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（企业名称）</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，从业人员</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人，营业收入为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万元，资产总额为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万元，属于</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w:t>
      </w:r>
      <w:r/>
    </w:p>
    <w:p>
      <w:pPr>
        <w:numPr>
          <w:ilvl w:val="0"/>
          <w:numId w:val="3"/>
        </w:num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b/>
          <w:color w:val="000000" w:themeColor="text1"/>
          <w:sz w:val="24"/>
          <w:szCs w:val="20"/>
          <w:highlight w:val="none"/>
          <w:u w:val="singl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；承建（承接）企业为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（企业名称）</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，从业人员</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人，营业收入为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万元，资产总额为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万元，属于</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以上企业，不属于大企业的分支机构，不存在控股股东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为大企业的情形，也不存在与大企业的负责人为同一人的情形。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企业名称（盖章）：</w:t>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日期：</w:t>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备注：</w:t>
      </w:r>
      <w:r/>
    </w:p>
    <w:p>
      <w:pPr>
        <w:numPr>
          <w:ilvl w:val="255"/>
          <w:numId w:val="0"/>
        </w:numPr>
        <w:ind w:firstLine="420"/>
        <w:spacing w:line="38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1、从业人员、营业收入、资产总额填报上一年度数据，无上一年度数据的新成立企业可不填报。</w:t>
      </w:r>
      <w:r/>
    </w:p>
    <w:p>
      <w:pPr>
        <w:spacing w:line="38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（4）残疾人福利性单位声明函</w:t>
      </w:r>
      <w:r/>
    </w:p>
    <w:p>
      <w:pPr>
        <w:jc w:val="center"/>
        <w:spacing w:before="100" w:after="100"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r>
      <w:r/>
    </w:p>
    <w:p>
      <w:pPr>
        <w:jc w:val="center"/>
        <w:spacing w:before="100" w:after="100"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残疾人福利性单位声明函</w:t>
      </w:r>
      <w:r/>
    </w:p>
    <w:p>
      <w:pPr>
        <w:ind w:firstLine="4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r>
      <w:r/>
    </w:p>
    <w:p>
      <w:pPr>
        <w:ind w:firstLine="480"/>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r>
      <w:r/>
    </w:p>
    <w:p>
      <w:pPr>
        <w:ind w:firstLine="4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单位名称（盖章）：</w:t>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日期：</w:t>
      </w:r>
      <w:r/>
    </w:p>
    <w:p>
      <w:pPr>
        <w:ind w:firstLine="422"/>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注：</w:t>
      </w:r>
      <w:bookmarkStart w:id="55" w:name="_Hlk158140990"/>
      <w:r>
        <w:rPr>
          <w:rFonts w:hint="eastAsia" w:ascii="宋体" w:hAnsi="宋体" w:eastAsia="宋体" w:cs="宋体"/>
          <w:b/>
          <w:color w:val="000000" w:themeColor="text1"/>
          <w:szCs w:val="21"/>
          <w:highlight w:val="none"/>
          <w14:textFill>
            <w14:solidFill>
              <w14:schemeClr w14:val="tx1"/>
            </w14:solidFill>
          </w14:textFill>
        </w:rPr>
        <w:t xml:space="preserve">投标文件中的电子签章视为供应商对本声明进行了签署盖章并承担相应责任</w:t>
      </w:r>
      <w:bookmarkEnd w:id="55"/>
      <w:r>
        <w:rPr>
          <w:rFonts w:hint="eastAsia" w:ascii="宋体" w:hAnsi="宋体" w:eastAsia="宋体" w:cs="宋体"/>
          <w:b/>
          <w:color w:val="000000" w:themeColor="text1"/>
          <w:szCs w:val="21"/>
          <w:highlight w:val="none"/>
          <w14:textFill>
            <w14:solidFill>
              <w14:schemeClr w14:val="tx1"/>
            </w14:solidFill>
          </w14:textFill>
        </w:rPr>
        <w:t xml:space="preserve">。</w:t>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clear="all"/>
      </w: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（5）供应商与其他单位存在直接控股、管理关系情况表</w:t>
      </w:r>
      <w:r/>
    </w:p>
    <w:p>
      <w:pPr>
        <w:jc w:val="center"/>
        <w:spacing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r>
      <w:r/>
    </w:p>
    <w:p>
      <w:pPr>
        <w:jc w:val="center"/>
        <w:spacing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供应商与其他单位存在直接控股、管理关系情况表</w:t>
      </w:r>
      <w:r/>
    </w:p>
    <w:p>
      <w:pPr>
        <w:pStyle w:val="835"/>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单位名称：</w:t>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与供应商存在直接股权关系</w:t>
            </w:r>
            <w:r/>
          </w:p>
        </w:tc>
        <w:tc>
          <w:tcPr>
            <w:gridSpan w:val="3"/>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与供应商存在直接管理关系</w:t>
            </w:r>
            <w:r/>
          </w:p>
        </w:tc>
      </w:tr>
      <w:tr>
        <w:trPr>
          <w:jc w:val="center"/>
          <w:trHeight w:val="991"/>
        </w:trPr>
        <w:tc>
          <w:tcPr>
            <w:tcW w:w="1541"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单位名称</w:t>
            </w:r>
            <w:r/>
          </w:p>
        </w:tc>
        <w:tc>
          <w:tcPr>
            <w:tcW w:w="1520"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是否为大型企业</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1340"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是否直接控股</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1362"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直接控股关系情况说明（持股比例等）</w:t>
            </w:r>
            <w:r/>
          </w:p>
        </w:tc>
        <w:tc>
          <w:tcPr>
            <w:tcW w:w="1268"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单位名称</w:t>
            </w:r>
            <w:r/>
          </w:p>
        </w:tc>
        <w:tc>
          <w:tcPr>
            <w:tcW w:w="1491"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是否为大型企业</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0" w:type="auto"/>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直接管理关系情况说明</w:t>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bl>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注：1、本表仅须填写与供应商存在直接股权、管理关系的企业情况。供应商应按上表要求据实填写</w:t>
      </w: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如填写“无”或不填写，均视为供应商声明不存在有关情形。</w:t>
      </w:r>
      <w:r/>
    </w:p>
    <w:p>
      <w:pPr>
        <w:pStyle w:val="803"/>
        <w:ind w:left="0"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4"/>
          <w:highlight w:val="none"/>
          <w:shd w:val="clear" w:color="auto" w:fill="ffffff"/>
          <w14:textFill>
            <w14:solidFill>
              <w14:schemeClr w14:val="tx1"/>
            </w14:solidFill>
          </w14:textFill>
        </w:rPr>
        <w:t xml:space="preserve">2、其中“直接控股”是指供应商与大型企业之间存在直接投资并控股（非普通持股）的关系。</w:t>
      </w:r>
      <w:r/>
    </w:p>
    <w:p>
      <w:pPr>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br w:type="page" w:clear="all"/>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5"/>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bookmarkStart w:id="56" w:name="_Toc13642115"/>
      <w:r/>
      <w:bookmarkStart w:id="57" w:name="_Toc105940240"/>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第四章 招标书</w:t>
      </w:r>
      <w:bookmarkEnd w:id="56"/>
      <w:r/>
      <w:bookmarkEnd w:id="57"/>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bookmarkStart w:id="58" w:name="_Toc13543212"/>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br w:type="page" w:clear="all"/>
      </w: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t xml:space="preserve">招标书</w:t>
      </w:r>
      <w:bookmarkEnd w:id="58"/>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受苏州幼儿师范高等专科学校的委托，就其所需的</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苏州幼儿师范高等专科学校食堂后勤服务采购项目</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进行国内公开招标。</w:t>
      </w:r>
      <w:r>
        <w:rPr>
          <w:rFonts w:hint="eastAsia" w:ascii="宋体" w:hAnsi="宋体" w:eastAsia="宋体" w:cs="宋体"/>
          <w:color w:val="000000" w:themeColor="text1"/>
          <w:sz w:val="24"/>
          <w:szCs w:val="24"/>
          <w:highlight w:val="none"/>
          <w14:textFill>
            <w14:solidFill>
              <w14:schemeClr w14:val="tx1"/>
            </w14:solidFill>
          </w14:textFill>
        </w:rPr>
        <w:t xml:space="preserve">欢迎符合条件的供应商</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前来参加投标（响应）。</w:t>
      </w:r>
      <w:r/>
    </w:p>
    <w:p>
      <w:pPr>
        <w:ind w:firstLine="482"/>
        <w:jc w:val="left"/>
        <w:spacing w:line="360" w:lineRule="auto"/>
        <w:rPr>
          <w:rFonts w:hint="eastAsia" w:ascii="宋体" w:hAnsi="宋体" w:eastAsia="宋体" w:cs="宋体"/>
          <w:b/>
          <w:color w:val="000000" w:themeColor="text1"/>
          <w:sz w:val="24"/>
          <w:szCs w:val="24"/>
          <w:highlight w:val="none"/>
          <w:shd w:val="clear" w:color="auto" w:fill="ffffff"/>
          <w:lang w:eastAsia="zh-CN"/>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一、招标编号：</w:t>
      </w:r>
      <w:bookmarkStart w:id="59" w:name="OLE_LINK1"/>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JSZC-320500-XCXC-G2026-0006</w:t>
      </w:r>
      <w:r/>
    </w:p>
    <w:p>
      <w:pPr>
        <w:ind w:firstLine="482"/>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二、采购需求</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（一）项目概况</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1、采购预算：本项目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2736000</w:t>
      </w:r>
      <w:r>
        <w:rPr>
          <w:rFonts w:hint="eastAsia" w:ascii="宋体" w:hAnsi="宋体" w:eastAsia="宋体" w:cs="宋体"/>
          <w:color w:val="000000" w:themeColor="text1"/>
          <w:sz w:val="24"/>
          <w:highlight w:val="none"/>
          <w14:textFill>
            <w14:solidFill>
              <w14:schemeClr w14:val="tx1"/>
            </w14:solidFill>
          </w14:textFill>
        </w:rPr>
        <w:t xml:space="preserve">元经费，为教职工一年餐费金额。学生一年餐费按实际用餐量计算。中标单位需对教职工餐厅及学生餐厅（全体师生）进行服务。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中标单位每月服务费（人员成本费用+管理费）结算金额：【当月餐费总收入（包括教职工+学生）-食材费用-食堂用所有易耗品费用-其它相关食堂需承担的费用】。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（1）如每月实际毛利率大于中标毛利率，按每月实际收入*中标毛利率进行结算。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（2）全年服务费累计不得超过2100000元（人民币）。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2、苏州幼儿师范高等专科学校坐落在苏州市相城区华元路2号，学校现有全日制在校生（住宿生）约2300人，教职工及</w:t>
      </w:r>
      <w:r>
        <w:rPr>
          <w:rFonts w:hint="eastAsia" w:ascii="宋体" w:hAnsi="宋体" w:eastAsia="宋体" w:cs="宋体"/>
          <w:color w:val="000000" w:themeColor="text1"/>
          <w:sz w:val="24"/>
          <w:highlight w:val="none"/>
          <w14:textFill>
            <w14:solidFill>
              <w14:schemeClr w14:val="tx1"/>
            </w14:solidFill>
          </w14:textFill>
        </w:rPr>
        <w:t xml:space="preserve">外来服务单位人员约250人。学校食堂建筑总面积约4800平方米（其中老食堂：学生餐厅2个、食堂操作间1个。新食堂：学生餐厅1个，教工餐厅1个，食堂操作间一个）。共分为两个食堂，可同时容纳1396人同时用餐（其中：老食堂一楼学生餐厅有280个餐位，二楼学生餐厅有716个餐位。新食堂教师餐厅有200个餐位，学生餐厅有380个餐位）。老食堂：一、二层设中餐组、风味小吃组、面食组、西点组、早点组等等；新食堂：设置教工餐及各类风味小吃组。学校为各组配备了基本的厨房设备，水、电、气铺设到位，配备了餐桌椅，可供正常使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按【关于印发《苏州市中小学学生集体用餐管理意见（试行）》的通知】（苏教发[2020]62号）的文件要求，学校坚决贯彻自主经营模式，同时为了优化师生集体用餐服务，选择能提供专业管理、用工服务的专业餐饮服务管理企业来为学校食堂的自主经营保驾护航。</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（二）服务期限：</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合同签订之日起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（三）服务人员</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14:textFill>
            <w14:solidFill>
              <w14:schemeClr w14:val="tx1"/>
            </w14:solidFill>
          </w14:textFill>
        </w:rPr>
        <w:t xml:space="preserve">教职工餐厅、学生餐厅：</w:t>
      </w:r>
      <w:r/>
    </w:p>
    <w:tbl>
      <w:tblPr>
        <w:tblStyle w:val="79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68"/>
        <w:gridCol w:w="3829"/>
        <w:gridCol w:w="3667"/>
        <w:gridCol w:w="1274"/>
      </w:tblGrid>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岗位</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年龄要求</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人数</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项目经理</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30周岁（含）-48周岁（含）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厨师（大众）</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厨师（风味）</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20周岁（含）-48周岁（含）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面点师</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食品安全员</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营养师</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内勤（阳光平台管理、收银）</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服务人员</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20周岁（含）-65周岁（含）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34人</w:t>
            </w:r>
            <w:r/>
          </w:p>
        </w:tc>
      </w:tr>
      <w:tr>
        <w:trPr>
          <w:jc w:val="center"/>
        </w:trPr>
        <w:tc>
          <w:tcPr>
            <w:gridSpan w:val="3"/>
            <w:tcW w:w="836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合计[60周岁-65周岁人员配置不得超过总人数的20%]</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52人</w:t>
            </w:r>
            <w:r/>
          </w:p>
        </w:tc>
      </w:tr>
    </w:tbl>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三、服务（技术）要求</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（一）服务工作要求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1、按照“四个最严”总体要求，严格落实《学校食品安全与营养健康管理规定》（国家三部委第45号文件），从思想认识、措施保障等方面确保师生集体用餐安全。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2、推行先进管理模式：食堂量化分级优秀率达100%；“五常”管理100%实施；“明厨亮灶”正常运行、维保100%。</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3、须落实使用“苏州市食用农产品统一销售凭证”、“重点单位食品安全全程监控管理平台”，“阳光信息化监管平台”等，实现食品安全全程信息化管理。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食材采购和配送严格执行《苏州市教育局直属学校（单位）食堂食材“集中采购、定点配送”工作管理办法（试行）》的通知要求。食堂的原材料及其它食材全部由学校指定专人进行采购，由学校与服务方共同验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5、菜肴价格由服务方按照学校规定的原材料成本进行核算定价，由学校认定，服务方不得随意定价。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学校设立食堂专用账户，对食堂所有收入和支出进行独立记账、核算。列入食堂成本：（1）服务费（2）管理费（3）原材料（粮油、食材、配料、辅料等）（4）日常低值易耗品（餐巾纸、洗洁精等）。食堂运营所产生的水电气、其它各类保障费用（厨余垃圾处理、管道清洗等）及设备添置、维修等其它费用，不列入食堂成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7、服务方确保专业化的经营管理，严格把控盈亏平衡和菜品菜价的科学合理，务必做到食堂盈亏平衡。学校派专人每月对食堂收支进行报表统计，监督盈亏情况。食堂盈亏情况将直接纳入服务方考核内容，如不能保持盈亏平衡，校方将根据实际情况扣除相应的服务费及管理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8、坚持以人为本、以安全、卫生、实惠、可口为目的，科学配餐，营养配餐，不断提高膳食质量。坚持预防为主、综合治理的方针，确保师生集体用餐安全。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9、根据学校实际要求为师生提供一日三餐的集体用餐服务。</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（二）其他要求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1、食堂基本要求：食堂实行“一日三餐制”，早餐6:00-8:00，午餐11:15-12:45，晚餐17:00-18:30，根据学校实际要求，提供夜宵服务，不得拖延。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2、明码标价，定期公布（每周五上午公布下一周菜单）。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早餐满足2000人以上，早点不少于20个品种；中、晚餐采取自选形式，满足2500人左右就餐，品种包括：不少于6个大荤、4个小荤、6个素菜、2种点心、1份粗粮及米饭等；中、晚餐各类风味、特色小吃不少于10个品种并根据学校要求适时更换品种。</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4、服务方在进驻采购人时要提供所有服务人员基本信息（身份证、简历）岗前对所有人员进行体检，然后按有关规定，定期体检，并将体检报告报学校报备，不符合要求的人员立即调整。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5、食堂内部管理要求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（1）食品卫生合格率必须达到100%。严格控制物品损耗率并按规定程序报损。</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食堂厨房要保持设备整齐划一。工作台、餐具、炊具、地面、墙面按时消毒，干净无异物。冰箱保持干净卫生，分档分类存放食物（生熟分开、肉类、鱼类、海鲜类等分档分类保存）。各类餐具物品年耗损率要控制在2%以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（3）在食堂餐厅管理中，不使用腐烂变质的主副食品，包括各类辅料，不供应变质饭菜，保证饭菜卫生质量。注意荤素、营养的搭配，花色品种不断翻新，做到饭热、菜香、价廉物美。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（4）食堂内粗加工间、更衣间、仓库、面点间等功能区域划分明确。餐具严格洗、消、冲、保洁，利用消毒柜对餐具进行严格消毒。</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搞好食堂餐厅内外环境卫生，做到熟食、生料加工分开，杜绝生、熟食混放，每餐对食品留样、以备抽检。制定餐厅卫生管理制度，建立餐厅卫生工作自查记录。食堂餐厅内所有垃圾倒在指定地点，定期对就餐场所、就餐桌椅、板凳进行打扫消毒。</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（6）确保食堂餐厅操作的安全卫生，杜绝各类设施设备的安全卫生事故。全体工作人员都应熟练掌握消防安全常规常识，严格执行消防安全标准，确保不出问题。做到人走灯灭，人走水停。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（7）每年由卫生检疫进行二次抽检，抽检得分列入考核；对抽检整改项目，立即整改，整改不到位的，采购单位有权终止合同。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（8）服务方员工衣帽统一、穿戴整齐，保持整洁，上岗期间必须戴口罩，着工作服、工作帽，每个员工有冬、夏工作服各两套。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（9）食堂餐厅内有健全的防鼠、防蝇、防尘“三防措施”（特别是分菜间、加工间、餐厅等场所的门窗）。餐厅、操作间、室外通道、楼梯等区域，必须保持干净整洁。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服务方在学校领导下做好食堂自主经营服务，在学校专职食堂经营管理负责人的管理下开展具体工作，并接受学校膳食委员会的监督管理。食品安全、伙食质量、卫生等常规管理工作由中标餐饮团队负责，学校对食品安全、产品定价和伙食质量等进行监督，月度考核和年度综合考核由学校负责实施。</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7、服务方在投标文件中必须书面承诺：服务方若因自身原因受到食品药品监管部门、卫生防疫部门、市（区）创建部门、经营管理部门等处罚的，服务方承担全部责任，学校不负连带责任。因服务方的管理不善造成师生食物中毒的，由服务方负全部责任。未按上述要求承诺或未提供承诺的，视同非实质性响应招标文件的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8、服务方所有工作人员要有相关的健康证明，严禁无证上岗。服务方工作人员要遵守国家法委餐饮法规和学校各项规章制度，要有良好的服务态度。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9、服务方必须保证食堂的食品安全卫生与就餐环境达到苏州市学校食堂量化分级管理优秀等级，学校负责监督，并定时检查。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10、食堂设施：学校根据集体用餐服务需求提供所有的设施设备，并保证正常使用。服务方负责妥善使用好所有设施设备及日常维护。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11、服务方所委派的符合要求的工作人员一经确定，合同期内不得变更，如因特殊原因需要变更，必须先征得学校同意方可换人。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12、服务方要根据学校自主经营需求，明确服务宗旨、经营理念和提供具体措施，要制定完整的内部管理规章制度，要配合学校创建温馨的餐厅文化，并配合学校做好成本控制、利润核算，菜肴价位控制等。</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13、服务方负责食堂的饮食安全卫生，在服务期间中应遵守国家的相关法律法规，无条件接受学校管理，必须按照《食品安全法》的要求，建立和遵守食品安全卫生管理的各项规章制度，确保不发生食物中毒事件。</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14、服务方在投标文件中必须书面承诺：在以往经营过程中无食物中毒事故及消防安全事故的不良记录。若提供虚假承诺，将按政府采购的相关规定接受处理，由此造成的影响和损失全部由服务方承担。未按上述要求承诺或未提供承诺的，视同非实质性响应招标文件的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15、因服务方管理不善，造成工作范围内的设施、设备等损坏的，由直接负责人赔偿，若直接负责人因故无法赔偿的，学校有权要求服务方负责赔偿损失，情节严重的可终止合同甚至诉诸法律。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16、市场风险：服务方在投标时应充分考虑服务期内的市场因素和成本变化等的风险，一旦中标，不得擅自缩减团队服务人员，并接受学校的实时督查。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17、为确保师生食品安全，满足不同口味师生个性化的需求，满足不同收入家庭学生的需求，需建立多元化的餐饮形式来满足师生饮食的不同需求，服务方要引入快餐、风味等多种供餐品种，来丰富校园的餐饮市场，打造“安全、文明、美味、温馨”的供餐服务特色。</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18、服务方工作人员在岗履行职责期间（包括上下班途中），发生自身的人身伤害、伤亡或劳务纠纷等均由服务方负责处理并承担经济和道义上的责任，学校不承担任何责任。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19、食堂内配套设施设备、电路、网络维修及下水道疏通等，服务方必须每天向学校反馈运行情况，若有问题必须及时提出，由学校负责处理。若由于服务方反馈不及时等而耽误饭菜的供应，则由服务方承担一切后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20、为筑牢食品安全底线，为提升服务方的服务水平和服务质量，对食堂集体用餐服务方实施绩效管理考核。由学校膳食委员会每月对服务方经营情况进行考核，并根据考核情况进行每月服务费的发放。年度按照每月考核的平均分做为年度综合考核分数，根据考核情况进行管理费的发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21、服务方工作人员在供餐期间严禁收取现金，如有发现将处于重罚，情节严重可中止合同。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22、关于服务方工作人员服务费的发放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（1）服务方工作人员的服务费，由学校统一交给服务方（单位）按月发放。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（2）服务方（单位）同时也须保证按社保相关要求为服务方成员提供各类保障性待遇。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（3）无营业额的月份不发放服务费。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（4）所有服务费用都纳入食堂供餐服务成本核算中。</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（5）服务方工作人员一年总服务费用最高且不得超过2100000元（人民币：贰佰壹拾万元整）。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（6）服务方（单位）管理费包含在服务费中结算，不再另行结算。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23、学校食堂实行自主经营，不对外承包。若服务方在服务期间，出现下列情形之一的，学校有权终止或解除合同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（1）严禁将中标的服务全部或部分转包他人。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（2）严重违反学校考核办法的有关规定或招标方的有关规定。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（3）学校组织的对服务方的月考核不合格的。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（4）派驻学校的所有服务方工作人员，年龄不符合招标文件的年龄要求，学校要求更换拒不更换的。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（5）服务方长期（连续两个月内）有人员不到位，实际到岗人数（岗位）未达招标文件规定的人数，影响服务管理质量的，经学校要求服务方及时改正，服务方仍拒不改正的。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（6）服务方派驻的工作人员有健康状况不达标、无法提供健康证明或体检合格证的，学校要求服务方及时改正，服务方仍拒不改正的。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7）出现重大食品安全或事故问题，包括因服务方管理出现严重失误，导致学校或服务方出现食物中毒等生命财产安全重大事故的（如有人员伤亡医药费在2万元以上的或有财产损失2万元以上的），服务方对学校造成的经济损失负有赔偿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24、学校如未按约付款的，则服务方应书面催告；经服务方催告后仍未付款，则每逾期一日，承担应付款万分之零点三的违约金，逾期付款达30日的，则服务方有权解除合同，并要求学校赔偿未履行部分合同金额的10%作为违约金。</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（三）食堂管理要求及标准</w:t>
      </w:r>
      <w:r/>
    </w:p>
    <w:tbl>
      <w:tblPr>
        <w:tblStyle w:val="792"/>
        <w:tblW w:w="10338" w:type="dxa"/>
        <w:jc w:val="center"/>
        <w:tblLayout w:type="fixed"/>
        <w:tblCellMar>
          <w:left w:w="15" w:type="dxa"/>
          <w:top w:w="15" w:type="dxa"/>
          <w:right w:w="15" w:type="dxa"/>
          <w:bottom w:w="0" w:type="dxa"/>
        </w:tblCellMar>
        <w:tblLook w:val="04A0" w:firstRow="1" w:lastRow="0" w:firstColumn="1" w:lastColumn="0" w:noHBand="0" w:noVBand="1"/>
      </w:tblPr>
      <w:tblGrid>
        <w:gridCol w:w="1020"/>
        <w:gridCol w:w="594"/>
        <w:gridCol w:w="5617"/>
        <w:gridCol w:w="2396"/>
        <w:gridCol w:w="711"/>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项目要求和标准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处罚标准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备注</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食品采购、贮存、加工及销售环节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食品原材料必须由学校集中采购，团队做好进货验收、台帐记录。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不收、不加工、不出售腐烂变质和有毒有害食品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原料先进先出，及时处理，不使用过期原料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原料仓库、食品加工操作间没人情况下上锁，钥匙专人管理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加强食堂后场管理，严禁非食堂工作人员随意进入食堂后场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蔬菜加工前要摘蒂洗净，对可能存在农药残留的绿叶蔬菜，要用清水浸泡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冰箱存储规范，生熟食品分开，设有标志；加工荤素食品的盛器、抹布、刀具、砧墩板要专用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素菜不隔餐，荤菜不隔夜，确定未变质后，方可回锅，经烧熟煮透后才能使用，应单独销售，专人负责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成品、半成品和和食品原料应分架存放，盛放器具单独使用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荤素菜、水产清洗池分开，设有明显标记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卤、烤食品销售符合“五专”要求，专人、专室、专用工具、专用消毒设施、专用冷藏设备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禁止销售场外定制或定型包装食品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经检查不符合要求，发现一次处扣5分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食堂使用的肉馅、菜馅须冷藏存放，存放时间不得超过24小时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经检查不符合要求，第一次扣1分/项，当月出现第二次，双倍扣分，以此类推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荤素食品原料应清洗干净后再加工烹调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加工场所收尾卫生工作符合要求，加工场地、设备、器具卫生整洁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食堂纱门、纱窗、地沟盖板保持完好，符合要求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食堂紫外线灯、灭蝇灯保持完好，符合要求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食品留样专人负责，留样品种齐全，有标识，有记录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食堂售卖区设置消毒洗手池（盆）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窗口销售主副食品，一律不得用手直接接触食品，戴一次性手套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堂</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环</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境</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卫</w:t>
            </w:r>
            <w:r/>
          </w:p>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食堂周边道路和区域保持整洁，不得乱堆乱放杂物，每天坚持清扫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更衣间专人负责，摆放整齐，无污垢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餐厅保持窗明、地净，桌椅摆放整齐划一，水池清洁，桌椅清洁无污垢，三包场地（楼梯过道、楼梯扶手等）保持清洁无灰尘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加工间设备、设施、工具定位摆放，整洁无污染、无异味；废弃物用加盖专用容器存放，及时清理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后场地沟、地面、墙面清洁干净，无积水，无油垢，无灰尘，无蛛网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男女更衣室清洁，物品摆放整齐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从业人员个人卫生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食堂从业人员应持证上岗，并保持健康证在有效期内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从业人员穿戴整洁的工作衣帽、不留长指甲，站窗口人员戴口罩。男同志不留长胡须、不留长发，女同志不戴耳环、戒指、不抹口红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不得穿戴工作衣帽、围裙上卫生间，做到便后洗手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食堂后场不准吸烟，不得随地吐痰、乱扔垃圾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餐具清洗消毒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碗、筷、餐盘、盆、桶、饭箱等食堂餐饮器具须严格清洗、消毒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餐具消毒专人负责，做好消毒记录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消毒后的餐具，应存放于清洁的保洁柜中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其它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对政府行政部门、学校下发的的食品安全卫生整改意见，应在规定的时间内落实整改到位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逾期未整改，给予超期天数每天扣5分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“校园一卡通”等为学校指定支付方式，不允许收受现金或使用其它支付方式结算费用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经检查不符合要求，发现一次扣5分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定期做好消防设备、燃气报警系统、监控设备的检查，保证设施处在正常状态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经检查不符合要求，设备缺失，发现一次扣1分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不私自拆装、动用消防、报警、监控等设施设备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无故动用消防设施，或人为触发报警的，发现一次扣5分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进出车辆按学校要求办理手续，无乱停放现象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经检查不符合要求，发现一次扣1分/项，同月出现第二次，双倍扣分，以此类推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bl>
    <w:p>
      <w:pPr>
        <w:ind w:firstLine="482"/>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四、综合说明及其他要求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60" w:name="_Hlk193379214"/>
      <w:r/>
      <w:bookmarkStart w:id="61" w:name="_Hlk117243055"/>
      <w:r>
        <w:rPr>
          <w:rFonts w:hint="eastAsia" w:ascii="宋体" w:hAnsi="宋体" w:eastAsia="宋体" w:cs="宋体"/>
          <w:color w:val="000000" w:themeColor="text1"/>
          <w:sz w:val="24"/>
          <w:szCs w:val="24"/>
          <w:highlight w:val="none"/>
          <w14:textFill>
            <w14:solidFill>
              <w14:schemeClr w14:val="tx1"/>
            </w14:solidFill>
          </w14:textFill>
        </w:rPr>
        <w:t xml:space="preserve">1、供应商提供的服务能够至少达到以上要求，同时明确详细的服务方案，并对所提供的全部资料的真实性承担法律责任。</w:t>
      </w:r>
      <w:bookmarkEnd w:id="60"/>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bookmarkStart w:id="62" w:name="_Hlk193379165"/>
      <w:r>
        <w:rPr>
          <w:rFonts w:hint="eastAsia" w:ascii="宋体" w:hAnsi="宋体" w:eastAsia="宋体" w:cs="宋体"/>
          <w:color w:val="000000" w:themeColor="text1"/>
          <w:sz w:val="24"/>
          <w:szCs w:val="24"/>
          <w:highlight w:val="none"/>
          <w14:textFill>
            <w14:solidFill>
              <w14:schemeClr w14:val="tx1"/>
            </w14:solidFill>
          </w14:textFill>
        </w:rPr>
        <w:t xml:space="preserve">供应商应对所投标段的全部内容进行报价，只投其中部分内容者，其投标（响应）文件将被拒绝。投标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率一次报定，不得更改，</w:t>
      </w:r>
      <w:bookmarkEnd w:id="62"/>
      <w:r>
        <w:rPr>
          <w:rFonts w:hint="eastAsia" w:ascii="宋体" w:hAnsi="宋体" w:eastAsia="宋体" w:cs="宋体"/>
          <w:color w:val="000000" w:themeColor="text1"/>
          <w:sz w:val="24"/>
          <w:szCs w:val="24"/>
          <w:highlight w:val="none"/>
          <w14:textFill>
            <w14:solidFill>
              <w14:schemeClr w14:val="tx1"/>
            </w14:solidFill>
          </w14:textFill>
        </w:rPr>
        <w:t xml:space="preserve">包括但不限于完成该项工作所需的所有服务管理费、税金、人工费用（本项目所有用工人员基本工资、绩效工资、全年福利、年终奖金等）、投入的工作设施设备费用、国家规定的社保、公积金等其他全部费用以及投标人企业利润和政策性文件规定及合同包含的各项应有费用，合同价中还包括耗材、服装、高温费、加班费、节日慰问费、代理服务费、体检费、劳保、各种税费及政策性文件规定及合同包含的所有风险（如人员工资、材料上涨等）、责任等各项应有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单位须按照本招标文件的要求对该招标项目提供综合服务工作，未经采购单位同意，中标单位不得将项目转包给任何单位和个人，否则，招标单位有权即刻终止合同，并要求中标单位赔偿相应损失。中标单位对服务缺陷不予更正，采购单位有权另请其他单位更正，所发生的费用在剩余合同未付款中扣除。如遇服务范围内有大的调整等重大情况，采购单位将提前告知中标单位，合同内容经双方协商调整。</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5、中标单位将根据招标文件、投标（响应）文件的相关约定，承担合同责任，履行合同义务。</w:t>
      </w:r>
      <w:bookmarkEnd w:id="61"/>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6、付款方式：见合同主要条款。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7、凡涉及招标文件的补充说明和修改，均以苏州政府采购网发布的内容为准。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left"/>
        <w:rPr>
          <w:rFonts w:hint="eastAsia" w:ascii="宋体" w:hAnsi="宋体" w:eastAsia="宋体" w:cs="宋体"/>
          <w:color w:val="000000" w:themeColor="text1"/>
          <w:highlight w:val="none"/>
          <w14:textFill>
            <w14:solidFill>
              <w14:schemeClr w14:val="tx1"/>
            </w14:solidFill>
          </w14:textFill>
        </w:rPr>
      </w:pPr>
      <w:r/>
      <w:bookmarkStart w:id="63" w:name="_Toc105940241"/>
      <w:r/>
      <w:bookmarkStart w:id="64" w:name="_Toc396747046"/>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ind w:left="0" w:firstLine="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5"/>
        <w:ind w:firstLine="964"/>
        <w:rPr>
          <w:rFonts w:hint="eastAsia" w:ascii="宋体" w:hAnsi="宋体" w:eastAsia="宋体" w:cs="宋体"/>
          <w:b/>
          <w:color w:val="000000" w:themeColor="text1"/>
          <w:sz w:val="48"/>
          <w:szCs w:val="48"/>
          <w:highlight w:val="none"/>
          <w:shd w:val="clear" w:color="auto" w:fill="ffffff"/>
          <w14:textFill>
            <w14:solidFill>
              <w14:schemeClr w14:val="tx1"/>
            </w14:solidFill>
          </w14:textFill>
        </w:rPr>
      </w:pPr>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48"/>
          <w:szCs w:val="48"/>
          <w:highlight w:val="none"/>
          <w:shd w:val="clear" w:color="auto" w:fill="ffffff"/>
          <w14:textFill>
            <w14:solidFill>
              <w14:schemeClr w14:val="tx1"/>
            </w14:solidFill>
          </w14:textFill>
        </w:rPr>
        <w:outlineLvl w:val="0"/>
      </w:pPr>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t xml:space="preserve">第五章 合同主要条款</w:t>
      </w:r>
      <w:bookmarkEnd w:id="63"/>
      <w:r/>
      <w:bookmarkEnd w:id="64"/>
      <w:r/>
      <w:bookmarkEnd w:id="59"/>
      <w:r/>
      <w:r/>
    </w:p>
    <w:p>
      <w:pPr>
        <w:jc w:val="left"/>
        <w:rPr>
          <w:rFonts w:hint="eastAsia" w:ascii="宋体" w:hAnsi="宋体" w:eastAsia="宋体" w:cs="宋体"/>
          <w:color w:val="000000" w:themeColor="text1"/>
          <w:sz w:val="24"/>
          <w:szCs w:val="24"/>
          <w:highlight w:val="none"/>
          <w14:textFill>
            <w14:solidFill>
              <w14:schemeClr w14:val="tx1"/>
            </w14:solidFill>
          </w14:textFill>
        </w:rPr>
      </w:pPr>
      <w:r/>
      <w:bookmarkStart w:id="65" w:name="_Toc13642118"/>
      <w:r/>
      <w:bookmarkStart w:id="66" w:name="_Toc13889378"/>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t xml:space="preserve">合同主要条款</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甲方（采购人）：</w:t>
      </w:r>
      <w:r>
        <w:rPr>
          <w:rFonts w:hint="eastAsia" w:ascii="宋体" w:hAnsi="宋体" w:eastAsia="宋体" w:cs="宋体"/>
          <w:bCs/>
          <w:color w:val="000000" w:themeColor="text1"/>
          <w:sz w:val="24"/>
          <w:szCs w:val="24"/>
          <w:highlight w:val="none"/>
          <w14:textFill>
            <w14:solidFill>
              <w14:schemeClr w14:val="tx1"/>
            </w14:solidFill>
          </w14:textFill>
        </w:rPr>
        <w:t xml:space="preserve">苏州幼儿师范高等专科学校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地址：苏州市相城区华元路2号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p>
      <w:pPr>
        <w:ind w:firstLine="482"/>
        <w:spacing w:before="100" w:beforeAutospacing="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乙方（供应商）：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邮政编码：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                      手机号码：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办公电话：                    电子邮件：</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苏州星创招投标咨询有限公司</w:t>
      </w:r>
      <w:r/>
    </w:p>
    <w:p>
      <w:pPr>
        <w:pStyle w:val="110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val="zh-TW"/>
          <w14:textFill>
            <w14:solidFill>
              <w14:schemeClr w14:val="tx1"/>
            </w14:solidFill>
          </w14:textFill>
        </w:rPr>
        <w:t xml:space="preserve">苏州姑苏区桐泾北路218号今雨荟商务大厦908室</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68153882</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Style w:val="1099"/>
          <w:rFonts w:hint="eastAsia" w:ascii="宋体" w:hAnsi="宋体" w:eastAsia="宋体" w:cs="宋体"/>
          <w:color w:val="000000" w:themeColor="text1"/>
          <w:sz w:val="24"/>
          <w:szCs w:val="24"/>
          <w:highlight w:val="none"/>
          <w14:textFill>
            <w14:solidFill>
              <w14:schemeClr w14:val="tx1"/>
            </w14:solidFill>
          </w14:textFill>
        </w:rPr>
      </w:pPr>
      <w:r>
        <w:rPr>
          <w:rStyle w:val="1099"/>
          <w:rFonts w:hint="eastAsia" w:ascii="宋体" w:hAnsi="宋体" w:eastAsia="宋体" w:cs="宋体"/>
          <w:color w:val="000000" w:themeColor="text1"/>
          <w:sz w:val="24"/>
          <w:szCs w:val="24"/>
          <w:highlight w:val="none"/>
          <w14:textFill>
            <w14:solidFill>
              <w14:schemeClr w14:val="tx1"/>
            </w14:solidFill>
          </w14:textFill>
        </w:rPr>
        <w:t xml:space="preserve">依据甲方委托</w:t>
      </w:r>
      <w:r>
        <w:rPr>
          <w:rStyle w:val="1099"/>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苏州星创招投标咨询有限公司</w:t>
      </w:r>
      <w:r>
        <w:rPr>
          <w:rStyle w:val="1099"/>
          <w:rFonts w:hint="eastAsia" w:ascii="宋体" w:hAnsi="宋体" w:eastAsia="宋体" w:cs="宋体"/>
          <w:color w:val="000000" w:themeColor="text1"/>
          <w:sz w:val="24"/>
          <w:szCs w:val="24"/>
          <w:highlight w:val="none"/>
          <w14:textFill>
            <w14:solidFill>
              <w14:schemeClr w14:val="tx1"/>
            </w14:solidFill>
          </w14:textFill>
        </w:rPr>
        <w:t xml:space="preserve">进行本项目政府采购</w:t>
      </w:r>
      <w:r>
        <w:rPr>
          <w:rStyle w:val="1099"/>
          <w:rFonts w:hint="eastAsia" w:ascii="宋体" w:hAnsi="宋体" w:eastAsia="宋体" w:cs="宋体"/>
          <w:color w:val="000000" w:themeColor="text1"/>
          <w:sz w:val="24"/>
          <w:szCs w:val="24"/>
          <w:highlight w:val="none"/>
          <w:u w:val="single"/>
          <w14:textFill>
            <w14:solidFill>
              <w14:schemeClr w14:val="tx1"/>
            </w14:solidFill>
          </w14:textFill>
        </w:rPr>
        <w:t xml:space="preserve">（采购编号：</w:t>
      </w:r>
      <w:r>
        <w:rPr>
          <w:rStyle w:val="1099"/>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JSZC-320500-XCXC-G2026-0006</w:t>
      </w:r>
      <w:r>
        <w:rPr>
          <w:rStyle w:val="1099"/>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099"/>
          <w:rFonts w:hint="eastAsia" w:ascii="宋体" w:hAnsi="宋体" w:eastAsia="宋体" w:cs="宋体"/>
          <w:color w:val="000000" w:themeColor="text1"/>
          <w:sz w:val="24"/>
          <w:szCs w:val="24"/>
          <w:highlight w:val="none"/>
          <w14:textFill>
            <w14:solidFill>
              <w14:schemeClr w14:val="tx1"/>
            </w14:solidFill>
          </w14:textFill>
        </w:rPr>
        <w:t xml:space="preserve">的采购结果，确定乙方为本次中标供应商，现依照招标文件、乙方的投标文件及相关文件的内容，签订本合同书。</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bookmarkStart w:id="67" w:name="_Hlk172100209"/>
      <w:r>
        <w:rPr>
          <w:rFonts w:hint="eastAsia" w:asciiTheme="minorEastAsia" w:hAnsiTheme="minorEastAsia"/>
          <w:b/>
          <w:bCs/>
          <w:color w:val="000000" w:themeColor="text1"/>
          <w:sz w:val="24"/>
          <w:szCs w:val="24"/>
          <w:highlight w:val="none"/>
          <w14:textFill>
            <w14:solidFill>
              <w14:schemeClr w14:val="tx1"/>
            </w14:solidFill>
          </w14:textFill>
        </w:rPr>
        <w:t xml:space="preserve">一、合同内容</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下列文件为本合同不可分割部分：</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1、中标通知书。</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2、乙方的投标文件。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3、乙方在招投标过程中所作的其它承诺、声明、书面澄清等。</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4、招标文件及其附件。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5、合同附件。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以上与本合同具有同等法律效力</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二、费用及结算</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1、合同</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 xml:space="preserve">优惠</w:t>
      </w:r>
      <w:r>
        <w:rPr>
          <w:rFonts w:hint="eastAsia" w:asciiTheme="minorEastAsia" w:hAnsiTheme="minorEastAsia"/>
          <w:color w:val="000000" w:themeColor="text1"/>
          <w:sz w:val="24"/>
          <w:szCs w:val="24"/>
          <w:highlight w:val="none"/>
          <w14:textFill>
            <w14:solidFill>
              <w14:schemeClr w14:val="tx1"/>
            </w14:solidFill>
          </w14:textFill>
        </w:rPr>
        <w:t xml:space="preserve">率：</w:t>
      </w:r>
      <w:r>
        <w:rPr>
          <w:rFonts w:hint="eastAsia" w:asciiTheme="minorEastAsia" w:hAnsi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color w:val="000000" w:themeColor="text1"/>
          <w:sz w:val="24"/>
          <w:szCs w:val="24"/>
          <w:highlight w:val="none"/>
          <w14:textFill>
            <w14:solidFill>
              <w14:schemeClr w14:val="tx1"/>
            </w14:solidFill>
          </w14:textFill>
        </w:rPr>
        <w:t xml:space="preserve">%。包括但不限于完成该项工作所需的所有服务管理费、税金、人工费用（本项目所有用工人员基本工资、绩效工资、全年福利、年终奖金等）、投入的工作设施设备费用、国家规定的社保、公积金等其他全部费用以及投标人企业利润和政策性文件规定及合同包含的各项应有费用，合同价中还包括耗材、服装、高温费、加班费、节日慰问费、代理服务费、体检费、劳保、各种税费及政策性文件规定及合同包含的所有风险（如人员工资、材料上涨等）、责任等各项应有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2、合同价款的支付及付款方式</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（1）甲方每月对乙方服务进行考核，根据考核结果支付当月服务费用。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（2）服务费（人员成本费用+管理费）结算金额：【当月餐费总收入（包括教职工+学生）-食材费用-食堂用所有易耗品费用-其它相关食堂需承担的费用】。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（1）如每月实际毛利率大于合同毛利率，按每月实际收入*合同毛利率进行结算。</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（2）全年服务费累计不得超过2100000元（人民币）。</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（3）考核标准：</w:t>
      </w:r>
      <w:r/>
    </w:p>
    <w:p>
      <w:pPr>
        <w:ind w:firstLine="787"/>
        <w:jc w:val="left"/>
        <w:spacing w:line="360" w:lineRule="auto"/>
        <w:shd w:val="clear" w:color="auto" w:fill="auto"/>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ascii="宋体" w:hAnsi="宋体" w:cs="宋体"/>
          <w:color w:val="000000" w:themeColor="text1"/>
          <w:sz w:val="24"/>
          <w:highlight w:val="none"/>
          <w:lang w:val="en-US" w:eastAsia="zh-CN"/>
          <w14:textFill>
            <w14:solidFill>
              <w14:schemeClr w14:val="tx1"/>
            </w14:solidFill>
          </w14:textFill>
        </w:rPr>
        <w:t xml:space="preserve">服务单位</w:t>
      </w:r>
      <w:r>
        <w:rPr>
          <w:rFonts w:hint="eastAsia" w:ascii="宋体" w:hAnsi="宋体" w:cs="宋体"/>
          <w:color w:val="000000" w:themeColor="text1"/>
          <w:sz w:val="24"/>
          <w:highlight w:val="none"/>
          <w14:textFill>
            <w14:solidFill>
              <w14:schemeClr w14:val="tx1"/>
            </w14:solidFill>
          </w14:textFill>
        </w:rPr>
        <w:t xml:space="preserve">整改，整改期限为一个月，若经整改后仍不能达到要求，甲方有权终止合同，并无需支付因终止合同而产生的相关费用。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3、甲方根据乙方在本合同中所提供银行开户信息转账支付。</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乙方开户名称：</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银行账号：</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数字人民币账号：</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4、乙方要求付款应提供以下资料</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（1）合格的销售发票。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（2）由甲乙双方及采购代理机构签章的《政府采购合同履行验收报告》。</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5、支付方式：数字人民币转账、银行转账、银行汇票或转账支票，具体支付方式甲方有权根据财务安排自主选择。</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6、甲方将根据月度考核检查情况调整每月实际支付金额。</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7、甲方支付此项费用外不再承担其它任何费用（包括个人），服务人员的薪金、福利、休假日补贴等由乙方付给，与甲方无关。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8、确因甲方工作需要，乙方应无条件配合甲方完成一些突击工作。如：安排服务人员（内部）临时加班等。</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三、服务内容及要求</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详见第四章。</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四、甲、乙双方的责任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（1）为乙方提供所需相关场地及设备，并指定专人作为甲方联系人予以协调工作。加强与乙方沟通，交流情况，互通信息。</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（2）甲方应教育所属人员尊重乙方工作人员的劳动成果，积极配合乙方工作人员履行好合同所规定的职责和义务。</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（3）甲方招标文件、投标文件、采购合同和考核办法的相关服务标准每月实行检查考核，对工作中的不足将以书面形式汇总至乙方，要求乙方根据要求限期整改并在相应支付的款额中进行抵扣。</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（1）乙方在从事食堂外包服务工作中应当做到文明工作、安全生产，采取必要的安全防范措施，合同期内若发生安全事故由乙方承担，与甲方无关。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（2）乙方应及时调整不适应工作需求的服务人员。如甲方认为该员工不能胜任本职工作的，必须调整。</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五、违约责任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1、甲方违约责任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（1）在合同生效后，甲方无故要求解除合同的，应向乙方偿付合同总价款5%的违约金，违约金不足以补偿损失的，乙方有权要求甲方补足。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（2）甲方逾期付款的应按照逾期付款金额的每天万分之四支付逾期付款违约金。</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2、乙方的违约责任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（1）在合同生效后，乙方无故要求解除合同的，应向甲方偿付合同总价款5%的违约金，违约金不足以补偿损失的，甲方有权要求乙方补足。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（3）乙方必须自己完成合同内容，不得自行分包，否则，甲方有权按乙方不能完成合同处理；乙方需要分包的都必须在投标文件中明确单位承担和承担单位的情况介绍。</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（4）乙方应执行国家有关规定（如苏州最低工资标准和其他规定），负责乙方员工的生病、事故、伤残、死亡和劳务纠纷，甲方不承担任何相关责任。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（5）乙方负有对自己员工的安全责任，甲方不承担任何相关责任。</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六、不可抗力</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七、争端的解决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2、如果调解不成，双方中的任何一方可向人民法院提起诉讼。诉讼由合同签订地人民法院管辖。</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3、诉讼费由败诉方负担。</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4、因合同部分履行引发诉讼的，在诉讼期间，除正在进行诉讼的部分外，本合同的其它部分应继续执行。</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八、违约终止合同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（1）如果乙方未能在合同规定的限期或甲方同意延长的限期内提供部分或全部服务。</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（2）如果乙方未能履行合同规定的其它任何义务。</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如果乙方在本合同的竞争或实施中有腐败和欺诈行为。为此，定义如下：“腐败行为”是指提供、给予、接受或索取任何有价值的东西来影响甲方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3、如果甲方违约，应承担相应的违约责任。</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九、破产终止合同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十、政府采购法对政府采购合同变更终止的规定</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十一、合同的解除和转让</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1、有下列情形之一，合同一方可以解除合同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（2）因合同一方违约导致合同不能履行，另一方有权解除合同；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（3）因乙方在履行合同过程中造成社会不良影响的，甲方有权解除合同。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3、合同的部分和全部都不得转让。</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4、依据预留项目和价格扣除等优惠政策获取政府采购合同后，小型、微型企业不得分包或转包给大型、中型企业，中型企业不得分包或转包给大型企业。</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5、本合同履行过程中出现危害国家利益和社会公共利益问题的，甲方有权立即终止合同。</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十二、需要补充的合同条款</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根据评标过程中或者商务谈判时商定的条款和条件在订立合同时标明。</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十三、合同的生效</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本合同在双方签字或盖章后生效。</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十四、附则</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1、本合同一式</w:t>
      </w:r>
      <w:r>
        <w:rPr>
          <w:rFonts w:hint="eastAsia" w:asciiTheme="minorEastAsia" w:hAnsiTheme="minorEastAsia"/>
          <w:color w:val="000000" w:themeColor="text1"/>
          <w:sz w:val="24"/>
          <w:szCs w:val="24"/>
          <w:highlight w:val="none"/>
          <w:u w:val="single"/>
          <w14:textFill>
            <w14:solidFill>
              <w14:schemeClr w14:val="tx1"/>
            </w14:solidFill>
          </w14:textFill>
        </w:rPr>
        <w:t xml:space="preserve"> 五 </w:t>
      </w:r>
      <w:r>
        <w:rPr>
          <w:rFonts w:hint="eastAsia" w:asciiTheme="minorEastAsia" w:hAnsiTheme="minorEastAsia"/>
          <w:color w:val="000000" w:themeColor="text1"/>
          <w:sz w:val="24"/>
          <w:szCs w:val="24"/>
          <w:highlight w:val="none"/>
          <w14:textFill>
            <w14:solidFill>
              <w14:schemeClr w14:val="tx1"/>
            </w14:solidFill>
          </w14:textFill>
        </w:rPr>
        <w:t xml:space="preserve">份，甲方</w:t>
      </w:r>
      <w:r>
        <w:rPr>
          <w:rFonts w:hint="eastAsia" w:asciiTheme="minorEastAsia" w:hAnsiTheme="minorEastAsia"/>
          <w:color w:val="000000" w:themeColor="text1"/>
          <w:sz w:val="24"/>
          <w:szCs w:val="24"/>
          <w:highlight w:val="none"/>
          <w:u w:val="single"/>
          <w14:textFill>
            <w14:solidFill>
              <w14:schemeClr w14:val="tx1"/>
            </w14:solidFill>
          </w14:textFill>
        </w:rPr>
        <w:t xml:space="preserve"> 两 </w:t>
      </w:r>
      <w:r>
        <w:rPr>
          <w:rFonts w:hint="eastAsia" w:asciiTheme="minorEastAsia" w:hAnsiTheme="minorEastAsia"/>
          <w:color w:val="000000" w:themeColor="text1"/>
          <w:sz w:val="24"/>
          <w:szCs w:val="24"/>
          <w:highlight w:val="none"/>
          <w14:textFill>
            <w14:solidFill>
              <w14:schemeClr w14:val="tx1"/>
            </w14:solidFill>
          </w14:textFill>
        </w:rPr>
        <w:t xml:space="preserve">份，乙方</w:t>
      </w:r>
      <w:r>
        <w:rPr>
          <w:rFonts w:hint="eastAsia" w:asciiTheme="minorEastAsia" w:hAnsiTheme="minorEastAsia"/>
          <w:color w:val="000000" w:themeColor="text1"/>
          <w:sz w:val="24"/>
          <w:szCs w:val="24"/>
          <w:highlight w:val="none"/>
          <w:u w:val="single"/>
          <w14:textFill>
            <w14:solidFill>
              <w14:schemeClr w14:val="tx1"/>
            </w14:solidFill>
          </w14:textFill>
        </w:rPr>
        <w:t xml:space="preserve"> 两 </w:t>
      </w:r>
      <w:r>
        <w:rPr>
          <w:rFonts w:hint="eastAsia" w:asciiTheme="minorEastAsia" w:hAnsiTheme="minorEastAsia"/>
          <w:color w:val="000000" w:themeColor="text1"/>
          <w:sz w:val="24"/>
          <w:szCs w:val="24"/>
          <w:highlight w:val="none"/>
          <w14:textFill>
            <w14:solidFill>
              <w14:schemeClr w14:val="tx1"/>
            </w14:solidFill>
          </w14:textFill>
        </w:rPr>
        <w:t xml:space="preserve">份，采购代理机构</w:t>
      </w:r>
      <w:r>
        <w:rPr>
          <w:rFonts w:hint="eastAsia" w:asciiTheme="minorEastAsia" w:hAnsiTheme="minorEastAsia"/>
          <w:color w:val="000000" w:themeColor="text1"/>
          <w:sz w:val="24"/>
          <w:szCs w:val="24"/>
          <w:highlight w:val="none"/>
          <w:u w:val="single"/>
          <w14:textFill>
            <w14:solidFill>
              <w14:schemeClr w14:val="tx1"/>
            </w14:solidFill>
          </w14:textFill>
        </w:rPr>
        <w:t xml:space="preserve"> 一 </w:t>
      </w:r>
      <w:r>
        <w:rPr>
          <w:rFonts w:hint="eastAsia" w:asciiTheme="minorEastAsia" w:hAnsiTheme="minorEastAsia"/>
          <w:color w:val="000000" w:themeColor="text1"/>
          <w:sz w:val="24"/>
          <w:szCs w:val="24"/>
          <w:highlight w:val="none"/>
          <w14:textFill>
            <w14:solidFill>
              <w14:schemeClr w14:val="tx1"/>
            </w14:solidFill>
          </w14:textFill>
        </w:rPr>
        <w:t xml:space="preserve">份。</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2、本合同文件使用中文书写、解释和说明。</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3、本合同履行过程中产生的纪要、协议以及中标通知书、投标（响应）文件和采购文件为本合同的附件，与合同具有同等效力。</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4、未尽事宜</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按《中华人民共和国民法典》、《中华人民共和国政府采购法》及其他有关的法律法规的规定执行。</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甲方：</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乙方： </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（加盖公章或合同专用章）                    （加盖公章或合同专用章）</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法定代表人签字或签章：                      法定代表人签字或签章：  </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签约日期：    年    月    日                签约日期：    年    月    日</w:t>
      </w:r>
      <w:bookmarkEnd w:id="67"/>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400" w:lineRule="exact"/>
        <w:shd w:val="clear" w:color="auto" w:fill="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合同附件：</w:t>
      </w:r>
      <w:r/>
    </w:p>
    <w:p>
      <w:pPr>
        <w:jc w:val="center"/>
        <w:spacing w:line="360" w:lineRule="auto"/>
        <w:shd w:val="clear" w:color="auto" w:fill="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考核标准</w:t>
      </w:r>
      <w:r/>
    </w:p>
    <w:tbl>
      <w:tblPr>
        <w:tblStyle w:val="792"/>
        <w:tblW w:w="9381"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3750"/>
        <w:gridCol w:w="1880"/>
        <w:gridCol w:w="915"/>
        <w:gridCol w:w="2178"/>
      </w:tblGrid>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食堂卫生与管理考核标准表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地面、下水道、明沟积有污水、污物</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连续3次无问题，加0.5分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墙壁、门窗、天花板有积尘、油污、蜘蛛网和涂层脱落</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月度清洁记录完整，加0.5分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厨房内垃圾桶未及时加盖</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垃圾分类达标，加1分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设备、设施、用具未保持卫生清洁</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冷库未专人保管、定时清洗</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外来无关人员进入厨房</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加工与烹调卫生考核标准表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荤素食品未分池清洗</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月度抽检合格率100%，加1分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清洗后食品接触地面</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生熟食品刀、砧板未分开</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菜肴中发现异物（如头发、虫等）</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连续季度无投诉，加2分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未按季节调整菜单（每周重复菜品超3次，每两周菜单雷同）</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创新菜品获好评，每道加0.5分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未满足特殊饮食需求（如素食）</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提供多样化选择，加1分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服务与菜肴质量考核标准表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服务态度冷漠或与顾客争执</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餐台未及时补充餐具/调料</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未处理顾客投诉（超24小时）</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投诉解决率100%，加1分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未提供标准化份量（±10%）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份量精准率≥98%，加1分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未在电子提示窗提供菜品信息或信息有误</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工作期间未保持通讯顺畅，无故失联影响工作</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个人卫生与行为规范考核标准表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员工未穿戴整洁工作服</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月度仪容仪表全优，加1分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工作区吸烟、吃零食</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季度无违规记录，加1分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未定期参加卫生培训</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每人次扣0.5分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全员持有效健康证，加1分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食品采购与贮存考核标准表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使用过期食品</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发现一次扣2分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季度无过期记录，加2分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未分类存放食品（生熟混放）</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库房管理评级优秀，加1分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未记录食材采购批次</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溯源系统完善，加1分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节能管理考核标准表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用能规范及节能降耗现场执行情况</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检查</w:t>
            </w:r>
            <w:r>
              <w:rPr>
                <w:rFonts w:hint="eastAsia" w:ascii="宋体" w:hAnsi="宋体" w:cs="宋体"/>
                <w:color w:val="000000" w:themeColor="text1"/>
                <w:szCs w:val="21"/>
                <w:highlight w:val="none"/>
                <w:lang w:bidi="ar"/>
                <w14:textFill>
                  <w14:solidFill>
                    <w14:schemeClr w14:val="tx1"/>
                  </w14:solidFill>
                </w14:textFill>
              </w:rPr>
              <w:t xml:space="preserve">未达标扣1分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检查时未发现类似情况</w:t>
            </w:r>
            <w:r>
              <w:rPr>
                <w:rFonts w:hint="eastAsia" w:ascii="宋体" w:hAnsi="宋体" w:cs="宋体"/>
                <w:color w:val="000000" w:themeColor="text1"/>
                <w:szCs w:val="21"/>
                <w:highlight w:val="none"/>
                <w:lang w:bidi="ar"/>
                <w14:textFill>
                  <w14:solidFill>
                    <w14:schemeClr w14:val="tx1"/>
                  </w14:solidFill>
                </w14:textFill>
              </w:rPr>
              <w:t xml:space="preserve">，加2分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食堂水电运行保障及节能管理制度建设</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制度不完善</w:t>
            </w:r>
            <w:r>
              <w:rPr>
                <w:rFonts w:hint="eastAsia" w:ascii="宋体" w:hAnsi="宋体" w:cs="宋体"/>
                <w:color w:val="000000" w:themeColor="text1"/>
                <w:szCs w:val="21"/>
                <w:highlight w:val="none"/>
                <w:lang w:bidi="ar"/>
                <w14:textFill>
                  <w14:solidFill>
                    <w14:schemeClr w14:val="tx1"/>
                  </w14:solidFill>
                </w14:textFill>
              </w:rPr>
              <w:t xml:space="preserve">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能耗同比降低10%，加2分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奖励项考核标准表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食品安全零事故</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年度无事故，加2分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包含食物中毒、重大投诉</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满意度测评率高于90%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达标加1分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需提供书面证明</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员工技能竞赛获奖</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区级加1分，市级加2分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需提供证书</w:t>
            </w:r>
            <w:r/>
          </w:p>
        </w:tc>
      </w:tr>
    </w:tbl>
    <w:p>
      <w:pPr>
        <w:shd w:val="clear" w:color="auto" w:fil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注：每季应支付的合同价款在次月20日前向</w:t>
      </w:r>
      <w:r>
        <w:rPr>
          <w:rFonts w:hint="eastAsia" w:eastAsia="宋体"/>
          <w:color w:val="000000" w:themeColor="text1"/>
          <w:highlight w:val="none"/>
          <w:lang w:eastAsia="zh-CN"/>
          <w14:textFill>
            <w14:solidFill>
              <w14:schemeClr w14:val="tx1"/>
            </w14:solidFill>
          </w14:textFill>
        </w:rPr>
        <w:t xml:space="preserve">中标单位</w:t>
      </w:r>
      <w:r>
        <w:rPr>
          <w:rFonts w:hint="eastAsia"/>
          <w:color w:val="000000" w:themeColor="text1"/>
          <w:highlight w:val="none"/>
          <w14:textFill>
            <w14:solidFill>
              <w14:schemeClr w14:val="tx1"/>
            </w14:solidFill>
          </w14:textFill>
        </w:rPr>
        <w:t xml:space="preserve">支付。每月应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color w:val="000000" w:themeColor="text1"/>
          <w:highlight w:val="none"/>
          <w:lang w:val="en-US" w:eastAsia="zh-CN"/>
          <w14:textFill>
            <w14:solidFill>
              <w14:schemeClr w14:val="tx1"/>
            </w14:solidFill>
          </w14:textFill>
        </w:rPr>
        <w:t xml:space="preserve">服务单位</w:t>
      </w:r>
      <w:r>
        <w:rPr>
          <w:rFonts w:hint="eastAsia"/>
          <w:color w:val="000000" w:themeColor="text1"/>
          <w:highlight w:val="none"/>
          <w14:textFill>
            <w14:solidFill>
              <w14:schemeClr w14:val="tx1"/>
            </w14:solidFill>
          </w14:textFill>
        </w:rPr>
        <w:t xml:space="preserve">整改，整改期限为一个月，若经整改后仍不能达到要求，甲方有权终止合同，并无需支付因终止合同而产生的相关费用。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bookmarkStart w:id="68" w:name="_Toc105940242"/>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第六章 评分</w:t>
      </w:r>
      <w:bookmarkEnd w:id="65"/>
      <w:r/>
      <w:bookmarkEnd w:id="66"/>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标准</w:t>
      </w:r>
      <w:bookmarkEnd w:id="68"/>
      <w:r/>
      <w:r/>
    </w:p>
    <w:p>
      <w:pPr>
        <w:ind w:firstLine="52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bookmarkStart w:id="69" w:name="OLE_LINK2"/>
      <w:r>
        <w:rPr>
          <w:rFonts w:hint="eastAsia" w:ascii="宋体" w:hAnsi="宋体" w:eastAsia="宋体" w:cs="宋体"/>
          <w:color w:val="000000" w:themeColor="text1"/>
          <w:sz w:val="26"/>
          <w:szCs w:val="20"/>
          <w:highlight w:val="none"/>
          <w:shd w:val="clear" w:color="auto" w:fill="ffffff"/>
          <w14:textFill>
            <w14:solidFill>
              <w14:schemeClr w14:val="tx1"/>
            </w14:solidFill>
          </w14:textFill>
        </w:rPr>
        <w:br w:type="page" w:clear="all"/>
      </w:r>
      <w:bookmarkEnd w:id="69"/>
      <w:r>
        <w:rPr>
          <w:rFonts w:hint="eastAsia" w:ascii="宋体" w:hAnsi="宋体" w:eastAsia="宋体" w:cs="宋体"/>
          <w:b/>
          <w:bCs/>
          <w:color w:val="000000" w:themeColor="text1"/>
          <w:sz w:val="24"/>
          <w:szCs w:val="24"/>
          <w:highlight w:val="none"/>
          <w14:textFill>
            <w14:solidFill>
              <w14:schemeClr w14:val="tx1"/>
            </w14:solidFill>
          </w14:textFill>
        </w:rPr>
        <w:t xml:space="preserve">一、评标办法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1、评价和比较采用综合评分法，即指投标（响应）文件满足招标文件全部实质性要求，且按照评审因素的量化指标评审得分最高的供应商为排名第一的中标候选人的评标方法。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4、评标委员会根据采购人的授权，按照中标候选人的顺序在中标候选人中直接确定中标供应商。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评分标准</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（一）价格基准分：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10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1.本项目所报价格为优惠率报价（优惠率=1-折扣率）；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2.在有效投标报价中选择报价优惠率最高者的优惠率为评标基准优惠率，得满分，其他供应商的分值按照下列公式计算（计算结果四舍五入保留两位小数）：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投标报价得分=【（1-评标基准优惠率）/（1-投标优惠率）】*折扣权值*100（本次招标折扣权值</w:t>
      </w:r>
      <w:bookmarkStart w:id="73" w:name="_GoBack"/>
      <w:r/>
      <w:bookmarkEnd w:id="73"/>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（二）技术部分：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68</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19"/>
        <w:gridCol w:w="4677"/>
        <w:gridCol w:w="1241"/>
      </w:tblGrid>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评分项名称</w:t>
            </w:r>
            <w:r/>
          </w:p>
        </w:tc>
        <w:tc>
          <w:tcPr>
            <w:tcW w:w="467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评分标准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食堂管理制度比较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食堂管理组织架构、食堂各岗位规章制度，食堂内部管理制度、员工培训及奖惩制度等。内容全面完整详细、具有明确针对性、操作流程清晰明了的得8分；内容完整、针对性不突出、操作流程存在不明确的得5分；无实质性内容、针对性缺失、操作流程不具备可实施性的得3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0,3,5,8</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食堂原料采购方案比较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集中采购的管理办法、索证索票制度、原材料验收制度、原材料储存制度等。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食堂卫生管理制度比较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人员卫生、环境卫生、垃圾处理等方案。方案内容全面完整详细、具有明确针对性、操作流程清晰明了的得8分；方案内容完整、针对性不突出、操作流程存在不明确的得5分；方案无实质性内容、针对性缺失、操作流程不具备可实施性的得3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0,3,5,8</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食堂安全管理制度比较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食品安全管理、消防安全管理、机械安全管理、人身安全管理等方案。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食堂设备保养维修方案比较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对设备维护与保养等方案。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食堂五常法管理方案比较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五常法管理方案及员工培训等方案。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食堂菜品方案比较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菜品丰富，营养搭配合理（早餐不得少于20种，中晚餐菜品不得少于30种）。菜品丰富，营养搭配合理的得6分；菜品较为丰富，营养搭配较为合理的得3分；菜品较少、营养搭配一般的得1分；未提供不得分。早餐、中晚餐菜品少于最少要求的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食堂应急预案比较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包括食品安全、突发事件、灾害事件等应急预案。有自有中央厨房应急的得6分；有合作中央厨房应急的得3分；有其他应急预案的得1分；未提供不得分。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食堂投诉方案比较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包括投诉渠道及处理办法等。内容全面完整详细、操作流程清晰明了的得6分；方案内容完整但操作流程存在不明确的得3分；方案无实质性内容、操作流程不具备可实施性的得1分；未提供不得分。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项目经理比较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投标单位拟派驻食堂的项目经理：具有高级职业经理人证书的得2分；具有公共营养师高级证书的得2分；具有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食品安全总监</w:t>
            </w:r>
            <w:r>
              <w:rPr>
                <w:rFonts w:hint="eastAsia" w:ascii="宋体" w:hAnsi="宋体" w:eastAsia="宋体" w:cs="宋体"/>
                <w:bCs/>
                <w:color w:val="000000" w:themeColor="text1"/>
                <w:sz w:val="24"/>
                <w:szCs w:val="24"/>
                <w:highlight w:val="none"/>
                <w14:textFill>
                  <w14:solidFill>
                    <w14:schemeClr w14:val="tx1"/>
                  </w14:solidFill>
                </w14:textFill>
              </w:rPr>
              <w:t xml:space="preserve">证书的得2分；本项最高得6分。投标文件中提供相关证书扫描件及投标单位为其缴纳的近期社保证明扫描件，未提供或提供不全的不得分。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r>
      <w:tr>
        <w:trPr>
          <w:jc w:val="center"/>
        </w:trPr>
        <w:tc>
          <w:tcPr>
            <w:tcW w:w="817" w:type="dxa"/>
            <w:vAlign w:val="center"/>
            <w:textDirection w:val="lrTb"/>
            <w:noWrap w:val="false"/>
          </w:tcPr>
          <w:p>
            <w:pPr>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厨师团队</w:t>
            </w:r>
            <w:r>
              <w:rPr>
                <w:rFonts w:hint="eastAsia" w:ascii="宋体" w:hAnsi="宋体" w:eastAsia="宋体" w:cs="宋体"/>
                <w:bCs/>
                <w:color w:val="000000" w:themeColor="text1"/>
                <w:sz w:val="24"/>
                <w:szCs w:val="24"/>
                <w:highlight w:val="none"/>
                <w14:textFill>
                  <w14:solidFill>
                    <w14:schemeClr w14:val="tx1"/>
                  </w14:solidFill>
                </w14:textFill>
              </w:rPr>
              <w:t xml:space="preserve">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投标单位拟派驻食堂的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厨师团队：具有中式烹调师高级证书的，</w:t>
            </w:r>
            <w:r>
              <w:rPr>
                <w:rFonts w:hint="eastAsia" w:ascii="宋体" w:hAnsi="宋体" w:eastAsia="宋体" w:cs="宋体"/>
                <w:bCs/>
                <w:color w:val="000000" w:themeColor="text1"/>
                <w:sz w:val="24"/>
                <w:szCs w:val="24"/>
                <w:highlight w:val="none"/>
                <w14:textFill>
                  <w14:solidFill>
                    <w14:schemeClr w14:val="tx1"/>
                  </w14:solidFill>
                </w14:textFill>
              </w:rPr>
              <w:t xml:space="preserve">得2分；本项最高得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分。投标文件中提供相关证书扫描件及投标单位为其缴纳的近期社保证明扫描件，未提供或提供不全的不得分。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p>
        </w:tc>
      </w:tr>
    </w:tbl>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（三）商务部分：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2</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79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19"/>
        <w:gridCol w:w="4677"/>
        <w:gridCol w:w="1241"/>
      </w:tblGrid>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评分项名称</w:t>
            </w:r>
            <w:r/>
          </w:p>
        </w:tc>
        <w:tc>
          <w:tcPr>
            <w:tcW w:w="467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评分标准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认证证书比较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投标单位具有有效期内的质量管理体系认证证书、环境管理体系认证证书、职业健康安全管理体系认证证书、食品安全管理体系认证证书的，有一个得2分，最高得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分。投标文件中提供相关证书扫描件及在中国国家认证认可监督管理委员会官网查询截图，未提供或提供不全的不得分。</w:t>
            </w:r>
            <w:r/>
          </w:p>
        </w:tc>
        <w:tc>
          <w:tcPr>
            <w:tcW w:w="1241" w:type="dxa"/>
            <w:vAlign w:val="center"/>
            <w:textDirection w:val="lrTb"/>
            <w:noWrap w:val="false"/>
          </w:tcPr>
          <w:p>
            <w:pPr>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业绩比较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投标单位自202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年1月1日至今（以合同签订时间为准）具有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餐饮</w:t>
            </w:r>
            <w:r>
              <w:rPr>
                <w:rFonts w:hint="eastAsia" w:ascii="宋体" w:hAnsi="宋体" w:eastAsia="宋体" w:cs="宋体"/>
                <w:bCs/>
                <w:color w:val="000000" w:themeColor="text1"/>
                <w:sz w:val="24"/>
                <w:szCs w:val="24"/>
                <w:highlight w:val="none"/>
                <w14:textFill>
                  <w14:solidFill>
                    <w14:schemeClr w14:val="tx1"/>
                  </w14:solidFill>
                </w14:textFill>
              </w:rPr>
              <w:t xml:space="preserve">项目业绩的，有一个得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分。投标文件中提供相关完整合同扫描件，未提供或提供不全的不得分。</w:t>
            </w:r>
            <w:r/>
          </w:p>
        </w:tc>
        <w:tc>
          <w:tcPr>
            <w:tcW w:w="1241" w:type="dxa"/>
            <w:vAlign w:val="center"/>
            <w:textDirection w:val="lrTb"/>
            <w:noWrap w:val="false"/>
          </w:tcPr>
          <w:p>
            <w:pPr>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企业荣誉</w:t>
            </w:r>
            <w:r>
              <w:rPr>
                <w:rFonts w:hint="eastAsia" w:ascii="宋体" w:hAnsi="宋体" w:eastAsia="宋体" w:cs="宋体"/>
                <w:bCs/>
                <w:color w:val="000000" w:themeColor="text1"/>
                <w:sz w:val="24"/>
                <w:szCs w:val="24"/>
                <w:highlight w:val="none"/>
                <w14:textFill>
                  <w14:solidFill>
                    <w14:schemeClr w14:val="tx1"/>
                  </w14:solidFill>
                </w14:textFill>
              </w:rPr>
              <w:t xml:space="preserve">比较</w:t>
            </w:r>
            <w:r/>
          </w:p>
        </w:tc>
        <w:tc>
          <w:tcPr>
            <w:tcW w:w="4677" w:type="dxa"/>
            <w:vAlign w:val="center"/>
            <w:textDirection w:val="lrTb"/>
            <w:noWrap w:val="false"/>
          </w:tcPr>
          <w:p>
            <w:pPr>
              <w:numPr>
                <w:ilvl w:val="0"/>
                <w:numId w:val="4"/>
              </w:numPr>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具有省级餐饮行业协会颁发的荣誉证书</w:t>
            </w:r>
            <w:r>
              <w:rPr>
                <w:rFonts w:hint="eastAsia" w:ascii="宋体" w:hAnsi="宋体" w:eastAsia="宋体" w:cs="宋体"/>
                <w:bCs/>
                <w:color w:val="000000" w:themeColor="text1"/>
                <w:sz w:val="24"/>
                <w:szCs w:val="24"/>
                <w:highlight w:val="none"/>
                <w14:textFill>
                  <w14:solidFill>
                    <w14:schemeClr w14:val="tx1"/>
                  </w14:solidFill>
                </w14:textFill>
              </w:rPr>
              <w:t xml:space="preserve">，有一个得2分，最高得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p>
        </w:tc>
      </w:tr>
    </w:tbl>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针对评分标准中评分的每一条，供应商在投标（响应）文件中均应提供相关资料的清晰扫描件并作出相应说明供评委评判，未提供或提供不完整的视为不具备该项得分的条件。</w:t>
      </w:r>
      <w:r/>
    </w:p>
    <w:p>
      <w:pPr>
        <w:ind w:firstLine="482"/>
        <w:spacing w:line="360" w:lineRule="auto"/>
        <w:rPr>
          <w:rFonts w:hint="eastAsia" w:ascii="宋体" w:hAnsi="宋体" w:eastAsia="宋体" w:cs="宋体"/>
          <w:b/>
          <w:color w:val="000000" w:themeColor="text1"/>
          <w:szCs w:val="21"/>
          <w:highlight w:val="none"/>
          <w14:textFill>
            <w14:solidFill>
              <w14:schemeClr w14:val="tx1"/>
            </w14:solidFill>
          </w14:textFill>
        </w:rPr>
        <w:outlineLvl w:val="1"/>
      </w:pPr>
      <w:r/>
      <w:bookmarkStart w:id="70" w:name="_Toc105940243"/>
      <w:r/>
      <w:bookmarkStart w:id="71" w:name="_Toc48723925"/>
      <w:r>
        <w:rPr>
          <w:rFonts w:hint="eastAsia" w:ascii="宋体" w:hAnsi="宋体" w:eastAsia="宋体" w:cs="宋体"/>
          <w:b/>
          <w:bCs/>
          <w:color w:val="000000" w:themeColor="text1"/>
          <w:sz w:val="24"/>
          <w:szCs w:val="24"/>
          <w:highlight w:val="none"/>
          <w14:textFill>
            <w14:solidFill>
              <w14:schemeClr w14:val="tx1"/>
            </w14:solidFill>
          </w14:textFill>
        </w:rPr>
        <w:t xml:space="preserve">三、政府采购政策</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（一）中、小企业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2" w:name="_Hlk193380633"/>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1、本项目属于专门面向中小企业的项目。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2、本项目采购标的对应的中小企业划分标准所属行业为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餐饮业</w:t>
      </w:r>
      <w:r>
        <w:rPr>
          <w:rFonts w:hint="eastAsia" w:ascii="宋体" w:hAnsi="宋体" w:eastAsia="宋体" w:cs="宋体"/>
          <w:color w:val="000000" w:themeColor="text1"/>
          <w:sz w:val="24"/>
          <w:szCs w:val="24"/>
          <w:highlight w:val="none"/>
          <w14:textFill>
            <w14:solidFill>
              <w14:schemeClr w14:val="tx1"/>
            </w14:solidFill>
          </w14:textFill>
        </w:rPr>
        <w:t xml:space="preserve">，承接服务的供应商应为中小微企业、监狱企业、残疾人福利性单位。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中小微企业划型标准根据《中小企业划型标准规定》（工信部联企业【2011】300号）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6、若供应商提供的《中小企业声明函》为虚假声明则视同提供虚假材料，按政府采购相关规定处理并报请政府监管部门给予行政处罚。</w:t>
      </w:r>
      <w:bookmarkEnd w:id="72"/>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（二）残疾人福利性单位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（三）监狱企业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80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03"/>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3"/>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3"/>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3"/>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keepNext/>
        <w:spacing w:before="340" w:after="330" w:line="360" w:lineRule="auto"/>
        <w:rPr>
          <w:rFonts w:hint="eastAsia" w:ascii="宋体" w:hAnsi="宋体" w:eastAsia="宋体" w:cs="宋体"/>
          <w:color w:val="000000" w:themeColor="text1"/>
          <w:highlight w:val="none"/>
          <w14:textFill>
            <w14:solidFill>
              <w14:schemeClr w14:val="tx1"/>
            </w14:solidFill>
          </w14:textFill>
        </w:rPr>
        <w:outlineLvl w:val="0"/>
      </w:pPr>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第七章 附件</w:t>
      </w:r>
      <w:bookmarkEnd w:id="70"/>
      <w:r/>
      <w:bookmarkEnd w:id="71"/>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附件1：政府采购合同信用融资政策告知函</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
          <w14:textFill>
            <w14:solidFill>
              <w14:schemeClr w14:val="tx1"/>
            </w14:solidFill>
          </w14:textFill>
        </w:rPr>
        <w:t xml:space="preserve">附件2：中小企业</w:t>
      </w:r>
      <w:r>
        <w:rPr>
          <w:rFonts w:hint="eastAsia" w:ascii="宋体" w:hAnsi="宋体" w:eastAsia="宋体" w:cs="宋体"/>
          <w:b/>
          <w:bCs/>
          <w:color w:val="000000" w:themeColor="text1"/>
          <w:sz w:val="24"/>
          <w:szCs w:val="24"/>
          <w:highlight w:val="none"/>
          <w14:textFill>
            <w14:solidFill>
              <w14:schemeClr w14:val="tx1"/>
            </w14:solidFill>
          </w14:textFill>
        </w:rPr>
        <w:t xml:space="preserve">相关要求</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附件3：中小企业划型标准规定</w:t>
      </w:r>
      <w:r>
        <w:rPr>
          <w:rFonts w:hint="eastAsia" w:ascii="宋体" w:hAnsi="宋体" w:eastAsia="宋体" w:cs="宋体"/>
          <w:b/>
          <w:color w:val="000000" w:themeColor="text1"/>
          <w:sz w:val="24"/>
          <w:szCs w:val="24"/>
          <w:highlight w:val="none"/>
          <w14:textFill>
            <w14:solidFill>
              <w14:schemeClr w14:val="tx1"/>
            </w14:solidFill>
          </w14:textFill>
        </w:rPr>
        <w:t xml:space="preserve">（工信部联企业〔2011〕300号）</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附件1：</w:t>
      </w:r>
      <w:r/>
    </w:p>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8"/>
          <w:szCs w:val="24"/>
          <w:highlight w:val="none"/>
          <w14:textFill>
            <w14:solidFill>
              <w14:schemeClr w14:val="tx1"/>
            </w14:solidFill>
          </w14:textFill>
        </w:rPr>
        <w:t xml:space="preserve">政府采购合同信用融资政策告知函</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各政府采购供应商：</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欢迎贵公司参加苏州市政府采购活动！</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pStyle w:val="1026"/>
        <w:ind w:firstLine="0"/>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附件2：</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
          <w14:textFill>
            <w14:solidFill>
              <w14:schemeClr w14:val="tx1"/>
            </w14:solidFill>
          </w14:textFill>
        </w:rPr>
        <w:t xml:space="preserve">中小企业</w:t>
      </w:r>
      <w:r>
        <w:rPr>
          <w:rFonts w:hint="eastAsia" w:ascii="宋体" w:hAnsi="宋体" w:eastAsia="宋体" w:cs="宋体"/>
          <w:b/>
          <w:bCs/>
          <w:color w:val="000000" w:themeColor="text1"/>
          <w:sz w:val="24"/>
          <w:szCs w:val="24"/>
          <w:highlight w:val="none"/>
          <w14:textFill>
            <w14:solidFill>
              <w14:schemeClr w14:val="tx1"/>
            </w14:solidFill>
          </w14:textFill>
        </w:rPr>
        <w:t xml:space="preserve">相关要求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000000" w:themeColor="text1"/>
          <w:sz w:val="24"/>
          <w:szCs w:val="24"/>
          <w:highlight w:val="none"/>
          <w14:textFill>
            <w14:solidFill>
              <w14:schemeClr w14:val="tx1"/>
            </w14:solidFill>
          </w14:textFill>
        </w:rPr>
        <w:t xml:space="preserve">服务类项目中供应商若使用退休人员，将不享受相应扶持政策。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000000" w:themeColor="text1"/>
          <w:sz w:val="24"/>
          <w:szCs w:val="24"/>
          <w:highlight w:val="none"/>
          <w14:textFill>
            <w14:solidFill>
              <w14:schemeClr w14:val="tx1"/>
            </w14:solidFill>
          </w14:textFill>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4.中标（成交）单位为中小企业的，《中小企业声明函》将随中标（成交）结果同时公告。</w:t>
      </w:r>
      <w:r>
        <w:rPr>
          <w:rFonts w:hint="eastAsia" w:ascii="宋体" w:hAnsi="宋体" w:eastAsia="宋体" w:cs="宋体"/>
          <w:b/>
          <w:color w:val="000000" w:themeColor="text1"/>
          <w:highlight w:val="none"/>
          <w14:textFill>
            <w14:solidFill>
              <w14:schemeClr w14:val="tx1"/>
            </w14:solidFill>
          </w14:textFill>
        </w:rPr>
        <w:br w:type="page" w:clear="all"/>
      </w:r>
      <w:r/>
    </w:p>
    <w:p>
      <w:pPr>
        <w:pStyle w:val="1026"/>
        <w:ind w:firstLine="0"/>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附件3：</w:t>
      </w:r>
      <w:r/>
    </w:p>
    <w:p>
      <w:pPr>
        <w:pStyle w:val="1026"/>
        <w:ind w:firstLine="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中小企业划型标准规定</w:t>
      </w:r>
      <w:r>
        <w:rPr>
          <w:rFonts w:hint="eastAsia" w:ascii="宋体" w:hAnsi="宋体" w:eastAsia="宋体" w:cs="宋体"/>
          <w:b/>
          <w:color w:val="000000" w:themeColor="text1"/>
          <w:highlight w:val="none"/>
          <w14:textFill>
            <w14:solidFill>
              <w14:schemeClr w14:val="tx1"/>
            </w14:solidFill>
          </w14:textFill>
        </w:rPr>
        <w:t xml:space="preserve">（工信部联企业〔2011〕300号）</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（一）农、林、牧、渔业。</w:t>
      </w:r>
      <w:r>
        <w:rPr>
          <w:rFonts w:hint="eastAsia" w:ascii="宋体" w:hAnsi="宋体" w:eastAsia="宋体" w:cs="宋体"/>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（二）工业。</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（三）建筑业。</w:t>
      </w:r>
      <w:r>
        <w:rPr>
          <w:rFonts w:hint="eastAsia" w:ascii="宋体" w:hAnsi="宋体" w:eastAsia="宋体" w:cs="宋体"/>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（四）批发业。</w:t>
      </w:r>
      <w:r>
        <w:rPr>
          <w:rFonts w:hint="eastAsia" w:ascii="宋体" w:hAnsi="宋体" w:eastAsia="宋体" w:cs="宋体"/>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（五）零售业。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（六）交通运输业。</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（七）仓储业。</w:t>
      </w:r>
      <w:r>
        <w:rPr>
          <w:rFonts w:hint="eastAsia" w:ascii="宋体" w:hAnsi="宋体" w:eastAsia="宋体" w:cs="宋体"/>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（八）邮政业。</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（九）住宿业。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（十）餐饮业。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（十一）信息传输业。</w:t>
      </w:r>
      <w:r>
        <w:rPr>
          <w:rFonts w:hint="eastAsia" w:ascii="宋体" w:hAnsi="宋体" w:eastAsia="宋体" w:cs="宋体"/>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（十二）软件和信息技术服务业。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（十三）房地产开发经营。</w:t>
      </w:r>
      <w:r>
        <w:rPr>
          <w:rFonts w:hint="eastAsia" w:ascii="宋体" w:hAnsi="宋体" w:eastAsia="宋体" w:cs="宋体"/>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（十四）物业管理。</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（十五）租赁和商务服务业。</w:t>
      </w:r>
      <w:r>
        <w:rPr>
          <w:rFonts w:hint="eastAsia" w:ascii="宋体" w:hAnsi="宋体" w:eastAsia="宋体" w:cs="宋体"/>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（十六）其他未列明行业。</w:t>
      </w:r>
      <w:r>
        <w:rPr>
          <w:rFonts w:hint="eastAsia" w:ascii="宋体" w:hAnsi="宋体" w:eastAsia="宋体" w:cs="宋体"/>
          <w:color w:val="000000" w:themeColor="text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r>
      <w:r/>
    </w:p>
    <w:p>
      <w:pPr>
        <w:jc w:val="righ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15"/>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15"/>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rPr>
        <w:rFonts w:hint="eastAsia"/>
      </w:rPr>
    </w:pPr>
    <w:r>
      <w:rPr>
        <w:rFonts w:hint="eastAsia"/>
      </w:rPr>
      <w:t xml:space="preserve">第</w:t>
    </w:r>
    <w:sdt>
      <w:sdtPr>
        <w15:appearance w15:val="boundingBox"/>
        <w:id w:val="1689094317"/>
        <w:docPartObj>
          <w:docPartGallery w:val="autotext"/>
        </w:docPartObj>
        <w:rPr/>
      </w:sdtPr>
      <w:sdtContent>
        <w:r>
          <w:fldChar w:fldCharType="begin"/>
        </w:r>
        <w:r>
          <w:instrText xml:space="preserve">PAGE   \* MERGEFORMAT</w:instrText>
        </w:r>
        <w:r>
          <w:fldChar w:fldCharType="separate"/>
        </w:r>
        <w:r>
          <w:rPr>
            <w:lang w:val="zh-CN"/>
          </w:rPr>
          <w:t xml:space="preserve">2</w:t>
        </w:r>
        <w:r>
          <w:fldChar w:fldCharType="end"/>
        </w:r>
        <w:r>
          <w:rPr>
            <w:rFonts w:hint="eastAsia"/>
          </w:rPr>
          <w:t xml:space="preserve">页</w:t>
        </w:r>
      </w:sdtContent>
    </w:sdt>
    <w:r/>
    <w:r/>
  </w:p>
  <w:p>
    <w:pPr>
      <w:jc w:val="left"/>
      <w:tabs>
        <w:tab w:val="left" w:pos="4013" w:leader="none"/>
      </w:tabs>
      <w:rPr>
        <w:rFonts w:hint="eastAsia" w:ascii="宋体" w:hAnsi="宋体" w:eastAsia="宋体"/>
        <w:sz w:val="18"/>
        <w:szCs w:val="18"/>
      </w:rPr>
    </w:pPr>
    <w:r>
      <w:rPr>
        <w:rFonts w:hint="eastAsia" w:ascii="宋体" w:hAnsi="宋体" w:eastAsia="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both"/>
      <w:rPr>
        <w:rFonts w:hint="default" w:ascii="宋体" w:hAnsi="宋体" w:eastAsia="宋体"/>
        <w:color w:val="ff0000"/>
        <w:lang w:val="en-US" w:eastAsia="zh-CN"/>
      </w:rPr>
    </w:pPr>
    <w:r>
      <w:rPr>
        <w:rFonts w:hint="eastAsia" w:ascii="宋体" w:hAnsi="宋体" w:eastAsia="宋体"/>
      </w:rPr>
      <w:t xml:space="preserve">政府采购招标文件                                       </w:t>
    </w:r>
    <w:r>
      <w:rPr>
        <w:rFonts w:hint="eastAsia" w:ascii="宋体" w:hAnsi="宋体" w:eastAsia="宋体"/>
        <w:lang w:val="en-US" w:eastAsia="zh-CN"/>
      </w:rPr>
      <w:t xml:space="preserve">           </w:t>
    </w:r>
    <w:r>
      <w:rPr>
        <w:rFonts w:hint="eastAsia" w:ascii="宋体" w:hAnsi="宋体" w:eastAsia="宋体"/>
      </w:rPr>
      <w:t xml:space="preserve">  标号：</w:t>
    </w:r>
    <w:r>
      <w:rPr>
        <w:rFonts w:hint="eastAsia" w:ascii="宋体" w:hAnsi="宋体" w:eastAsia="宋体"/>
        <w:color w:val="auto"/>
        <w:lang w:eastAsia="zh-CN"/>
      </w:rPr>
      <w:t xml:space="preserve">JSZC-320500-XCXC-G2026-0006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55"/>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3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default="1">
    <w:name w:val="Normal"/>
    <w:next w:val="793"/>
    <w:uiPriority w:val="0"/>
    <w:qFormat/>
    <w:pPr>
      <w:jc w:val="both"/>
      <w:widowControl w:val="off"/>
    </w:pPr>
    <w:rPr>
      <w:rFonts w:hint="default" w:asciiTheme="minorHAnsi" w:hAnsiTheme="minorHAnsi" w:eastAsiaTheme="minorEastAsia" w:cstheme="minorBidi"/>
      <w:sz w:val="21"/>
      <w:szCs w:val="22"/>
    </w:rPr>
  </w:style>
  <w:style w:type="paragraph" w:styleId="782">
    <w:name w:val="Heading 1"/>
    <w:basedOn w:val="781"/>
    <w:next w:val="781"/>
    <w:link w:val="992"/>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83">
    <w:name w:val="Heading 2"/>
    <w:basedOn w:val="781"/>
    <w:next w:val="781"/>
    <w:link w:val="993"/>
    <w:uiPriority w:val="0"/>
    <w:qFormat/>
    <w:pPr>
      <w:jc w:val="left"/>
      <w:keepLines/>
      <w:keepNext/>
      <w:outlineLvl w:val="1"/>
    </w:pPr>
    <w:rPr>
      <w:rFonts w:ascii="宋体" w:hAnsi="宋体" w:eastAsia="楷体_GB2312" w:cs="Times New Roman"/>
      <w:b/>
      <w:sz w:val="26"/>
      <w:szCs w:val="20"/>
    </w:rPr>
  </w:style>
  <w:style w:type="paragraph" w:styleId="784">
    <w:name w:val="Heading 3"/>
    <w:basedOn w:val="781"/>
    <w:next w:val="781"/>
    <w:link w:val="994"/>
    <w:uiPriority w:val="0"/>
    <w:qFormat/>
    <w:pPr>
      <w:jc w:val="left"/>
      <w:keepLines/>
      <w:keepNext/>
      <w:outlineLvl w:val="2"/>
    </w:pPr>
    <w:rPr>
      <w:rFonts w:ascii="Calibri" w:hAnsi="Calibri" w:eastAsia="楷体_GB2312" w:cs="Times New Roman"/>
      <w:b/>
      <w:sz w:val="26"/>
      <w:szCs w:val="20"/>
    </w:rPr>
  </w:style>
  <w:style w:type="paragraph" w:styleId="785">
    <w:name w:val="Heading 4"/>
    <w:basedOn w:val="781"/>
    <w:next w:val="781"/>
    <w:link w:val="995"/>
    <w:uiPriority w:val="0"/>
    <w:qFormat/>
    <w:pPr>
      <w:keepLines/>
      <w:keepNext/>
      <w:spacing w:before="280" w:after="290" w:line="376" w:lineRule="auto"/>
      <w:outlineLvl w:val="3"/>
    </w:pPr>
    <w:rPr>
      <w:rFonts w:ascii="Arial" w:hAnsi="Arial" w:eastAsia="黑体" w:cs="Times New Roman"/>
      <w:b/>
      <w:bCs/>
      <w:sz w:val="28"/>
      <w:szCs w:val="28"/>
    </w:rPr>
  </w:style>
  <w:style w:type="paragraph" w:styleId="786">
    <w:name w:val="Heading 5"/>
    <w:basedOn w:val="781"/>
    <w:next w:val="781"/>
    <w:link w:val="996"/>
    <w:uiPriority w:val="0"/>
    <w:qFormat/>
    <w:pPr>
      <w:keepNext/>
      <w:outlineLvl w:val="4"/>
    </w:pPr>
    <w:rPr>
      <w:rFonts w:ascii="宋体" w:hAnsi="宋体" w:eastAsia="宋体" w:cs="Times New Roman"/>
      <w:color w:val="000000"/>
      <w:sz w:val="28"/>
      <w:szCs w:val="20"/>
    </w:rPr>
  </w:style>
  <w:style w:type="paragraph" w:styleId="787">
    <w:name w:val="Heading 6"/>
    <w:basedOn w:val="781"/>
    <w:next w:val="781"/>
    <w:link w:val="997"/>
    <w:uiPriority w:val="0"/>
    <w:qFormat/>
    <w:pPr>
      <w:keepNext/>
      <w:outlineLvl w:val="5"/>
    </w:pPr>
    <w:rPr>
      <w:rFonts w:ascii="宋体" w:hAnsi="宋体" w:eastAsia="宋体" w:cs="Times New Roman"/>
      <w:sz w:val="28"/>
      <w:szCs w:val="20"/>
    </w:rPr>
  </w:style>
  <w:style w:type="paragraph" w:styleId="788">
    <w:name w:val="Heading 7"/>
    <w:basedOn w:val="781"/>
    <w:next w:val="781"/>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link w:val="851"/>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link w:val="852"/>
    <w:uiPriority w:val="9"/>
    <w:unhideWhenUsed/>
    <w:qFormat/>
    <w:pPr>
      <w:keepLines/>
      <w:keepNext/>
      <w:spacing w:before="320" w:after="200"/>
      <w:outlineLvl w:val="8"/>
    </w:pPr>
    <w:rPr>
      <w:rFonts w:ascii="Arial" w:hAnsi="Arial" w:eastAsia="Arial" w:cs="Arial"/>
      <w:i/>
      <w:iCs/>
      <w:sz w:val="21"/>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customStyle="1">
    <w:name w:val="段"/>
    <w:next w:val="781"/>
    <w:uiPriority w:val="0"/>
    <w:qFormat/>
    <w:pPr>
      <w:ind w:firstLine="200"/>
      <w:jc w:val="both"/>
    </w:pPr>
    <w:rPr>
      <w:rFonts w:hint="default" w:ascii="宋体" w:hAnsi="Times New Roman" w:eastAsia="宋体" w:cs="宋体"/>
      <w:sz w:val="21"/>
      <w:szCs w:val="21"/>
    </w:rPr>
  </w:style>
  <w:style w:type="paragraph" w:styleId="794">
    <w:name w:val="toc 7"/>
    <w:basedOn w:val="781"/>
    <w:next w:val="781"/>
    <w:uiPriority w:val="0"/>
    <w:qFormat/>
    <w:pPr>
      <w:ind w:left="2520"/>
    </w:pPr>
    <w:rPr>
      <w:rFonts w:ascii="Calibri" w:hAnsi="Calibri" w:eastAsia="楷体_GB2312" w:cs="Times New Roman"/>
      <w:sz w:val="26"/>
      <w:szCs w:val="20"/>
    </w:rPr>
  </w:style>
  <w:style w:type="paragraph" w:styleId="795">
    <w:name w:val="index 8"/>
    <w:basedOn w:val="781"/>
    <w:next w:val="781"/>
    <w:uiPriority w:val="0"/>
    <w:qFormat/>
    <w:pPr>
      <w:ind w:left="2940"/>
    </w:pPr>
    <w:rPr>
      <w:rFonts w:ascii="Calibri" w:hAnsi="Calibri" w:eastAsia="楷体_GB2312" w:cs="Times New Roman"/>
      <w:sz w:val="26"/>
      <w:szCs w:val="20"/>
    </w:rPr>
  </w:style>
  <w:style w:type="paragraph" w:styleId="796">
    <w:name w:val="Normal Indent"/>
    <w:basedOn w:val="781"/>
    <w:next w:val="781"/>
    <w:link w:val="998"/>
    <w:uiPriority w:val="0"/>
    <w:qFormat/>
    <w:pPr>
      <w:ind w:firstLine="420"/>
      <w:jc w:val="left"/>
    </w:pPr>
    <w:rPr>
      <w:rFonts w:ascii="Calibri" w:hAnsi="Calibri" w:eastAsia="楷体_GB2312" w:cs="Times New Roman"/>
      <w:sz w:val="24"/>
      <w:szCs w:val="20"/>
    </w:rPr>
  </w:style>
  <w:style w:type="paragraph" w:styleId="797">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index 5"/>
    <w:basedOn w:val="781"/>
    <w:next w:val="781"/>
    <w:uiPriority w:val="0"/>
    <w:qFormat/>
    <w:pPr>
      <w:ind w:left="1680"/>
    </w:pPr>
    <w:rPr>
      <w:rFonts w:ascii="Calibri" w:hAnsi="Calibri" w:eastAsia="楷体_GB2312" w:cs="Times New Roman"/>
      <w:sz w:val="26"/>
      <w:szCs w:val="20"/>
    </w:rPr>
  </w:style>
  <w:style w:type="paragraph" w:styleId="799">
    <w:name w:val="Document Map"/>
    <w:basedOn w:val="781"/>
    <w:link w:val="999"/>
    <w:uiPriority w:val="0"/>
    <w:qFormat/>
    <w:pPr>
      <w:shd w:val="clear" w:color="auto" w:fill="000080"/>
    </w:pPr>
    <w:rPr>
      <w:rFonts w:ascii="Calibri" w:hAnsi="Calibri" w:eastAsia="楷体_GB2312" w:cs="Times New Roman"/>
      <w:sz w:val="26"/>
      <w:szCs w:val="20"/>
    </w:rPr>
  </w:style>
  <w:style w:type="paragraph" w:styleId="800">
    <w:name w:val="annotation text"/>
    <w:basedOn w:val="781"/>
    <w:link w:val="1000"/>
    <w:uiPriority w:val="0"/>
    <w:qFormat/>
    <w:pPr>
      <w:jc w:val="left"/>
    </w:pPr>
    <w:rPr>
      <w:rFonts w:ascii="Calibri" w:hAnsi="Calibri" w:eastAsia="楷体_GB2312" w:cs="Times New Roman"/>
      <w:sz w:val="26"/>
      <w:szCs w:val="20"/>
    </w:rPr>
  </w:style>
  <w:style w:type="paragraph" w:styleId="801">
    <w:name w:val="index 6"/>
    <w:basedOn w:val="781"/>
    <w:next w:val="781"/>
    <w:uiPriority w:val="0"/>
    <w:qFormat/>
    <w:pPr>
      <w:ind w:left="2100"/>
    </w:pPr>
    <w:rPr>
      <w:rFonts w:ascii="Calibri" w:hAnsi="Calibri" w:eastAsia="楷体_GB2312" w:cs="Times New Roman"/>
      <w:sz w:val="26"/>
      <w:szCs w:val="20"/>
    </w:rPr>
  </w:style>
  <w:style w:type="paragraph" w:styleId="802">
    <w:name w:val="Body Text"/>
    <w:basedOn w:val="781"/>
    <w:link w:val="1001"/>
    <w:uiPriority w:val="0"/>
    <w:qFormat/>
    <w:pPr>
      <w:spacing w:line="400" w:lineRule="exact"/>
    </w:pPr>
    <w:rPr>
      <w:rFonts w:ascii="楷体_GB2312" w:hAnsi="Calibri" w:eastAsia="楷体_GB2312" w:cs="Times New Roman"/>
      <w:sz w:val="28"/>
      <w:szCs w:val="20"/>
    </w:rPr>
  </w:style>
  <w:style w:type="paragraph" w:styleId="803">
    <w:name w:val="Body Text Indent"/>
    <w:basedOn w:val="781"/>
    <w:next w:val="781"/>
    <w:link w:val="1002"/>
    <w:uiPriority w:val="99"/>
    <w:qFormat/>
    <w:pPr>
      <w:ind w:left="570"/>
      <w:spacing w:line="520" w:lineRule="exact"/>
    </w:pPr>
    <w:rPr>
      <w:rFonts w:ascii="方正仿宋简体" w:hAnsi="创艺简仿宋" w:eastAsia="方正仿宋简体" w:cs="Times New Roman"/>
      <w:sz w:val="24"/>
      <w:szCs w:val="20"/>
    </w:rPr>
  </w:style>
  <w:style w:type="paragraph" w:styleId="804">
    <w:name w:val="Block Text"/>
    <w:basedOn w:val="781"/>
    <w:next w:val="78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05">
    <w:name w:val="index 4"/>
    <w:basedOn w:val="781"/>
    <w:next w:val="781"/>
    <w:uiPriority w:val="0"/>
    <w:qFormat/>
    <w:pPr>
      <w:ind w:left="1260"/>
    </w:pPr>
    <w:rPr>
      <w:rFonts w:ascii="Calibri" w:hAnsi="Calibri" w:eastAsia="楷体_GB2312" w:cs="Times New Roman"/>
      <w:sz w:val="26"/>
      <w:szCs w:val="20"/>
    </w:rPr>
  </w:style>
  <w:style w:type="paragraph" w:styleId="806">
    <w:name w:val="toc 5"/>
    <w:basedOn w:val="781"/>
    <w:next w:val="781"/>
    <w:uiPriority w:val="0"/>
    <w:qFormat/>
    <w:pPr>
      <w:ind w:left="1680"/>
    </w:pPr>
    <w:rPr>
      <w:rFonts w:ascii="Calibri" w:hAnsi="Calibri" w:eastAsia="楷体_GB2312" w:cs="Times New Roman"/>
      <w:sz w:val="26"/>
      <w:szCs w:val="20"/>
    </w:rPr>
  </w:style>
  <w:style w:type="paragraph" w:styleId="807">
    <w:name w:val="toc 3"/>
    <w:basedOn w:val="781"/>
    <w:next w:val="781"/>
    <w:uiPriority w:val="0"/>
    <w:qFormat/>
    <w:pPr>
      <w:ind w:left="840"/>
    </w:pPr>
    <w:rPr>
      <w:rFonts w:ascii="Calibri" w:hAnsi="Calibri" w:eastAsia="楷体_GB2312" w:cs="Times New Roman"/>
      <w:sz w:val="26"/>
      <w:szCs w:val="20"/>
    </w:rPr>
  </w:style>
  <w:style w:type="paragraph" w:styleId="808">
    <w:name w:val="Plain Text"/>
    <w:basedOn w:val="781"/>
    <w:link w:val="1003"/>
    <w:uiPriority w:val="0"/>
    <w:qFormat/>
    <w:rPr>
      <w:rFonts w:ascii="宋体" w:hAnsi="Courier New" w:eastAsia="楷体_GB2312" w:cs="Times New Roman"/>
      <w:sz w:val="26"/>
      <w:szCs w:val="20"/>
    </w:rPr>
  </w:style>
  <w:style w:type="paragraph" w:styleId="809">
    <w:name w:val="toc 8"/>
    <w:basedOn w:val="781"/>
    <w:next w:val="781"/>
    <w:uiPriority w:val="0"/>
    <w:qFormat/>
    <w:pPr>
      <w:ind w:left="2940"/>
    </w:pPr>
    <w:rPr>
      <w:rFonts w:ascii="Calibri" w:hAnsi="Calibri" w:eastAsia="楷体_GB2312" w:cs="Times New Roman"/>
      <w:sz w:val="26"/>
      <w:szCs w:val="20"/>
    </w:rPr>
  </w:style>
  <w:style w:type="paragraph" w:styleId="810">
    <w:name w:val="index 3"/>
    <w:basedOn w:val="781"/>
    <w:next w:val="781"/>
    <w:uiPriority w:val="0"/>
    <w:qFormat/>
    <w:pPr>
      <w:ind w:left="840"/>
    </w:pPr>
    <w:rPr>
      <w:rFonts w:ascii="Calibri" w:hAnsi="Calibri" w:eastAsia="楷体_GB2312" w:cs="Times New Roman"/>
      <w:sz w:val="26"/>
      <w:szCs w:val="20"/>
    </w:rPr>
  </w:style>
  <w:style w:type="paragraph" w:styleId="811">
    <w:name w:val="Date"/>
    <w:basedOn w:val="781"/>
    <w:next w:val="781"/>
    <w:link w:val="1004"/>
    <w:uiPriority w:val="0"/>
    <w:qFormat/>
    <w:rPr>
      <w:rFonts w:ascii="宋体" w:hAnsi="宋体" w:eastAsia="楷体_GB2312" w:cs="Times New Roman"/>
      <w:sz w:val="24"/>
      <w:szCs w:val="20"/>
    </w:rPr>
  </w:style>
  <w:style w:type="paragraph" w:styleId="812">
    <w:name w:val="Body Text Indent 2"/>
    <w:basedOn w:val="781"/>
    <w:link w:val="1005"/>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13">
    <w:name w:val="endnote text"/>
    <w:basedOn w:val="781"/>
    <w:link w:val="1006"/>
    <w:uiPriority w:val="0"/>
    <w:qFormat/>
    <w:pPr>
      <w:jc w:val="left"/>
    </w:pPr>
    <w:rPr>
      <w:rFonts w:ascii="Calibri" w:hAnsi="Calibri" w:eastAsia="楷体_GB2312" w:cs="Times New Roman"/>
      <w:sz w:val="26"/>
      <w:szCs w:val="20"/>
    </w:rPr>
  </w:style>
  <w:style w:type="paragraph" w:styleId="814">
    <w:name w:val="Balloon Text"/>
    <w:basedOn w:val="781"/>
    <w:link w:val="1007"/>
    <w:uiPriority w:val="99"/>
    <w:qFormat/>
    <w:rPr>
      <w:rFonts w:ascii="Calibri" w:hAnsi="Calibri" w:eastAsia="楷体_GB2312" w:cs="Times New Roman"/>
      <w:sz w:val="18"/>
      <w:szCs w:val="18"/>
    </w:rPr>
  </w:style>
  <w:style w:type="paragraph" w:styleId="815">
    <w:name w:val="Footer"/>
    <w:basedOn w:val="781"/>
    <w:link w:val="1008"/>
    <w:uiPriority w:val="99"/>
    <w:qFormat/>
    <w:pPr>
      <w:jc w:val="right"/>
      <w:tabs>
        <w:tab w:val="center" w:pos="4153" w:leader="none"/>
        <w:tab w:val="right" w:pos="8306" w:leader="none"/>
      </w:tabs>
    </w:pPr>
    <w:rPr>
      <w:rFonts w:cs="Times New Roman" w:asciiTheme="minorEastAsia" w:hAnsiTheme="minorEastAsia"/>
      <w:sz w:val="18"/>
      <w:szCs w:val="20"/>
    </w:rPr>
  </w:style>
  <w:style w:type="paragraph" w:styleId="816">
    <w:name w:val="Header"/>
    <w:basedOn w:val="781"/>
    <w:link w:val="1009"/>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17">
    <w:name w:val="toc 1"/>
    <w:basedOn w:val="781"/>
    <w:next w:val="781"/>
    <w:uiPriority w:val="39"/>
    <w:qFormat/>
    <w:pPr>
      <w:jc w:val="left"/>
    </w:pPr>
    <w:rPr>
      <w:rFonts w:ascii="Calibri" w:hAnsi="Calibri" w:eastAsia="楷体_GB2312" w:cs="Times New Roman"/>
      <w:sz w:val="24"/>
      <w:szCs w:val="20"/>
    </w:rPr>
  </w:style>
  <w:style w:type="paragraph" w:styleId="818">
    <w:name w:val="toc 4"/>
    <w:basedOn w:val="781"/>
    <w:next w:val="781"/>
    <w:uiPriority w:val="0"/>
    <w:qFormat/>
    <w:pPr>
      <w:ind w:left="1260"/>
    </w:pPr>
    <w:rPr>
      <w:rFonts w:ascii="Calibri" w:hAnsi="Calibri" w:eastAsia="楷体_GB2312" w:cs="Times New Roman"/>
      <w:sz w:val="26"/>
      <w:szCs w:val="20"/>
    </w:rPr>
  </w:style>
  <w:style w:type="paragraph" w:styleId="819">
    <w:name w:val="index heading"/>
    <w:basedOn w:val="781"/>
    <w:next w:val="820"/>
    <w:uiPriority w:val="0"/>
    <w:qFormat/>
    <w:rPr>
      <w:rFonts w:ascii="Calibri" w:hAnsi="Calibri" w:eastAsia="楷体_GB2312" w:cs="Times New Roman"/>
      <w:sz w:val="26"/>
      <w:szCs w:val="20"/>
    </w:rPr>
  </w:style>
  <w:style w:type="paragraph" w:styleId="820">
    <w:name w:val="index 1"/>
    <w:basedOn w:val="781"/>
    <w:next w:val="781"/>
    <w:uiPriority w:val="0"/>
    <w:unhideWhenUsed/>
    <w:qFormat/>
  </w:style>
  <w:style w:type="paragraph" w:styleId="821">
    <w:name w:val="Subtitle"/>
    <w:basedOn w:val="781"/>
    <w:next w:val="781"/>
    <w:link w:val="1010"/>
    <w:uiPriority w:val="0"/>
    <w:qFormat/>
    <w:pPr>
      <w:jc w:val="left"/>
      <w:spacing w:before="120"/>
      <w:outlineLvl w:val="1"/>
    </w:pPr>
    <w:rPr>
      <w:rFonts w:ascii="Cambria" w:hAnsi="Cambria" w:eastAsia="宋体" w:cs="Times New Roman"/>
      <w:b/>
      <w:bCs/>
      <w:sz w:val="24"/>
      <w:szCs w:val="32"/>
    </w:rPr>
  </w:style>
  <w:style w:type="paragraph" w:styleId="822">
    <w:name w:val="footnote text"/>
    <w:basedOn w:val="781"/>
    <w:link w:val="1011"/>
    <w:uiPriority w:val="0"/>
    <w:qFormat/>
    <w:pPr>
      <w:jc w:val="left"/>
    </w:pPr>
    <w:rPr>
      <w:rFonts w:ascii="Calibri" w:hAnsi="Calibri" w:eastAsia="楷体_GB2312" w:cs="Times New Roman"/>
      <w:sz w:val="18"/>
      <w:szCs w:val="20"/>
    </w:rPr>
  </w:style>
  <w:style w:type="paragraph" w:styleId="823">
    <w:name w:val="toc 6"/>
    <w:basedOn w:val="781"/>
    <w:next w:val="781"/>
    <w:uiPriority w:val="0"/>
    <w:qFormat/>
    <w:pPr>
      <w:ind w:left="2100"/>
    </w:pPr>
    <w:rPr>
      <w:rFonts w:ascii="Calibri" w:hAnsi="Calibri" w:eastAsia="楷体_GB2312" w:cs="Times New Roman"/>
      <w:sz w:val="26"/>
      <w:szCs w:val="20"/>
    </w:rPr>
  </w:style>
  <w:style w:type="paragraph" w:styleId="824">
    <w:name w:val="Body Text Indent 3"/>
    <w:basedOn w:val="781"/>
    <w:link w:val="1012"/>
    <w:uiPriority w:val="0"/>
    <w:qFormat/>
    <w:pPr>
      <w:ind w:firstLine="617"/>
      <w:spacing w:line="360" w:lineRule="auto"/>
    </w:pPr>
    <w:rPr>
      <w:rFonts w:ascii="Calibri" w:hAnsi="Calibri" w:eastAsia="宋体" w:cs="Times New Roman"/>
      <w:sz w:val="24"/>
      <w:szCs w:val="24"/>
    </w:rPr>
  </w:style>
  <w:style w:type="paragraph" w:styleId="825">
    <w:name w:val="index 7"/>
    <w:basedOn w:val="781"/>
    <w:next w:val="781"/>
    <w:uiPriority w:val="0"/>
    <w:qFormat/>
    <w:pPr>
      <w:ind w:left="2520"/>
    </w:pPr>
    <w:rPr>
      <w:rFonts w:ascii="Calibri" w:hAnsi="Calibri" w:eastAsia="楷体_GB2312" w:cs="Times New Roman"/>
      <w:sz w:val="26"/>
      <w:szCs w:val="20"/>
    </w:rPr>
  </w:style>
  <w:style w:type="paragraph" w:styleId="826">
    <w:name w:val="index 9"/>
    <w:basedOn w:val="781"/>
    <w:next w:val="781"/>
    <w:uiPriority w:val="0"/>
    <w:qFormat/>
    <w:pPr>
      <w:ind w:left="3360"/>
    </w:pPr>
    <w:rPr>
      <w:rFonts w:ascii="Calibri" w:hAnsi="Calibri" w:eastAsia="楷体_GB2312" w:cs="Times New Roman"/>
      <w:sz w:val="26"/>
      <w:szCs w:val="20"/>
    </w:rPr>
  </w:style>
  <w:style w:type="paragraph" w:styleId="827">
    <w:name w:val="table of figures"/>
    <w:basedOn w:val="781"/>
    <w:next w:val="781"/>
    <w:uiPriority w:val="0"/>
    <w:qFormat/>
    <w:pPr>
      <w:ind w:left="420" w:hanging="420"/>
      <w:jc w:val="left"/>
    </w:pPr>
    <w:rPr>
      <w:rFonts w:ascii="Calibri" w:hAnsi="Calibri" w:eastAsia="楷体_GB2312" w:cs="Times New Roman"/>
      <w:smallCaps/>
      <w:sz w:val="24"/>
      <w:szCs w:val="20"/>
    </w:rPr>
  </w:style>
  <w:style w:type="paragraph" w:styleId="828">
    <w:name w:val="toc 2"/>
    <w:basedOn w:val="781"/>
    <w:next w:val="781"/>
    <w:uiPriority w:val="0"/>
    <w:qFormat/>
    <w:pPr>
      <w:ind w:left="420"/>
    </w:pPr>
    <w:rPr>
      <w:rFonts w:ascii="Calibri" w:hAnsi="Calibri" w:eastAsia="楷体_GB2312" w:cs="Times New Roman"/>
      <w:sz w:val="26"/>
      <w:szCs w:val="20"/>
    </w:rPr>
  </w:style>
  <w:style w:type="paragraph" w:styleId="829">
    <w:name w:val="toc 9"/>
    <w:basedOn w:val="781"/>
    <w:next w:val="781"/>
    <w:uiPriority w:val="0"/>
    <w:qFormat/>
    <w:pPr>
      <w:ind w:left="3360"/>
    </w:pPr>
    <w:rPr>
      <w:rFonts w:ascii="Calibri" w:hAnsi="Calibri" w:eastAsia="楷体_GB2312" w:cs="Times New Roman"/>
      <w:sz w:val="26"/>
      <w:szCs w:val="20"/>
    </w:rPr>
  </w:style>
  <w:style w:type="paragraph" w:styleId="830">
    <w:name w:val="HTML Preformatted"/>
    <w:basedOn w:val="781"/>
    <w:link w:val="10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31">
    <w:name w:val="Normal (Web)"/>
    <w:basedOn w:val="781"/>
    <w:uiPriority w:val="0"/>
    <w:qFormat/>
    <w:pPr>
      <w:jc w:val="left"/>
      <w:spacing w:before="100" w:beforeAutospacing="1" w:after="100" w:afterAutospacing="1"/>
    </w:pPr>
    <w:rPr>
      <w:rFonts w:ascii="Calibri" w:hAnsi="Calibri" w:eastAsia="楷体_GB2312" w:cs="Times New Roman"/>
      <w:sz w:val="24"/>
    </w:rPr>
  </w:style>
  <w:style w:type="paragraph" w:styleId="832">
    <w:name w:val="index 2"/>
    <w:basedOn w:val="781"/>
    <w:next w:val="781"/>
    <w:uiPriority w:val="0"/>
    <w:qFormat/>
    <w:pPr>
      <w:ind w:left="420"/>
    </w:pPr>
    <w:rPr>
      <w:rFonts w:ascii="Calibri" w:hAnsi="Calibri" w:eastAsia="楷体_GB2312" w:cs="Times New Roman"/>
      <w:sz w:val="26"/>
      <w:szCs w:val="20"/>
    </w:rPr>
  </w:style>
  <w:style w:type="paragraph" w:styleId="833">
    <w:name w:val="Title"/>
    <w:basedOn w:val="781"/>
    <w:next w:val="781"/>
    <w:link w:val="1014"/>
    <w:uiPriority w:val="0"/>
    <w:qFormat/>
    <w:pPr>
      <w:jc w:val="center"/>
      <w:spacing w:before="240" w:after="60"/>
      <w:outlineLvl w:val="0"/>
    </w:pPr>
    <w:rPr>
      <w:rFonts w:ascii="Cambria" w:hAnsi="Cambria" w:eastAsia="宋体" w:cs="Times New Roman"/>
      <w:b/>
      <w:bCs/>
      <w:sz w:val="32"/>
      <w:szCs w:val="32"/>
    </w:rPr>
  </w:style>
  <w:style w:type="paragraph" w:styleId="834">
    <w:name w:val="annotation subject"/>
    <w:basedOn w:val="800"/>
    <w:next w:val="800"/>
    <w:link w:val="1015"/>
    <w:uiPriority w:val="99"/>
    <w:qFormat/>
    <w:rPr>
      <w:b/>
      <w:bCs/>
    </w:rPr>
  </w:style>
  <w:style w:type="paragraph" w:styleId="835">
    <w:name w:val="Body Text First Indent 2"/>
    <w:basedOn w:val="803"/>
    <w:link w:val="1016"/>
    <w:uiPriority w:val="0"/>
    <w:qFormat/>
    <w:pPr>
      <w:ind w:left="420" w:firstLine="420"/>
      <w:spacing w:after="120" w:line="240" w:lineRule="auto"/>
    </w:pPr>
    <w:rPr>
      <w:rFonts w:ascii="Calibri" w:hAnsi="Calibri" w:eastAsia="楷体_GB2312"/>
      <w:sz w:val="26"/>
    </w:rPr>
  </w:style>
  <w:style w:type="table" w:styleId="836">
    <w:name w:val="Table Grid"/>
    <w:basedOn w:val="79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basedOn w:val="791"/>
    <w:uiPriority w:val="0"/>
    <w:qFormat/>
    <w:rPr>
      <w:b/>
    </w:rPr>
  </w:style>
  <w:style w:type="character" w:styleId="838">
    <w:name w:val="endnote reference"/>
    <w:uiPriority w:val="0"/>
    <w:qFormat/>
    <w:rPr>
      <w:vertAlign w:val="superscript"/>
    </w:rPr>
  </w:style>
  <w:style w:type="character" w:styleId="839">
    <w:name w:val="page number"/>
    <w:basedOn w:val="791"/>
    <w:uiPriority w:val="0"/>
    <w:qFormat/>
  </w:style>
  <w:style w:type="character" w:styleId="840">
    <w:name w:val="FollowedHyperlink"/>
    <w:uiPriority w:val="99"/>
    <w:unhideWhenUsed/>
    <w:qFormat/>
    <w:rPr>
      <w:color w:val="800080"/>
      <w:u w:val="single"/>
    </w:rPr>
  </w:style>
  <w:style w:type="character" w:styleId="841">
    <w:name w:val="Hyperlink"/>
    <w:uiPriority w:val="0"/>
    <w:unhideWhenUsed/>
    <w:qFormat/>
    <w:rPr>
      <w:color w:val="0000ff"/>
      <w:u w:val="single"/>
    </w:rPr>
  </w:style>
  <w:style w:type="character" w:styleId="842">
    <w:name w:val="annotation reference"/>
    <w:uiPriority w:val="99"/>
    <w:qFormat/>
    <w:rPr>
      <w:sz w:val="21"/>
      <w:szCs w:val="21"/>
    </w:rPr>
  </w:style>
  <w:style w:type="character" w:styleId="843">
    <w:name w:val="footnote reference"/>
    <w:uiPriority w:val="0"/>
    <w:qFormat/>
    <w:rPr>
      <w:vertAlign w:val="superscript"/>
    </w:rPr>
  </w:style>
  <w:style w:type="character" w:styleId="844" w:customStyle="1">
    <w:name w:val="Heading 1 Char"/>
    <w:basedOn w:val="791"/>
    <w:uiPriority w:val="9"/>
    <w:qFormat/>
    <w:rPr>
      <w:rFonts w:ascii="Arial" w:hAnsi="Arial" w:eastAsia="Arial" w:cs="Arial"/>
      <w:sz w:val="40"/>
      <w:szCs w:val="40"/>
    </w:rPr>
  </w:style>
  <w:style w:type="character" w:styleId="845" w:customStyle="1">
    <w:name w:val="Heading 2 Char"/>
    <w:basedOn w:val="791"/>
    <w:uiPriority w:val="9"/>
    <w:qFormat/>
    <w:rPr>
      <w:rFonts w:ascii="Arial" w:hAnsi="Arial" w:eastAsia="Arial" w:cs="Arial"/>
      <w:sz w:val="34"/>
    </w:rPr>
  </w:style>
  <w:style w:type="character" w:styleId="846" w:customStyle="1">
    <w:name w:val="Heading 3 Char"/>
    <w:basedOn w:val="791"/>
    <w:uiPriority w:val="9"/>
    <w:qFormat/>
    <w:rPr>
      <w:rFonts w:ascii="Arial" w:hAnsi="Arial" w:eastAsia="Arial" w:cs="Arial"/>
      <w:sz w:val="30"/>
      <w:szCs w:val="30"/>
    </w:rPr>
  </w:style>
  <w:style w:type="character" w:styleId="847" w:customStyle="1">
    <w:name w:val="Heading 4 Char"/>
    <w:basedOn w:val="791"/>
    <w:uiPriority w:val="9"/>
    <w:qFormat/>
    <w:rPr>
      <w:rFonts w:ascii="Arial" w:hAnsi="Arial" w:eastAsia="Arial" w:cs="Arial"/>
      <w:b/>
      <w:bCs/>
      <w:sz w:val="26"/>
      <w:szCs w:val="26"/>
    </w:rPr>
  </w:style>
  <w:style w:type="character" w:styleId="848" w:customStyle="1">
    <w:name w:val="Heading 5 Char"/>
    <w:basedOn w:val="791"/>
    <w:uiPriority w:val="9"/>
    <w:qFormat/>
    <w:rPr>
      <w:rFonts w:ascii="Arial" w:hAnsi="Arial" w:eastAsia="Arial" w:cs="Arial"/>
      <w:b/>
      <w:bCs/>
      <w:sz w:val="24"/>
      <w:szCs w:val="24"/>
    </w:rPr>
  </w:style>
  <w:style w:type="character" w:styleId="849" w:customStyle="1">
    <w:name w:val="Heading 6 Char"/>
    <w:basedOn w:val="791"/>
    <w:uiPriority w:val="9"/>
    <w:qFormat/>
    <w:rPr>
      <w:rFonts w:ascii="Arial" w:hAnsi="Arial" w:eastAsia="Arial" w:cs="Arial"/>
      <w:b/>
      <w:bCs/>
      <w:sz w:val="22"/>
      <w:szCs w:val="22"/>
    </w:rPr>
  </w:style>
  <w:style w:type="character" w:styleId="850" w:customStyle="1">
    <w:name w:val="Heading 7 Char"/>
    <w:basedOn w:val="791"/>
    <w:link w:val="788"/>
    <w:uiPriority w:val="9"/>
    <w:qFormat/>
    <w:rPr>
      <w:rFonts w:ascii="Arial" w:hAnsi="Arial" w:eastAsia="Arial" w:cs="Arial"/>
      <w:b/>
      <w:bCs/>
      <w:i/>
      <w:iCs/>
      <w:sz w:val="22"/>
      <w:szCs w:val="22"/>
    </w:rPr>
  </w:style>
  <w:style w:type="character" w:styleId="851" w:customStyle="1">
    <w:name w:val="Heading 8 Char"/>
    <w:basedOn w:val="791"/>
    <w:link w:val="789"/>
    <w:uiPriority w:val="9"/>
    <w:qFormat/>
    <w:rPr>
      <w:rFonts w:ascii="Arial" w:hAnsi="Arial" w:eastAsia="Arial" w:cs="Arial"/>
      <w:i/>
      <w:iCs/>
      <w:sz w:val="22"/>
      <w:szCs w:val="22"/>
    </w:rPr>
  </w:style>
  <w:style w:type="character" w:styleId="852" w:customStyle="1">
    <w:name w:val="Heading 9 Char"/>
    <w:basedOn w:val="791"/>
    <w:link w:val="790"/>
    <w:uiPriority w:val="9"/>
    <w:qFormat/>
    <w:rPr>
      <w:rFonts w:ascii="Arial" w:hAnsi="Arial" w:eastAsia="Arial" w:cs="Arial"/>
      <w:i/>
      <w:iCs/>
      <w:sz w:val="21"/>
      <w:szCs w:val="21"/>
    </w:r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basedOn w:val="791"/>
    <w:uiPriority w:val="10"/>
    <w:qFormat/>
    <w:rPr>
      <w:sz w:val="48"/>
      <w:szCs w:val="48"/>
    </w:rPr>
  </w:style>
  <w:style w:type="character" w:styleId="855" w:customStyle="1">
    <w:name w:val="Subtitle Char"/>
    <w:basedOn w:val="791"/>
    <w:uiPriority w:val="11"/>
    <w:qFormat/>
    <w:rPr>
      <w:sz w:val="24"/>
      <w:szCs w:val="24"/>
    </w:rPr>
  </w:style>
  <w:style w:type="paragraph" w:styleId="856">
    <w:name w:val="Quote"/>
    <w:basedOn w:val="781"/>
    <w:next w:val="781"/>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781"/>
    <w:next w:val="781"/>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791"/>
    <w:uiPriority w:val="99"/>
    <w:qFormat/>
  </w:style>
  <w:style w:type="character" w:styleId="861" w:customStyle="1">
    <w:name w:val="Footer Char"/>
    <w:basedOn w:val="791"/>
    <w:uiPriority w:val="99"/>
    <w:qFormat/>
  </w:style>
  <w:style w:type="character" w:styleId="862" w:customStyle="1">
    <w:name w:val="Caption Char"/>
    <w:uiPriority w:val="99"/>
    <w:qFormat/>
  </w:style>
  <w:style w:type="table" w:styleId="863" w:customStyle="1">
    <w:name w:val="Table Grid Light"/>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7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basedOn w:val="7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7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7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7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7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7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7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7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basedOn w:val="7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7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7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w:basedOn w:val="7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7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basedOn w:val="7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7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7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7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7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7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7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basedOn w:val="7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7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7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7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7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7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basedOn w:val="7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7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7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7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7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7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7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w:basedOn w:val="7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7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7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7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7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7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7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7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7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7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7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7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7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7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Heading"/>
    <w:uiPriority w:val="39"/>
    <w:unhideWhenUsed/>
    <w:qFormat/>
    <w:rPr>
      <w:rFonts w:hint="default" w:ascii="Times New Roman" w:hAnsi="Times New Roman" w:eastAsia="宋体" w:cs="Times New Roman"/>
    </w:rPr>
  </w:style>
  <w:style w:type="paragraph" w:styleId="991" w:customStyle="1">
    <w:name w:val="首行缩进"/>
    <w:basedOn w:val="781"/>
    <w:uiPriority w:val="0"/>
    <w:qFormat/>
    <w:pPr>
      <w:ind w:firstLine="480"/>
    </w:pPr>
    <w:rPr>
      <w:rFonts w:ascii="Calibri" w:hAnsi="Calibri" w:eastAsia="宋体" w:cs="Times New Roman"/>
      <w:szCs w:val="20"/>
      <w:lang w:val="zh-CN"/>
    </w:rPr>
  </w:style>
  <w:style w:type="character" w:styleId="992" w:customStyle="1">
    <w:name w:val="标题 1 字符"/>
    <w:basedOn w:val="791"/>
    <w:link w:val="782"/>
    <w:uiPriority w:val="0"/>
    <w:qFormat/>
    <w:rPr>
      <w:rFonts w:ascii="Calibri" w:hAnsi="Calibri" w:eastAsia="楷体_GB2312" w:cs="Times New Roman"/>
      <w:b/>
      <w:sz w:val="44"/>
      <w:szCs w:val="20"/>
    </w:rPr>
  </w:style>
  <w:style w:type="character" w:styleId="993" w:customStyle="1">
    <w:name w:val="标题 2 字符"/>
    <w:basedOn w:val="791"/>
    <w:link w:val="783"/>
    <w:uiPriority w:val="0"/>
    <w:qFormat/>
    <w:rPr>
      <w:rFonts w:ascii="宋体" w:hAnsi="宋体" w:eastAsia="楷体_GB2312" w:cs="Times New Roman"/>
      <w:b/>
      <w:sz w:val="26"/>
      <w:szCs w:val="20"/>
    </w:rPr>
  </w:style>
  <w:style w:type="character" w:styleId="994" w:customStyle="1">
    <w:name w:val="标题 3 字符"/>
    <w:basedOn w:val="791"/>
    <w:link w:val="784"/>
    <w:uiPriority w:val="0"/>
    <w:qFormat/>
    <w:rPr>
      <w:rFonts w:ascii="Calibri" w:hAnsi="Calibri" w:eastAsia="楷体_GB2312" w:cs="Times New Roman"/>
      <w:b/>
      <w:sz w:val="26"/>
      <w:szCs w:val="20"/>
    </w:rPr>
  </w:style>
  <w:style w:type="character" w:styleId="995" w:customStyle="1">
    <w:name w:val="标题 4 字符"/>
    <w:basedOn w:val="791"/>
    <w:link w:val="785"/>
    <w:uiPriority w:val="0"/>
    <w:qFormat/>
    <w:rPr>
      <w:rFonts w:ascii="Arial" w:hAnsi="Arial" w:eastAsia="黑体" w:cs="Times New Roman"/>
      <w:b/>
      <w:bCs/>
      <w:sz w:val="28"/>
      <w:szCs w:val="28"/>
    </w:rPr>
  </w:style>
  <w:style w:type="character" w:styleId="996" w:customStyle="1">
    <w:name w:val="标题 5 字符"/>
    <w:basedOn w:val="791"/>
    <w:link w:val="786"/>
    <w:uiPriority w:val="0"/>
    <w:qFormat/>
    <w:rPr>
      <w:rFonts w:ascii="宋体" w:hAnsi="宋体" w:eastAsia="宋体" w:cs="Times New Roman"/>
      <w:color w:val="000000"/>
      <w:sz w:val="28"/>
      <w:szCs w:val="20"/>
    </w:rPr>
  </w:style>
  <w:style w:type="character" w:styleId="997" w:customStyle="1">
    <w:name w:val="标题 6 字符"/>
    <w:basedOn w:val="791"/>
    <w:link w:val="787"/>
    <w:uiPriority w:val="0"/>
    <w:qFormat/>
    <w:rPr>
      <w:rFonts w:ascii="宋体" w:hAnsi="宋体" w:eastAsia="宋体" w:cs="Times New Roman"/>
      <w:sz w:val="28"/>
      <w:szCs w:val="20"/>
    </w:rPr>
  </w:style>
  <w:style w:type="character" w:styleId="998" w:customStyle="1">
    <w:name w:val="正文缩进 字符"/>
    <w:link w:val="796"/>
    <w:uiPriority w:val="0"/>
    <w:qFormat/>
    <w:rPr>
      <w:rFonts w:ascii="Calibri" w:hAnsi="Calibri" w:eastAsia="楷体_GB2312" w:cs="Times New Roman"/>
      <w:sz w:val="24"/>
      <w:szCs w:val="20"/>
    </w:rPr>
  </w:style>
  <w:style w:type="character" w:styleId="999" w:customStyle="1">
    <w:name w:val="文档结构图 字符"/>
    <w:basedOn w:val="791"/>
    <w:link w:val="799"/>
    <w:uiPriority w:val="0"/>
    <w:qFormat/>
    <w:rPr>
      <w:rFonts w:ascii="Calibri" w:hAnsi="Calibri" w:eastAsia="楷体_GB2312" w:cs="Times New Roman"/>
      <w:sz w:val="26"/>
      <w:szCs w:val="20"/>
      <w:shd w:val="clear" w:color="auto" w:fill="000080"/>
    </w:rPr>
  </w:style>
  <w:style w:type="character" w:styleId="1000" w:customStyle="1">
    <w:name w:val="批注文字 字符"/>
    <w:basedOn w:val="791"/>
    <w:link w:val="800"/>
    <w:uiPriority w:val="0"/>
    <w:qFormat/>
    <w:rPr>
      <w:rFonts w:ascii="Calibri" w:hAnsi="Calibri" w:eastAsia="楷体_GB2312" w:cs="Times New Roman"/>
      <w:sz w:val="26"/>
      <w:szCs w:val="20"/>
    </w:rPr>
  </w:style>
  <w:style w:type="character" w:styleId="1001" w:customStyle="1">
    <w:name w:val="正文文本 字符"/>
    <w:basedOn w:val="791"/>
    <w:link w:val="802"/>
    <w:uiPriority w:val="0"/>
    <w:qFormat/>
    <w:rPr>
      <w:rFonts w:ascii="楷体_GB2312" w:hAnsi="Calibri" w:eastAsia="楷体_GB2312" w:cs="Times New Roman"/>
      <w:sz w:val="28"/>
      <w:szCs w:val="20"/>
    </w:rPr>
  </w:style>
  <w:style w:type="character" w:styleId="1002" w:customStyle="1">
    <w:name w:val="正文文本缩进 字符"/>
    <w:basedOn w:val="791"/>
    <w:link w:val="803"/>
    <w:uiPriority w:val="99"/>
    <w:qFormat/>
    <w:rPr>
      <w:rFonts w:ascii="方正仿宋简体" w:hAnsi="创艺简仿宋" w:eastAsia="方正仿宋简体" w:cs="Times New Roman"/>
      <w:sz w:val="24"/>
      <w:szCs w:val="20"/>
    </w:rPr>
  </w:style>
  <w:style w:type="character" w:styleId="1003" w:customStyle="1">
    <w:name w:val="纯文本 字符"/>
    <w:basedOn w:val="791"/>
    <w:link w:val="808"/>
    <w:uiPriority w:val="0"/>
    <w:qFormat/>
    <w:rPr>
      <w:rFonts w:ascii="宋体" w:hAnsi="Courier New" w:eastAsia="楷体_GB2312" w:cs="Times New Roman"/>
      <w:sz w:val="26"/>
      <w:szCs w:val="20"/>
    </w:rPr>
  </w:style>
  <w:style w:type="character" w:styleId="1004" w:customStyle="1">
    <w:name w:val="日期 字符"/>
    <w:basedOn w:val="791"/>
    <w:link w:val="811"/>
    <w:uiPriority w:val="0"/>
    <w:qFormat/>
    <w:rPr>
      <w:rFonts w:ascii="宋体" w:hAnsi="宋体" w:eastAsia="楷体_GB2312" w:cs="Times New Roman"/>
      <w:sz w:val="24"/>
      <w:szCs w:val="20"/>
    </w:rPr>
  </w:style>
  <w:style w:type="character" w:styleId="1005" w:customStyle="1">
    <w:name w:val="正文文本缩进 2 字符"/>
    <w:basedOn w:val="791"/>
    <w:link w:val="812"/>
    <w:uiPriority w:val="0"/>
    <w:qFormat/>
    <w:rPr>
      <w:rFonts w:ascii="宋体" w:hAnsi="Calibri" w:eastAsia="宋体" w:cs="Times New Roman"/>
      <w:b/>
      <w:bCs/>
      <w:sz w:val="24"/>
      <w:szCs w:val="20"/>
    </w:rPr>
  </w:style>
  <w:style w:type="character" w:styleId="1006" w:customStyle="1">
    <w:name w:val="尾注文本 字符"/>
    <w:basedOn w:val="791"/>
    <w:link w:val="813"/>
    <w:uiPriority w:val="0"/>
    <w:qFormat/>
    <w:rPr>
      <w:rFonts w:ascii="Calibri" w:hAnsi="Calibri" w:eastAsia="楷体_GB2312" w:cs="Times New Roman"/>
      <w:sz w:val="26"/>
      <w:szCs w:val="20"/>
    </w:rPr>
  </w:style>
  <w:style w:type="character" w:styleId="1007" w:customStyle="1">
    <w:name w:val="批注框文本 字符"/>
    <w:basedOn w:val="791"/>
    <w:link w:val="814"/>
    <w:uiPriority w:val="99"/>
    <w:qFormat/>
    <w:rPr>
      <w:rFonts w:ascii="Calibri" w:hAnsi="Calibri" w:eastAsia="楷体_GB2312" w:cs="Times New Roman"/>
      <w:sz w:val="18"/>
      <w:szCs w:val="18"/>
    </w:rPr>
  </w:style>
  <w:style w:type="character" w:styleId="1008" w:customStyle="1">
    <w:name w:val="页脚 字符"/>
    <w:basedOn w:val="791"/>
    <w:link w:val="815"/>
    <w:uiPriority w:val="99"/>
    <w:qFormat/>
    <w:rPr>
      <w:rFonts w:asciiTheme="minorEastAsia" w:hAnsiTheme="minorEastAsia" w:eastAsiaTheme="minorEastAsia"/>
      <w:sz w:val="18"/>
    </w:rPr>
  </w:style>
  <w:style w:type="character" w:styleId="1009" w:customStyle="1">
    <w:name w:val="页眉 字符"/>
    <w:basedOn w:val="791"/>
    <w:link w:val="816"/>
    <w:uiPriority w:val="99"/>
    <w:qFormat/>
    <w:rPr>
      <w:rFonts w:ascii="Calibri" w:hAnsi="Calibri" w:eastAsia="楷体_GB2312" w:cs="Times New Roman"/>
      <w:sz w:val="18"/>
      <w:szCs w:val="20"/>
    </w:rPr>
  </w:style>
  <w:style w:type="character" w:styleId="1010" w:customStyle="1">
    <w:name w:val="副标题 字符"/>
    <w:basedOn w:val="791"/>
    <w:link w:val="821"/>
    <w:uiPriority w:val="0"/>
    <w:qFormat/>
    <w:rPr>
      <w:rFonts w:ascii="Cambria" w:hAnsi="Cambria" w:eastAsia="宋体" w:cs="Times New Roman"/>
      <w:b/>
      <w:bCs/>
      <w:sz w:val="24"/>
      <w:szCs w:val="32"/>
    </w:rPr>
  </w:style>
  <w:style w:type="character" w:styleId="1011" w:customStyle="1">
    <w:name w:val="脚注文本 字符"/>
    <w:basedOn w:val="791"/>
    <w:link w:val="822"/>
    <w:uiPriority w:val="0"/>
    <w:qFormat/>
    <w:rPr>
      <w:rFonts w:ascii="Calibri" w:hAnsi="Calibri" w:eastAsia="楷体_GB2312" w:cs="Times New Roman"/>
      <w:sz w:val="18"/>
      <w:szCs w:val="20"/>
    </w:rPr>
  </w:style>
  <w:style w:type="character" w:styleId="1012" w:customStyle="1">
    <w:name w:val="正文文本缩进 3 字符"/>
    <w:basedOn w:val="791"/>
    <w:link w:val="824"/>
    <w:uiPriority w:val="0"/>
    <w:qFormat/>
    <w:rPr>
      <w:rFonts w:ascii="Calibri" w:hAnsi="Calibri" w:eastAsia="宋体" w:cs="Times New Roman"/>
      <w:sz w:val="24"/>
      <w:szCs w:val="24"/>
    </w:rPr>
  </w:style>
  <w:style w:type="character" w:styleId="1013" w:customStyle="1">
    <w:name w:val="HTML 预设格式 字符"/>
    <w:basedOn w:val="791"/>
    <w:link w:val="830"/>
    <w:uiPriority w:val="0"/>
    <w:qFormat/>
    <w:rPr>
      <w:rFonts w:ascii="黑体" w:hAnsi="Courier New" w:eastAsia="黑体" w:cs="Times New Roman"/>
      <w:sz w:val="20"/>
      <w:szCs w:val="20"/>
    </w:rPr>
  </w:style>
  <w:style w:type="character" w:styleId="1014" w:customStyle="1">
    <w:name w:val="标题 字符"/>
    <w:basedOn w:val="791"/>
    <w:link w:val="833"/>
    <w:uiPriority w:val="0"/>
    <w:qFormat/>
    <w:rPr>
      <w:rFonts w:ascii="Cambria" w:hAnsi="Cambria" w:eastAsia="宋体" w:cs="Times New Roman"/>
      <w:b/>
      <w:bCs/>
      <w:sz w:val="32"/>
      <w:szCs w:val="32"/>
    </w:rPr>
  </w:style>
  <w:style w:type="character" w:styleId="1015" w:customStyle="1">
    <w:name w:val="批注主题 字符"/>
    <w:basedOn w:val="1000"/>
    <w:link w:val="834"/>
    <w:uiPriority w:val="99"/>
    <w:qFormat/>
    <w:rPr>
      <w:rFonts w:ascii="Calibri" w:hAnsi="Calibri" w:eastAsia="楷体_GB2312" w:cs="Times New Roman"/>
      <w:b/>
      <w:bCs/>
      <w:sz w:val="26"/>
      <w:szCs w:val="20"/>
    </w:rPr>
  </w:style>
  <w:style w:type="character" w:styleId="1016" w:customStyle="1">
    <w:name w:val="正文文本首行缩进 2 字符"/>
    <w:basedOn w:val="1002"/>
    <w:link w:val="835"/>
    <w:uiPriority w:val="0"/>
    <w:qFormat/>
    <w:rPr>
      <w:rFonts w:ascii="Calibri" w:hAnsi="Calibri" w:eastAsia="楷体_GB2312" w:cs="Times New Roman"/>
      <w:sz w:val="26"/>
      <w:szCs w:val="20"/>
    </w:rPr>
  </w:style>
  <w:style w:type="character" w:styleId="1017" w:customStyle="1">
    <w:name w:val="Plain Text Char Char"/>
    <w:link w:val="1018"/>
    <w:uiPriority w:val="0"/>
    <w:qFormat/>
    <w:rPr>
      <w:rFonts w:ascii="宋体" w:hAnsi="Courier New" w:eastAsia="楷体_GB2312"/>
      <w:sz w:val="26"/>
    </w:rPr>
  </w:style>
  <w:style w:type="paragraph" w:styleId="1018" w:customStyle="1">
    <w:name w:val="纯文本3"/>
    <w:basedOn w:val="781"/>
    <w:link w:val="1017"/>
    <w:uiPriority w:val="0"/>
    <w:qFormat/>
    <w:rPr>
      <w:rFonts w:ascii="宋体" w:hAnsi="Courier New" w:eastAsia="楷体_GB2312"/>
      <w:sz w:val="26"/>
    </w:rPr>
  </w:style>
  <w:style w:type="character" w:styleId="1019" w:customStyle="1">
    <w:name w:val="styl81"/>
    <w:uiPriority w:val="0"/>
    <w:qFormat/>
    <w:rPr>
      <w:sz w:val="21"/>
    </w:rPr>
  </w:style>
  <w:style w:type="character" w:styleId="1020" w:customStyle="1">
    <w:name w:val="Plain Text Char"/>
    <w:link w:val="1021"/>
    <w:uiPriority w:val="0"/>
    <w:qFormat/>
    <w:rPr>
      <w:rFonts w:ascii="宋体" w:hAnsi="Courier New" w:eastAsia="楷体_GB2312"/>
      <w:sz w:val="26"/>
    </w:rPr>
  </w:style>
  <w:style w:type="paragraph" w:styleId="1021" w:customStyle="1">
    <w:name w:val="纯文本1"/>
    <w:basedOn w:val="781"/>
    <w:link w:val="1020"/>
    <w:uiPriority w:val="0"/>
    <w:qFormat/>
    <w:rPr>
      <w:rFonts w:ascii="宋体" w:hAnsi="Courier New" w:eastAsia="楷体_GB2312"/>
      <w:sz w:val="26"/>
    </w:rPr>
  </w:style>
  <w:style w:type="character" w:styleId="1022" w:customStyle="1">
    <w:name w:val="表正文 Char1"/>
    <w:uiPriority w:val="0"/>
    <w:qFormat/>
    <w:rPr>
      <w:rFonts w:eastAsia="楷体_GB2312"/>
      <w:sz w:val="24"/>
      <w:lang w:val="en-US" w:eastAsia="zh-CN" w:bidi="ar-SA"/>
    </w:rPr>
  </w:style>
  <w:style w:type="character" w:styleId="1023" w:customStyle="1">
    <w:name w:val="_正文段落 Char"/>
    <w:link w:val="1024"/>
    <w:uiPriority w:val="0"/>
    <w:qFormat/>
    <w:rPr>
      <w:rFonts w:ascii="宋体" w:hAnsi="宋体"/>
      <w:sz w:val="24"/>
      <w:szCs w:val="24"/>
    </w:rPr>
  </w:style>
  <w:style w:type="paragraph" w:styleId="1024" w:customStyle="1">
    <w:name w:val="_正文段落"/>
    <w:basedOn w:val="781"/>
    <w:link w:val="1023"/>
    <w:uiPriority w:val="0"/>
    <w:qFormat/>
    <w:pPr>
      <w:ind w:firstLine="480"/>
      <w:spacing w:line="360" w:lineRule="auto"/>
    </w:pPr>
    <w:rPr>
      <w:rFonts w:ascii="宋体" w:hAnsi="宋体"/>
      <w:sz w:val="24"/>
      <w:szCs w:val="24"/>
    </w:rPr>
  </w:style>
  <w:style w:type="character" w:styleId="1025" w:customStyle="1">
    <w:name w:val="Andy_正文 Char"/>
    <w:link w:val="1026"/>
    <w:uiPriority w:val="0"/>
    <w:qFormat/>
    <w:rPr>
      <w:sz w:val="24"/>
      <w:szCs w:val="24"/>
    </w:rPr>
  </w:style>
  <w:style w:type="paragraph" w:styleId="1026" w:customStyle="1">
    <w:name w:val="Andy_正文"/>
    <w:basedOn w:val="781"/>
    <w:link w:val="1025"/>
    <w:uiPriority w:val="0"/>
    <w:qFormat/>
    <w:pPr>
      <w:ind w:firstLine="480"/>
      <w:spacing w:line="360" w:lineRule="auto"/>
    </w:pPr>
    <w:rPr>
      <w:sz w:val="24"/>
      <w:szCs w:val="24"/>
    </w:rPr>
  </w:style>
  <w:style w:type="character" w:styleId="1027" w:customStyle="1">
    <w:name w:val="正文缩进 Char1"/>
    <w:uiPriority w:val="0"/>
    <w:qFormat/>
    <w:rPr>
      <w:rFonts w:eastAsia="楷体_GB2312"/>
      <w:sz w:val="24"/>
    </w:rPr>
  </w:style>
  <w:style w:type="character" w:styleId="1028" w:customStyle="1">
    <w:name w:val="副标题 Char1"/>
    <w:uiPriority w:val="11"/>
    <w:qFormat/>
    <w:rPr>
      <w:rFonts w:ascii="Cambria" w:hAnsi="Cambria" w:cs="Times New Roman"/>
      <w:b/>
      <w:bCs/>
      <w:sz w:val="32"/>
      <w:szCs w:val="32"/>
    </w:rPr>
  </w:style>
  <w:style w:type="character" w:styleId="1029" w:customStyle="1">
    <w:name w:val="Andy_2级 Char"/>
    <w:link w:val="1030"/>
    <w:uiPriority w:val="0"/>
    <w:qFormat/>
    <w:rPr>
      <w:sz w:val="24"/>
    </w:rPr>
  </w:style>
  <w:style w:type="paragraph" w:styleId="1030" w:customStyle="1">
    <w:name w:val="Andy_2级"/>
    <w:basedOn w:val="781"/>
    <w:link w:val="1029"/>
    <w:uiPriority w:val="0"/>
    <w:qFormat/>
    <w:pPr>
      <w:numPr>
        <w:ilvl w:val="1"/>
        <w:numId w:val="1"/>
      </w:numPr>
      <w:spacing w:line="360" w:lineRule="auto"/>
    </w:pPr>
    <w:rPr>
      <w:sz w:val="24"/>
    </w:rPr>
  </w:style>
  <w:style w:type="character" w:styleId="1031" w:customStyle="1">
    <w:name w:val="副标题 Char2"/>
    <w:uiPriority w:val="0"/>
    <w:qFormat/>
    <w:rPr>
      <w:rFonts w:ascii="Cambria" w:hAnsi="Cambria" w:cs="Times New Roman"/>
      <w:b/>
      <w:bCs/>
      <w:sz w:val="32"/>
      <w:szCs w:val="32"/>
    </w:rPr>
  </w:style>
  <w:style w:type="character" w:styleId="1032" w:customStyle="1">
    <w:name w:val="正文首行缩进 2 Char1"/>
    <w:uiPriority w:val="0"/>
    <w:qFormat/>
    <w:rPr>
      <w:rFonts w:ascii="方正仿宋简体" w:hAnsi="创艺简仿宋" w:eastAsia="楷体_GB2312"/>
      <w:sz w:val="26"/>
    </w:rPr>
  </w:style>
  <w:style w:type="character" w:styleId="1033" w:customStyle="1">
    <w:name w:val="ca-221"/>
    <w:uiPriority w:val="0"/>
    <w:qFormat/>
    <w:rPr>
      <w:rFonts w:hint="eastAsia" w:ascii="宋体" w:hAnsi="宋体" w:eastAsia="宋体"/>
      <w:color w:val="ff0000"/>
      <w:sz w:val="24"/>
      <w:szCs w:val="24"/>
    </w:rPr>
  </w:style>
  <w:style w:type="paragraph" w:styleId="1034" w:customStyle="1">
    <w:name w:val="纯文本11"/>
    <w:basedOn w:val="781"/>
    <w:uiPriority w:val="0"/>
    <w:qFormat/>
    <w:rPr>
      <w:rFonts w:ascii="宋体" w:hAnsi="Courier New" w:eastAsia="楷体_GB2312" w:cs="Times New Roman"/>
      <w:sz w:val="26"/>
      <w:szCs w:val="20"/>
    </w:rPr>
  </w:style>
  <w:style w:type="paragraph" w:styleId="1035" w:customStyle="1">
    <w:name w:val="xl70"/>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36" w:customStyle="1">
    <w:name w:val="xl69"/>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37" w:customStyle="1">
    <w:name w:val="xl7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8" w:customStyle="1">
    <w:name w:val="xl86"/>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39" w:customStyle="1">
    <w:name w:val="纯文本2"/>
    <w:basedOn w:val="781"/>
    <w:uiPriority w:val="0"/>
    <w:qFormat/>
    <w:rPr>
      <w:rFonts w:ascii="宋体" w:hAnsi="Courier New" w:eastAsia="楷体_GB2312" w:cs="Times New Roman"/>
      <w:sz w:val="26"/>
      <w:szCs w:val="20"/>
    </w:rPr>
  </w:style>
  <w:style w:type="paragraph" w:styleId="1040" w:customStyle="1">
    <w:name w:val="列出段落2"/>
    <w:basedOn w:val="781"/>
    <w:uiPriority w:val="0"/>
    <w:qFormat/>
    <w:pPr>
      <w:ind w:firstLine="420"/>
    </w:pPr>
    <w:rPr>
      <w:rFonts w:ascii="Calibri" w:hAnsi="Calibri" w:eastAsia="宋体" w:cs="Times New Roman"/>
    </w:rPr>
  </w:style>
  <w:style w:type="paragraph" w:styleId="1041" w:customStyle="1">
    <w:name w:val="xl78"/>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42" w:customStyle="1">
    <w:name w:val="xl9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3" w:customStyle="1">
    <w:name w:val="Char Char Char Char"/>
    <w:basedOn w:val="799"/>
    <w:uiPriority w:val="0"/>
    <w:qFormat/>
    <w:pPr>
      <w:ind w:left="357"/>
      <w:jc w:val="left"/>
      <w:spacing w:line="436" w:lineRule="exact"/>
      <w:outlineLvl w:val="3"/>
    </w:pPr>
    <w:rPr>
      <w:rFonts w:ascii="Tahoma" w:hAnsi="Tahoma" w:eastAsia="宋体"/>
      <w:b/>
      <w:sz w:val="24"/>
      <w:szCs w:val="24"/>
    </w:rPr>
  </w:style>
  <w:style w:type="paragraph" w:styleId="1044" w:customStyle="1">
    <w:name w:val="列出段落1"/>
    <w:basedOn w:val="781"/>
    <w:uiPriority w:val="0"/>
    <w:qFormat/>
    <w:pPr>
      <w:ind w:firstLine="420"/>
    </w:pPr>
    <w:rPr>
      <w:rFonts w:ascii="Calibri" w:hAnsi="Calibri" w:eastAsia="楷体_GB2312" w:cs="Times New Roman"/>
      <w:sz w:val="26"/>
      <w:szCs w:val="20"/>
    </w:rPr>
  </w:style>
  <w:style w:type="paragraph" w:styleId="1045" w:customStyle="1">
    <w:name w:val="xl7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6" w:customStyle="1">
    <w:name w:val="纯文本4"/>
    <w:basedOn w:val="781"/>
    <w:uiPriority w:val="0"/>
    <w:qFormat/>
    <w:rPr>
      <w:rFonts w:ascii="宋体" w:hAnsi="Courier New" w:eastAsia="楷体_GB2312" w:cs="Times New Roman"/>
      <w:sz w:val="26"/>
      <w:szCs w:val="20"/>
    </w:rPr>
  </w:style>
  <w:style w:type="paragraph" w:styleId="1047" w:customStyle="1">
    <w:name w:val="xl9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8" w:customStyle="1">
    <w:name w:val="xl66"/>
    <w:basedOn w:val="78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49" w:customStyle="1">
    <w:name w:val="xl94"/>
    <w:basedOn w:val="78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50" w:customStyle="1">
    <w:name w:val="Char Char3"/>
    <w:basedOn w:val="781"/>
    <w:uiPriority w:val="0"/>
    <w:qFormat/>
    <w:pPr>
      <w:jc w:val="left"/>
      <w:spacing w:after="160" w:line="240" w:lineRule="exact"/>
      <w:widowControl/>
    </w:pPr>
    <w:rPr>
      <w:rFonts w:ascii="Calibri" w:hAnsi="Calibri" w:eastAsia="宋体" w:cs="Times New Roman"/>
      <w:sz w:val="24"/>
      <w:szCs w:val="24"/>
    </w:rPr>
  </w:style>
  <w:style w:type="paragraph" w:styleId="1051" w:customStyle="1">
    <w:name w:val="xl95"/>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52" w:customStyle="1">
    <w:name w:val="xl85"/>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53" w:customStyle="1">
    <w:name w:val="q3"/>
    <w:basedOn w:val="78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54" w:customStyle="1">
    <w:name w:val="xl91"/>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5" w:customStyle="1">
    <w:name w:val="Char Char Char"/>
    <w:basedOn w:val="781"/>
    <w:uiPriority w:val="0"/>
    <w:qFormat/>
    <w:pPr>
      <w:numPr>
        <w:ilvl w:val="0"/>
        <w:numId w:val="2"/>
      </w:numPr>
    </w:pPr>
    <w:rPr>
      <w:rFonts w:ascii="Calibri" w:hAnsi="Calibri" w:eastAsia="宋体" w:cs="Times New Roman"/>
      <w:sz w:val="24"/>
      <w:szCs w:val="24"/>
    </w:rPr>
  </w:style>
  <w:style w:type="paragraph" w:styleId="1056" w:customStyle="1">
    <w:name w:val="xl80"/>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7" w:customStyle="1">
    <w:name w:val="修订1"/>
    <w:uiPriority w:val="99"/>
    <w:unhideWhenUsed/>
    <w:qFormat/>
    <w:rPr>
      <w:rFonts w:hint="default" w:ascii="Calibri" w:hAnsi="Calibri" w:eastAsia="楷体_GB2312" w:cs="Times New Roman"/>
      <w:sz w:val="26"/>
    </w:rPr>
  </w:style>
  <w:style w:type="paragraph" w:styleId="1058" w:customStyle="1">
    <w:name w:val="xl7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9" w:customStyle="1">
    <w:name w:val="正文 New New New New"/>
    <w:uiPriority w:val="0"/>
    <w:qFormat/>
    <w:pPr>
      <w:jc w:val="both"/>
      <w:widowControl w:val="off"/>
    </w:pPr>
    <w:rPr>
      <w:rFonts w:hint="default" w:ascii="Calibri" w:hAnsi="Calibri" w:eastAsia="宋体" w:cs="Times New Roman"/>
      <w:szCs w:val="24"/>
    </w:rPr>
  </w:style>
  <w:style w:type="paragraph" w:styleId="1060" w:customStyle="1">
    <w:name w:val="纯文本111"/>
    <w:basedOn w:val="781"/>
    <w:uiPriority w:val="0"/>
    <w:qFormat/>
    <w:rPr>
      <w:rFonts w:ascii="宋体" w:hAnsi="Courier New" w:eastAsia="楷体_GB2312" w:cs="Times New Roman"/>
      <w:sz w:val="26"/>
      <w:szCs w:val="20"/>
    </w:rPr>
  </w:style>
  <w:style w:type="paragraph" w:styleId="1061" w:customStyle="1">
    <w:name w:val="xl93"/>
    <w:basedOn w:val="7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62" w:customStyle="1">
    <w:name w:val="_Style 84"/>
    <w:uiPriority w:val="99"/>
    <w:unhideWhenUsed/>
    <w:qFormat/>
    <w:pPr>
      <w:jc w:val="both"/>
      <w:widowControl w:val="off"/>
    </w:pPr>
    <w:rPr>
      <w:rFonts w:hint="default" w:ascii="Calibri" w:hAnsi="Calibri" w:eastAsia="楷体_GB2312" w:cs="Times New Roman"/>
      <w:sz w:val="26"/>
    </w:rPr>
  </w:style>
  <w:style w:type="paragraph" w:styleId="1063" w:customStyle="1">
    <w:name w:val="xl7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64" w:customStyle="1">
    <w:name w:val="xl87"/>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65" w:customStyle="1">
    <w:name w:val="Char"/>
    <w:basedOn w:val="78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66" w:customStyle="1">
    <w:name w:val="xl67"/>
    <w:basedOn w:val="78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67" w:customStyle="1">
    <w:name w:val="xl81"/>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68" w:customStyle="1">
    <w:name w:val="xl73"/>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9" w:customStyle="1">
    <w:name w:val="xl68"/>
    <w:basedOn w:val="78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0" w:customStyle="1">
    <w:name w:val="正文1"/>
    <w:basedOn w:val="781"/>
    <w:next w:val="781"/>
    <w:uiPriority w:val="0"/>
    <w:qFormat/>
    <w:pPr>
      <w:ind w:left="420" w:firstLine="527"/>
      <w:spacing w:before="120" w:line="360" w:lineRule="auto"/>
    </w:pPr>
    <w:rPr>
      <w:rFonts w:ascii="宋体" w:hAnsi="宋体" w:eastAsia="宋体" w:cs="Times New Roman"/>
      <w:sz w:val="24"/>
      <w:szCs w:val="24"/>
    </w:rPr>
  </w:style>
  <w:style w:type="paragraph" w:styleId="1071" w:customStyle="1">
    <w:name w:val="xl9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72" w:customStyle="1">
    <w:name w:val="xl83"/>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73" w:customStyle="1">
    <w:name w:val="xl76"/>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4" w:customStyle="1">
    <w:name w:val="xl82"/>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75">
    <w:name w:val="List Paragraph"/>
    <w:basedOn w:val="781"/>
    <w:uiPriority w:val="34"/>
    <w:qFormat/>
    <w:pPr>
      <w:ind w:firstLine="420"/>
    </w:pPr>
    <w:rPr>
      <w:rFonts w:ascii="Calibri" w:hAnsi="Calibri" w:eastAsia="楷体_GB2312" w:cs="Times New Roman"/>
      <w:sz w:val="26"/>
      <w:szCs w:val="20"/>
    </w:rPr>
  </w:style>
  <w:style w:type="paragraph" w:styleId="1076" w:customStyle="1">
    <w:name w:val="纯文本5"/>
    <w:basedOn w:val="781"/>
    <w:uiPriority w:val="0"/>
    <w:qFormat/>
    <w:rPr>
      <w:rFonts w:ascii="宋体" w:hAnsi="Courier New" w:eastAsia="楷体_GB2312" w:cs="Times New Roman"/>
      <w:sz w:val="26"/>
      <w:szCs w:val="20"/>
    </w:rPr>
  </w:style>
  <w:style w:type="paragraph" w:styleId="1077" w:customStyle="1">
    <w:name w:val="xl84"/>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8" w:customStyle="1">
    <w:name w:val="xl88"/>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79" w:customStyle="1">
    <w:name w:val="xl75"/>
    <w:basedOn w:val="7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80" w:customStyle="1">
    <w:name w:val="xl9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81" w:customStyle="1">
    <w:name w:val="xl7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2" w:customStyle="1">
    <w:name w:val="xl8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83" w:customStyle="1">
    <w:name w:val="Table Grid"/>
    <w:uiPriority w:val="0"/>
    <w:qFormat/>
    <w:rPr>
      <w:rFonts w:ascii="Calibri" w:hAnsi="Calibri"/>
    </w:rPr>
    <w:tblPr>
      <w:tblCellMar>
        <w:left w:w="0" w:type="dxa"/>
        <w:top w:w="0" w:type="dxa"/>
        <w:right w:w="0" w:type="dxa"/>
        <w:bottom w:w="0" w:type="dxa"/>
      </w:tblCellMar>
    </w:tblPr>
  </w:style>
  <w:style w:type="paragraph" w:styleId="1084" w:customStyle="1">
    <w:name w:val="Plain Text1"/>
    <w:basedOn w:val="781"/>
    <w:uiPriority w:val="0"/>
    <w:qFormat/>
    <w:rPr>
      <w:rFonts w:ascii="宋体" w:hAnsi="Courier New" w:eastAsia="楷体_GB2312" w:cs="Times New Roman"/>
      <w:sz w:val="26"/>
      <w:szCs w:val="20"/>
    </w:rPr>
  </w:style>
  <w:style w:type="table" w:styleId="1085" w:customStyle="1">
    <w:name w:val="网格型1"/>
    <w:basedOn w:val="79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6" w:customStyle="1">
    <w:name w:val="正文3"/>
    <w:uiPriority w:val="0"/>
    <w:qFormat/>
    <w:pPr>
      <w:jc w:val="both"/>
      <w:spacing w:line="315" w:lineRule="atLeast"/>
      <w:widowControl w:val="off"/>
    </w:pPr>
    <w:rPr>
      <w:rFonts w:hint="default" w:ascii="宋体" w:hAnsi="Calibri" w:eastAsia="宋体" w:cs="Times New Roman"/>
      <w:sz w:val="24"/>
    </w:rPr>
  </w:style>
  <w:style w:type="paragraph" w:styleId="1087" w:customStyle="1">
    <w:name w:val="修订2"/>
    <w:hidden/>
    <w:uiPriority w:val="99"/>
    <w:semiHidden/>
    <w:qFormat/>
    <w:rPr>
      <w:rFonts w:hint="default" w:asciiTheme="minorHAnsi" w:hAnsiTheme="minorHAnsi" w:eastAsiaTheme="minorEastAsia" w:cstheme="minorBidi"/>
      <w:sz w:val="21"/>
      <w:szCs w:val="22"/>
    </w:rPr>
  </w:style>
  <w:style w:type="paragraph" w:styleId="1088" w:customStyle="1">
    <w:name w:val="修订3"/>
    <w:hidden/>
    <w:uiPriority w:val="99"/>
    <w:semiHidden/>
    <w:qFormat/>
    <w:rPr>
      <w:rFonts w:hint="default" w:asciiTheme="minorHAnsi" w:hAnsiTheme="minorHAnsi" w:eastAsiaTheme="minorEastAsia" w:cstheme="minorBidi"/>
      <w:sz w:val="21"/>
      <w:szCs w:val="22"/>
    </w:rPr>
  </w:style>
  <w:style w:type="paragraph" w:styleId="1089" w:customStyle="1">
    <w:name w:val="纯文本21"/>
    <w:uiPriority w:val="0"/>
    <w:qFormat/>
    <w:pPr>
      <w:jc w:val="both"/>
      <w:widowControl w:val="off"/>
    </w:pPr>
    <w:rPr>
      <w:rFonts w:hint="eastAsia" w:ascii="宋体" w:hAnsi="Courier New" w:eastAsia="楷体_GB2312" w:cs="Times New Roman"/>
      <w:sz w:val="26"/>
    </w:rPr>
  </w:style>
  <w:style w:type="paragraph" w:styleId="1090" w:customStyle="1">
    <w:name w:val="修订4"/>
    <w:hidden/>
    <w:uiPriority w:val="99"/>
    <w:semiHidden/>
    <w:qFormat/>
    <w:rPr>
      <w:rFonts w:hint="default" w:asciiTheme="minorHAnsi" w:hAnsiTheme="minorHAnsi" w:eastAsiaTheme="minorEastAsia" w:cstheme="minorBidi"/>
      <w:sz w:val="21"/>
      <w:szCs w:val="22"/>
    </w:rPr>
  </w:style>
  <w:style w:type="paragraph" w:styleId="1091" w:customStyle="1">
    <w:name w:val="修订5"/>
    <w:hidden/>
    <w:uiPriority w:val="99"/>
    <w:semiHidden/>
    <w:qFormat/>
    <w:rPr>
      <w:rFonts w:hint="default" w:asciiTheme="minorHAnsi" w:hAnsiTheme="minorHAnsi" w:eastAsiaTheme="minorEastAsia" w:cstheme="minorBidi"/>
      <w:sz w:val="21"/>
      <w:szCs w:val="22"/>
    </w:rPr>
  </w:style>
  <w:style w:type="character" w:styleId="1092" w:customStyle="1">
    <w:name w:val="font81"/>
    <w:basedOn w:val="791"/>
    <w:uiPriority w:val="0"/>
    <w:qFormat/>
    <w:rPr>
      <w:rFonts w:hint="eastAsia" w:ascii="宋体" w:hAnsi="宋体" w:eastAsia="宋体" w:cs="宋体"/>
      <w:color w:val="000000"/>
      <w:sz w:val="18"/>
      <w:szCs w:val="18"/>
      <w:u w:val="none"/>
    </w:rPr>
  </w:style>
  <w:style w:type="character" w:styleId="1093" w:customStyle="1">
    <w:name w:val="font91"/>
    <w:basedOn w:val="791"/>
    <w:uiPriority w:val="0"/>
    <w:qFormat/>
    <w:rPr>
      <w:rFonts w:hint="eastAsia" w:ascii="宋体" w:hAnsi="宋体" w:eastAsia="宋体" w:cs="宋体"/>
      <w:b/>
      <w:bCs/>
      <w:color w:val="ff0000"/>
      <w:sz w:val="18"/>
      <w:szCs w:val="18"/>
      <w:u w:val="none"/>
    </w:rPr>
  </w:style>
  <w:style w:type="character" w:styleId="1094" w:customStyle="1">
    <w:name w:val="font21"/>
    <w:basedOn w:val="791"/>
    <w:uiPriority w:val="0"/>
    <w:qFormat/>
    <w:rPr>
      <w:rFonts w:hint="eastAsia" w:ascii="宋体" w:hAnsi="宋体" w:eastAsia="宋体" w:cs="宋体"/>
      <w:b/>
      <w:bCs/>
      <w:color w:val="000000"/>
      <w:sz w:val="22"/>
      <w:szCs w:val="22"/>
      <w:u w:val="none"/>
    </w:rPr>
  </w:style>
  <w:style w:type="character" w:styleId="1095" w:customStyle="1">
    <w:name w:val="font51"/>
    <w:basedOn w:val="791"/>
    <w:uiPriority w:val="0"/>
    <w:qFormat/>
    <w:rPr>
      <w:rFonts w:hint="eastAsia" w:ascii="宋体" w:hAnsi="宋体" w:eastAsia="宋体" w:cs="宋体"/>
      <w:b/>
      <w:bCs/>
      <w:color w:val="ff0000"/>
      <w:sz w:val="22"/>
      <w:szCs w:val="22"/>
      <w:u w:val="none"/>
    </w:rPr>
  </w:style>
  <w:style w:type="character" w:styleId="1096" w:customStyle="1">
    <w:name w:val="font31"/>
    <w:basedOn w:val="791"/>
    <w:uiPriority w:val="0"/>
    <w:qFormat/>
    <w:rPr>
      <w:rFonts w:hint="eastAsia" w:ascii="宋体" w:hAnsi="宋体" w:eastAsia="宋体" w:cs="宋体"/>
      <w:color w:val="000000"/>
      <w:sz w:val="22"/>
      <w:szCs w:val="22"/>
      <w:u w:val="none"/>
    </w:rPr>
  </w:style>
  <w:style w:type="character" w:styleId="1097" w:customStyle="1">
    <w:name w:val="font61"/>
    <w:basedOn w:val="791"/>
    <w:uiPriority w:val="0"/>
    <w:qFormat/>
    <w:rPr>
      <w:rFonts w:hint="eastAsia" w:ascii="宋体" w:hAnsi="宋体" w:eastAsia="宋体" w:cs="宋体"/>
      <w:color w:val="ff0000"/>
      <w:sz w:val="22"/>
      <w:szCs w:val="22"/>
      <w:u w:val="none"/>
    </w:rPr>
  </w:style>
  <w:style w:type="table" w:styleId="1098" w:customStyle="1">
    <w:name w:val="Table Normal"/>
    <w:uiPriority w:val="0"/>
    <w:unhideWhenUsed/>
    <w:qFormat/>
    <w:tblPr>
      <w:tblCellMar>
        <w:left w:w="0" w:type="dxa"/>
        <w:top w:w="0" w:type="dxa"/>
        <w:right w:w="0" w:type="dxa"/>
        <w:bottom w:w="0" w:type="dxa"/>
      </w:tblCellMar>
    </w:tblPr>
  </w:style>
  <w:style w:type="character" w:styleId="1099" w:customStyle="1">
    <w:name w:val="NormalCharacter"/>
    <w:uiPriority w:val="0"/>
    <w:semiHidden/>
    <w:qFormat/>
  </w:style>
  <w:style w:type="paragraph" w:styleId="1100" w:customStyle="1">
    <w:name w:val="NormalIndent"/>
    <w:basedOn w:val="781"/>
    <w:uiPriority w:val="0"/>
    <w:qFormat/>
    <w:pPr>
      <w:ind w:firstLine="420"/>
      <w:jc w:val="left"/>
      <w:widowControl/>
    </w:pPr>
    <w:rPr>
      <w:sz w:val="24"/>
    </w:rPr>
  </w:style>
  <w:style w:type="paragraph" w:styleId="1101" w:customStyle="1">
    <w:name w:val="正文缩进1"/>
    <w:basedOn w:val="781"/>
    <w:uiPriority w:val="0"/>
    <w:qFormat/>
    <w:pPr>
      <w:ind w:firstLine="420"/>
      <w:jc w:val="left"/>
    </w:pPr>
    <w:rPr>
      <w:sz w:val="24"/>
    </w:rPr>
  </w:style>
  <w:style w:type="paragraph" w:styleId="110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程天宇</cp:lastModifiedBy>
  <cp:revision>124</cp:revision>
  <dcterms:created xsi:type="dcterms:W3CDTF">2022-06-13T16:19:00Z</dcterms:created>
  <dcterms:modified xsi:type="dcterms:W3CDTF">2026-06-24T08:07:54Z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161F5DBD471B4486A8C2C27DC36F8AA1_13</vt:lpwstr>
  </property>
  <property fmtid="{D5CDD505-2E9C-101B-9397-08002B2CF9AE}" pid="4" name="KSOTemplateDocerSaveRecord">
    <vt:lpwstr>eyJoZGlkIjoiYzdjMzZjNWVjMjA2YmI2MjE5ZTYzZGIxNGU4OWNmNTgiLCJ1c2VySWQiOiIyNjkwNDc1NjUifQ==</vt:lpwstr>
  </property>
</Properties>
</file>