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b/>
          <w:bCs/>
          <w:color w:val="auto"/>
          <w:sz w:val="30"/>
          <w:szCs w:val="30"/>
          <w:highlight w:val="none"/>
        </w:rPr>
      </w:pPr>
      <w:r/>
      <w:bookmarkStart w:id="0" w:name="_Toc120614210"/>
      <w:r/>
      <w:bookmarkStart w:id="1" w:name="_Toc513029200"/>
      <w:r/>
      <w:bookmarkStart w:id="2" w:name="_Toc523127445"/>
      <w:r/>
      <w:bookmarkStart w:id="3" w:name="_Toc16938516"/>
      <w:r/>
      <w:bookmarkStart w:id="4" w:name="_Toc20823272"/>
      <w:r/>
      <w:bookmarkStart w:id="5" w:name="_Toc479757206"/>
      <w:r/>
      <w:r/>
    </w:p>
    <w:p>
      <w:pPr>
        <w:jc w:val="center"/>
        <w:spacing w:before="120" w:after="120" w:line="360" w:lineRule="auto"/>
        <w:rPr>
          <w:rFonts w:hint="eastAsia" w:ascii="Arial" w:hAnsi="Arial" w:eastAsia="宋体" w:cs="Times New Roman"/>
          <w:b/>
          <w:bCs/>
          <w:color w:val="auto"/>
          <w:sz w:val="40"/>
          <w:szCs w:val="40"/>
          <w:highlight w:val="none"/>
          <w:lang w:eastAsia="zh-CN"/>
        </w:rPr>
      </w:pPr>
      <w:r>
        <w:rPr>
          <w:rFonts w:hint="eastAsia" w:ascii="Arial" w:hAnsi="Arial" w:eastAsia="宋体" w:cs="Times New Roman"/>
          <w:b/>
          <w:bCs/>
          <w:color w:val="auto"/>
          <w:sz w:val="40"/>
          <w:szCs w:val="40"/>
          <w:highlight w:val="none"/>
          <w:lang w:eastAsia="zh-CN"/>
        </w:rPr>
        <w:t xml:space="preserve">兴仁镇智能装备产业园跃进路建设工程</w:t>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项目编号：JSZC-320612-NTJD-C2026-0014</w:t>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pStyle w:val="955"/>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pStyle w:val="11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南通市通州区兴仁镇人民政府</w:t>
      </w:r>
      <w:r/>
    </w:p>
    <w:p>
      <w:pPr>
        <w:pStyle w:val="1219"/>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51"/>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w:t>
      </w:r>
      <w:r>
        <w:rPr>
          <w:rFonts w:hint="eastAsia" w:ascii="宋体" w:hAnsi="宋体" w:cs="宋体"/>
          <w:color w:val="auto"/>
          <w:sz w:val="24"/>
          <w:szCs w:val="24"/>
          <w:highlight w:val="none"/>
          <w:u w:val="none"/>
          <w:lang w:val="en-US" w:eastAsia="zh-CN"/>
        </w:rPr>
        <w:t xml:space="preserve">兴仁</w:t>
      </w:r>
      <w:r>
        <w:rPr>
          <w:rFonts w:hint="eastAsia" w:ascii="宋体" w:hAnsi="宋体" w:cs="宋体"/>
          <w:color w:val="auto"/>
          <w:sz w:val="24"/>
          <w:szCs w:val="24"/>
          <w:highlight w:val="none"/>
          <w:u w:val="none"/>
          <w:lang w:eastAsia="zh-CN"/>
        </w:rPr>
        <w:t xml:space="preserve">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就兴仁镇智能装备产业园跃进路建设工程</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lang w:val="en-US" w:eastAsia="zh-CN"/>
        </w:rPr>
        <w:t xml:space="preserve">项目编号：JSZC-320612-NTJD-C2026-0014）</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兴仁镇智能装备产业园跃进路建设工程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Hlk24379207"/>
      <w:r/>
      <w:bookmarkStart w:id="7" w:name="_Toc28359002"/>
      <w:r/>
      <w:bookmarkStart w:id="8" w:name="_Toc35393621"/>
      <w:r/>
      <w:bookmarkStart w:id="9" w:name="_Toc35393790"/>
      <w:r/>
      <w:bookmarkStart w:id="10" w:name="_Toc38985263"/>
      <w:r/>
      <w:bookmarkStart w:id="11" w:name="_Toc28359079"/>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38985264"/>
      <w:r/>
      <w:bookmarkStart w:id="13" w:name="_Toc35393622"/>
      <w:r/>
      <w:bookmarkStart w:id="14" w:name="_Toc35393791"/>
      <w:r/>
      <w:bookmarkStart w:id="15" w:name="_Toc28359080"/>
      <w:r/>
      <w:bookmarkStart w:id="16" w:name="_Toc28359003"/>
      <w:r>
        <w:rPr>
          <w:rFonts w:hint="eastAsia" w:ascii="宋体" w:hAnsi="宋体" w:eastAsia="宋体" w:cs="宋体"/>
          <w:color w:val="auto"/>
          <w:sz w:val="24"/>
          <w:szCs w:val="24"/>
          <w:highlight w:val="none"/>
        </w:rPr>
        <w:t xml:space="preserve">1.项目编号：JSZC-320612-NTJD-C2026-0014</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none"/>
        </w:rPr>
        <w:t xml:space="preserve">兴仁镇智能装备产业园跃进路建设工程</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280.82万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238.697</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red"/>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35393625"/>
      <w:r/>
      <w:bookmarkStart w:id="28" w:name="_Toc28359084"/>
      <w:r/>
      <w:bookmarkStart w:id="29" w:name="_Toc38985267"/>
      <w:r/>
      <w:bookmarkStart w:id="30" w:name="_Toc35393794"/>
      <w:r/>
      <w:bookmarkStart w:id="31" w:name="_Toc28359007"/>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 9 时 00 </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28359008"/>
      <w:r/>
      <w:bookmarkStart w:id="36" w:name="_Toc35393627"/>
      <w:r/>
      <w:bookmarkStart w:id="37" w:name="_Toc38985269"/>
      <w:r/>
      <w:bookmarkStart w:id="38" w:name="_Toc35393796"/>
      <w:r/>
      <w:bookmarkStart w:id="39" w:name="_Toc28359085"/>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南通市通州区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镇人民政府</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u w:val="single"/>
          <w:lang w:eastAsia="zh-CN"/>
        </w:rPr>
        <w:t xml:space="preserve">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w:t>
      </w:r>
      <w:r/>
    </w:p>
    <w:p>
      <w:pPr>
        <w:ind w:left="0" w:firstLine="7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李先生</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sz w:val="24"/>
          <w:u w:val="single"/>
          <w:lang w:val="en-US" w:eastAsia="zh-CN"/>
        </w:rPr>
        <w:t xml:space="preserve">13606289979</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10"/>
      <w:r/>
      <w:bookmarkStart w:id="41"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南通市</w:t>
      </w:r>
      <w:r>
        <w:rPr>
          <w:rFonts w:hint="eastAsia" w:ascii="宋体" w:hAnsi="宋体" w:cs="宋体"/>
          <w:color w:val="auto"/>
          <w:sz w:val="24"/>
          <w:szCs w:val="24"/>
          <w:highlight w:val="none"/>
          <w:u w:val="single"/>
          <w:lang w:val="en-US" w:eastAsia="zh-CN"/>
        </w:rPr>
        <w:t xml:space="preserve">崇川区外环东路80号</w:t>
      </w:r>
      <w:r/>
    </w:p>
    <w:p>
      <w:pPr>
        <w:ind w:left="0" w:firstLine="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周女士</w:t>
      </w:r>
      <w:r>
        <w:rPr>
          <w:rFonts w:hint="eastAsia" w:ascii="宋体" w:hAnsi="宋体" w:eastAsia="宋体" w:cs="宋体"/>
          <w:color w:val="auto"/>
          <w:sz w:val="24"/>
          <w:szCs w:val="24"/>
          <w:highlight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bookmarkEnd w:id="40"/>
      <w:r/>
      <w:bookmarkEnd w:id="41"/>
      <w:r/>
      <w:bookmarkStart w:id="42" w:name="_Toc120614211"/>
      <w:r>
        <w:rPr>
          <w:rFonts w:hint="eastAsia" w:ascii="宋体" w:hAnsi="宋体" w:cs="宋体"/>
          <w:color w:val="auto"/>
          <w:sz w:val="24"/>
          <w:szCs w:val="24"/>
          <w:highlight w:val="none"/>
          <w:u w:val="single"/>
          <w:lang w:val="en-US" w:eastAsia="zh-CN"/>
        </w:rPr>
        <w:t xml:space="preserve">0513-86101116、15370486809</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w:t>
      </w:r>
      <w:r>
        <w:rPr>
          <w:rFonts w:hint="eastAsia" w:ascii="宋体" w:hAnsi="宋体" w:eastAsia="宋体" w:cs="宋体"/>
          <w:color w:val="auto"/>
          <w:sz w:val="24"/>
          <w:szCs w:val="24"/>
          <w:highlight w:val="none"/>
          <w:u w:val="single"/>
          <w:lang w:eastAsia="zh-CN"/>
        </w:rPr>
        <w:t xml:space="preserve">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16938519"/>
      <w:r/>
      <w:bookmarkStart w:id="44" w:name="_Toc20823275"/>
      <w:r/>
      <w:bookmarkStart w:id="45" w:name="_Toc120614214"/>
      <w:r/>
      <w:bookmarkStart w:id="46" w:name="_Toc513029203"/>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16938522"/>
      <w:r/>
      <w:bookmarkStart w:id="56" w:name="_Toc513029206"/>
      <w:r/>
      <w:bookmarkStart w:id="57" w:name="_Toc20823278"/>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16938523"/>
      <w:r/>
      <w:bookmarkStart w:id="59" w:name="_Toc20823279"/>
      <w:r/>
      <w:bookmarkStart w:id="60" w:name="_Toc513029207"/>
      <w:r/>
      <w:bookmarkStart w:id="61" w:name="_Toc462564067"/>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六折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9"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1"/>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1"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当50万元＜中标价≤400万元时，代理费=</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中标价-50）*1.5%</w:t>
      </w:r>
      <w:r>
        <w:rPr>
          <w:rFonts w:hint="eastAsia" w:ascii="宋体" w:hAnsi="宋体" w:cs="Times New Roman"/>
          <w:color w:val="auto"/>
          <w:sz w:val="24"/>
          <w:highlight w:val="none"/>
          <w:lang w:val="en-US" w:eastAsia="zh-CN"/>
        </w:rPr>
        <w:t xml:space="preserve">]*60%</w:t>
      </w:r>
      <w:r>
        <w:rPr>
          <w:rFonts w:hint="eastAsia" w:ascii="宋体" w:hAnsi="宋体" w:eastAsia="宋体" w:cs="Times New Roman"/>
          <w:color w:val="auto"/>
          <w:sz w:val="24"/>
          <w:highlight w:val="none"/>
          <w:lang w:val="en-US"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20823281"/>
      <w:r/>
      <w:bookmarkStart w:id="63" w:name="_Toc16938525"/>
      <w:r/>
      <w:bookmarkStart w:id="64" w:name="_Toc513029209"/>
      <w:r/>
      <w:bookmarkStart w:id="65" w:name="_Toc120614215"/>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513029210"/>
      <w:r/>
      <w:bookmarkStart w:id="67" w:name="_Toc20823282"/>
      <w:r/>
      <w:bookmarkStart w:id="68" w:name="_Toc16938526"/>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513029211"/>
      <w:r/>
      <w:bookmarkStart w:id="70" w:name="_Toc16938527"/>
      <w:r/>
      <w:bookmarkStart w:id="71" w:name="_Toc462564070"/>
      <w:r/>
      <w:bookmarkStart w:id="72" w:name="_Toc20823283"/>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16938528"/>
      <w:r/>
      <w:bookmarkStart w:id="74" w:name="_Toc462564071"/>
      <w:r/>
      <w:bookmarkStart w:id="75" w:name="_Toc513029212"/>
      <w:r/>
      <w:bookmarkStart w:id="76" w:name="_Toc20823284"/>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462564072"/>
      <w:r/>
      <w:bookmarkStart w:id="78" w:name="_Toc513029213"/>
      <w:r/>
      <w:bookmarkStart w:id="79" w:name="_Toc20823285"/>
      <w:r/>
      <w:bookmarkStart w:id="80" w:name="_Toc120614216"/>
      <w:r/>
      <w:bookmarkStart w:id="81" w:name="_Toc16938529"/>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462564073"/>
      <w:r/>
      <w:bookmarkStart w:id="83" w:name="_Toc20823286"/>
      <w:r/>
      <w:bookmarkStart w:id="84" w:name="_Toc16938530"/>
      <w:r/>
      <w:bookmarkStart w:id="85" w:name="_Toc513029214"/>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20823287"/>
      <w:r/>
      <w:bookmarkStart w:id="87" w:name="_Toc513029215"/>
      <w:r/>
      <w:bookmarkStart w:id="88" w:name="_Toc462564074"/>
      <w:r/>
      <w:bookmarkStart w:id="89" w:name="_Toc16938531"/>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49090510"/>
      <w:r/>
      <w:bookmarkStart w:id="94"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739"/>
      <w:r/>
      <w:bookmarkEnd w:id="97"/>
      <w:r/>
      <w:bookmarkStart w:id="98" w:name="_Hlt26954852"/>
      <w:r/>
      <w:bookmarkEnd w:id="98"/>
      <w:r/>
      <w:bookmarkStart w:id="99" w:name="_Toc120614217"/>
      <w:r/>
      <w:bookmarkStart w:id="100" w:name="_Toc16938540"/>
      <w:r/>
      <w:bookmarkStart w:id="101" w:name="_Toc20823296"/>
      <w:r/>
      <w:bookmarkStart w:id="102" w:name="_Toc513029224"/>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462564084"/>
      <w:r/>
      <w:bookmarkStart w:id="104" w:name="_Toc513029225"/>
      <w:r/>
      <w:bookmarkStart w:id="105" w:name="_Toc16938541"/>
      <w:r/>
      <w:bookmarkStart w:id="106" w:name="_Toc20823297"/>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513029226"/>
      <w:r/>
      <w:bookmarkStart w:id="108" w:name="_Toc16938542"/>
      <w:r/>
      <w:bookmarkStart w:id="109" w:name="_Toc20823298"/>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16938543"/>
      <w:r/>
      <w:bookmarkStart w:id="111" w:name="_Toc513029227"/>
      <w:r/>
      <w:bookmarkStart w:id="112" w:name="_Toc20823299"/>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513029228"/>
      <w:r/>
      <w:bookmarkStart w:id="114" w:name="_Toc20823300"/>
      <w:r/>
      <w:bookmarkStart w:id="115" w:name="_Toc16938544"/>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513029229"/>
      <w:r/>
      <w:bookmarkStart w:id="117" w:name="_Toc16938545"/>
      <w:r/>
      <w:bookmarkStart w:id="118" w:name="_Toc20823301"/>
      <w:r/>
      <w:bookmarkStart w:id="119" w:name="_Toc120614218"/>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20823302"/>
      <w:r/>
      <w:bookmarkStart w:id="121" w:name="_Toc16938546"/>
      <w:r/>
      <w:bookmarkStart w:id="122" w:name="_Toc513029230"/>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16938547"/>
      <w:r/>
      <w:bookmarkStart w:id="124" w:name="_Toc20823303"/>
      <w:r/>
      <w:bookmarkStart w:id="125" w:name="_Toc513029231"/>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513029232"/>
      <w:r/>
      <w:bookmarkStart w:id="127" w:name="_Toc16938548"/>
      <w:r/>
      <w:bookmarkStart w:id="128" w:name="_Toc20823304"/>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20823305"/>
      <w:r/>
      <w:bookmarkStart w:id="130" w:name="_Toc16938549"/>
      <w:r/>
      <w:bookmarkStart w:id="131" w:name="_Toc513029233"/>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513029234"/>
      <w:r/>
      <w:bookmarkStart w:id="133" w:name="_Toc20823306"/>
      <w:r/>
      <w:bookmarkStart w:id="134"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513029235"/>
      <w:r/>
      <w:bookmarkStart w:id="136" w:name="_Toc16938551"/>
      <w:r/>
      <w:bookmarkStart w:id="137" w:name="_Toc20823307"/>
      <w:r/>
      <w:bookmarkStart w:id="138" w:name="_Toc120614219"/>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513029236"/>
      <w:r/>
      <w:bookmarkStart w:id="144" w:name="_Toc120614220"/>
      <w:r/>
      <w:bookmarkStart w:id="145" w:name="_Toc16938552"/>
      <w:r/>
      <w:bookmarkStart w:id="146" w:name="_Toc20823308"/>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513029237"/>
      <w:r/>
      <w:bookmarkStart w:id="148" w:name="_Toc20823309"/>
      <w:r/>
      <w:bookmarkStart w:id="149" w:name="_Toc16938553"/>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auto"/>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yellow"/>
          <w:lang w:val="en-US" w:eastAsia="zh-CN"/>
        </w:rPr>
        <w:t xml:space="preserve">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w:t>
      </w:r>
      <w:r>
        <w:rPr>
          <w:rFonts w:hint="eastAsia" w:ascii="宋体" w:hAnsi="宋体" w:cs="宋体"/>
          <w:bCs/>
          <w:color w:val="auto"/>
          <w:sz w:val="24"/>
          <w:szCs w:val="24"/>
          <w:highlight w:val="none"/>
          <w:lang w:val="en-US" w:eastAsia="zh-CN"/>
        </w:rPr>
        <w:t xml:space="preserve">方式</w:t>
      </w:r>
      <w:r>
        <w:rPr>
          <w:rFonts w:hint="eastAsia" w:ascii="宋体" w:hAnsi="宋体" w:eastAsia="宋体" w:cs="宋体"/>
          <w:bCs/>
          <w:color w:val="auto"/>
          <w:sz w:val="24"/>
          <w:szCs w:val="24"/>
          <w:highlight w:val="none"/>
          <w:lang w:val="en-US" w:eastAsia="zh-CN"/>
        </w:rPr>
        <w:t xml:space="preserve">同履约保证金。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16938558"/>
      <w:r/>
      <w:bookmarkStart w:id="151" w:name="_Toc513029242"/>
      <w:r/>
      <w:bookmarkStart w:id="152" w:name="_Toc20823314"/>
      <w:r/>
      <w:bookmarkStart w:id="153" w:name="_Toc120614221"/>
      <w:r/>
      <w:bookmarkStart w:id="154" w:name="_Toc479757207"/>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138"/>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20823315"/>
      <w:r/>
      <w:bookmarkStart w:id="156" w:name="_Toc513029243"/>
      <w:r/>
      <w:bookmarkStart w:id="157" w:name="_Toc16938559"/>
      <w:r/>
      <w:bookmarkStart w:id="158" w:name="_Toc120614244"/>
      <w:r/>
      <w:bookmarkStart w:id="159" w:name="_Toc16938590"/>
      <w:r/>
      <w:bookmarkStart w:id="160" w:name="_Toc20823346"/>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ind w:firstLine="2560"/>
        <w:jc w:val="left"/>
        <w:rPr>
          <w:rFonts w:hint="eastAsia" w:ascii="Times New Roman" w:hAnsi="Times New Roman" w:eastAsia="仿宋_GB2312"/>
          <w:color w:val="auto"/>
          <w:sz w:val="32"/>
          <w:szCs w:val="24"/>
        </w:rPr>
      </w:pPr>
      <w:r>
        <w:rPr>
          <w:rFonts w:hint="eastAsia" w:ascii="Times New Roman" w:hAnsi="Times New Roman" w:eastAsia="仿宋_GB2312"/>
          <w:color w:val="auto"/>
          <w:sz w:val="32"/>
          <w:szCs w:val="24"/>
        </w:rPr>
      </w:r>
      <w:r/>
    </w:p>
    <w:p>
      <w:pPr>
        <w:ind w:firstLine="2560"/>
        <w:jc w:val="left"/>
        <w:rPr>
          <w:rFonts w:hint="default" w:ascii="Times New Roman" w:hAnsi="Times New Roman" w:eastAsia="仿宋_GB2312"/>
          <w:color w:val="auto"/>
          <w:sz w:val="32"/>
          <w:szCs w:val="24"/>
        </w:rPr>
      </w:pPr>
      <w:r>
        <w:rPr>
          <w:rFonts w:hint="eastAsia" w:ascii="Times New Roman" w:hAnsi="Times New Roman" w:eastAsia="仿宋_GB2312"/>
          <w:color w:val="auto"/>
          <w:sz w:val="32"/>
          <w:szCs w:val="24"/>
        </w:rPr>
        <w:t xml:space="preserve">（GF—2017</w:t>
      </w:r>
      <w:r>
        <w:rPr>
          <w:rFonts w:hint="default" w:ascii="Times New Roman" w:hAnsi="Times New Roman" w:eastAsia="仿宋_GB2312"/>
          <w:color w:val="auto"/>
          <w:sz w:val="32"/>
          <w:szCs w:val="24"/>
        </w:rPr>
        <w:t xml:space="preserve">—</w:t>
      </w:r>
      <w:r>
        <w:rPr>
          <w:rFonts w:hint="eastAsia" w:ascii="Times New Roman" w:hAnsi="Times New Roman" w:eastAsia="仿宋_GB2312"/>
          <w:color w:val="auto"/>
          <w:sz w:val="32"/>
          <w:szCs w:val="24"/>
        </w:rPr>
        <w:t xml:space="preserve">0201）</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72"/>
          <w:szCs w:val="24"/>
        </w:rPr>
      </w:pPr>
      <w:r>
        <w:rPr>
          <w:rFonts w:hint="eastAsia" w:ascii="Times New Roman" w:hAnsi="Times New Roman" w:eastAsia="华文中宋"/>
          <w:b/>
          <w:color w:val="auto"/>
          <w:sz w:val="72"/>
          <w:szCs w:val="24"/>
        </w:rPr>
        <w:t xml:space="preserve">建设工程施工合同</w:t>
      </w:r>
      <w:r/>
    </w:p>
    <w:p>
      <w:pPr>
        <w:jc w:val="center"/>
        <w:rPr>
          <w:rFonts w:hint="default" w:ascii="Times New Roman" w:hAnsi="Times New Roman" w:eastAsia="华文中宋"/>
          <w:b/>
          <w:color w:val="auto"/>
          <w:sz w:val="52"/>
          <w:szCs w:val="24"/>
        </w:rPr>
      </w:pPr>
      <w:r>
        <w:rPr>
          <w:rFonts w:hint="eastAsia" w:ascii="Times New Roman" w:hAnsi="Times New Roman" w:eastAsia="华文中宋"/>
          <w:b/>
          <w:color w:val="auto"/>
          <w:sz w:val="52"/>
          <w:szCs w:val="24"/>
        </w:rPr>
        <w:t xml:space="preserve">（示范文本）</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ind w:right="2719" w:firstLine="2738"/>
        <w:jc w:val="both"/>
        <w:rPr>
          <w:rFonts w:hint="default"/>
          <w:b/>
          <w:color w:val="auto"/>
          <w:sz w:val="32"/>
          <w:szCs w:val="24"/>
        </w:rPr>
      </w:pPr>
      <w:r>
        <w:rPr>
          <w:rFonts w:hint="default"/>
          <w:color w:val="auto"/>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9" o:spid="_x0000_s9" o:spt="202" type="#_x0000_t202" style="position:absolute;z-index:251665408;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rPr>
        <w:t xml:space="preserve">住房城乡建设部</w:t>
      </w:r>
      <w:r/>
    </w:p>
    <w:p>
      <w:pPr>
        <w:ind w:right="2719" w:firstLine="2750"/>
        <w:jc w:val="both"/>
        <w:rPr>
          <w:rFonts w:hint="default"/>
          <w:b/>
          <w:color w:val="auto"/>
          <w:sz w:val="32"/>
          <w:szCs w:val="24"/>
        </w:rPr>
      </w:pPr>
      <w:r>
        <w:rPr>
          <w:rFonts w:hint="eastAsia" w:eastAsia="宋体"/>
          <w:b/>
          <w:color w:val="auto"/>
          <w:sz w:val="32"/>
          <w:szCs w:val="24"/>
        </w:rPr>
        <w:t xml:space="preserve">国家工商行政管理总局</w:t>
      </w:r>
      <w:r/>
    </w:p>
    <w:p>
      <w:pPr>
        <w:rPr>
          <w:rFonts w:hint="default"/>
          <w:b/>
          <w:color w:val="auto"/>
          <w:sz w:val="21"/>
          <w:szCs w:val="24"/>
        </w:rPr>
      </w:pPr>
      <w:r>
        <w:rPr>
          <w:rFonts w:hint="default"/>
          <w:b/>
          <w:color w:val="auto"/>
          <w:sz w:val="21"/>
          <w:szCs w:val="24"/>
        </w:rPr>
      </w:r>
      <w:r/>
    </w:p>
    <w:p>
      <w:pPr>
        <w:pStyle w:val="942"/>
        <w:rPr>
          <w:rFonts w:hint="eastAsia" w:ascii="宋体" w:hAnsi="宋体" w:cs="宋体"/>
          <w:b/>
          <w:color w:val="auto"/>
          <w:sz w:val="24"/>
          <w:szCs w:val="24"/>
          <w:lang w:eastAsia="zh-CN"/>
        </w:rPr>
      </w:pPr>
      <w:r>
        <w:rPr>
          <w:rFonts w:hint="default"/>
          <w:b w:val="0"/>
          <w:color w:val="auto"/>
          <w:sz w:val="32"/>
          <w:szCs w:val="24"/>
        </w:rPr>
        <w:br w:type="page" w:clear="all"/>
      </w:r>
      <w:r/>
    </w:p>
    <w:p>
      <w:pPr>
        <w:pStyle w:val="943"/>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
    </w:p>
    <w:p>
      <w:pPr>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w:t>
      </w:r>
      <w:r>
        <w:rPr>
          <w:rFonts w:hint="eastAsia" w:ascii="宋体" w:hAnsi="宋体"/>
          <w:b/>
          <w:color w:val="000000"/>
          <w:szCs w:val="21"/>
          <w:u w:val="single"/>
          <w:lang w:val="en-US" w:eastAsia="zh-CN"/>
        </w:rPr>
        <w:t xml:space="preserve">兴仁</w:t>
      </w:r>
      <w:r>
        <w:rPr>
          <w:rFonts w:hint="eastAsia" w:ascii="宋体" w:hAnsi="宋体"/>
          <w:b/>
          <w:color w:val="000000"/>
          <w:szCs w:val="21"/>
          <w:u w:val="single"/>
          <w:lang w:eastAsia="zh-CN"/>
        </w:rPr>
        <w:t xml:space="preserve">镇人民政府</w:t>
      </w:r>
      <w:r>
        <w:rPr>
          <w:rFonts w:hint="eastAsia" w:ascii="宋体" w:hAnsi="宋体"/>
          <w:b/>
          <w:color w:val="000000"/>
          <w:szCs w:val="21"/>
          <w:u w:val="single"/>
        </w:rPr>
        <w:t xml:space="preserve"> </w:t>
      </w:r>
      <w:r/>
    </w:p>
    <w:p>
      <w:pPr>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p>
    <w:p>
      <w:pPr>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hint="default"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兴仁镇智能装备产业园跃进路建设工程 </w:t>
      </w:r>
      <w:r>
        <w:rPr>
          <w:rFonts w:hint="eastAsia" w:ascii="宋体" w:hAnsi="宋体"/>
          <w:color w:val="000000"/>
          <w:szCs w:val="21"/>
        </w:rPr>
        <w:t xml:space="preserve">施工及有关事项协商一致，共同达成如下协议：</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
    </w:p>
    <w:p>
      <w:pPr>
        <w:ind w:firstLine="411"/>
        <w:spacing w:line="440" w:lineRule="exact"/>
        <w:rPr>
          <w:rFonts w:hint="eastAsia" w:ascii="宋体" w:hAnsi="宋体"/>
          <w:color w:val="auto"/>
          <w:szCs w:val="21"/>
          <w:u w:val="single"/>
        </w:rPr>
      </w:pPr>
      <w:r>
        <w:rPr>
          <w:rFonts w:hint="eastAsia" w:ascii="宋体" w:hAnsi="宋体"/>
          <w:color w:val="auto"/>
          <w:szCs w:val="21"/>
        </w:rPr>
        <w:t xml:space="preserve">1.工程名称：</w:t>
      </w:r>
      <w:r>
        <w:rPr>
          <w:rFonts w:hint="eastAsia" w:ascii="宋体" w:hAnsi="宋体"/>
          <w:color w:val="auto"/>
          <w:szCs w:val="21"/>
          <w:u w:val="single"/>
          <w:lang w:val="en-US" w:eastAsia="zh-CN"/>
        </w:rPr>
        <w:t xml:space="preserve">兴仁镇智能装备产业园跃进路建设工程</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2.工程地点：</w:t>
      </w:r>
      <w:r>
        <w:rPr>
          <w:rFonts w:hint="eastAsia" w:ascii="宋体" w:hAnsi="宋体"/>
          <w:color w:val="auto"/>
          <w:szCs w:val="21"/>
          <w:u w:val="single"/>
          <w:lang w:val="en-US" w:eastAsia="zh-CN"/>
        </w:rPr>
        <w:t xml:space="preserve">兴仁</w:t>
      </w:r>
      <w:r>
        <w:rPr>
          <w:rFonts w:hint="eastAsia" w:ascii="宋体" w:hAnsi="宋体"/>
          <w:color w:val="auto"/>
          <w:szCs w:val="21"/>
          <w:u w:val="single"/>
          <w:lang w:eastAsia="zh-CN"/>
        </w:rPr>
        <w:t xml:space="preserve">镇</w:t>
      </w:r>
      <w:r>
        <w:rPr>
          <w:rFonts w:hint="eastAsia" w:ascii="宋体" w:hAnsi="宋体"/>
          <w:color w:val="auto"/>
          <w:szCs w:val="21"/>
          <w:u w:val="single"/>
          <w:lang w:val="en-US" w:eastAsia="zh-CN"/>
        </w:rPr>
        <w:t xml:space="preserve">智能装备产业园</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3.工程立项批准文号：</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4.资金来源：</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镇财政</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5.工程内容：</w:t>
      </w:r>
      <w:r>
        <w:rPr>
          <w:rFonts w:hint="eastAsia" w:ascii="宋体" w:hAnsi="宋体"/>
          <w:color w:val="auto"/>
          <w:szCs w:val="21"/>
          <w:u w:val="single"/>
        </w:rPr>
        <w:t xml:space="preserve"> 详见招标文件、工程量清单及图纸所含内容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群体工程应附《承包人承揽工程项目一览表》（附件1）。</w:t>
      </w:r>
      <w:r/>
    </w:p>
    <w:p>
      <w:pPr>
        <w:ind w:firstLine="411"/>
        <w:spacing w:line="440" w:lineRule="exact"/>
        <w:rPr>
          <w:rFonts w:hint="eastAsia" w:ascii="宋体" w:hAnsi="宋体"/>
          <w:color w:val="auto"/>
          <w:szCs w:val="21"/>
        </w:rPr>
      </w:pPr>
      <w:r>
        <w:rPr>
          <w:rFonts w:hint="eastAsia" w:ascii="宋体" w:hAnsi="宋体"/>
          <w:color w:val="auto"/>
          <w:szCs w:val="21"/>
        </w:rPr>
        <w:t xml:space="preserve">6.工程承包范围：</w:t>
      </w:r>
      <w:r/>
    </w:p>
    <w:p>
      <w:pPr>
        <w:ind w:firstLine="405"/>
        <w:spacing w:line="440" w:lineRule="exact"/>
        <w:rPr>
          <w:rFonts w:hint="eastAsia" w:ascii="宋体" w:hAnsi="宋体"/>
          <w:color w:val="auto"/>
          <w:szCs w:val="21"/>
        </w:rPr>
      </w:pPr>
      <w:r>
        <w:rPr>
          <w:rFonts w:hint="eastAsia" w:ascii="宋体" w:hAnsi="宋体"/>
          <w:color w:val="auto"/>
          <w:szCs w:val="21"/>
          <w:u w:val="single"/>
        </w:rPr>
        <w:t xml:space="preserve">  招标文件、工程量清单及图纸所含内容  </w:t>
      </w:r>
      <w:r>
        <w:rPr>
          <w:rFonts w:hint="eastAsia" w:ascii="宋体" w:hAnsi="宋体"/>
          <w:color w:val="auto"/>
          <w:szCs w:val="21"/>
        </w:rPr>
        <w:t xml:space="preserve">。</w:t>
      </w:r>
      <w:r/>
    </w:p>
    <w:p>
      <w:pPr>
        <w:pStyle w:val="944"/>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202</w:t>
      </w:r>
      <w:r>
        <w:rPr>
          <w:rFonts w:hint="eastAsia" w:ascii="宋体" w:hAnsi="宋体"/>
          <w:color w:val="000000"/>
          <w:szCs w:val="21"/>
          <w:u w:val="single"/>
          <w:lang w:val="en-US" w:eastAsia="zh-CN"/>
        </w:rPr>
        <w:t xml:space="preserve">6</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u w:val="single"/>
        </w:rPr>
        <w:t xml:space="preserve">  202</w:t>
      </w:r>
      <w:r>
        <w:rPr>
          <w:rFonts w:hint="eastAsia" w:ascii="宋体" w:hAnsi="宋体"/>
          <w:color w:val="000000"/>
          <w:szCs w:val="21"/>
          <w:u w:val="single"/>
          <w:lang w:val="en-US" w:eastAsia="zh-CN"/>
        </w:rPr>
        <w:t xml:space="preserve">6</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    </w:t>
      </w:r>
      <w:r>
        <w:rPr>
          <w:rFonts w:hint="eastAsia" w:ascii="宋体" w:hAnsi="宋体"/>
          <w:color w:val="000000"/>
          <w:szCs w:val="21"/>
        </w:rPr>
        <w:t xml:space="preserve">日历天。工期总日历天数与根据前述计划开竣工日期计算的工期天数不一致的，以工期总日历天数为准。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
    </w:p>
    <w:p>
      <w:pPr>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p>
    <w:p>
      <w:pPr>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p>
    <w:p>
      <w:pPr>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其中：</w:t>
      </w:r>
      <w:r/>
    </w:p>
    <w:p>
      <w:pPr>
        <w:ind w:firstLine="420"/>
        <w:spacing w:line="440" w:lineRule="exact"/>
        <w:rPr>
          <w:rFonts w:hint="eastAsia" w:ascii="宋体" w:hAnsi="宋体"/>
          <w:color w:val="000000"/>
          <w:szCs w:val="21"/>
        </w:rPr>
      </w:pPr>
      <w:r>
        <w:rPr>
          <w:rFonts w:hint="eastAsia" w:ascii="宋体" w:hAnsi="宋体"/>
          <w:color w:val="000000"/>
          <w:szCs w:val="21"/>
        </w:rPr>
        <w:t xml:space="preserve">（1）安全文明施工费：</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p>
    <w:p>
      <w:pPr>
        <w:pStyle w:val="944"/>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p>
    <w:p>
      <w:pPr>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44"/>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
    </w:p>
    <w:p>
      <w:pPr>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color w:val="000000"/>
          <w:szCs w:val="21"/>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八、词语含义</w:t>
      </w:r>
      <w:bookmarkEnd w:id="171"/>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
    </w:p>
    <w:p>
      <w:pPr>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
    </w:p>
    <w:p>
      <w:pPr>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p>
    <w:p>
      <w:pPr>
        <w:pStyle w:val="944"/>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p>
    <w:p>
      <w:pPr>
        <w:spacing w:line="440" w:lineRule="exact"/>
        <w:rPr>
          <w:rFonts w:hint="eastAsia" w:ascii="宋体" w:hAnsi="宋体"/>
          <w:color w:val="000000"/>
          <w:szCs w:val="21"/>
          <w:u w:val="single"/>
        </w:rPr>
      </w:pP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p>
    <w:p>
      <w:pPr>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p>
    <w:p>
      <w:pPr>
        <w:spacing w:line="440" w:lineRule="exact"/>
        <w:rPr>
          <w:rFonts w:hint="eastAsia" w:ascii="宋体" w:hAnsi="宋体"/>
          <w:color w:val="000000"/>
          <w:szCs w:val="21"/>
          <w:u w:val="single"/>
        </w:rPr>
      </w:pPr>
      <w:r>
        <w:rPr>
          <w:rFonts w:hint="eastAsia" w:ascii="宋体" w:hAnsi="宋体"/>
          <w:color w:val="000000"/>
          <w:szCs w:val="21"/>
          <w:u w:val="single"/>
        </w:rPr>
      </w:r>
      <w:r/>
    </w:p>
    <w:p>
      <w:pPr>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p>
    <w:p>
      <w:pPr>
        <w:pStyle w:val="943"/>
        <w:jc w:val="center"/>
        <w:rPr>
          <w:rFonts w:hint="eastAsia" w:ascii="宋体" w:hAnsi="宋体" w:eastAsia="宋体"/>
          <w:sz w:val="24"/>
          <w:szCs w:val="24"/>
        </w:rPr>
      </w:pPr>
      <w:r/>
      <w:bookmarkStart w:id="177" w:name="_Toc351203494"/>
      <w:r/>
      <w:bookmarkStart w:id="178" w:name="_Toc28167"/>
      <w:r/>
      <w:r/>
    </w:p>
    <w:p>
      <w:pPr>
        <w:pStyle w:val="943"/>
        <w:jc w:val="center"/>
        <w:rPr>
          <w:rFonts w:hint="eastAsia" w:ascii="华文中宋" w:hAnsi="华文中宋" w:eastAsia="华文中宋"/>
          <w:sz w:val="36"/>
          <w:szCs w:val="24"/>
        </w:rPr>
      </w:pPr>
      <w:r>
        <w:rPr>
          <w:rFonts w:hint="eastAsia" w:ascii="宋体" w:hAnsi="宋体" w:eastAsia="宋体"/>
          <w:sz w:val="24"/>
          <w:szCs w:val="24"/>
        </w:rPr>
        <w:t xml:space="preserve">第二部分 通用合同条款</w:t>
      </w:r>
      <w:bookmarkEnd w:id="177"/>
      <w:r/>
      <w:bookmarkEnd w:id="178"/>
      <w:r/>
      <w:bookmarkStart w:id="179" w:name="_Toc337558727"/>
      <w:r/>
      <w:bookmarkEnd w:id="179"/>
      <w:r/>
      <w:r/>
    </w:p>
    <w:p>
      <w:pPr>
        <w:jc w:val="left"/>
        <w:spacing w:line="360" w:lineRule="auto"/>
        <w:rPr>
          <w:rFonts w:hint="eastAsia" w:ascii="宋体" w:hAnsi="宋体"/>
          <w:color w:val="000000"/>
          <w:szCs w:val="21"/>
        </w:rPr>
      </w:pPr>
      <w:r>
        <w:rPr>
          <w:rFonts w:hint="eastAsia" w:ascii="宋体" w:hAnsi="宋体"/>
          <w:color w:val="000000"/>
          <w:szCs w:val="21"/>
        </w:rPr>
        <w:t xml:space="preserve">略 详见（GF—2017—0201）</w:t>
      </w:r>
      <w:bookmarkStart w:id="180" w:name="_Toc351203632"/>
      <w:r/>
      <w:bookmarkStart w:id="181" w:name="_Toc25770"/>
      <w:r/>
      <w:r/>
    </w:p>
    <w:p>
      <w:pPr>
        <w:jc w:val="left"/>
        <w:spacing w:line="360" w:lineRule="auto"/>
        <w:rPr>
          <w:rFonts w:hint="eastAsia" w:ascii="宋体" w:hAnsi="宋体"/>
          <w:color w:val="000000"/>
          <w:szCs w:val="21"/>
        </w:rPr>
      </w:pPr>
      <w:r>
        <w:rPr>
          <w:rFonts w:hint="eastAsia" w:ascii="宋体" w:hAnsi="宋体"/>
          <w:color w:val="000000"/>
          <w:szCs w:val="21"/>
        </w:rPr>
      </w:r>
      <w:r/>
    </w:p>
    <w:p>
      <w:pPr>
        <w:pStyle w:val="943"/>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第三部分 专用合同条款</w:t>
      </w:r>
      <w:bookmarkEnd w:id="180"/>
      <w:r/>
      <w:bookmarkEnd w:id="181"/>
      <w:r/>
      <w:r/>
    </w:p>
    <w:p>
      <w:pPr>
        <w:pStyle w:val="944"/>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7048342"/>
      <w:r/>
      <w:bookmarkStart w:id="184" w:name="_Toc296346657"/>
      <w:r/>
      <w:bookmarkStart w:id="185" w:name="_Toc296944495"/>
      <w:r/>
      <w:bookmarkStart w:id="186" w:name="_Toc292559866"/>
      <w:r/>
      <w:bookmarkStart w:id="187" w:name="_Toc292559361"/>
      <w:r/>
      <w:bookmarkStart w:id="188" w:name="_Toc296347155"/>
      <w:r/>
      <w:bookmarkStart w:id="189" w:name="_Toc296503156"/>
      <w:r/>
      <w:bookmarkStart w:id="190" w:name="_Toc296890984"/>
      <w:r/>
      <w:bookmarkStart w:id="191" w:name="_Toc297120456"/>
      <w:r/>
      <w:bookmarkStart w:id="192" w:name="_Toc296891196"/>
      <w:r>
        <w:rPr>
          <w:rFonts w:hint="eastAsia" w:ascii="宋体" w:hAnsi="宋体"/>
          <w:color w:val="000000"/>
          <w:szCs w:val="22"/>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2"/>
        <w:spacing w:after="120" w:line="400" w:lineRule="exact"/>
        <w:rPr>
          <w:rFonts w:hint="eastAsia" w:ascii="宋体" w:hAnsi="宋体"/>
          <w:b/>
          <w:color w:val="000000"/>
          <w:szCs w:val="21"/>
        </w:rPr>
        <w:outlineLvl w:val="0"/>
      </w:pPr>
      <w:r/>
      <w:bookmarkStart w:id="193" w:name="_Toc25433"/>
      <w:r/>
      <w:bookmarkStart w:id="194" w:name="_Toc8441"/>
      <w:r>
        <w:rPr>
          <w:rFonts w:hint="eastAsia" w:ascii="宋体" w:hAnsi="宋体"/>
          <w:b/>
          <w:color w:val="000000"/>
          <w:szCs w:val="21"/>
        </w:rPr>
        <w:t xml:space="preserve">1.1 词语定义</w:t>
      </w:r>
      <w:bookmarkEnd w:id="193"/>
      <w:r/>
      <w:bookmarkEnd w:id="194"/>
      <w:r/>
      <w:r/>
    </w:p>
    <w:p>
      <w:pPr>
        <w:ind w:firstLine="420"/>
        <w:spacing w:line="400" w:lineRule="exact"/>
        <w:rPr>
          <w:rFonts w:hint="eastAsia" w:ascii="宋体" w:hAnsi="宋体"/>
          <w:color w:val="000000"/>
          <w:szCs w:val="21"/>
        </w:rPr>
      </w:pPr>
      <w:r>
        <w:rPr>
          <w:rFonts w:hint="eastAsia" w:ascii="宋体" w:hAnsi="宋体"/>
          <w:color w:val="000000"/>
          <w:szCs w:val="21"/>
        </w:rPr>
        <w:t xml:space="preserve">1.1.1合同</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p>
    <w:p>
      <w:pPr>
        <w:ind w:firstLine="420"/>
        <w:spacing w:after="120" w:line="400" w:lineRule="exact"/>
        <w:rPr>
          <w:rFonts w:hint="eastAsia" w:ascii="宋体" w:hAnsi="宋体"/>
          <w:color w:val="auto"/>
          <w:szCs w:val="21"/>
          <w:u w:val="single"/>
        </w:rPr>
      </w:pPr>
      <w:r>
        <w:rPr>
          <w:rFonts w:hint="eastAsia" w:ascii="宋体" w:hAnsi="宋体"/>
          <w:color w:val="000000"/>
          <w:szCs w:val="21"/>
        </w:rPr>
        <w:t xml:space="preserve">适用于合同的其他规范性文件：</w:t>
      </w:r>
      <w:r>
        <w:rPr>
          <w:rFonts w:hint="eastAsia" w:ascii="宋体" w:hAnsi="宋体"/>
          <w:color w:val="auto"/>
          <w:szCs w:val="21"/>
          <w:u w:val="single"/>
        </w:rPr>
        <w:t xml:space="preserve">《中华人民共和国建筑法》、《中华人民共和国</w:t>
      </w:r>
      <w:r>
        <w:rPr>
          <w:rFonts w:hint="default" w:ascii="宋体" w:hAnsi="宋体"/>
          <w:color w:val="auto"/>
          <w:szCs w:val="21"/>
          <w:u w:val="single"/>
        </w:rPr>
        <w:t xml:space="preserve">民法典</w:t>
      </w:r>
      <w:r>
        <w:rPr>
          <w:rFonts w:hint="eastAsia" w:ascii="宋体" w:hAnsi="宋体"/>
          <w:color w:val="auto"/>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p>
    <w:p>
      <w:pPr>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6265"/>
      <w:r/>
      <w:bookmarkStart w:id="196" w:name="_Toc28477"/>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197" w:name="_Toc26496"/>
      <w:r/>
      <w:bookmarkStart w:id="198" w:name="_Toc8179"/>
      <w:r>
        <w:rPr>
          <w:rFonts w:hint="eastAsia" w:ascii="宋体" w:hAnsi="宋体"/>
          <w:b/>
          <w:color w:val="000000"/>
          <w:szCs w:val="21"/>
        </w:rPr>
        <w:t xml:space="preserve">1.5 合同文件的优先顺序</w:t>
      </w:r>
      <w:bookmarkEnd w:id="197"/>
      <w:r/>
      <w:bookmarkEnd w:id="198"/>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p>
    <w:p>
      <w:pPr>
        <w:ind w:firstLine="422"/>
        <w:spacing w:after="120" w:line="400" w:lineRule="exact"/>
        <w:rPr>
          <w:rFonts w:hint="eastAsia" w:ascii="宋体" w:hAnsi="宋体"/>
          <w:b/>
          <w:color w:val="000000"/>
          <w:szCs w:val="21"/>
        </w:rPr>
        <w:outlineLvl w:val="0"/>
      </w:pPr>
      <w:r/>
      <w:bookmarkStart w:id="199" w:name="_Toc13932"/>
      <w:r/>
      <w:bookmarkStart w:id="200" w:name="_Toc4315"/>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p>
    <w:p>
      <w:pPr>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工程开工前</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本合同承包范围内的全部工程的施工图纸</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p>
    <w:p>
      <w:pPr>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
    </w:p>
    <w:p>
      <w:pPr>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3" w:name="_Toc10326"/>
      <w:r/>
      <w:bookmarkStart w:id="204" w:name="_Toc16100"/>
      <w:r>
        <w:rPr>
          <w:rFonts w:hint="eastAsia" w:ascii="宋体" w:hAnsi="宋体"/>
          <w:b/>
          <w:color w:val="000000"/>
          <w:szCs w:val="21"/>
        </w:rPr>
        <w:t xml:space="preserve">1.10 交通运输</w:t>
      </w:r>
      <w:bookmarkEnd w:id="203"/>
      <w:r/>
      <w:bookmarkEnd w:id="204"/>
      <w:r/>
      <w:r/>
    </w:p>
    <w:p>
      <w:pPr>
        <w:ind w:firstLine="420"/>
        <w:spacing w:line="400" w:lineRule="exact"/>
        <w:rPr>
          <w:rFonts w:hint="eastAsia" w:ascii="宋体" w:hAnsi="宋体"/>
          <w:szCs w:val="21"/>
        </w:rPr>
        <w:outlineLvl w:val="0"/>
      </w:pPr>
      <w:r/>
      <w:bookmarkStart w:id="205" w:name="_Toc11155"/>
      <w:r/>
      <w:bookmarkStart w:id="206" w:name="_Toc13353"/>
      <w:r>
        <w:rPr>
          <w:rFonts w:hint="eastAsia" w:ascii="宋体" w:hAnsi="宋体"/>
          <w:szCs w:val="21"/>
        </w:rPr>
        <w:t xml:space="preserve">1</w:t>
      </w:r>
      <w:bookmarkStart w:id="207" w:name="_Toc312677986"/>
      <w:r/>
      <w:bookmarkStart w:id="208" w:name="_Toc318581155"/>
      <w:r/>
      <w:bookmarkStart w:id="209" w:name="_Toc303539100"/>
      <w:r/>
      <w:bookmarkStart w:id="210" w:name="_Toc300934943"/>
      <w:r/>
      <w:bookmarkStart w:id="211" w:name="_Toc304295521"/>
      <w:r>
        <w:rPr>
          <w:rFonts w:hint="eastAsia" w:ascii="宋体" w:hAnsi="宋体"/>
          <w:szCs w:val="21"/>
        </w:rPr>
        <w:t xml:space="preserve">.10.1 出入现场的权利</w:t>
      </w:r>
      <w:bookmarkEnd w:id="205"/>
      <w:r/>
      <w:bookmarkEnd w:id="206"/>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承包人已对施工场地现场勘察，由发包人按现状交付承包人施工，且施工场地平整等费用已包含在合同价款中。</w:t>
      </w:r>
      <w:bookmarkEnd w:id="207"/>
      <w:r/>
      <w:bookmarkEnd w:id="208"/>
      <w:r/>
      <w:bookmarkEnd w:id="209"/>
      <w:r/>
      <w:bookmarkEnd w:id="210"/>
      <w:r/>
      <w:bookmarkEnd w:id="211"/>
      <w:r/>
      <w:r/>
    </w:p>
    <w:p>
      <w:pPr>
        <w:ind w:firstLine="420"/>
        <w:jc w:val="left"/>
        <w:spacing w:line="400" w:lineRule="exact"/>
        <w:rPr>
          <w:rFonts w:hint="eastAsia" w:ascii="宋体" w:hAnsi="宋体"/>
          <w:szCs w:val="21"/>
        </w:rPr>
        <w:outlineLvl w:val="0"/>
      </w:pPr>
      <w:r/>
      <w:bookmarkStart w:id="212" w:name="_Toc21630"/>
      <w:r/>
      <w:bookmarkStart w:id="213" w:name="_Toc28687"/>
      <w:r>
        <w:rPr>
          <w:rFonts w:hint="eastAsia" w:ascii="宋体" w:hAnsi="宋体"/>
          <w:szCs w:val="21"/>
        </w:rPr>
        <w:t xml:space="preserve">1</w:t>
      </w:r>
      <w:bookmarkStart w:id="214" w:name="_Toc318581156"/>
      <w:r/>
      <w:bookmarkStart w:id="215" w:name="_Toc303539101"/>
      <w:r/>
      <w:bookmarkStart w:id="216" w:name="_Toc300934944"/>
      <w:r/>
      <w:bookmarkStart w:id="217" w:name="_Toc304295522"/>
      <w:r/>
      <w:bookmarkStart w:id="218" w:name="_Toc312677987"/>
      <w:r>
        <w:rPr>
          <w:rFonts w:hint="eastAsia" w:ascii="宋体" w:hAnsi="宋体"/>
          <w:szCs w:val="21"/>
        </w:rPr>
        <w:t xml:space="preserve">.10.3 场内交通</w:t>
      </w:r>
      <w:bookmarkEnd w:id="212"/>
      <w:r/>
      <w:bookmarkEnd w:id="213"/>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
    </w:p>
    <w:p>
      <w:pPr>
        <w:ind w:firstLine="420"/>
        <w:jc w:val="left"/>
        <w:spacing w:line="400" w:lineRule="exact"/>
        <w:rPr>
          <w:rFonts w:hint="eastAsia" w:ascii="宋体" w:hAnsi="宋体"/>
          <w:szCs w:val="21"/>
        </w:rPr>
      </w:pPr>
      <w:r>
        <w:rPr>
          <w:rFonts w:hint="eastAsia" w:ascii="宋体" w:hAnsi="宋体"/>
          <w:szCs w:val="21"/>
        </w:rPr>
        <w:t xml:space="preserve">1.10.4超大件和超重件的运输</w:t>
      </w:r>
      <w:r/>
    </w:p>
    <w:p>
      <w:pPr>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bookmarkEnd w:id="219"/>
      <w:r/>
      <w:r/>
    </w:p>
    <w:p>
      <w:pPr>
        <w:ind w:firstLine="422"/>
        <w:spacing w:after="120" w:line="400" w:lineRule="exact"/>
        <w:rPr>
          <w:rFonts w:hint="eastAsia" w:ascii="宋体" w:hAnsi="宋体"/>
          <w:b/>
          <w:color w:val="000000"/>
          <w:szCs w:val="21"/>
        </w:rPr>
        <w:outlineLvl w:val="0"/>
      </w:pPr>
      <w:r/>
      <w:bookmarkStart w:id="220" w:name="_Toc21358"/>
      <w:r/>
      <w:bookmarkStart w:id="221" w:name="_Toc21577"/>
      <w:r>
        <w:rPr>
          <w:rFonts w:hint="eastAsia" w:ascii="宋体" w:hAnsi="宋体"/>
          <w:b/>
          <w:color w:val="000000"/>
          <w:szCs w:val="21"/>
        </w:rPr>
        <w:t xml:space="preserve">1.11 知识产权</w:t>
      </w:r>
      <w:bookmarkEnd w:id="220"/>
      <w:r/>
      <w:bookmarkEnd w:id="221"/>
      <w:r/>
      <w:r/>
    </w:p>
    <w:p>
      <w:pPr>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left="596"/>
        <w:spacing w:line="400" w:lineRule="exact"/>
        <w:rPr>
          <w:rFonts w:hint="eastAsia" w:ascii="宋体" w:hAnsi="宋体"/>
          <w:color w:val="000000"/>
          <w:szCs w:val="21"/>
        </w:rPr>
        <w:outlineLvl w:val="0"/>
      </w:pPr>
      <w:r/>
      <w:bookmarkStart w:id="222" w:name="_Toc28152"/>
      <w:r/>
      <w:bookmarkStart w:id="223" w:name="_Toc25995"/>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224" w:name="_Toc31656"/>
      <w:r/>
      <w:bookmarkStart w:id="225" w:name="_Toc1387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p>
    <w:p>
      <w:pPr>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7120457"/>
      <w:r/>
      <w:bookmarkStart w:id="228" w:name="_Toc296944496"/>
      <w:r/>
      <w:bookmarkStart w:id="229" w:name="_Toc296346658"/>
      <w:r/>
      <w:bookmarkStart w:id="230" w:name="_Toc296503157"/>
      <w:r/>
      <w:bookmarkStart w:id="231" w:name="_Toc296347156"/>
      <w:r/>
      <w:bookmarkStart w:id="232" w:name="_Toc292559362"/>
      <w:r/>
      <w:bookmarkStart w:id="233" w:name="_Toc296890985"/>
      <w:r/>
      <w:bookmarkStart w:id="234" w:name="_Toc297048343"/>
      <w:r/>
      <w:bookmarkStart w:id="235" w:name="_Toc296891197"/>
      <w:r/>
      <w:bookmarkStart w:id="236" w:name="_Toc292559867"/>
      <w:r>
        <w:rPr>
          <w:rFonts w:hint="eastAsia" w:ascii="宋体" w:hAnsi="宋体"/>
          <w:color w:val="000000"/>
          <w:szCs w:val="22"/>
        </w:rPr>
        <w:t xml:space="preserve">. 发包人</w:t>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22"/>
        <w:spacing w:after="120" w:line="400" w:lineRule="exact"/>
        <w:rPr>
          <w:rFonts w:hint="eastAsia" w:ascii="宋体" w:hAnsi="宋体"/>
          <w:b/>
          <w:color w:val="000000"/>
          <w:szCs w:val="21"/>
        </w:rPr>
        <w:outlineLvl w:val="0"/>
      </w:pPr>
      <w:r/>
      <w:bookmarkStart w:id="237" w:name="_Toc15404"/>
      <w:r/>
      <w:bookmarkStart w:id="238" w:name="_Toc4238"/>
      <w:r>
        <w:rPr>
          <w:rFonts w:hint="eastAsia" w:ascii="宋体" w:hAnsi="宋体"/>
          <w:b/>
          <w:color w:val="000000"/>
          <w:szCs w:val="21"/>
        </w:rPr>
        <w:t xml:space="preserve">2.2 发包人代表</w:t>
      </w:r>
      <w:bookmarkEnd w:id="237"/>
      <w:r/>
      <w:bookmarkEnd w:id="238"/>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p>
    <w:p>
      <w:pPr>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after="120" w:line="400" w:lineRule="exact"/>
        <w:rPr>
          <w:rFonts w:hint="eastAsia" w:ascii="宋体" w:hAnsi="宋体"/>
          <w:color w:val="000000"/>
          <w:szCs w:val="21"/>
        </w:rPr>
        <w:outlineLvl w:val="0"/>
      </w:pPr>
      <w:r/>
      <w:bookmarkStart w:id="239" w:name="_Toc28010"/>
      <w:r/>
      <w:bookmarkStart w:id="240" w:name="_Toc23446"/>
      <w:r>
        <w:rPr>
          <w:rFonts w:hint="eastAsia" w:ascii="宋体" w:hAnsi="宋体"/>
          <w:color w:val="000000"/>
          <w:szCs w:val="21"/>
        </w:rPr>
        <w:t xml:space="preserve">2.5 资金来源证明及支付担保</w:t>
      </w:r>
      <w:bookmarkEnd w:id="239"/>
      <w:r/>
      <w:bookmarkEnd w:id="240"/>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7120458"/>
      <w:r/>
      <w:bookmarkStart w:id="243" w:name="_Toc296346659"/>
      <w:r/>
      <w:bookmarkStart w:id="244" w:name="_Toc296891198"/>
      <w:r/>
      <w:bookmarkStart w:id="245" w:name="_Toc292559868"/>
      <w:r/>
      <w:bookmarkStart w:id="246" w:name="_Toc296890986"/>
      <w:r/>
      <w:bookmarkStart w:id="247" w:name="_Toc296944497"/>
      <w:r/>
      <w:bookmarkStart w:id="248" w:name="_Toc296347157"/>
      <w:r/>
      <w:bookmarkStart w:id="249" w:name="_Toc292559363"/>
      <w:r/>
      <w:bookmarkStart w:id="250" w:name="_Toc297048344"/>
      <w:r/>
      <w:bookmarkStart w:id="251" w:name="_Toc296503158"/>
      <w:r>
        <w:rPr>
          <w:rFonts w:hint="eastAsia" w:ascii="宋体" w:hAnsi="宋体"/>
          <w:color w:val="000000"/>
          <w:szCs w:val="22"/>
        </w:rPr>
        <w:t xml:space="preserve">. 承包人</w:t>
      </w:r>
      <w:bookmarkEnd w:id="241"/>
      <w:r/>
      <w:bookmarkEnd w:id="242"/>
      <w:r/>
      <w:bookmarkEnd w:id="243"/>
      <w:r/>
      <w:bookmarkEnd w:id="244"/>
      <w:r/>
      <w:bookmarkEnd w:id="245"/>
      <w:r/>
      <w:bookmarkEnd w:id="246"/>
      <w:r/>
      <w:bookmarkEnd w:id="247"/>
      <w:r/>
      <w:bookmarkEnd w:id="248"/>
      <w:r/>
      <w:bookmarkEnd w:id="249"/>
      <w:r/>
      <w:bookmarkEnd w:id="250"/>
      <w:r/>
      <w:bookmarkEnd w:id="251"/>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3.1 承包人的一般义务</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三套</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p>
    <w:p>
      <w:pPr>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2)场内外道路：场外道路已开通，场地内施工临时道路、硬化等由承包人自行安排，相关费用由承包人承担。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应提供计划、报表的名称及完成时间：每周五下午5：00前提供下周计划和本周完成情况统计表，完成工程量价款汇总（一式三份）交监理机构。</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施工场地清洁卫生的要求：施工现场材料堆放要整齐，并有遮盖，不得扬尘，机械停放有序，符合清洁卫生要求，承担因自身原因违反有关规定造成的损失和罚款。</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518"/>
        <w:jc w:val="left"/>
        <w:spacing w:line="400" w:lineRule="exact"/>
        <w:widowControl/>
        <w:rPr>
          <w:rFonts w:ascii="宋体" w:hAnsi="宋体"/>
          <w:color w:val="auto"/>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auto"/>
          <w:szCs w:val="21"/>
          <w:u w:val="single"/>
        </w:rPr>
        <w:t xml:space="preserve">的工程量，且费用已包含在合同价款中。</w:t>
      </w:r>
      <w:r/>
    </w:p>
    <w:p>
      <w:pPr>
        <w:ind w:firstLine="518"/>
        <w:jc w:val="left"/>
        <w:spacing w:line="400" w:lineRule="exact"/>
        <w:widowControl/>
        <w:rPr>
          <w:rFonts w:hint="eastAsia" w:ascii="宋体" w:hAnsi="宋体"/>
          <w:color w:val="auto"/>
          <w:szCs w:val="21"/>
          <w:u w:val="single"/>
        </w:rPr>
      </w:pPr>
      <w:r>
        <w:rPr>
          <w:rFonts w:hint="eastAsia" w:ascii="宋体" w:hAnsi="宋体"/>
          <w:color w:val="auto"/>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518"/>
        <w:jc w:val="left"/>
        <w:spacing w:line="400" w:lineRule="exact"/>
        <w:widowControl/>
        <w:rPr>
          <w:rStyle w:val="1248"/>
          <w:rFonts w:hint="default"/>
          <w:color w:val="auto"/>
          <w:u w:val="single"/>
        </w:rPr>
      </w:pPr>
      <w:r>
        <w:rPr>
          <w:rFonts w:hint="eastAsia" w:ascii="宋体" w:hAnsi="宋体"/>
          <w:color w:val="auto"/>
          <w:szCs w:val="21"/>
          <w:u w:val="single"/>
        </w:rPr>
        <w:t xml:space="preserve">17）</w:t>
      </w:r>
      <w:r>
        <w:rPr>
          <w:rStyle w:val="1248"/>
          <w:rFonts w:hint="default"/>
          <w:color w:val="auto"/>
          <w:u w:val="single"/>
        </w:rPr>
        <w:t xml:space="preserve">对于施工过程中承包人不得因承包方前期手续而索赔或消极施工，需积极配合，保证工程按计划进行。如发生类似情形，发现一次扣除履约保证金的</w:t>
      </w:r>
      <w:r>
        <w:rPr>
          <w:rStyle w:val="1249"/>
          <w:color w:val="auto"/>
          <w:u w:val="single"/>
        </w:rPr>
        <w:t xml:space="preserve">10%</w:t>
      </w:r>
      <w:r>
        <w:rPr>
          <w:rStyle w:val="1249"/>
          <w:rFonts w:hint="eastAsia"/>
          <w:color w:val="auto"/>
          <w:u w:val="single"/>
        </w:rPr>
        <w:t xml:space="preserve"> </w:t>
      </w:r>
      <w:r>
        <w:rPr>
          <w:rStyle w:val="1248"/>
          <w:rFonts w:hint="default"/>
          <w:color w:val="auto"/>
          <w:u w:val="single"/>
        </w:rPr>
        <w:t xml:space="preserve">。</w:t>
      </w:r>
      <w:r/>
    </w:p>
    <w:p>
      <w:pPr>
        <w:ind w:firstLine="543"/>
        <w:jc w:val="left"/>
        <w:spacing w:line="400" w:lineRule="exact"/>
        <w:widowControl/>
        <w:rPr>
          <w:rStyle w:val="1248"/>
          <w:rFonts w:hint="default"/>
          <w:color w:val="auto"/>
          <w:u w:val="single"/>
        </w:rPr>
      </w:pPr>
      <w:r>
        <w:rPr>
          <w:rStyle w:val="1248"/>
          <w:rFonts w:hint="default"/>
          <w:color w:val="auto"/>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处以3万元罚款，责令限期提交劳动合同并补缴社会保险；承包人承担因此产生的全部损失和责任，工期不予顺延 。</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处以2万元罚款，承包人承担上述违约给发包人造成的一切损失，发包人有权单方面解除合同，已完工程不做结算</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处以1000元罚款，承包人承担上述违约给发包人造成的一切损失，发包人有权单方面解除合同，已完工程不做结算</w:t>
      </w:r>
      <w:r>
        <w:rPr>
          <w:rFonts w:hint="eastAsia" w:ascii="宋体" w:hAnsi="宋体"/>
          <w:szCs w:val="21"/>
        </w:rPr>
        <w:t xml:space="preserve">。</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处以200元罚款，承包人承担上述违约给发包人造成的一切损失</w:t>
      </w:r>
      <w:r>
        <w:rPr>
          <w:rFonts w:hint="eastAsia" w:ascii="宋体" w:hAnsi="宋体"/>
          <w:szCs w:val="21"/>
        </w:rPr>
        <w:t xml:space="preserve">。</w:t>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304295523"/>
      <w:r/>
      <w:bookmarkStart w:id="253" w:name="_Toc303539102"/>
      <w:r/>
      <w:bookmarkStart w:id="254" w:name="_Toc297120459"/>
      <w:r/>
      <w:bookmarkStart w:id="255" w:name="_Toc296347158"/>
      <w:r/>
      <w:bookmarkStart w:id="256" w:name="_Toc296944498"/>
      <w:r/>
      <w:bookmarkStart w:id="257" w:name="_Toc300934945"/>
      <w:r/>
      <w:bookmarkStart w:id="258" w:name="_Toc297048345"/>
      <w:r/>
      <w:bookmarkStart w:id="259" w:name="_Toc292559364"/>
      <w:r/>
      <w:bookmarkStart w:id="260" w:name="_Toc312677988"/>
      <w:r/>
      <w:bookmarkStart w:id="261" w:name="_Toc296346660"/>
      <w:r/>
      <w:bookmarkStart w:id="262" w:name="_Toc297123492"/>
      <w:r/>
      <w:bookmarkStart w:id="263" w:name="_Toc296890987"/>
      <w:r/>
      <w:bookmarkStart w:id="264" w:name="_Toc292559869"/>
      <w:r/>
      <w:bookmarkStart w:id="265" w:name="_Toc296503159"/>
      <w:r/>
      <w:bookmarkStart w:id="266" w:name="_Toc297216151"/>
      <w:r/>
      <w:bookmarkStart w:id="267" w:name="_Toc296891199"/>
      <w:r>
        <w:rPr>
          <w:rFonts w:hint="eastAsia" w:ascii="宋体" w:hAnsi="宋体"/>
          <w:b/>
          <w:color w:val="000000"/>
          <w:szCs w:val="21"/>
        </w:rPr>
        <w:t xml:space="preserve">.5 分包</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w:t>
      </w:r>
      <w:bookmarkStart w:id="268" w:name="_Toc296503160"/>
      <w:r/>
      <w:bookmarkStart w:id="269" w:name="_Toc296347159"/>
      <w:r/>
      <w:bookmarkStart w:id="270" w:name="_Toc292559365"/>
      <w:r/>
      <w:bookmarkStart w:id="271" w:name="_Toc303539103"/>
      <w:r/>
      <w:bookmarkStart w:id="272" w:name="_Toc296944499"/>
      <w:r/>
      <w:bookmarkStart w:id="273" w:name="_Toc296346661"/>
      <w:r/>
      <w:bookmarkStart w:id="274" w:name="_Toc297048346"/>
      <w:r/>
      <w:bookmarkStart w:id="275" w:name="_Toc296890988"/>
      <w:r/>
      <w:bookmarkStart w:id="276" w:name="_Toc296891200"/>
      <w:r/>
      <w:bookmarkStart w:id="277" w:name="_Toc297216152"/>
      <w:r/>
      <w:bookmarkStart w:id="278" w:name="_Toc300934946"/>
      <w:r/>
      <w:bookmarkStart w:id="279" w:name="_Toc297123493"/>
      <w:r/>
      <w:bookmarkStart w:id="280" w:name="_Toc304295524"/>
      <w:r/>
      <w:bookmarkStart w:id="281" w:name="_Toc297120460"/>
      <w:r/>
      <w:bookmarkStart w:id="282" w:name="_Toc292559870"/>
      <w:r/>
      <w:bookmarkStart w:id="283" w:name="_Toc318581158"/>
      <w:r/>
      <w:bookmarkStart w:id="284" w:name="_Toc312677989"/>
      <w:r>
        <w:rPr>
          <w:rFonts w:hint="eastAsia" w:ascii="宋体" w:hAnsi="宋体"/>
          <w:szCs w:val="21"/>
        </w:rPr>
        <w:t xml:space="preserve">.5.1 分包的一般约定</w:t>
      </w:r>
      <w:r/>
    </w:p>
    <w:p>
      <w:pPr>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285" w:name="_Toc300934947"/>
      <w:r/>
      <w:bookmarkStart w:id="286" w:name="_Toc296891201"/>
      <w:r/>
      <w:bookmarkStart w:id="287" w:name="_Toc296944500"/>
      <w:r/>
      <w:bookmarkStart w:id="288" w:name="_Toc297048347"/>
      <w:r/>
      <w:bookmarkStart w:id="289" w:name="_Toc297120461"/>
      <w:r/>
      <w:bookmarkStart w:id="290" w:name="_Toc297216153"/>
      <w:r/>
      <w:bookmarkStart w:id="291" w:name="_Toc296503161"/>
      <w:r/>
      <w:bookmarkStart w:id="292" w:name="_Toc304295525"/>
      <w:r/>
      <w:bookmarkStart w:id="293" w:name="_Toc303539104"/>
      <w:r/>
      <w:bookmarkStart w:id="294" w:name="_Toc296346662"/>
      <w:r/>
      <w:bookmarkStart w:id="295" w:name="_Toc297123494"/>
      <w:r/>
      <w:bookmarkStart w:id="296" w:name="_Toc296347160"/>
      <w:r/>
      <w:bookmarkStart w:id="297" w:name="_Toc296890989"/>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keepLines w:val="0"/>
        <w:keepNext w:val="0"/>
        <w:pageBreakBefore w:val="0"/>
        <w:spacing w:line="380" w:lineRule="exact"/>
        <w:rPr>
          <w:rFonts w:hint="eastAsia" w:ascii="宋体" w:hAnsi="宋体"/>
          <w:szCs w:val="21"/>
        </w:rPr>
      </w:pPr>
      <w:r>
        <w:rPr>
          <w:rFonts w:hint="eastAsia" w:ascii="宋体" w:hAnsi="宋体"/>
          <w:szCs w:val="21"/>
        </w:rPr>
        <w:t xml:space="preserve">    3</w:t>
      </w:r>
      <w:bookmarkStart w:id="298" w:name="_Toc312677990"/>
      <w:r/>
      <w:bookmarkStart w:id="299" w:name="_Toc318581159"/>
      <w:r>
        <w:rPr>
          <w:rFonts w:hint="eastAsia" w:ascii="宋体" w:hAnsi="宋体"/>
          <w:szCs w:val="21"/>
        </w:rPr>
        <w:t xml:space="preserve">.5.2分包的确定</w:t>
      </w:r>
      <w:r/>
    </w:p>
    <w:p>
      <w:pPr>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p>
    <w:p>
      <w:pPr>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rPr>
        <w:t xml:space="preserve">。</w:t>
      </w:r>
      <w:bookmarkEnd w:id="298"/>
      <w:r/>
      <w:bookmarkEnd w:id="299"/>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3.6 工程照管与成品、半成品保护</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p>
    <w:p>
      <w:pPr>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p>
    <w:p>
      <w:pPr>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szCs w:val="21"/>
          <w:u w:val="single"/>
        </w:rPr>
        <w:t xml:space="preserve">承包人提供履约担保的形式、金额及期限的：提供合同价款的 10%作为履约保证金，其中：工期履约保证金为 </w:t>
      </w:r>
      <w:r>
        <w:rPr>
          <w:rFonts w:hint="eastAsia" w:ascii="宋体" w:hAnsi="宋体"/>
          <w:szCs w:val="21"/>
          <w:u w:val="single"/>
          <w:lang w:val="en-US" w:eastAsia="zh-CN"/>
        </w:rPr>
        <w:t xml:space="preserve">2</w:t>
      </w:r>
      <w:r>
        <w:rPr>
          <w:rFonts w:hint="eastAsia" w:ascii="宋体" w:hAnsi="宋体"/>
          <w:szCs w:val="21"/>
          <w:u w:val="single"/>
        </w:rPr>
        <w:t xml:space="preserve">％ ，质量履约保证金为 </w:t>
      </w:r>
      <w:r>
        <w:rPr>
          <w:rFonts w:hint="eastAsia" w:ascii="宋体" w:hAnsi="宋体"/>
          <w:szCs w:val="21"/>
          <w:u w:val="single"/>
          <w:lang w:val="en-US" w:eastAsia="zh-CN"/>
        </w:rPr>
        <w:t xml:space="preserve">2</w:t>
      </w:r>
      <w:r>
        <w:rPr>
          <w:rFonts w:hint="eastAsia" w:ascii="宋体" w:hAnsi="宋体"/>
          <w:szCs w:val="21"/>
          <w:u w:val="single"/>
        </w:rPr>
        <w:t xml:space="preserve"> ％，安全履约保证金为 </w:t>
      </w:r>
      <w:r>
        <w:rPr>
          <w:rFonts w:hint="eastAsia" w:ascii="宋体" w:hAnsi="宋体"/>
          <w:szCs w:val="21"/>
          <w:u w:val="single"/>
          <w:lang w:val="en-US" w:eastAsia="zh-CN"/>
        </w:rPr>
        <w:t xml:space="preserve">2</w:t>
      </w:r>
      <w:r>
        <w:rPr>
          <w:rFonts w:hint="eastAsia" w:ascii="宋体" w:hAnsi="宋体"/>
          <w:szCs w:val="21"/>
          <w:u w:val="single"/>
        </w:rPr>
        <w:t xml:space="preserve"> % ，</w:t>
      </w:r>
      <w:r>
        <w:rPr>
          <w:rFonts w:hint="eastAsia" w:ascii="宋体" w:hAnsi="宋体"/>
          <w:szCs w:val="21"/>
          <w:u w:val="single"/>
          <w:lang w:val="en-US" w:eastAsia="zh-CN"/>
        </w:rPr>
        <w:t xml:space="preserve">农民工工资</w:t>
      </w:r>
      <w:r>
        <w:rPr>
          <w:rFonts w:hint="eastAsia" w:ascii="宋体" w:hAnsi="宋体"/>
          <w:szCs w:val="21"/>
          <w:u w:val="single"/>
        </w:rPr>
        <w:t xml:space="preserve">履约保证金为 </w:t>
      </w:r>
      <w:r>
        <w:rPr>
          <w:rFonts w:hint="eastAsia" w:ascii="宋体" w:hAnsi="宋体"/>
          <w:szCs w:val="21"/>
          <w:u w:val="single"/>
          <w:lang w:val="en-US" w:eastAsia="zh-CN"/>
        </w:rPr>
        <w:t xml:space="preserve">3</w:t>
      </w:r>
      <w:r>
        <w:rPr>
          <w:rFonts w:hint="eastAsia" w:ascii="宋体" w:hAnsi="宋体"/>
          <w:szCs w:val="21"/>
          <w:u w:val="single"/>
        </w:rPr>
        <w:t xml:space="preserve">% ，廉政履约保证金为1 %</w:t>
      </w:r>
      <w:r>
        <w:rPr>
          <w:rFonts w:hint="eastAsia" w:ascii="宋体" w:hAnsi="宋体"/>
          <w:color w:val="auto"/>
          <w:szCs w:val="21"/>
          <w:u w:val="single"/>
        </w:rPr>
        <w:t xml:space="preserve">；履约保证金可以用现金或银行转账</w:t>
      </w:r>
      <w:r>
        <w:rPr>
          <w:rFonts w:hint="eastAsia" w:ascii="宋体" w:hAnsi="宋体"/>
          <w:color w:val="auto"/>
          <w:szCs w:val="21"/>
          <w:u w:val="single"/>
          <w:lang w:eastAsia="zh-CN"/>
        </w:rPr>
        <w:t xml:space="preserve">或银行保函</w:t>
      </w:r>
      <w:r>
        <w:rPr>
          <w:rFonts w:hint="eastAsia" w:ascii="宋体" w:hAnsi="宋体"/>
          <w:color w:val="auto"/>
          <w:szCs w:val="21"/>
          <w:u w:val="single"/>
        </w:rPr>
        <w:t xml:space="preserve">的形式提供。</w:t>
      </w:r>
      <w:r>
        <w:rPr>
          <w:rFonts w:hint="eastAsia" w:ascii="宋体" w:hAnsi="宋体"/>
          <w:szCs w:val="21"/>
          <w:u w:val="single"/>
        </w:rPr>
        <w:t xml:space="preserve">提交时间为本合同签订前。上述履约保证金分别的、共同的承担合同义务和责任。</w:t>
      </w:r>
      <w:r/>
    </w:p>
    <w:p>
      <w:pPr>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szCs w:val="21"/>
          <w:u w:val="singl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p>
    <w:p>
      <w:pPr>
        <w:ind w:left="0" w:right="0" w:firstLine="420"/>
        <w:jc w:val="left"/>
        <w:keepLines w:val="0"/>
        <w:keepNext w:val="0"/>
        <w:spacing w:before="0" w:beforeAutospacing="0" w:after="0" w:afterAutospacing="0" w:line="400" w:lineRule="exact"/>
        <w:widowControl/>
        <w:rPr>
          <w:rFonts w:hint="eastAsia" w:ascii="宋体" w:hAnsi="宋体"/>
          <w:color w:val="auto"/>
          <w:szCs w:val="21"/>
          <w:u w:val="single"/>
        </w:rPr>
        <w:suppressLineNumbers w:val="0"/>
      </w:pPr>
      <w:r>
        <w:rPr>
          <w:rFonts w:hint="eastAsia" w:ascii="宋体" w:hAnsi="宋体" w:eastAsia="宋体" w:cs="宋体"/>
          <w:color w:val="auto"/>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p>
    <w:p>
      <w:pPr>
        <w:pStyle w:val="944"/>
        <w:pageBreakBefore w:val="0"/>
        <w:spacing w:before="120" w:after="120" w:line="400" w:lineRule="exact"/>
        <w:rPr>
          <w:rFonts w:hint="eastAsia" w:ascii="宋体" w:hAnsi="宋体"/>
          <w:color w:val="000000"/>
          <w:szCs w:val="22"/>
        </w:rPr>
      </w:pPr>
      <w:r/>
      <w:bookmarkStart w:id="300" w:name="_Toc351203636"/>
      <w:r>
        <w:rPr>
          <w:rFonts w:hint="eastAsia" w:ascii="宋体" w:hAnsi="宋体"/>
          <w:color w:val="000000"/>
          <w:szCs w:val="22"/>
        </w:rPr>
        <w:t xml:space="preserve">4</w:t>
      </w:r>
      <w:bookmarkStart w:id="301" w:name="_Toc267251413"/>
      <w:r/>
      <w:bookmarkStart w:id="302" w:name="_Toc296944501"/>
      <w:r/>
      <w:bookmarkStart w:id="303" w:name="_Toc297048348"/>
      <w:r/>
      <w:bookmarkStart w:id="304" w:name="_Toc296891202"/>
      <w:r/>
      <w:bookmarkStart w:id="305" w:name="_Toc292559366"/>
      <w:r/>
      <w:bookmarkStart w:id="306" w:name="_Toc296347161"/>
      <w:r/>
      <w:bookmarkStart w:id="307" w:name="_Toc296890990"/>
      <w:r/>
      <w:bookmarkStart w:id="308" w:name="_Toc292559871"/>
      <w:r/>
      <w:bookmarkStart w:id="309" w:name="_Toc297120462"/>
      <w:r/>
      <w:bookmarkStart w:id="310" w:name="_Toc296503162"/>
      <w:r/>
      <w:bookmarkStart w:id="311" w:name="_Toc296346663"/>
      <w:r>
        <w:rPr>
          <w:rFonts w:hint="eastAsia" w:ascii="宋体" w:hAnsi="宋体"/>
          <w:color w:val="000000"/>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000000"/>
          <w:szCs w:val="22"/>
        </w:rPr>
        <w:t xml:space="preserve">理人</w:t>
      </w:r>
      <w:bookmarkEnd w:id="300"/>
      <w:r/>
      <w:r/>
    </w:p>
    <w:p>
      <w:pPr>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p>
    <w:p>
      <w:pPr>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p>
    <w:p>
      <w:pPr>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p>
    <w:p>
      <w:pPr>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6890991"/>
      <w:r/>
      <w:bookmarkStart w:id="315" w:name="_Toc296891203"/>
      <w:r/>
      <w:bookmarkStart w:id="316" w:name="_Toc296503163"/>
      <w:r/>
      <w:bookmarkStart w:id="317" w:name="_Toc297120463"/>
      <w:r/>
      <w:bookmarkStart w:id="318" w:name="_Toc296944502"/>
      <w:r/>
      <w:bookmarkStart w:id="319" w:name="_Toc292559872"/>
      <w:r/>
      <w:bookmarkStart w:id="320" w:name="_Toc296346664"/>
      <w:r/>
      <w:bookmarkStart w:id="321" w:name="_Toc292559367"/>
      <w:r/>
      <w:bookmarkStart w:id="322" w:name="_Toc297048349"/>
      <w:r/>
      <w:bookmarkStart w:id="323" w:name="_Toc296347162"/>
      <w:r>
        <w:rPr>
          <w:rFonts w:hint="eastAsia" w:ascii="宋体" w:hAnsi="宋体"/>
          <w:color w:val="000000"/>
          <w:szCs w:val="22"/>
        </w:rPr>
        <w:t xml:space="preserve">. 工程质量</w:t>
      </w:r>
      <w:bookmarkEnd w:id="313"/>
      <w:r/>
      <w:r/>
    </w:p>
    <w:p>
      <w:pPr>
        <w:ind w:firstLine="422"/>
        <w:spacing w:line="400" w:lineRule="exact"/>
        <w:rPr>
          <w:rFonts w:hint="eastAsia" w:ascii="宋体" w:hAnsi="宋体"/>
          <w:b/>
          <w:color w:val="000000"/>
          <w:szCs w:val="21"/>
        </w:rPr>
        <w:outlineLvl w:val="0"/>
      </w:pPr>
      <w:r/>
      <w:bookmarkStart w:id="324" w:name="_Toc17376"/>
      <w:r/>
      <w:bookmarkStart w:id="325" w:name="_Toc24017"/>
      <w:r>
        <w:rPr>
          <w:rFonts w:hint="eastAsia" w:ascii="宋体" w:hAnsi="宋体"/>
          <w:b/>
          <w:color w:val="000000"/>
          <w:szCs w:val="21"/>
        </w:rPr>
        <w:t xml:space="preserve">5.1 质量要求</w:t>
      </w:r>
      <w:bookmarkEnd w:id="324"/>
      <w:r/>
      <w:bookmarkEnd w:id="325"/>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300934949"/>
      <w:r/>
      <w:bookmarkStart w:id="327" w:name="_Toc303539106"/>
      <w:r/>
      <w:bookmarkStart w:id="328" w:name="_Toc318581164"/>
      <w:r/>
      <w:bookmarkStart w:id="329" w:name="_Toc304295527"/>
      <w:r/>
      <w:bookmarkStart w:id="330" w:name="_Toc297216155"/>
      <w:r/>
      <w:bookmarkStart w:id="331" w:name="_Toc297123496"/>
      <w:r/>
      <w:bookmarkStart w:id="332" w:name="_Toc312677997"/>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根据工程规模和质监部门要求确定，本工程约定验收部位至少且必须包括基础、主体、竣工预验收、竣工验收、综合竣工验收。如不能按招标文件要求验收合格，发包人有权从工程款中直接扣除罚款（</w:t>
      </w:r>
      <w:r>
        <w:rPr>
          <w:rFonts w:hint="eastAsia" w:ascii="宋体" w:hAnsi="宋体"/>
          <w:szCs w:val="21"/>
          <w:u w:val="single"/>
          <w:lang w:val="en-US" w:eastAsia="zh-CN"/>
        </w:rPr>
        <w:t xml:space="preserve">1</w:t>
      </w:r>
      <w:r>
        <w:rPr>
          <w:rFonts w:ascii="MS Mincho" w:hAnsi="MS Mincho" w:cs="MS Mincho"/>
          <w:color w:val="auto"/>
          <w:sz w:val="22"/>
          <w:szCs w:val="22"/>
          <w:u w:val="single"/>
        </w:rPr>
        <w:t xml:space="preserve">〜</w:t>
      </w:r>
      <w:r>
        <w:rPr>
          <w:rFonts w:hint="eastAsia" w:ascii="宋体" w:hAnsi="宋体"/>
          <w:szCs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ind w:firstLine="422"/>
        <w:spacing w:line="400" w:lineRule="exact"/>
        <w:rPr>
          <w:rFonts w:hint="eastAsia" w:ascii="宋体" w:hAnsi="宋体"/>
          <w:b/>
          <w:color w:val="000000"/>
          <w:szCs w:val="21"/>
        </w:rPr>
        <w:outlineLvl w:val="0"/>
      </w:pPr>
      <w:r/>
      <w:bookmarkStart w:id="333" w:name="_Toc31307"/>
      <w:r/>
      <w:bookmarkStart w:id="334" w:name="_Toc6246"/>
      <w:r>
        <w:rPr>
          <w:rFonts w:hint="eastAsia" w:ascii="宋体" w:hAnsi="宋体"/>
          <w:b/>
          <w:color w:val="000000"/>
          <w:szCs w:val="21"/>
        </w:rPr>
        <w:t xml:space="preserve">5.3 隐蔽工程检查</w:t>
      </w:r>
      <w:bookmarkEnd w:id="333"/>
      <w:r/>
      <w:bookmarkEnd w:id="334"/>
      <w:r/>
      <w:r/>
    </w:p>
    <w:p>
      <w:pPr>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pStyle w:val="944"/>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提供和维修施工使用照明、警示照明、围栏设施，指示标志、警告标志、禁止标志等安全防护措施。</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p>
    <w:p>
      <w:pPr>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p>
    <w:p>
      <w:pPr>
        <w:ind w:firstLine="420"/>
        <w:jc w:val="left"/>
        <w:spacing w:line="400" w:lineRule="exact"/>
        <w:rPr>
          <w:rFonts w:hint="eastAsia" w:ascii="宋体" w:hAnsi="宋体"/>
          <w:szCs w:val="21"/>
        </w:rPr>
      </w:pPr>
      <w:r>
        <w:rPr>
          <w:rFonts w:hint="eastAsia" w:ascii="宋体" w:hAnsi="宋体"/>
          <w:szCs w:val="21"/>
        </w:rPr>
        <w:t xml:space="preserve">6.1.5 文明施工</w:t>
      </w:r>
      <w:r/>
    </w:p>
    <w:p>
      <w:pPr>
        <w:ind w:firstLine="210"/>
        <w:jc w:val="left"/>
        <w:spacing w:line="400" w:lineRule="exact"/>
        <w:widowControl/>
        <w:rPr>
          <w:rFonts w:hint="eastAsia" w:ascii="宋体" w:hAnsi="宋体"/>
          <w:color w:val="auto"/>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auto"/>
          <w:szCs w:val="21"/>
          <w:u w:val="single"/>
        </w:rPr>
        <w:t xml:space="preserve">，并承担相关费用，因承包人原因造成的罚款由承包人承担，并以书面形式告知发包人。</w:t>
      </w:r>
      <w:r/>
    </w:p>
    <w:p>
      <w:pPr>
        <w:ind w:firstLine="220"/>
        <w:jc w:val="left"/>
        <w:spacing w:line="400" w:lineRule="exact"/>
        <w:widowControl/>
        <w:rPr>
          <w:rFonts w:hint="eastAsia" w:ascii="宋体" w:hAnsi="宋体"/>
          <w:color w:val="auto"/>
          <w:szCs w:val="21"/>
          <w:u w:val="single"/>
        </w:rPr>
      </w:pPr>
      <w:r>
        <w:rPr>
          <w:rFonts w:ascii="宋体" w:hAnsi="宋体"/>
          <w:color w:val="auto"/>
          <w:sz w:val="22"/>
          <w:szCs w:val="22"/>
          <w:u w:val="single"/>
        </w:rPr>
        <w:t xml:space="preserve">现场施工扬尘控制，必须严格按《</w:t>
      </w:r>
      <w:r>
        <w:rPr>
          <w:rFonts w:hint="eastAsia" w:ascii="宋体" w:hAnsi="宋体"/>
          <w:color w:val="auto"/>
          <w:sz w:val="22"/>
          <w:szCs w:val="22"/>
          <w:u w:val="single"/>
        </w:rPr>
        <w:t xml:space="preserve">通州区扬尘整治“654”专项行动方案</w:t>
      </w:r>
      <w:r>
        <w:rPr>
          <w:rFonts w:ascii="宋体" w:hAnsi="宋体"/>
          <w:color w:val="auto"/>
          <w:sz w:val="22"/>
          <w:szCs w:val="22"/>
          <w:u w:val="single"/>
        </w:rPr>
        <w:t xml:space="preserve">》要求逐项落实，现场应编制“扬尘”控制专项方案报监理方审核，如措施不到位，处 </w:t>
      </w:r>
      <w:r>
        <w:rPr>
          <w:rFonts w:ascii="Calibri-Bold" w:hAnsi="Calibri-Bold"/>
          <w:b/>
          <w:bCs/>
          <w:color w:val="auto"/>
          <w:sz w:val="22"/>
          <w:szCs w:val="22"/>
          <w:u w:val="single"/>
        </w:rPr>
        <w:t xml:space="preserve">1</w:t>
      </w:r>
      <w:r>
        <w:rPr>
          <w:rFonts w:ascii="MS Mincho" w:hAnsi="MS Mincho" w:cs="MS Mincho"/>
          <w:color w:val="auto"/>
          <w:sz w:val="22"/>
          <w:szCs w:val="22"/>
          <w:u w:val="single"/>
        </w:rPr>
        <w:t xml:space="preserve">〜</w:t>
      </w:r>
      <w:r>
        <w:rPr>
          <w:rFonts w:ascii="Calibri-Bold" w:hAnsi="Calibri-Bold"/>
          <w:b/>
          <w:bCs/>
          <w:color w:val="auto"/>
          <w:sz w:val="22"/>
          <w:szCs w:val="22"/>
          <w:u w:val="single"/>
        </w:rPr>
        <w:t xml:space="preserve">5 </w:t>
      </w:r>
      <w:r>
        <w:rPr>
          <w:rFonts w:ascii="宋体" w:hAnsi="宋体"/>
          <w:color w:val="auto"/>
          <w:sz w:val="22"/>
          <w:szCs w:val="22"/>
          <w:u w:val="single"/>
        </w:rPr>
        <w:t xml:space="preserve">万元违约金。</w:t>
      </w:r>
      <w:r>
        <w:rPr>
          <w:color w:val="auto"/>
          <w:u w:val="single"/>
        </w:rPr>
        <w:t xml:space="preserve">”</w:t>
      </w:r>
      <w:r/>
    </w:p>
    <w:p>
      <w:pPr>
        <w:ind w:firstLine="420"/>
        <w:jc w:val="left"/>
        <w:spacing w:line="400" w:lineRule="exact"/>
        <w:widowControl/>
        <w:rPr>
          <w:rFonts w:ascii="宋体" w:hAnsi="宋体"/>
          <w:color w:val="auto"/>
          <w:szCs w:val="21"/>
          <w:u w:val="single"/>
        </w:rPr>
      </w:pPr>
      <w:r>
        <w:rPr>
          <w:rFonts w:hint="eastAsia" w:ascii="宋体" w:hAnsi="宋体"/>
          <w:color w:val="auto"/>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color w:val="auto"/>
          <w:szCs w:val="21"/>
          <w:u w:val="single"/>
        </w:rPr>
        <w:t xml:space="preserve">纳入合同价款支付。</w:t>
      </w:r>
      <w:r/>
    </w:p>
    <w:p>
      <w:pPr>
        <w:ind w:firstLine="420"/>
        <w:jc w:val="left"/>
        <w:spacing w:line="400" w:lineRule="exact"/>
        <w:widowControl/>
        <w:rPr>
          <w:rFonts w:hint="eastAsia" w:ascii="宋体" w:hAnsi="宋体"/>
          <w:color w:val="auto"/>
          <w:szCs w:val="21"/>
          <w:u w:val="single"/>
        </w:rPr>
      </w:pPr>
      <w:r>
        <w:rPr>
          <w:rFonts w:hint="eastAsia" w:ascii="宋体" w:hAnsi="宋体"/>
          <w:color w:val="auto"/>
          <w:szCs w:val="21"/>
          <w:u w:val="single"/>
        </w:rPr>
        <w:t xml:space="preserve">6.1.7</w:t>
      </w:r>
      <w:r>
        <w:rPr>
          <w:rFonts w:ascii="宋体" w:hAnsi="宋体"/>
          <w:color w:val="auto"/>
          <w:sz w:val="22"/>
          <w:szCs w:val="22"/>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ascii="宋体" w:hAnsi="宋体"/>
          <w:color w:val="auto"/>
          <w:sz w:val="22"/>
          <w:szCs w:val="22"/>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400" w:lineRule="exact"/>
        <w:rPr>
          <w:rFonts w:hint="eastAsia" w:ascii="宋体" w:hAnsi="宋体"/>
          <w:b/>
          <w:color w:val="auto"/>
          <w:szCs w:val="21"/>
        </w:rPr>
      </w:pPr>
      <w:r>
        <w:rPr>
          <w:rFonts w:hint="eastAsia" w:ascii="宋体" w:hAnsi="宋体"/>
          <w:b/>
          <w:color w:val="auto"/>
          <w:szCs w:val="21"/>
        </w:rPr>
        <w:t xml:space="preserve">7. 工期和进度</w:t>
      </w:r>
      <w:bookmarkEnd w:id="336"/>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7.1 施工组织设计</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p>
    <w:p>
      <w:pPr>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312678005"/>
      <w:r/>
      <w:bookmarkStart w:id="338" w:name="_Toc297123514"/>
      <w:r/>
      <w:bookmarkStart w:id="339" w:name="_Toc304295541"/>
      <w:r/>
      <w:bookmarkStart w:id="340" w:name="_Toc312677479"/>
      <w:r/>
      <w:bookmarkStart w:id="341" w:name="_Toc303539123"/>
      <w:r/>
      <w:bookmarkStart w:id="342" w:name="_Toc297216173"/>
      <w:r/>
      <w:bookmarkStart w:id="343" w:name="_Toc300934966"/>
      <w:r>
        <w:rPr>
          <w:rFonts w:hint="eastAsia" w:ascii="宋体" w:hAnsi="宋体"/>
          <w:b/>
          <w:color w:val="000000"/>
          <w:szCs w:val="21"/>
        </w:rPr>
        <w:t xml:space="preserve">.2 施工进度计划</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承包人每周五下午5：00前提供下周计划和本周完成情况统计表（一式三份）交监理机构。</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p>
    <w:p>
      <w:pPr>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p>
    <w:p>
      <w:pPr>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p>
    <w:p>
      <w:pPr>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bookmarkEnd w:id="337"/>
      <w:r/>
      <w:bookmarkEnd w:id="338"/>
      <w:r/>
      <w:bookmarkEnd w:id="339"/>
      <w:r/>
      <w:bookmarkEnd w:id="340"/>
      <w:r/>
      <w:bookmarkEnd w:id="341"/>
      <w:r/>
      <w:bookmarkEnd w:id="342"/>
      <w:r/>
      <w:bookmarkEnd w:id="343"/>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7.4 测量放线</w:t>
      </w:r>
      <w:r/>
    </w:p>
    <w:p>
      <w:pPr>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303539125"/>
      <w:r/>
      <w:bookmarkStart w:id="345" w:name="_Toc312678010"/>
      <w:r/>
      <w:bookmarkStart w:id="346" w:name="_Toc304295546"/>
      <w:r/>
      <w:bookmarkStart w:id="347" w:name="_Toc300934968"/>
      <w:r/>
      <w:bookmarkStart w:id="348" w:name="_Toc297123516"/>
      <w:r/>
      <w:bookmarkStart w:id="349" w:name="_Toc312677484"/>
      <w:r/>
      <w:bookmarkStart w:id="350" w:name="_Toc297216175"/>
      <w:r>
        <w:rPr>
          <w:rFonts w:hint="eastAsia" w:ascii="宋体" w:hAnsi="宋体"/>
          <w:b/>
          <w:color w:val="000000"/>
          <w:szCs w:val="21"/>
        </w:rPr>
        <w:t xml:space="preserve">.5 工期延误</w:t>
      </w:r>
      <w:bookmarkEnd w:id="344"/>
      <w:r/>
      <w:bookmarkEnd w:id="345"/>
      <w:r/>
      <w:bookmarkEnd w:id="346"/>
      <w:r/>
      <w:bookmarkEnd w:id="347"/>
      <w:r/>
      <w:bookmarkEnd w:id="348"/>
      <w:r/>
      <w:bookmarkEnd w:id="349"/>
      <w:r/>
      <w:bookmarkEnd w:id="350"/>
      <w:r/>
      <w:r/>
    </w:p>
    <w:p>
      <w:pPr>
        <w:ind w:firstLine="420"/>
        <w:jc w:val="left"/>
        <w:spacing w:line="400" w:lineRule="exact"/>
        <w:rPr>
          <w:rFonts w:hint="eastAsia" w:ascii="宋体" w:hAnsi="宋体"/>
          <w:szCs w:val="21"/>
        </w:rPr>
      </w:pPr>
      <w:r>
        <w:rPr>
          <w:rFonts w:hint="eastAsia" w:ascii="宋体" w:hAnsi="宋体"/>
          <w:szCs w:val="21"/>
        </w:rPr>
        <w:t xml:space="preserve">7.5.1 因发包人原因导致工期延误</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20"/>
        <w:jc w:val="left"/>
        <w:spacing w:line="400" w:lineRule="exact"/>
        <w:rPr>
          <w:rFonts w:hint="eastAsia" w:ascii="宋体" w:hAnsi="宋体"/>
          <w:szCs w:val="21"/>
        </w:rPr>
      </w:pPr>
      <w:r>
        <w:rPr>
          <w:rFonts w:hint="eastAsia" w:ascii="宋体" w:hAnsi="宋体"/>
          <w:szCs w:val="21"/>
        </w:rPr>
        <w:t xml:space="preserve">7</w:t>
      </w:r>
      <w:bookmarkStart w:id="351" w:name="_Toc312678012"/>
      <w:r/>
      <w:bookmarkStart w:id="352" w:name="_Toc312677486"/>
      <w:r/>
      <w:bookmarkStart w:id="353" w:name="_Toc318581169"/>
      <w:r/>
      <w:bookmarkStart w:id="354" w:name="_Toc297216177"/>
      <w:r/>
      <w:bookmarkStart w:id="355" w:name="_Toc297123518"/>
      <w:r/>
      <w:bookmarkStart w:id="356" w:name="_Toc303539127"/>
      <w:r/>
      <w:bookmarkStart w:id="357" w:name="_Toc300934970"/>
      <w:r/>
      <w:bookmarkStart w:id="358" w:name="_Toc304295548"/>
      <w:r>
        <w:rPr>
          <w:rFonts w:hint="eastAsia" w:ascii="宋体" w:hAnsi="宋体"/>
          <w:szCs w:val="21"/>
        </w:rPr>
        <w:t xml:space="preserve">.5.2 因承包人原因导致工期延误</w:t>
      </w:r>
      <w:bookmarkEnd w:id="351"/>
      <w:r/>
      <w:bookmarkEnd w:id="352"/>
      <w:r/>
      <w:bookmarkEnd w:id="353"/>
      <w:r/>
      <w:r/>
    </w:p>
    <w:p>
      <w:pPr>
        <w:ind w:firstLine="420"/>
        <w:jc w:val="left"/>
        <w:spacing w:line="400" w:lineRule="exact"/>
        <w:rPr>
          <w:rFonts w:hint="eastAsia" w:ascii="宋体" w:hAnsi="宋体"/>
          <w:szCs w:val="21"/>
          <w:u w:val="single"/>
        </w:rPr>
      </w:pPr>
      <w:r>
        <w:rPr>
          <w:rFonts w:hint="eastAsia" w:ascii="宋体" w:hAnsi="宋体"/>
          <w:szCs w:val="21"/>
        </w:rPr>
        <w:t xml:space="preserve">因</w:t>
      </w:r>
      <w:bookmarkStart w:id="359" w:name="_Toc318581170"/>
      <w:r/>
      <w:bookmarkStart w:id="360" w:name="_Toc312678013"/>
      <w:r/>
      <w:bookmarkStart w:id="361" w:name="_Toc312677487"/>
      <w:r>
        <w:rPr>
          <w:rFonts w:hint="eastAsia" w:ascii="宋体" w:hAnsi="宋体"/>
          <w:szCs w:val="21"/>
        </w:rPr>
        <w:t xml:space="preserve">承包人原因造成工期延误，逾期竣工违约金的计算方法为：</w:t>
      </w:r>
      <w:bookmarkEnd w:id="354"/>
      <w:r/>
      <w:bookmarkEnd w:id="355"/>
      <w:r/>
      <w:bookmarkEnd w:id="356"/>
      <w:r/>
      <w:bookmarkEnd w:id="357"/>
      <w:r/>
      <w:bookmarkEnd w:id="358"/>
      <w:r/>
      <w:bookmarkEnd w:id="359"/>
      <w:r/>
      <w:bookmarkEnd w:id="360"/>
      <w:r/>
      <w:bookmarkEnd w:id="361"/>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因承包人原因未及时开工，按照约定的开工日期，每拖延一天罚款10000元。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2678014"/>
      <w:r/>
      <w:bookmarkStart w:id="363" w:name="_Toc318581171"/>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bookmarkEnd w:id="362"/>
      <w:r/>
      <w:bookmarkEnd w:id="363"/>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64" w:name="_Toc303539128"/>
      <w:r/>
      <w:bookmarkStart w:id="365" w:name="_Toc297123519"/>
      <w:r/>
      <w:bookmarkStart w:id="366" w:name="_Toc304295549"/>
      <w:r/>
      <w:bookmarkStart w:id="367" w:name="_Toc297216178"/>
      <w:r/>
      <w:bookmarkStart w:id="368" w:name="_Toc312678015"/>
      <w:r/>
      <w:bookmarkStart w:id="369" w:name="_Toc300934971"/>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p>
    <w:p>
      <w:pPr>
        <w:ind w:firstLine="420"/>
        <w:jc w:val="left"/>
        <w:spacing w:line="400" w:lineRule="exact"/>
        <w:rPr>
          <w:rFonts w:hint="eastAsia" w:ascii="宋体" w:hAnsi="宋体"/>
          <w:szCs w:val="21"/>
        </w:rPr>
      </w:pPr>
      <w:r/>
      <w:bookmarkStart w:id="370" w:name="_Toc303539129"/>
      <w:r/>
      <w:bookmarkStart w:id="371" w:name="_Toc318581172"/>
      <w:r/>
      <w:bookmarkStart w:id="372" w:name="_Toc297123520"/>
      <w:r/>
      <w:bookmarkStart w:id="373" w:name="_Toc300934972"/>
      <w:r/>
      <w:bookmarkStart w:id="374" w:name="_Toc297216179"/>
      <w:r/>
      <w:bookmarkStart w:id="375" w:name="_Toc312678016"/>
      <w:r/>
      <w:bookmarkStart w:id="376" w:name="_Toc304295550"/>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bookmarkEnd w:id="370"/>
      <w:r/>
      <w:bookmarkEnd w:id="371"/>
      <w:r/>
      <w:bookmarkEnd w:id="372"/>
      <w:r/>
      <w:bookmarkEnd w:id="373"/>
      <w:r/>
      <w:bookmarkEnd w:id="374"/>
      <w:r/>
      <w:bookmarkEnd w:id="375"/>
      <w:r/>
      <w:bookmarkEnd w:id="37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77" w:name="_Toc297216180"/>
      <w:r/>
      <w:bookmarkStart w:id="378" w:name="_Toc304295551"/>
      <w:r/>
      <w:bookmarkStart w:id="379" w:name="_Toc300934973"/>
      <w:r/>
      <w:bookmarkStart w:id="380" w:name="_Toc297123521"/>
      <w:r/>
      <w:bookmarkStart w:id="381" w:name="_Toc303539130"/>
      <w:r/>
      <w:bookmarkStart w:id="382" w:name="_Toc312678017"/>
      <w:r>
        <w:rPr>
          <w:rFonts w:hint="eastAsia" w:ascii="宋体" w:hAnsi="宋体"/>
          <w:b/>
          <w:color w:val="000000"/>
          <w:szCs w:val="21"/>
        </w:rPr>
        <w:t xml:space="preserve">.7异常恶劣的气候条件</w:t>
      </w:r>
      <w:bookmarkEnd w:id="377"/>
      <w:r/>
      <w:bookmarkEnd w:id="378"/>
      <w:r/>
      <w:bookmarkEnd w:id="379"/>
      <w:r/>
      <w:bookmarkEnd w:id="380"/>
      <w:r/>
      <w:bookmarkEnd w:id="381"/>
      <w:r/>
      <w:bookmarkEnd w:id="382"/>
      <w:r/>
      <w:r/>
    </w:p>
    <w:p>
      <w:pPr>
        <w:ind w:firstLine="420"/>
        <w:jc w:val="left"/>
        <w:spacing w:line="400" w:lineRule="exact"/>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383" w:name="_Toc26321"/>
      <w:r/>
      <w:bookmarkStart w:id="384" w:name="_Toc15559"/>
      <w:r>
        <w:rPr>
          <w:rFonts w:hint="eastAsia" w:ascii="宋体" w:hAnsi="宋体"/>
          <w:color w:val="000000"/>
          <w:szCs w:val="21"/>
        </w:rPr>
        <w:t xml:space="preserve">7.8 提前竣工的奖励</w:t>
      </w:r>
      <w:bookmarkEnd w:id="383"/>
      <w:r/>
      <w:bookmarkEnd w:id="384"/>
      <w:r/>
      <w:r/>
    </w:p>
    <w:p>
      <w:pPr>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p>
    <w:p>
      <w:pPr>
        <w:pStyle w:val="944"/>
        <w:ind w:firstLine="420"/>
        <w:spacing w:line="400" w:lineRule="exact"/>
        <w:rPr>
          <w:rFonts w:ascii="宋体" w:hAnsi="宋体"/>
          <w:color w:val="auto"/>
          <w:szCs w:val="22"/>
        </w:rPr>
      </w:pPr>
      <w:r/>
      <w:bookmarkStart w:id="385" w:name="_Toc351203640"/>
      <w:r>
        <w:rPr>
          <w:rFonts w:hint="eastAsia" w:ascii="宋体" w:hAnsi="宋体"/>
          <w:color w:val="000000"/>
          <w:szCs w:val="22"/>
        </w:rPr>
        <w:t xml:space="preserve">8. 材料与设备</w:t>
      </w:r>
      <w:bookmarkEnd w:id="385"/>
      <w:r/>
      <w:r/>
    </w:p>
    <w:p>
      <w:pPr>
        <w:ind w:firstLine="420"/>
        <w:spacing w:line="400" w:lineRule="exact"/>
        <w:rPr>
          <w:rFonts w:hint="eastAsia"/>
          <w:color w:val="auto"/>
        </w:rPr>
      </w:pPr>
      <w:r>
        <w:rPr>
          <w:rFonts w:hint="eastAsia"/>
          <w:color w:val="auto"/>
        </w:rPr>
        <w:t xml:space="preserve">8.2</w:t>
      </w:r>
      <w:r>
        <w:rPr>
          <w:rStyle w:val="981"/>
          <w:color w:val="auto"/>
        </w:rPr>
        <w:t xml:space="preserve">承包人采购材料与工程设备</w:t>
      </w:r>
      <w:r>
        <w:rPr>
          <w:rStyle w:val="981"/>
          <w:rFonts w:hint="eastAsia"/>
          <w:color w:val="auto"/>
        </w:rPr>
        <w:br/>
      </w:r>
      <w:r>
        <w:rPr>
          <w:rStyle w:val="981"/>
          <w:rFonts w:hint="eastAsia"/>
          <w:color w:val="auto"/>
        </w:rPr>
        <w:tab/>
      </w:r>
      <w:r>
        <w:rPr>
          <w:rStyle w:val="981"/>
          <w:color w:val="auto"/>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981"/>
          <w:rFonts w:hint="eastAsia"/>
          <w:color w:val="auto"/>
        </w:rPr>
        <w:br/>
      </w:r>
      <w:r>
        <w:rPr>
          <w:rStyle w:val="981"/>
          <w:rFonts w:hint="eastAsia"/>
          <w:color w:val="auto"/>
        </w:rPr>
        <w:tab/>
      </w:r>
      <w:r>
        <w:rPr>
          <w:rStyle w:val="981"/>
          <w:color w:val="auto"/>
        </w:rPr>
        <w:t xml:space="preserve">8.2.2工程师或其代表可能要求在承包人或其他代表在场的情况下从每一材料中抽样用作检验，经工程师决定，这样抽取的样品应视为一批材料的代表。</w:t>
      </w:r>
      <w:r>
        <w:rPr>
          <w:rStyle w:val="981"/>
          <w:rFonts w:hint="eastAsia"/>
          <w:color w:val="auto"/>
        </w:rPr>
        <w:br/>
      </w:r>
      <w:r>
        <w:rPr>
          <w:rStyle w:val="981"/>
          <w:rFonts w:hint="eastAsia"/>
          <w:color w:val="auto"/>
        </w:rPr>
        <w:tab/>
      </w:r>
      <w:r>
        <w:rPr>
          <w:rStyle w:val="981"/>
          <w:color w:val="auto"/>
        </w:rPr>
        <w:t xml:space="preserve">8.2.3如果任何一批材料中的样品不符合合同要求的，材料全部均予退货，无论是否已经采用与否，其费用全部由承包人支付，且不允许由于更换而延长工期。</w:t>
      </w:r>
      <w:r>
        <w:rPr>
          <w:rStyle w:val="981"/>
          <w:rFonts w:hint="eastAsia"/>
          <w:color w:val="auto"/>
        </w:rPr>
        <w:br/>
      </w:r>
      <w:r>
        <w:rPr>
          <w:rStyle w:val="981"/>
          <w:rFonts w:hint="eastAsia"/>
          <w:color w:val="auto"/>
        </w:rPr>
        <w:tab/>
      </w:r>
      <w:r>
        <w:rPr>
          <w:rStyle w:val="981"/>
          <w:color w:val="auto"/>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981"/>
          <w:rFonts w:hint="eastAsia"/>
          <w:color w:val="auto"/>
        </w:rPr>
        <w:br/>
      </w:r>
      <w:r>
        <w:rPr>
          <w:rStyle w:val="981"/>
          <w:rFonts w:hint="eastAsia"/>
          <w:color w:val="auto"/>
        </w:rPr>
        <w:tab/>
      </w:r>
      <w:r>
        <w:rPr>
          <w:rStyle w:val="981"/>
          <w:color w:val="auto"/>
        </w:rPr>
        <w:t xml:space="preserve">8.2.5运抵到现场的所有材料，无论在施工进度款中是否已付款，未经总监的书面批准，不得从场搬移出去。</w:t>
      </w:r>
      <w:r>
        <w:rPr>
          <w:rStyle w:val="981"/>
          <w:rFonts w:hint="eastAsia"/>
          <w:color w:val="auto"/>
        </w:rPr>
        <w:br/>
      </w:r>
      <w:r>
        <w:rPr>
          <w:rStyle w:val="981"/>
          <w:rFonts w:hint="eastAsia"/>
          <w:color w:val="auto"/>
        </w:rPr>
        <w:tab/>
      </w:r>
      <w:r>
        <w:rPr>
          <w:rStyle w:val="981"/>
          <w:color w:val="auto"/>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Style w:val="981"/>
          <w:rFonts w:hint="eastAsia"/>
          <w:color w:val="auto"/>
        </w:rPr>
        <w:br/>
      </w:r>
      <w:r>
        <w:rPr>
          <w:rStyle w:val="981"/>
          <w:rFonts w:hint="eastAsia"/>
          <w:color w:val="auto"/>
        </w:rPr>
        <w:tab/>
      </w:r>
      <w:r>
        <w:rPr>
          <w:rStyle w:val="981"/>
          <w:color w:val="auto"/>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981"/>
          <w:rFonts w:hint="eastAsia"/>
          <w:color w:val="auto"/>
        </w:rPr>
        <w:t xml:space="preserve">检验或试验费用均由承包人承担</w:t>
      </w:r>
      <w:r>
        <w:rPr>
          <w:rStyle w:val="981"/>
          <w:color w:val="auto"/>
        </w:rPr>
        <w:t xml:space="preserve">。</w:t>
      </w:r>
      <w:bookmarkEnd w:id="314"/>
      <w:r/>
      <w:bookmarkEnd w:id="315"/>
      <w:r/>
      <w:bookmarkEnd w:id="316"/>
      <w:r/>
      <w:bookmarkEnd w:id="317"/>
      <w:r/>
      <w:bookmarkEnd w:id="318"/>
      <w:r/>
      <w:bookmarkEnd w:id="319"/>
      <w:r/>
      <w:bookmarkEnd w:id="320"/>
      <w:r/>
      <w:bookmarkEnd w:id="321"/>
      <w:r/>
      <w:bookmarkEnd w:id="322"/>
      <w:r/>
      <w:bookmarkEnd w:id="323"/>
      <w:r/>
      <w:r/>
    </w:p>
    <w:p>
      <w:pPr>
        <w:ind w:firstLine="420"/>
        <w:spacing w:line="400" w:lineRule="exact"/>
        <w:rPr>
          <w:rFonts w:hint="eastAsia" w:ascii="宋体" w:hAnsi="宋体"/>
          <w:color w:val="auto"/>
          <w:szCs w:val="21"/>
        </w:rPr>
      </w:pPr>
      <w:r>
        <w:rPr>
          <w:rFonts w:hint="eastAsia" w:ascii="宋体" w:hAnsi="宋体"/>
          <w:color w:val="auto"/>
          <w:szCs w:val="21"/>
        </w:rPr>
        <w:t xml:space="preserve">8</w:t>
      </w:r>
      <w:bookmarkStart w:id="386" w:name="_Toc296503167"/>
      <w:r/>
      <w:bookmarkStart w:id="387" w:name="_Toc303539136"/>
      <w:r/>
      <w:bookmarkStart w:id="388" w:name="_Toc296891207"/>
      <w:r/>
      <w:bookmarkStart w:id="389" w:name="_Toc296346668"/>
      <w:r/>
      <w:bookmarkStart w:id="390" w:name="_Toc297048353"/>
      <w:r/>
      <w:bookmarkStart w:id="391" w:name="_Toc304295556"/>
      <w:r/>
      <w:bookmarkStart w:id="392" w:name="_Toc280868654"/>
      <w:r/>
      <w:bookmarkStart w:id="393" w:name="_Toc292559372"/>
      <w:r/>
      <w:bookmarkStart w:id="394" w:name="_Toc300934979"/>
      <w:r/>
      <w:bookmarkStart w:id="395" w:name="_Toc296347166"/>
      <w:r/>
      <w:bookmarkStart w:id="396" w:name="_Toc292559877"/>
      <w:r/>
      <w:bookmarkStart w:id="397" w:name="_Toc297216186"/>
      <w:r/>
      <w:bookmarkStart w:id="398" w:name="_Toc312677493"/>
      <w:r/>
      <w:bookmarkStart w:id="399" w:name="_Toc297120467"/>
      <w:r/>
      <w:bookmarkStart w:id="400" w:name="_Toc312678019"/>
      <w:r/>
      <w:bookmarkStart w:id="401" w:name="_Toc296890995"/>
      <w:r/>
      <w:bookmarkStart w:id="402" w:name="_Toc297123527"/>
      <w:r/>
      <w:bookmarkStart w:id="403" w:name="_Toc296944506"/>
      <w:r/>
      <w:bookmarkStart w:id="404" w:name="_Toc267251424"/>
      <w:r/>
      <w:bookmarkStart w:id="405" w:name="_Toc280868655"/>
      <w:r/>
      <w:bookmarkStart w:id="406" w:name="_Toc280868656"/>
      <w:r>
        <w:rPr>
          <w:rFonts w:hint="eastAsia" w:ascii="宋体" w:hAnsi="宋体"/>
          <w:color w:val="auto"/>
          <w:szCs w:val="21"/>
        </w:rPr>
        <w:t xml:space="preserve">.4材料与工程设备的保管与使用</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w:t>
      </w:r>
      <w:bookmarkStart w:id="407" w:name="_Toc292559878"/>
      <w:r/>
      <w:bookmarkStart w:id="408" w:name="_Toc292559373"/>
      <w:r/>
      <w:bookmarkStart w:id="409" w:name="_Toc297123528"/>
      <w:r/>
      <w:bookmarkStart w:id="410" w:name="_Toc296346669"/>
      <w:r/>
      <w:bookmarkStart w:id="411" w:name="_Toc296891208"/>
      <w:r/>
      <w:bookmarkStart w:id="412" w:name="_Toc296944507"/>
      <w:r/>
      <w:bookmarkStart w:id="413" w:name="_Toc318581173"/>
      <w:r/>
      <w:bookmarkStart w:id="414" w:name="_Toc296890996"/>
      <w:r/>
      <w:bookmarkStart w:id="415" w:name="_Toc296347167"/>
      <w:r/>
      <w:bookmarkStart w:id="416" w:name="_Toc297048354"/>
      <w:r/>
      <w:bookmarkStart w:id="417" w:name="_Toc297120468"/>
      <w:r/>
      <w:bookmarkStart w:id="418" w:name="_Toc303539137"/>
      <w:r/>
      <w:bookmarkStart w:id="419" w:name="_Toc296503168"/>
      <w:r/>
      <w:bookmarkStart w:id="420" w:name="_Toc304295557"/>
      <w:r/>
      <w:bookmarkStart w:id="421" w:name="_Toc300934980"/>
      <w:r/>
      <w:bookmarkStart w:id="422" w:name="_Toc312677494"/>
      <w:r/>
      <w:bookmarkStart w:id="423" w:name="_Toc297216187"/>
      <w:r/>
      <w:bookmarkStart w:id="424" w:name="_Toc312678020"/>
      <w:r>
        <w:rPr>
          <w:rFonts w:hint="eastAsia" w:ascii="宋体" w:hAnsi="宋体"/>
          <w:color w:val="auto"/>
          <w:szCs w:val="21"/>
        </w:rPr>
        <w:t xml:space="preserve">.4.1发包人供应的材料设备的保管费用的承担：</w:t>
      </w:r>
      <w:bookmarkEnd w:id="407"/>
      <w:r/>
      <w:bookmarkEnd w:id="408"/>
      <w:r>
        <w:rPr>
          <w:rFonts w:hint="eastAsia" w:ascii="宋体" w:hAnsi="宋体"/>
          <w:color w:val="auto"/>
          <w:szCs w:val="21"/>
          <w:u w:val="single"/>
        </w:rPr>
        <w:t xml:space="preserve">由承包人承担</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 样品</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8.6.1样品的报送与封存</w:t>
      </w:r>
      <w:r/>
    </w:p>
    <w:p>
      <w:pPr>
        <w:ind w:firstLine="420"/>
        <w:jc w:val="left"/>
        <w:spacing w:line="400" w:lineRule="exact"/>
        <w:rPr>
          <w:rFonts w:ascii="宋体" w:hAnsi="宋体"/>
          <w:color w:val="auto"/>
          <w:szCs w:val="21"/>
        </w:rPr>
      </w:pPr>
      <w:r>
        <w:rPr>
          <w:rFonts w:hint="eastAsia" w:ascii="宋体" w:hAnsi="宋体"/>
          <w:color w:val="auto"/>
          <w:szCs w:val="21"/>
        </w:rPr>
        <w:t xml:space="preserve">需要承包人报送样品的材料或工程设备，样品的种类、名称、规格、数量要求：</w:t>
      </w:r>
      <w:r>
        <w:rPr>
          <w:rFonts w:hint="eastAsia" w:ascii="宋体" w:hAnsi="宋体"/>
          <w:color w:val="auto"/>
          <w:szCs w:val="21"/>
          <w:u w:val="single"/>
        </w:rPr>
        <w:t xml:space="preserve">按管理部门要求和发包人需求确定  </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8.6.1.1</w:t>
      </w:r>
      <w:r>
        <w:rPr>
          <w:rStyle w:val="981"/>
          <w:color w:val="auto"/>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981"/>
          <w:rFonts w:hint="eastAsia"/>
          <w:color w:val="auto"/>
        </w:rPr>
        <w:br/>
      </w:r>
      <w:r>
        <w:rPr>
          <w:rStyle w:val="981"/>
          <w:rFonts w:hint="eastAsia"/>
          <w:color w:val="auto"/>
        </w:rPr>
        <w:tab/>
      </w:r>
      <w:r>
        <w:rPr>
          <w:rStyle w:val="981"/>
          <w:color w:val="auto"/>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981"/>
          <w:rFonts w:hint="eastAsia"/>
          <w:color w:val="auto"/>
        </w:rPr>
        <w:t xml:space="preserve">检验或试验费用均由承包人承担</w:t>
      </w:r>
      <w:r>
        <w:rPr>
          <w:rStyle w:val="981"/>
          <w:color w:val="auto"/>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8.8 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404"/>
      <w:r/>
      <w:bookmarkEnd w:id="405"/>
      <w:r/>
      <w:bookmarkEnd w:id="406"/>
      <w:r/>
      <w:bookmarkStart w:id="426" w:name="_Toc297216192"/>
      <w:r/>
      <w:bookmarkStart w:id="427" w:name="_Toc297123533"/>
      <w:r/>
      <w:bookmarkStart w:id="428" w:name="_Toc300934982"/>
      <w:r/>
      <w:bookmarkStart w:id="429" w:name="_Toc312677495"/>
      <w:r/>
      <w:bookmarkStart w:id="430" w:name="_Toc312678021"/>
      <w:r/>
      <w:bookmarkStart w:id="431" w:name="_Toc303539139"/>
      <w:r/>
      <w:bookmarkStart w:id="432" w:name="_Toc304295559"/>
      <w:r/>
      <w:bookmarkStart w:id="433" w:name="_Toc297048359"/>
      <w:r/>
      <w:bookmarkStart w:id="434" w:name="_Toc292559883"/>
      <w:r/>
      <w:bookmarkStart w:id="435" w:name="_Toc296503173"/>
      <w:r/>
      <w:bookmarkStart w:id="436" w:name="_Toc292559378"/>
      <w:r/>
      <w:bookmarkStart w:id="437" w:name="_Toc267251428"/>
      <w:r/>
      <w:bookmarkStart w:id="438" w:name="_Toc296347172"/>
      <w:r/>
      <w:bookmarkStart w:id="439" w:name="_Toc296346674"/>
      <w:r/>
      <w:bookmarkStart w:id="440" w:name="_Toc296891001"/>
      <w:r/>
      <w:bookmarkStart w:id="441" w:name="_Toc296944512"/>
      <w:r/>
      <w:bookmarkStart w:id="442" w:name="_Toc296891213"/>
      <w:r/>
      <w:bookmarkStart w:id="443" w:name="_Toc297120473"/>
      <w:r/>
      <w:bookmarkStart w:id="444" w:name="_Toc267251427"/>
      <w:r>
        <w:rPr>
          <w:rFonts w:hint="eastAsia" w:ascii="宋体" w:hAnsi="宋体"/>
          <w:b/>
          <w:color w:val="000000"/>
          <w:szCs w:val="21"/>
        </w:rPr>
        <w:t xml:space="preserve">. 试验与检验</w:t>
      </w:r>
      <w:bookmarkEnd w:id="425"/>
      <w:r/>
      <w:bookmarkEnd w:id="426"/>
      <w:r/>
      <w:bookmarkEnd w:id="427"/>
      <w:r/>
      <w:bookmarkEnd w:id="428"/>
      <w:r/>
      <w:bookmarkEnd w:id="429"/>
      <w:r/>
      <w:bookmarkEnd w:id="430"/>
      <w:r/>
      <w:bookmarkEnd w:id="431"/>
      <w:r/>
      <w:bookmarkEnd w:id="432"/>
      <w:r/>
      <w:r/>
    </w:p>
    <w:p>
      <w:pPr>
        <w:ind w:firstLine="420"/>
        <w:spacing w:line="400" w:lineRule="exact"/>
        <w:rPr>
          <w:rFonts w:hint="eastAsia" w:ascii="宋体" w:hAnsi="宋体"/>
          <w:color w:val="000000"/>
          <w:szCs w:val="21"/>
        </w:rPr>
      </w:pPr>
      <w:r>
        <w:rPr>
          <w:rFonts w:hint="eastAsia" w:ascii="宋体" w:hAnsi="宋体"/>
          <w:color w:val="000000"/>
          <w:szCs w:val="21"/>
        </w:rPr>
        <w:t xml:space="preserve">9</w:t>
      </w:r>
      <w:bookmarkStart w:id="445" w:name="_Toc312677496"/>
      <w:r/>
      <w:bookmarkStart w:id="446" w:name="_Toc297216193"/>
      <w:r/>
      <w:bookmarkStart w:id="447" w:name="_Toc312678022"/>
      <w:r/>
      <w:bookmarkStart w:id="448" w:name="_Toc303539140"/>
      <w:r/>
      <w:bookmarkStart w:id="449" w:name="_Toc297123534"/>
      <w:r/>
      <w:bookmarkStart w:id="450" w:name="_Toc304295560"/>
      <w:r/>
      <w:bookmarkStart w:id="451" w:name="_Toc300934983"/>
      <w:r>
        <w:rPr>
          <w:rFonts w:hint="eastAsia" w:ascii="宋体" w:hAnsi="宋体"/>
          <w:color w:val="000000"/>
          <w:szCs w:val="21"/>
        </w:rPr>
        <w:t xml:space="preserve">.1试验设备与试验人员</w:t>
      </w:r>
      <w:bookmarkEnd w:id="445"/>
      <w:r/>
      <w:bookmarkEnd w:id="446"/>
      <w:r/>
      <w:bookmarkEnd w:id="447"/>
      <w:r/>
      <w:bookmarkEnd w:id="448"/>
      <w:r/>
      <w:bookmarkEnd w:id="449"/>
      <w:r/>
      <w:bookmarkEnd w:id="450"/>
      <w:r/>
      <w:bookmarkEnd w:id="451"/>
      <w:r/>
      <w:r/>
    </w:p>
    <w:p>
      <w:pPr>
        <w:ind w:firstLine="420"/>
        <w:jc w:val="left"/>
        <w:spacing w:line="400" w:lineRule="exact"/>
        <w:rPr>
          <w:rFonts w:hint="eastAsia" w:ascii="宋体" w:hAnsi="宋体"/>
          <w:szCs w:val="21"/>
        </w:rPr>
      </w:pPr>
      <w:r>
        <w:rPr>
          <w:rFonts w:hint="eastAsia" w:ascii="宋体" w:hAnsi="宋体"/>
          <w:szCs w:val="21"/>
        </w:rPr>
        <w:t xml:space="preserve">9</w:t>
      </w:r>
      <w:bookmarkStart w:id="452" w:name="_Toc303539141"/>
      <w:r/>
      <w:bookmarkStart w:id="453" w:name="_Toc312678023"/>
      <w:r/>
      <w:bookmarkStart w:id="454" w:name="_Toc300934984"/>
      <w:r/>
      <w:bookmarkStart w:id="455" w:name="_Toc304295561"/>
      <w:r/>
      <w:bookmarkStart w:id="456" w:name="_Toc297123535"/>
      <w:r/>
      <w:bookmarkStart w:id="457" w:name="_Toc297216194"/>
      <w:r/>
      <w:bookmarkStart w:id="458" w:name="_Toc312677497"/>
      <w:r/>
      <w:bookmarkStart w:id="459" w:name="_Toc318581174"/>
      <w:r>
        <w:rPr>
          <w:rFonts w:hint="eastAsia" w:ascii="宋体" w:hAnsi="宋体"/>
          <w:szCs w:val="21"/>
        </w:rPr>
        <w:t xml:space="preserve">.1.2 试验设备</w:t>
      </w:r>
      <w:r/>
    </w:p>
    <w:p>
      <w:pPr>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2"/>
      <w:r/>
      <w:bookmarkEnd w:id="453"/>
      <w:r/>
      <w:bookmarkEnd w:id="454"/>
      <w:r/>
      <w:bookmarkEnd w:id="455"/>
      <w:r/>
      <w:bookmarkEnd w:id="456"/>
      <w:r/>
      <w:bookmarkEnd w:id="457"/>
      <w:r/>
      <w:bookmarkEnd w:id="458"/>
      <w:r/>
      <w:bookmarkStart w:id="460" w:name="_Toc312677498"/>
      <w:r/>
      <w:bookmarkStart w:id="461" w:name="_Toc303539142"/>
      <w:r/>
      <w:bookmarkStart w:id="462" w:name="_Toc297216195"/>
      <w:r/>
      <w:bookmarkStart w:id="463" w:name="_Toc297123536"/>
      <w:r/>
      <w:bookmarkStart w:id="464" w:name="_Toc300934985"/>
      <w:r/>
      <w:bookmarkStart w:id="465" w:name="_Toc312678024"/>
      <w:r/>
      <w:bookmarkStart w:id="466" w:name="_Toc304295562"/>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p>
    <w:p>
      <w:pPr>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467" w:name="_Toc19315"/>
      <w:r/>
      <w:bookmarkStart w:id="468" w:name="_Toc31322"/>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bookmarkEnd w:id="459"/>
      <w:r/>
      <w:bookmarkEnd w:id="460"/>
      <w:r/>
      <w:bookmarkEnd w:id="461"/>
      <w:r/>
      <w:bookmarkEnd w:id="462"/>
      <w:r/>
      <w:bookmarkEnd w:id="463"/>
      <w:r/>
      <w:bookmarkEnd w:id="464"/>
      <w:r/>
      <w:bookmarkEnd w:id="465"/>
      <w:r/>
      <w:bookmarkEnd w:id="466"/>
      <w:r/>
      <w:r/>
    </w:p>
    <w:p>
      <w:pPr>
        <w:pStyle w:val="944"/>
        <w:spacing w:line="400" w:lineRule="exact"/>
        <w:rPr>
          <w:rFonts w:hint="eastAsia" w:ascii="宋体" w:hAnsi="宋体"/>
          <w:color w:val="000000"/>
          <w:szCs w:val="22"/>
        </w:rPr>
      </w:pPr>
      <w:r/>
      <w:bookmarkStart w:id="469" w:name="_Toc351203642"/>
      <w:r>
        <w:rPr>
          <w:rFonts w:hint="eastAsia" w:ascii="宋体" w:hAnsi="宋体"/>
          <w:color w:val="000000"/>
          <w:szCs w:val="22"/>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70" w:name="_Toc297216199"/>
      <w:r/>
      <w:bookmarkStart w:id="471" w:name="_Toc303539146"/>
      <w:r/>
      <w:bookmarkStart w:id="472" w:name="_Toc304295566"/>
      <w:r/>
      <w:bookmarkStart w:id="473" w:name="_Toc296891233"/>
      <w:r/>
      <w:bookmarkStart w:id="474" w:name="_Toc292559398"/>
      <w:r/>
      <w:bookmarkStart w:id="475" w:name="_Toc296346694"/>
      <w:r/>
      <w:bookmarkStart w:id="476" w:name="_Toc297120493"/>
      <w:r/>
      <w:bookmarkStart w:id="477" w:name="_Toc292559903"/>
      <w:r/>
      <w:bookmarkStart w:id="478" w:name="_Toc297048379"/>
      <w:r/>
      <w:bookmarkStart w:id="479" w:name="_Toc297123540"/>
      <w:r/>
      <w:bookmarkStart w:id="480" w:name="_Toc296503193"/>
      <w:r/>
      <w:bookmarkStart w:id="481" w:name="_Toc296891021"/>
      <w:r/>
      <w:bookmarkStart w:id="482" w:name="_Toc300934989"/>
      <w:r/>
      <w:bookmarkStart w:id="483" w:name="_Toc296347192"/>
      <w:r/>
      <w:bookmarkStart w:id="484" w:name="_Toc296944532"/>
      <w:r/>
      <w:bookmarkStart w:id="485" w:name="_Toc312678025"/>
      <w:r/>
      <w:bookmarkStart w:id="486" w:name="_Toc312677499"/>
      <w:r/>
      <w:bookmarkStart w:id="487" w:name="_Toc267251437"/>
      <w:r/>
      <w:bookmarkStart w:id="488" w:name="_Toc267251439"/>
      <w:r/>
      <w:bookmarkStart w:id="489" w:name="_Toc267251441"/>
      <w:r/>
      <w:bookmarkStart w:id="490" w:name="_Toc267251440"/>
      <w:r/>
      <w:bookmarkStart w:id="491" w:name="_Toc267251435"/>
      <w:r/>
      <w:bookmarkStart w:id="492" w:name="_Toc267251433"/>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w:t>
      </w:r>
      <w:bookmarkStart w:id="493" w:name="_Toc312677500"/>
      <w:r/>
      <w:bookmarkStart w:id="494" w:name="_Toc296944533"/>
      <w:r/>
      <w:bookmarkStart w:id="495" w:name="_Toc296503194"/>
      <w:r/>
      <w:bookmarkStart w:id="496" w:name="_Toc296891234"/>
      <w:r/>
      <w:bookmarkStart w:id="497" w:name="_Toc297120494"/>
      <w:r/>
      <w:bookmarkStart w:id="498" w:name="_Toc296891022"/>
      <w:r/>
      <w:bookmarkStart w:id="499" w:name="_Toc303539147"/>
      <w:r/>
      <w:bookmarkStart w:id="500" w:name="_Toc292559399"/>
      <w:r/>
      <w:bookmarkStart w:id="501" w:name="_Toc296347193"/>
      <w:r/>
      <w:bookmarkStart w:id="502" w:name="_Toc297123541"/>
      <w:r/>
      <w:bookmarkStart w:id="503" w:name="_Toc296346695"/>
      <w:r/>
      <w:bookmarkStart w:id="504" w:name="_Toc300934990"/>
      <w:r/>
      <w:bookmarkStart w:id="505" w:name="_Toc297048380"/>
      <w:r/>
      <w:bookmarkStart w:id="506" w:name="_Toc312678026"/>
      <w:r/>
      <w:bookmarkStart w:id="507" w:name="_Toc304295567"/>
      <w:r/>
      <w:bookmarkStart w:id="508" w:name="_Toc292559904"/>
      <w:r/>
      <w:bookmarkStart w:id="509" w:name="_Toc297216200"/>
      <w:r>
        <w:rPr>
          <w:rFonts w:hint="eastAsia" w:ascii="宋体" w:hAnsi="宋体"/>
          <w:b/>
          <w:color w:val="000000"/>
          <w:szCs w:val="21"/>
        </w:rPr>
        <w:t xml:space="preserve">0.1变更的范围</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p>
    <w:p>
      <w:pPr>
        <w:ind w:firstLine="422"/>
        <w:spacing w:line="400" w:lineRule="exact"/>
        <w:rPr>
          <w:rFonts w:hint="eastAsia" w:ascii="宋体" w:hAnsi="宋体"/>
          <w:b/>
          <w:color w:val="000000"/>
          <w:szCs w:val="21"/>
        </w:rPr>
        <w:outlineLvl w:val="0"/>
      </w:pPr>
      <w:r/>
      <w:bookmarkStart w:id="510" w:name="_Toc23330"/>
      <w:r/>
      <w:bookmarkStart w:id="511" w:name="_Toc882"/>
      <w:r>
        <w:rPr>
          <w:rFonts w:hint="eastAsia" w:ascii="宋体" w:hAnsi="宋体"/>
          <w:b/>
          <w:color w:val="000000"/>
          <w:szCs w:val="21"/>
        </w:rPr>
        <w:t xml:space="preserve">10.4 变更估价</w:t>
      </w:r>
      <w:bookmarkEnd w:id="510"/>
      <w:r/>
      <w:bookmarkEnd w:id="511"/>
      <w:r/>
      <w:r/>
    </w:p>
    <w:p>
      <w:pPr>
        <w:ind w:firstLine="420"/>
        <w:jc w:val="left"/>
        <w:spacing w:line="400" w:lineRule="exact"/>
        <w:rPr>
          <w:rFonts w:hint="eastAsia" w:ascii="宋体" w:hAnsi="宋体"/>
          <w:szCs w:val="21"/>
        </w:rPr>
      </w:pPr>
      <w:r>
        <w:rPr>
          <w:rFonts w:hint="eastAsia" w:ascii="宋体" w:hAnsi="宋体"/>
          <w:szCs w:val="21"/>
        </w:rPr>
        <w:t xml:space="preserve">10.4.1 变更估价原则</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工程变更引起已标价工程量清单项目或其工程数量发生变化，应按照下列规定调整：</w:t>
      </w:r>
      <w:r/>
    </w:p>
    <w:p>
      <w:pPr>
        <w:ind w:firstLine="420"/>
        <w:jc w:val="left"/>
        <w:spacing w:line="400" w:lineRule="exact"/>
        <w:widowControl/>
        <w:rPr>
          <w:rFonts w:hint="eastAsia" w:ascii="宋体" w:hAnsi="宋体"/>
          <w:szCs w:val="21"/>
        </w:rPr>
      </w:pPr>
      <w:r>
        <w:rPr>
          <w:rFonts w:hint="eastAsia" w:ascii="宋体" w:hAnsi="宋体"/>
          <w:szCs w:val="21"/>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w:t>
      </w:r>
      <w:r>
        <w:rPr>
          <w:rFonts w:hint="eastAsia" w:ascii="宋体" w:hAnsi="宋体"/>
          <w:szCs w:val="21"/>
          <w:u w:val="single"/>
          <w:lang w:eastAsia="zh-CN"/>
        </w:rPr>
        <w:t xml:space="preserve">采购人</w:t>
      </w:r>
      <w:r>
        <w:rPr>
          <w:rFonts w:hint="eastAsia" w:ascii="宋体" w:hAnsi="宋体"/>
          <w:szCs w:val="21"/>
          <w:u w:val="single"/>
        </w:rPr>
        <w:t xml:space="preserve">暂列金额、暂估价、规费、安全文明施工措施费及税金。</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 安全文明施工费按照实际发生变化的措施项目依据规范规定计算。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 采用单价计算的措施项目费，按照实际发生变化的措施项目的规定确定单价。</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如果承包人未事先将拟实施的方案提交给发包人确认，则视为工程变更不引起措施项目费的调整或承包人放弃调整措施项目费的权利。</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7120497"/>
      <w:r/>
      <w:bookmarkStart w:id="513" w:name="_Toc303539150"/>
      <w:r/>
      <w:bookmarkStart w:id="514" w:name="_Toc297123544"/>
      <w:r/>
      <w:bookmarkStart w:id="515" w:name="_Toc297216203"/>
      <w:r/>
      <w:bookmarkStart w:id="516" w:name="_Toc292559907"/>
      <w:r/>
      <w:bookmarkStart w:id="517" w:name="_Toc296346698"/>
      <w:r/>
      <w:bookmarkStart w:id="518" w:name="_Toc297048383"/>
      <w:r/>
      <w:bookmarkStart w:id="519" w:name="_Toc296891237"/>
      <w:r/>
      <w:bookmarkStart w:id="520" w:name="_Toc296347196"/>
      <w:r/>
      <w:bookmarkStart w:id="521" w:name="_Toc300934993"/>
      <w:r/>
      <w:bookmarkStart w:id="522" w:name="_Toc296891025"/>
      <w:r/>
      <w:bookmarkStart w:id="523" w:name="_Toc296503197"/>
      <w:r/>
      <w:bookmarkStart w:id="524" w:name="_Toc296944536"/>
      <w:r/>
      <w:bookmarkStart w:id="525" w:name="_Toc292559402"/>
      <w:r/>
      <w:bookmarkStart w:id="526" w:name="_Toc312678029"/>
      <w:r/>
      <w:bookmarkStart w:id="527" w:name="_Toc312677503"/>
      <w:r/>
      <w:bookmarkStart w:id="528" w:name="_Toc304295570"/>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300934994"/>
      <w:r/>
      <w:bookmarkStart w:id="530" w:name="_Toc296891031"/>
      <w:r/>
      <w:bookmarkStart w:id="531" w:name="_Toc296891243"/>
      <w:r/>
      <w:bookmarkStart w:id="532" w:name="_Toc296346704"/>
      <w:r/>
      <w:bookmarkStart w:id="533" w:name="_Toc297120503"/>
      <w:r/>
      <w:bookmarkStart w:id="534" w:name="_Toc296347202"/>
      <w:r/>
      <w:bookmarkStart w:id="535" w:name="_Toc292559408"/>
      <w:r/>
      <w:bookmarkStart w:id="536" w:name="_Toc297123545"/>
      <w:r/>
      <w:bookmarkStart w:id="537" w:name="_Toc296503203"/>
      <w:r/>
      <w:bookmarkStart w:id="538" w:name="_Toc297216204"/>
      <w:r/>
      <w:bookmarkStart w:id="539" w:name="_Toc292559913"/>
      <w:r/>
      <w:bookmarkStart w:id="540" w:name="_Toc296944542"/>
      <w:r/>
      <w:bookmarkStart w:id="541" w:name="_Toc297048389"/>
      <w:r/>
      <w:bookmarkStart w:id="542" w:name="_Toc303539151"/>
      <w:r>
        <w:rPr>
          <w:rFonts w:hint="eastAsia" w:ascii="宋体" w:hAnsi="宋体"/>
          <w:b/>
          <w:color w:val="000000"/>
          <w:szCs w:val="21"/>
        </w:rPr>
        <w:t xml:space="preserve">包人的合理化建议</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spacing w:line="400" w:lineRule="exact"/>
        <w:rPr>
          <w:rFonts w:hint="eastAsia" w:ascii="宋体" w:hAnsi="宋体"/>
          <w:szCs w:val="21"/>
        </w:rPr>
      </w:pPr>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292559914"/>
      <w:r/>
      <w:bookmarkStart w:id="544" w:name="_Toc297120504"/>
      <w:r/>
      <w:bookmarkStart w:id="545" w:name="_Toc312678030"/>
      <w:r/>
      <w:bookmarkStart w:id="546" w:name="_Toc300934995"/>
      <w:r/>
      <w:bookmarkStart w:id="547" w:name="_Toc297123546"/>
      <w:r/>
      <w:bookmarkStart w:id="548" w:name="_Toc303539152"/>
      <w:r/>
      <w:bookmarkStart w:id="549" w:name="_Toc297048390"/>
      <w:r/>
      <w:bookmarkStart w:id="550" w:name="_Toc296346705"/>
      <w:r/>
      <w:bookmarkStart w:id="551" w:name="_Toc296503204"/>
      <w:r/>
      <w:bookmarkStart w:id="552" w:name="_Toc318581175"/>
      <w:r/>
      <w:bookmarkStart w:id="553" w:name="_Toc296891032"/>
      <w:r/>
      <w:bookmarkStart w:id="554" w:name="_Toc296891244"/>
      <w:r/>
      <w:bookmarkStart w:id="555" w:name="_Toc304295571"/>
      <w:r/>
      <w:bookmarkStart w:id="556" w:name="_Toc296347203"/>
      <w:r/>
      <w:bookmarkStart w:id="557" w:name="_Toc292559409"/>
      <w:r/>
      <w:bookmarkStart w:id="558" w:name="_Toc297216205"/>
      <w:r/>
      <w:bookmarkStart w:id="559" w:name="_Toc312677504"/>
      <w:r/>
      <w:bookmarkStart w:id="560" w:name="_Toc296944543"/>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22"/>
        <w:spacing w:line="400" w:lineRule="exact"/>
        <w:rPr>
          <w:rFonts w:hint="eastAsia" w:ascii="宋体" w:hAnsi="宋体"/>
          <w:b/>
          <w:color w:val="000000"/>
          <w:szCs w:val="21"/>
        </w:rPr>
        <w:outlineLvl w:val="0"/>
      </w:pPr>
      <w:r/>
      <w:bookmarkStart w:id="561" w:name="_Toc12946"/>
      <w:r/>
      <w:bookmarkStart w:id="562" w:name="_Toc26909"/>
      <w:r>
        <w:rPr>
          <w:rFonts w:hint="eastAsia" w:ascii="宋体" w:hAnsi="宋体"/>
          <w:b/>
          <w:color w:val="000000"/>
          <w:szCs w:val="21"/>
        </w:rPr>
        <w:t xml:space="preserve">1</w:t>
      </w:r>
      <w:bookmarkStart w:id="563" w:name="_Toc296503199"/>
      <w:r/>
      <w:bookmarkStart w:id="564" w:name="_Toc312678033"/>
      <w:r/>
      <w:bookmarkStart w:id="565" w:name="_Toc312677507"/>
      <w:r/>
      <w:bookmarkStart w:id="566" w:name="_Toc292559404"/>
      <w:r/>
      <w:bookmarkStart w:id="567" w:name="_Toc304295574"/>
      <w:r/>
      <w:bookmarkStart w:id="568" w:name="_Toc300934997"/>
      <w:r/>
      <w:bookmarkStart w:id="569" w:name="_Toc296346700"/>
      <w:r/>
      <w:bookmarkStart w:id="570" w:name="_Toc297048385"/>
      <w:r/>
      <w:bookmarkStart w:id="571" w:name="_Toc303539154"/>
      <w:r/>
      <w:bookmarkStart w:id="572" w:name="_Toc297120499"/>
      <w:r/>
      <w:bookmarkStart w:id="573" w:name="_Toc292559909"/>
      <w:r/>
      <w:bookmarkStart w:id="574" w:name="_Toc296891239"/>
      <w:r/>
      <w:bookmarkStart w:id="575" w:name="_Toc296347198"/>
      <w:r/>
      <w:bookmarkStart w:id="576" w:name="_Toc297123548"/>
      <w:r/>
      <w:bookmarkStart w:id="577" w:name="_Toc297216207"/>
      <w:r/>
      <w:bookmarkStart w:id="578" w:name="_Toc296944538"/>
      <w:r/>
      <w:bookmarkStart w:id="579" w:name="_Toc296891027"/>
      <w:r>
        <w:rPr>
          <w:rFonts w:hint="eastAsia" w:ascii="宋体" w:hAnsi="宋体"/>
          <w:b/>
          <w:color w:val="000000"/>
          <w:szCs w:val="21"/>
        </w:rPr>
        <w:t xml:space="preserve">0.7 暂估价</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20"/>
        <w:jc w:val="left"/>
        <w:spacing w:line="400" w:lineRule="exact"/>
        <w:rPr>
          <w:rFonts w:hint="eastAsia" w:ascii="宋体" w:hAnsi="宋体"/>
          <w:szCs w:val="21"/>
        </w:rPr>
      </w:pPr>
      <w:r>
        <w:rPr>
          <w:rFonts w:hint="eastAsia" w:ascii="宋体" w:hAnsi="宋体"/>
          <w:szCs w:val="21"/>
        </w:rPr>
        <w:t xml:space="preserve">暂</w:t>
      </w:r>
      <w:bookmarkStart w:id="580" w:name="_Toc312678034"/>
      <w:r/>
      <w:bookmarkStart w:id="581" w:name="_Toc312677508"/>
      <w:r/>
      <w:bookmarkStart w:id="582" w:name="_Toc318581176"/>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bookmarkEnd w:id="580"/>
      <w:r/>
      <w:bookmarkEnd w:id="581"/>
      <w:r/>
      <w:bookmarkEnd w:id="582"/>
      <w:r/>
      <w:r/>
    </w:p>
    <w:p>
      <w:pPr>
        <w:ind w:firstLine="420"/>
        <w:jc w:val="left"/>
        <w:spacing w:line="400" w:lineRule="exact"/>
        <w:rPr>
          <w:rFonts w:hint="eastAsia" w:ascii="宋体" w:hAnsi="宋体"/>
          <w:szCs w:val="21"/>
        </w:rPr>
      </w:pPr>
      <w:r>
        <w:rPr>
          <w:rFonts w:hint="eastAsia" w:ascii="宋体" w:hAnsi="宋体"/>
          <w:szCs w:val="21"/>
        </w:rPr>
        <w:t xml:space="preserve">1</w:t>
      </w:r>
      <w:bookmarkStart w:id="583" w:name="_Toc312677509"/>
      <w:r/>
      <w:bookmarkStart w:id="584" w:name="_Toc312678035"/>
      <w:r/>
      <w:bookmarkStart w:id="585" w:name="_Toc318581177"/>
      <w:r>
        <w:rPr>
          <w:rFonts w:hint="eastAsia" w:ascii="宋体" w:hAnsi="宋体"/>
          <w:szCs w:val="21"/>
        </w:rPr>
        <w:t xml:space="preserve">0.7.1 依法必须招标的暂估价项目</w:t>
      </w:r>
      <w:bookmarkEnd w:id="583"/>
      <w:r/>
      <w:bookmarkEnd w:id="584"/>
      <w:r/>
      <w:bookmarkEnd w:id="585"/>
      <w:r/>
      <w:r/>
    </w:p>
    <w:p>
      <w:pPr>
        <w:ind w:firstLine="420"/>
        <w:jc w:val="left"/>
        <w:spacing w:line="400" w:lineRule="exact"/>
        <w:rPr>
          <w:rFonts w:hint="eastAsia"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p>
    <w:p>
      <w:pPr>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p>
    <w:p>
      <w:pPr>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p>
    <w:p>
      <w:pPr>
        <w:pStyle w:val="944"/>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
    </w:p>
    <w:p>
      <w:pPr>
        <w:ind w:firstLine="422"/>
        <w:spacing w:line="400" w:lineRule="exact"/>
        <w:rPr>
          <w:rFonts w:hint="eastAsia" w:ascii="宋体" w:hAnsi="宋体"/>
          <w:b/>
          <w:color w:val="000000"/>
          <w:szCs w:val="21"/>
        </w:rPr>
      </w:pPr>
      <w:r/>
      <w:bookmarkStart w:id="587" w:name="_Toc300935000"/>
      <w:r/>
      <w:bookmarkStart w:id="588" w:name="_Toc296503201"/>
      <w:r/>
      <w:bookmarkStart w:id="589" w:name="_Toc292559406"/>
      <w:r/>
      <w:bookmarkStart w:id="590" w:name="_Toc312678039"/>
      <w:r/>
      <w:bookmarkStart w:id="591" w:name="_Toc296891241"/>
      <w:r/>
      <w:bookmarkStart w:id="592" w:name="_Toc296346702"/>
      <w:r/>
      <w:bookmarkStart w:id="593" w:name="_Toc297120501"/>
      <w:r/>
      <w:bookmarkStart w:id="594" w:name="_Toc297216209"/>
      <w:r/>
      <w:bookmarkStart w:id="595" w:name="_Toc303539157"/>
      <w:r/>
      <w:bookmarkStart w:id="596" w:name="_Toc296891029"/>
      <w:r/>
      <w:bookmarkStart w:id="597" w:name="_Toc297123550"/>
      <w:r/>
      <w:bookmarkStart w:id="598" w:name="_Toc292559911"/>
      <w:r/>
      <w:bookmarkStart w:id="599" w:name="_Toc304295577"/>
      <w:r/>
      <w:bookmarkStart w:id="600" w:name="_Toc296944540"/>
      <w:r/>
      <w:bookmarkStart w:id="601" w:name="_Toc296347200"/>
      <w:r/>
      <w:bookmarkStart w:id="602" w:name="_Toc297048387"/>
      <w:r>
        <w:rPr>
          <w:rFonts w:hint="eastAsia" w:ascii="宋体" w:hAnsi="宋体"/>
          <w:b/>
          <w:color w:val="000000"/>
          <w:szCs w:val="21"/>
        </w:rPr>
        <w:t xml:space="preserve">11.1 市场价格波动引起的调整</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市场价格波动是否调整合同价格的约定：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人工费结算不再调整，由承包人按照江苏省人工费调整幅度预测，在投标报价时综合考虑上涨因素进行报价，风险由承包人承担。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物价波动引起价格的调整参照执行南通市建设工程造价管理处（通建价[2016]22号）“关于建筑业实施营改增后进一步明确建设工程材料价格风险控制及价差调整计算方法的通知”。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因市场价格波动调整合同价格，采用以下</w:t>
      </w:r>
      <w:r>
        <w:rPr>
          <w:rFonts w:hint="eastAsia" w:ascii="宋体" w:hAnsi="宋体"/>
          <w:szCs w:val="21"/>
        </w:rPr>
        <w:t xml:space="preserve">第</w:t>
      </w:r>
      <w:r>
        <w:rPr>
          <w:rFonts w:hint="eastAsia" w:ascii="宋体" w:hAnsi="宋体"/>
          <w:szCs w:val="21"/>
          <w:u w:val="single"/>
        </w:rPr>
        <w:t xml:space="preserve">2</w:t>
      </w:r>
      <w:r>
        <w:rPr>
          <w:rFonts w:hint="eastAsia" w:ascii="宋体" w:hAnsi="宋体"/>
          <w:color w:val="000000"/>
          <w:szCs w:val="21"/>
        </w:rPr>
        <w:t xml:space="preserve">种方式对合同价格进行调整：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第1种方式：采用价格指数进行价格调整。</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关于各可调因子、定值和变值权重，以及基本价格指数及其来源的约定：</w:t>
      </w:r>
      <w:r>
        <w:rPr>
          <w:rFonts w:hint="eastAsia" w:ascii="宋体" w:hAnsi="宋体"/>
          <w:color w:val="000000"/>
          <w:szCs w:val="21"/>
          <w:u w:val="single"/>
        </w:rPr>
        <w:t xml:space="preserve">/</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第2种方式：采用造价信息进行价格调整。</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（2）关于基准价格的约定：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1)．主要建筑材料费用占单位工程费用的比值a确定方法：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a=【单位工程某类别建筑材料工程总数量（包括变更调整数量）×中标单价／单位工程结算总造价（不含人工、材料风险价差部分）】×100%。</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当a值＞5%时，该建筑材料为主要建筑材料，当a值≤5%，该建筑材料为非主要建筑材料。</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2).．承包人应承担的主要建筑材料价格涨跌风险幅度b应为5%：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3)．主要建筑材料单价价差的取定：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施工期间主要建筑材料加权平均指导价=Σ（每月实际使用量×当月材料指导价）／该材料总用量。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4．主要建筑材料数量的取定：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原则上调整主要建筑材料的数量应为已标价工程量清单及其综合单价分析表中的含量乘以实际完成的相应工程量。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5．主要建筑材料价差调整金额的计算：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①上涨超出b时，差价（正值）=【施工期间可调价材料加权平均指导价格-基准日档期的月份指导价格×(1+b)）】×该类主要建筑材料数量;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②下跌超出b时，差价（负值）=【施工期间可调价材料加权平均指导价格-基准日档期的月份指导价格×（1-b）】× 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6．主要建筑材料差价应根据计价定额规则计取相关费用和税金，并作为追加（减）合同价款和工程进度款同期支付。</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7．因发包人原因造成工期延误的，延误期间发生的材料价格上涨差额由发包人承担；因承包人原因造成工期延误的，延误期间发生的材料价格上涨差额由承包人承担。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第3种方式：其他价格调整方式：</w:t>
      </w:r>
      <w:r>
        <w:rPr>
          <w:rFonts w:hint="eastAsia" w:ascii="宋体" w:hAnsi="宋体"/>
          <w:color w:val="000000"/>
          <w:szCs w:val="21"/>
          <w:u w:val="single"/>
        </w:rPr>
        <w:t xml:space="preserve">/</w:t>
      </w:r>
      <w:r>
        <w:rPr>
          <w:rFonts w:hint="eastAsia" w:ascii="宋体" w:hAnsi="宋体"/>
          <w:color w:val="000000"/>
          <w:szCs w:val="21"/>
        </w:rPr>
        <w:t xml:space="preserve">。</w:t>
      </w:r>
      <w:bookmarkEnd w:id="487"/>
      <w:r/>
      <w:bookmarkEnd w:id="488"/>
      <w:r/>
      <w:bookmarkEnd w:id="489"/>
      <w:r/>
      <w:bookmarkEnd w:id="490"/>
      <w:r/>
      <w:bookmarkEnd w:id="491"/>
      <w:r/>
      <w:bookmarkEnd w:id="492"/>
      <w:r/>
      <w:r/>
    </w:p>
    <w:p>
      <w:pPr>
        <w:pStyle w:val="944"/>
        <w:spacing w:before="120" w:after="120" w:line="400" w:lineRule="exact"/>
        <w:rPr>
          <w:rFonts w:hint="eastAsia" w:ascii="宋体" w:hAnsi="宋体"/>
          <w:color w:val="000000"/>
          <w:szCs w:val="22"/>
        </w:rPr>
      </w:pPr>
      <w:r/>
      <w:bookmarkStart w:id="603" w:name="_Toc296891245"/>
      <w:r/>
      <w:bookmarkStart w:id="604" w:name="_Toc296346706"/>
      <w:r/>
      <w:bookmarkStart w:id="605" w:name="_Toc292559915"/>
      <w:r/>
      <w:bookmarkStart w:id="606" w:name="_Toc297048391"/>
      <w:r/>
      <w:bookmarkStart w:id="607" w:name="_Toc296503205"/>
      <w:r/>
      <w:bookmarkStart w:id="608" w:name="_Toc292559410"/>
      <w:r/>
      <w:bookmarkStart w:id="609" w:name="_Toc297120505"/>
      <w:r/>
      <w:bookmarkStart w:id="610" w:name="_Toc296347204"/>
      <w:r/>
      <w:bookmarkStart w:id="611" w:name="_Toc296891033"/>
      <w:r/>
      <w:bookmarkStart w:id="612" w:name="_Toc296944544"/>
      <w:r/>
      <w:bookmarkStart w:id="613" w:name="_Toc351203644"/>
      <w:r/>
      <w:bookmarkStart w:id="614" w:name="_Toc300935002"/>
      <w:r/>
      <w:bookmarkStart w:id="615" w:name="_Toc297216211"/>
      <w:r/>
      <w:bookmarkStart w:id="616" w:name="_Toc297123552"/>
      <w:r/>
      <w:bookmarkStart w:id="617" w:name="_Toc312678040"/>
      <w:r/>
      <w:bookmarkStart w:id="618" w:name="_Toc304295579"/>
      <w:r/>
      <w:bookmarkStart w:id="619" w:name="_Toc303539159"/>
      <w:r>
        <w:rPr>
          <w:rFonts w:hint="eastAsia" w:ascii="宋体" w:hAnsi="宋体"/>
          <w:color w:val="000000"/>
          <w:szCs w:val="22"/>
        </w:rPr>
        <w:t xml:space="preserve">12. </w:t>
      </w:r>
      <w:bookmarkEnd w:id="603"/>
      <w:r/>
      <w:bookmarkEnd w:id="604"/>
      <w:r/>
      <w:bookmarkEnd w:id="605"/>
      <w:r/>
      <w:bookmarkEnd w:id="606"/>
      <w:r/>
      <w:bookmarkEnd w:id="607"/>
      <w:r/>
      <w:bookmarkEnd w:id="608"/>
      <w:r/>
      <w:bookmarkEnd w:id="609"/>
      <w:r/>
      <w:bookmarkEnd w:id="610"/>
      <w:r/>
      <w:bookmarkEnd w:id="611"/>
      <w:r/>
      <w:bookmarkEnd w:id="612"/>
      <w:r>
        <w:rPr>
          <w:rFonts w:hint="eastAsia" w:ascii="宋体" w:hAnsi="宋体"/>
          <w:color w:val="000000"/>
          <w:szCs w:val="22"/>
        </w:rPr>
        <w:t xml:space="preserve">合同价格、计量与支付</w:t>
      </w:r>
      <w:bookmarkEnd w:id="613"/>
      <w:r/>
      <w:bookmarkEnd w:id="614"/>
      <w:r/>
      <w:bookmarkEnd w:id="615"/>
      <w:r/>
      <w:bookmarkEnd w:id="616"/>
      <w:r/>
      <w:bookmarkEnd w:id="617"/>
      <w:r/>
      <w:bookmarkEnd w:id="618"/>
      <w:r/>
      <w:bookmarkEnd w:id="619"/>
      <w:r/>
      <w:r/>
    </w:p>
    <w:p>
      <w:pPr>
        <w:ind w:firstLine="422"/>
        <w:spacing w:after="120" w:line="400" w:lineRule="exact"/>
        <w:rPr>
          <w:rFonts w:hint="eastAsia" w:ascii="宋体" w:hAnsi="宋体"/>
          <w:b/>
          <w:color w:val="000000"/>
          <w:szCs w:val="21"/>
        </w:rPr>
      </w:pPr>
      <w:r/>
      <w:bookmarkStart w:id="620" w:name="_Toc267251461"/>
      <w:r/>
      <w:bookmarkStart w:id="621" w:name="_Toc292559411"/>
      <w:r/>
      <w:bookmarkStart w:id="622" w:name="_Toc292559916"/>
      <w:r/>
      <w:bookmarkStart w:id="623" w:name="_Toc297048392"/>
      <w:r/>
      <w:bookmarkStart w:id="624" w:name="_Toc296503206"/>
      <w:r/>
      <w:bookmarkStart w:id="625" w:name="_Toc296891246"/>
      <w:r/>
      <w:bookmarkStart w:id="626" w:name="_Toc296944545"/>
      <w:r/>
      <w:bookmarkStart w:id="627" w:name="_Toc296891034"/>
      <w:r/>
      <w:bookmarkStart w:id="628" w:name="_Toc297120506"/>
      <w:r/>
      <w:bookmarkStart w:id="629" w:name="_Toc296347205"/>
      <w:r/>
      <w:bookmarkStart w:id="630" w:name="_Toc296346707"/>
      <w:r/>
      <w:bookmarkStart w:id="631" w:name="_Toc297216212"/>
      <w:r/>
      <w:bookmarkStart w:id="632" w:name="_Toc297123553"/>
      <w:r/>
      <w:bookmarkStart w:id="633" w:name="_Toc303539160"/>
      <w:r/>
      <w:bookmarkStart w:id="634" w:name="_Toc304295580"/>
      <w:r/>
      <w:bookmarkStart w:id="635" w:name="_Toc312678041"/>
      <w:r/>
      <w:bookmarkStart w:id="636" w:name="_Toc300935003"/>
      <w:r>
        <w:rPr>
          <w:rFonts w:hint="eastAsia" w:ascii="宋体" w:hAnsi="宋体"/>
          <w:b/>
          <w:color w:val="000000"/>
          <w:szCs w:val="21"/>
        </w:rPr>
        <w:t xml:space="preserve">12.1 合</w:t>
      </w:r>
      <w:bookmarkEnd w:id="620"/>
      <w:r/>
      <w:bookmarkEnd w:id="621"/>
      <w:r/>
      <w:bookmarkEnd w:id="622"/>
      <w:r>
        <w:rPr>
          <w:rFonts w:hint="eastAsia" w:ascii="宋体" w:hAnsi="宋体"/>
          <w:b/>
          <w:color w:val="000000"/>
          <w:szCs w:val="21"/>
        </w:rPr>
        <w:t xml:space="preserve">同价</w:t>
      </w:r>
      <w:bookmarkEnd w:id="623"/>
      <w:r/>
      <w:bookmarkEnd w:id="624"/>
      <w:r/>
      <w:bookmarkEnd w:id="625"/>
      <w:r/>
      <w:bookmarkEnd w:id="626"/>
      <w:r/>
      <w:bookmarkEnd w:id="627"/>
      <w:r/>
      <w:bookmarkEnd w:id="628"/>
      <w:r/>
      <w:bookmarkEnd w:id="629"/>
      <w:r/>
      <w:bookmarkEnd w:id="630"/>
      <w:r>
        <w:rPr>
          <w:rFonts w:hint="eastAsia" w:ascii="宋体" w:hAnsi="宋体"/>
          <w:b/>
          <w:color w:val="000000"/>
          <w:szCs w:val="21"/>
        </w:rPr>
        <w:t xml:space="preserve">格形式</w:t>
      </w:r>
      <w:bookmarkEnd w:id="631"/>
      <w:r/>
      <w:bookmarkEnd w:id="632"/>
      <w:r/>
      <w:bookmarkEnd w:id="633"/>
      <w:r/>
      <w:bookmarkEnd w:id="634"/>
      <w:r/>
      <w:bookmarkEnd w:id="635"/>
      <w:r/>
      <w:bookmarkEnd w:id="636"/>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w:t>
      </w:r>
      <w:r>
        <w:rPr>
          <w:rFonts w:hint="eastAsia" w:ascii="宋体" w:hAnsi="宋体"/>
          <w:szCs w:val="21"/>
          <w:u w:val="single"/>
        </w:rPr>
        <w:t xml:space="preserve">各种因素引起的人工工资、施工机械使用费、管理费、利润等变化及风险因素均不作调整。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rPr>
        <w:t xml:space="preserve">因市场价格波动引起的调整按第11.1款〔市场价格波动引起的调整〕约定执行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after="120" w:line="400" w:lineRule="exact"/>
        <w:rPr>
          <w:rFonts w:hint="eastAsia" w:ascii="宋体" w:hAnsi="宋体"/>
          <w:color w:val="000000"/>
          <w:szCs w:val="21"/>
        </w:rPr>
      </w:pPr>
      <w:r/>
      <w:bookmarkStart w:id="637" w:name="_Toc312678042"/>
      <w:r/>
      <w:bookmarkStart w:id="638" w:name="_Toc303539161"/>
      <w:r/>
      <w:bookmarkStart w:id="639" w:name="_Toc304295581"/>
      <w:r/>
      <w:bookmarkStart w:id="640" w:name="_Toc297216213"/>
      <w:r/>
      <w:bookmarkStart w:id="641" w:name="_Toc300935004"/>
      <w:r/>
      <w:bookmarkStart w:id="642" w:name="_Toc297123554"/>
      <w:r/>
      <w:bookmarkStart w:id="643" w:name="_Toc297048393"/>
      <w:r/>
      <w:bookmarkStart w:id="644" w:name="_Toc296346708"/>
      <w:r/>
      <w:bookmarkStart w:id="645" w:name="_Toc296347206"/>
      <w:r/>
      <w:bookmarkStart w:id="646" w:name="_Toc296944546"/>
      <w:r/>
      <w:bookmarkStart w:id="647" w:name="_Toc297120507"/>
      <w:r/>
      <w:bookmarkStart w:id="648" w:name="_Toc292559917"/>
      <w:r/>
      <w:bookmarkStart w:id="649" w:name="_Toc292559412"/>
      <w:r/>
      <w:bookmarkStart w:id="650" w:name="_Toc296891035"/>
      <w:r/>
      <w:bookmarkStart w:id="651" w:name="_Toc296503207"/>
      <w:r/>
      <w:bookmarkStart w:id="652" w:name="_Toc296891247"/>
      <w:r>
        <w:rPr>
          <w:rFonts w:hint="eastAsia" w:ascii="宋体" w:hAnsi="宋体"/>
          <w:color w:val="000000"/>
          <w:szCs w:val="21"/>
        </w:rPr>
        <w:t xml:space="preserve">12.2 预付款</w:t>
      </w:r>
      <w:bookmarkEnd w:id="637"/>
      <w:r/>
      <w:bookmarkEnd w:id="638"/>
      <w:r/>
      <w:bookmarkEnd w:id="639"/>
      <w:r/>
      <w:bookmarkEnd w:id="640"/>
      <w:r/>
      <w:bookmarkEnd w:id="641"/>
      <w:r/>
      <w:bookmarkEnd w:id="642"/>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12.2.1 预付款的支付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bookmarkEnd w:id="643"/>
      <w:r/>
      <w:bookmarkEnd w:id="644"/>
      <w:r/>
      <w:bookmarkEnd w:id="645"/>
      <w:r/>
      <w:bookmarkEnd w:id="646"/>
      <w:r/>
      <w:bookmarkEnd w:id="647"/>
      <w:r/>
      <w:bookmarkEnd w:id="648"/>
      <w:r/>
      <w:bookmarkEnd w:id="649"/>
      <w:r/>
      <w:bookmarkEnd w:id="650"/>
      <w:r/>
      <w:bookmarkEnd w:id="651"/>
      <w:r/>
      <w:bookmarkEnd w:id="652"/>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12.3 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p>
    <w:p>
      <w:pPr>
        <w:ind w:firstLine="420"/>
        <w:jc w:val="left"/>
        <w:spacing w:line="400" w:lineRule="exact"/>
        <w:widowControl/>
        <w:rPr>
          <w:rFonts w:hint="eastAsia" w:ascii="宋体" w:hAnsi="宋体" w:eastAsia="宋体"/>
          <w:color w:val="ff0000"/>
          <w:szCs w:val="21"/>
          <w:u w:val="single"/>
          <w:lang w:val="en-US" w:eastAsia="zh-CN"/>
        </w:rPr>
      </w:pPr>
      <w:r>
        <w:rPr>
          <w:rFonts w:hint="eastAsia" w:ascii="宋体" w:hAnsi="宋体"/>
          <w:color w:val="000000"/>
          <w:szCs w:val="21"/>
        </w:rPr>
        <w:t xml:space="preserve">工程量计算规则：</w:t>
      </w:r>
      <w:r>
        <w:rPr>
          <w:rFonts w:hint="eastAsia" w:ascii="宋体" w:hAnsi="宋体"/>
          <w:color w:val="000000"/>
          <w:szCs w:val="21"/>
          <w:u w:val="single"/>
        </w:rPr>
        <w:t xml:space="preserve">按照国家现行《建设工程工程量清单计价规范》（GB50858-2013），《2014江苏土建装饰工程计价表》、《2014江苏安装工程计价表》、《2014江苏市政工程计价表》《江苏省建设工程费用定额》（2014）营改增调增后取费及相应的补充规定等有关补充规定的通知及现行配套文件</w:t>
      </w:r>
      <w:r>
        <w:rPr>
          <w:rFonts w:hint="eastAsia" w:ascii="宋体" w:hAnsi="宋体"/>
          <w:color w:val="000000"/>
          <w:szCs w:val="21"/>
          <w:u w:val="single"/>
          <w:lang w:eastAsia="zh-CN"/>
        </w:rPr>
        <w:t xml:space="preserve">，材料价格参照《南通市建设工程造价信息》2026年第4期（送审按2026年第3期）、人工调差按《省住房城乡建设厅关于发布建设工程人工工资指导价的通知（苏建函价〔2024〕83号）执行、增值税税金按《省住房城乡建设厅关于调整建设工程计价增值税税率的通知》（苏建函价〔2019〕178号）执行。</w:t>
      </w:r>
      <w:r/>
    </w:p>
    <w:p>
      <w:pPr>
        <w:ind w:firstLine="420"/>
        <w:jc w:val="left"/>
        <w:spacing w:line="400" w:lineRule="exact"/>
        <w:rPr>
          <w:rFonts w:hint="eastAsia" w:ascii="宋体" w:hAnsi="宋体"/>
          <w:szCs w:val="21"/>
        </w:rPr>
      </w:pPr>
      <w:r>
        <w:rPr>
          <w:rFonts w:hint="eastAsia" w:ascii="宋体" w:hAnsi="宋体"/>
          <w:szCs w:val="21"/>
        </w:rPr>
        <w:t xml:space="preserve">12.3.2 计量周期</w:t>
      </w:r>
      <w:r/>
    </w:p>
    <w:p>
      <w:pPr>
        <w:ind w:firstLine="420"/>
        <w:jc w:val="left"/>
        <w:spacing w:line="4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12.3.3 单价合同的计量</w:t>
      </w:r>
      <w:r/>
    </w:p>
    <w:p>
      <w:pPr>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12.3.4 总价合同的计量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p>
    <w:p>
      <w:pPr>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12.4 工程进度款支付</w:t>
      </w:r>
      <w:r/>
    </w:p>
    <w:p>
      <w:pPr>
        <w:ind w:firstLine="420"/>
        <w:jc w:val="left"/>
        <w:spacing w:line="400" w:lineRule="exact"/>
        <w:rPr>
          <w:rFonts w:hint="eastAsia" w:ascii="宋体" w:hAnsi="宋体"/>
          <w:color w:val="auto"/>
          <w:szCs w:val="21"/>
        </w:rPr>
      </w:pPr>
      <w:r>
        <w:rPr>
          <w:rFonts w:hint="eastAsia" w:ascii="宋体" w:hAnsi="宋体"/>
          <w:color w:val="000000"/>
          <w:szCs w:val="21"/>
        </w:rPr>
        <w:t xml:space="preserve">12.4.1 付</w:t>
      </w:r>
      <w:r>
        <w:rPr>
          <w:rFonts w:hint="eastAsia" w:ascii="宋体" w:hAnsi="宋体"/>
          <w:color w:val="auto"/>
          <w:szCs w:val="21"/>
        </w:rPr>
        <w:t xml:space="preserve">款周期</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关于付款周期的约定：</w:t>
      </w:r>
      <w:r/>
    </w:p>
    <w:p>
      <w:pPr>
        <w:ind w:firstLine="422"/>
        <w:jc w:val="left"/>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竣工验收合格后支付合同价的40%，审计结束满一年凭审计报告付审计价的60%，满两年付审计价的80%，满三年付审计价的95%，剩余5%质量保修金待竣工验收5年后一次性付清。</w:t>
      </w:r>
      <w:r/>
    </w:p>
    <w:p>
      <w:pPr>
        <w:ind w:firstLine="422"/>
        <w:jc w:val="left"/>
        <w:spacing w:line="400" w:lineRule="exact"/>
        <w:rPr>
          <w:rFonts w:hint="eastAsia" w:ascii="宋体" w:hAnsi="宋体" w:eastAsia="宋体" w:cs="宋体"/>
          <w:b/>
          <w:bCs/>
          <w:color w:val="ff0000"/>
          <w:szCs w:val="21"/>
          <w:highlight w:val="none"/>
        </w:rPr>
      </w:pPr>
      <w:r>
        <w:rPr>
          <w:rFonts w:hint="eastAsia" w:ascii="宋体" w:hAnsi="宋体" w:eastAsia="宋体" w:cs="宋体"/>
          <w:b/>
          <w:bCs/>
          <w:color w:val="auto"/>
          <w:szCs w:val="21"/>
          <w:highlight w:val="none"/>
        </w:rPr>
        <w:t xml:space="preserve">每次支付前，承包人均应出具税务部门开具的相应金额的税务发票。否则发包人有权拒付工程款，且不承担延期支付款项的违约责任。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12.4.2 进度付款申请单的编制</w:t>
      </w:r>
      <w:r/>
    </w:p>
    <w:p>
      <w:pPr>
        <w:ind w:firstLine="420"/>
        <w:jc w:val="left"/>
        <w:spacing w:line="400" w:lineRule="exact"/>
        <w:rPr>
          <w:rFonts w:hint="eastAsia" w:ascii="宋体" w:hAnsi="宋体"/>
          <w:szCs w:val="21"/>
        </w:rPr>
      </w:pPr>
      <w:r>
        <w:rPr>
          <w:rFonts w:hint="eastAsia" w:ascii="宋体" w:hAnsi="宋体"/>
          <w:color w:val="000000"/>
          <w:szCs w:val="21"/>
        </w:rPr>
        <w:t xml:space="preserve">关于进度付款申请单编制的约定：</w:t>
      </w:r>
      <w:r>
        <w:rPr>
          <w:rFonts w:hint="eastAsia" w:ascii="宋体" w:hAnsi="宋体"/>
          <w:szCs w:val="21"/>
          <w:u w:val="single"/>
        </w:rPr>
        <w:t xml:space="preserve">已完成约定进度的证明，相应金额的税务发票</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12.4.3 进度付款申请单的提交</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szCs w:val="21"/>
          <w:u w:val="single"/>
        </w:rPr>
        <w:t xml:space="preserve">按节点提交</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p>
    <w:p>
      <w:pPr>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b w:val="0"/>
          <w:color w:val="000000"/>
          <w:szCs w:val="22"/>
        </w:rPr>
      </w:pPr>
      <w:r/>
      <w:bookmarkStart w:id="653" w:name="_Toc351203645"/>
      <w:r/>
      <w:bookmarkStart w:id="654" w:name="_Toc312678053"/>
      <w:r/>
      <w:bookmarkStart w:id="655" w:name="_Toc296891259"/>
      <w:r/>
      <w:bookmarkStart w:id="656" w:name="_Toc292559424"/>
      <w:r/>
      <w:bookmarkStart w:id="657" w:name="_Toc297216223"/>
      <w:r/>
      <w:bookmarkStart w:id="658" w:name="_Toc297048405"/>
      <w:r/>
      <w:bookmarkStart w:id="659" w:name="_Toc296346720"/>
      <w:r/>
      <w:bookmarkStart w:id="660" w:name="_Toc304295593"/>
      <w:r/>
      <w:bookmarkStart w:id="661" w:name="_Toc296347218"/>
      <w:r/>
      <w:bookmarkStart w:id="662" w:name="_Toc297123564"/>
      <w:r/>
      <w:bookmarkStart w:id="663" w:name="_Toc300935015"/>
      <w:r/>
      <w:bookmarkStart w:id="664" w:name="_Toc297120519"/>
      <w:r/>
      <w:bookmarkStart w:id="665" w:name="_Toc303539172"/>
      <w:r/>
      <w:bookmarkStart w:id="666" w:name="_Toc296944558"/>
      <w:r/>
      <w:bookmarkStart w:id="667" w:name="_Toc296891047"/>
      <w:r/>
      <w:bookmarkStart w:id="668" w:name="_Toc292559929"/>
      <w:r/>
      <w:bookmarkStart w:id="669" w:name="_Toc296503219"/>
      <w:r>
        <w:rPr>
          <w:rFonts w:hint="eastAsia" w:ascii="宋体" w:hAnsi="宋体"/>
          <w:b w:val="0"/>
          <w:color w:val="000000"/>
          <w:szCs w:val="22"/>
        </w:rPr>
        <w:t xml:space="preserve">13. 验收和工程试车</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20"/>
        <w:spacing w:line="400" w:lineRule="exact"/>
        <w:rPr>
          <w:rFonts w:hint="eastAsia" w:ascii="宋体" w:hAnsi="宋体"/>
          <w:color w:val="000000"/>
          <w:szCs w:val="21"/>
        </w:rPr>
      </w:pPr>
      <w:r>
        <w:rPr>
          <w:rFonts w:hint="eastAsia" w:ascii="宋体" w:hAnsi="宋体"/>
          <w:color w:val="000000"/>
          <w:szCs w:val="21"/>
        </w:rPr>
        <w:t xml:space="preserve">13.1 分部分项工程验收</w:t>
      </w:r>
      <w:r/>
    </w:p>
    <w:p>
      <w:pPr>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20"/>
        <w:spacing w:line="400" w:lineRule="exact"/>
        <w:rPr>
          <w:rFonts w:hint="eastAsia" w:ascii="宋体" w:hAnsi="宋体"/>
          <w:color w:val="000000"/>
          <w:szCs w:val="21"/>
        </w:rPr>
      </w:pPr>
      <w:r/>
      <w:bookmarkStart w:id="670" w:name="_Toc303539173"/>
      <w:r/>
      <w:bookmarkStart w:id="671" w:name="_Toc296346724"/>
      <w:r/>
      <w:bookmarkStart w:id="672" w:name="_Toc312678056"/>
      <w:r/>
      <w:bookmarkStart w:id="673" w:name="_Toc296503223"/>
      <w:r/>
      <w:bookmarkStart w:id="674" w:name="_Toc300935016"/>
      <w:r/>
      <w:bookmarkStart w:id="675" w:name="_Toc297123565"/>
      <w:r/>
      <w:bookmarkStart w:id="676" w:name="_Toc297216224"/>
      <w:r/>
      <w:bookmarkStart w:id="677" w:name="_Toc296891051"/>
      <w:r/>
      <w:bookmarkStart w:id="678" w:name="_Toc297120523"/>
      <w:r/>
      <w:bookmarkStart w:id="679" w:name="_Toc292559428"/>
      <w:r/>
      <w:bookmarkStart w:id="680" w:name="_Toc292559933"/>
      <w:r/>
      <w:bookmarkStart w:id="681" w:name="_Toc296944562"/>
      <w:r/>
      <w:bookmarkStart w:id="682" w:name="_Toc296891263"/>
      <w:r/>
      <w:bookmarkStart w:id="683" w:name="_Toc296347222"/>
      <w:r/>
      <w:bookmarkStart w:id="684" w:name="_Toc304295596"/>
      <w:r/>
      <w:bookmarkStart w:id="685" w:name="_Toc297048409"/>
      <w:r/>
      <w:bookmarkStart w:id="686" w:name="_Toc267251476"/>
      <w:r/>
      <w:bookmarkStart w:id="687" w:name="_Toc267251471"/>
      <w:r/>
      <w:bookmarkStart w:id="688" w:name="_Toc267251472"/>
      <w:r/>
      <w:bookmarkStart w:id="689" w:name="_Toc267251473"/>
      <w:r/>
      <w:bookmarkStart w:id="690" w:name="_Toc267251475"/>
      <w:r/>
      <w:bookmarkStart w:id="691" w:name="_Toc267251470"/>
      <w:r/>
      <w:bookmarkStart w:id="692" w:name="_Toc267251474"/>
      <w:r>
        <w:rPr>
          <w:rFonts w:hint="eastAsia" w:ascii="宋体" w:hAnsi="宋体"/>
          <w:color w:val="000000"/>
          <w:szCs w:val="21"/>
        </w:rPr>
        <w:t xml:space="preserve">13.2 竣工验收</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ind w:firstLine="420"/>
        <w:jc w:val="left"/>
        <w:spacing w:line="400" w:lineRule="exact"/>
        <w:rPr>
          <w:rFonts w:hint="eastAsia" w:ascii="宋体" w:hAnsi="宋体"/>
          <w:color w:val="000000"/>
          <w:szCs w:val="21"/>
        </w:rPr>
      </w:pPr>
      <w:r/>
      <w:bookmarkStart w:id="693" w:name="_Toc280868704"/>
      <w:r/>
      <w:bookmarkStart w:id="694" w:name="_Toc280868705"/>
      <w:r/>
      <w:bookmarkStart w:id="695" w:name="_Toc280868706"/>
      <w:r/>
      <w:bookmarkStart w:id="696" w:name="_Toc280868707"/>
      <w:r/>
      <w:bookmarkStart w:id="697" w:name="_Toc280868708"/>
      <w:r/>
      <w:bookmarkStart w:id="698" w:name="_Toc280868709"/>
      <w:r>
        <w:rPr>
          <w:rFonts w:hint="eastAsia" w:ascii="宋体" w:hAnsi="宋体"/>
          <w:color w:val="000000"/>
          <w:szCs w:val="21"/>
        </w:rPr>
        <w:t xml:space="preserve">13.2.2竣工验收程序</w:t>
      </w:r>
      <w:bookmarkEnd w:id="693"/>
      <w:r/>
      <w:r/>
    </w:p>
    <w:p>
      <w:pPr>
        <w:ind w:firstLine="396"/>
        <w:jc w:val="left"/>
        <w:spacing w:line="400" w:lineRule="exact"/>
        <w:widowControl/>
        <w:rPr>
          <w:rFonts w:hint="eastAsia" w:ascii="宋体" w:hAnsi="宋体"/>
          <w:szCs w:val="21"/>
          <w:u w:val="single"/>
        </w:rPr>
      </w:pPr>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rPr>
        <w:t xml:space="preserve">竣工资料履约保证金不予退还，并额外承担违约金，违约金的计算方法：按通用条款执行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4"/>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bookmarkEnd w:id="695"/>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bookmarkEnd w:id="696"/>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p>
    <w:p>
      <w:pPr>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bookmarkEnd w:id="69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13.3.1 试车程序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699" w:name="_Toc6934"/>
      <w:r/>
      <w:bookmarkStart w:id="700" w:name="_Toc8724"/>
      <w:r>
        <w:rPr>
          <w:rFonts w:hint="eastAsia" w:ascii="宋体" w:hAnsi="宋体"/>
          <w:color w:val="000000"/>
          <w:szCs w:val="21"/>
        </w:rPr>
        <w:t xml:space="preserve">13.6 竣工退场</w:t>
      </w:r>
      <w:bookmarkEnd w:id="699"/>
      <w:r/>
      <w:bookmarkEnd w:id="700"/>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944"/>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
    </w:p>
    <w:p>
      <w:pPr>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p>
    <w:p>
      <w:pPr>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p>
    <w:p>
      <w:pPr>
        <w:ind w:firstLine="420"/>
        <w:spacing w:line="400" w:lineRule="exact"/>
        <w:rPr>
          <w:rFonts w:hint="eastAsia" w:ascii="宋体" w:hAnsi="宋体"/>
          <w:color w:val="000000"/>
          <w:szCs w:val="21"/>
        </w:rPr>
        <w:outlineLvl w:val="0"/>
      </w:pPr>
      <w:r/>
      <w:bookmarkStart w:id="702" w:name="_Toc16510"/>
      <w:r/>
      <w:bookmarkStart w:id="703" w:name="_Toc16504"/>
      <w:r>
        <w:rPr>
          <w:rFonts w:hint="eastAsia" w:ascii="宋体" w:hAnsi="宋体"/>
          <w:color w:val="000000"/>
          <w:szCs w:val="21"/>
        </w:rPr>
        <w:t xml:space="preserve">14.2 竣工结算审核</w:t>
      </w:r>
      <w:bookmarkEnd w:id="702"/>
      <w:r/>
      <w:bookmarkEnd w:id="703"/>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14.4.2 最终结清证书和支付</w:t>
      </w:r>
      <w:r/>
    </w:p>
    <w:p>
      <w:pPr>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bookmarkEnd w:id="686"/>
      <w:r/>
      <w:bookmarkEnd w:id="687"/>
      <w:r/>
      <w:bookmarkEnd w:id="688"/>
      <w:r/>
      <w:bookmarkEnd w:id="689"/>
      <w:r/>
      <w:bookmarkEnd w:id="690"/>
      <w:r/>
      <w:bookmarkEnd w:id="691"/>
      <w:r/>
      <w:bookmarkEnd w:id="692"/>
      <w:r/>
      <w:bookmarkEnd w:id="698"/>
      <w:r/>
      <w:r/>
    </w:p>
    <w:p>
      <w:pPr>
        <w:pStyle w:val="944"/>
        <w:spacing w:line="400" w:lineRule="exact"/>
        <w:rPr>
          <w:rFonts w:hint="eastAsia" w:ascii="宋体" w:hAnsi="宋体"/>
          <w:color w:val="000000"/>
          <w:szCs w:val="22"/>
        </w:rPr>
      </w:pPr>
      <w:r/>
      <w:bookmarkStart w:id="704" w:name="_Toc351203647"/>
      <w:r/>
      <w:bookmarkStart w:id="705" w:name="_Toc267251483"/>
      <w:r/>
      <w:bookmarkStart w:id="706" w:name="_Toc267251482"/>
      <w:r/>
      <w:bookmarkStart w:id="707" w:name="_Toc267251484"/>
      <w:r/>
      <w:bookmarkStart w:id="708" w:name="_Toc267251485"/>
      <w:r/>
      <w:bookmarkStart w:id="709" w:name="_Toc267251488"/>
      <w:r/>
      <w:bookmarkStart w:id="710" w:name="_Toc267251489"/>
      <w:r/>
      <w:bookmarkStart w:id="711" w:name="_Toc267251490"/>
      <w:r/>
      <w:bookmarkStart w:id="712" w:name="_Toc267251486"/>
      <w:r/>
      <w:bookmarkStart w:id="713" w:name="_Toc267251498"/>
      <w:r/>
      <w:bookmarkStart w:id="714" w:name="_Toc267251496"/>
      <w:r/>
      <w:bookmarkStart w:id="715" w:name="_Toc267251492"/>
      <w:r/>
      <w:bookmarkStart w:id="716" w:name="_Toc267251493"/>
      <w:r/>
      <w:bookmarkStart w:id="717" w:name="_Toc267251503"/>
      <w:r/>
      <w:bookmarkStart w:id="718" w:name="_Toc267251501"/>
      <w:r/>
      <w:bookmarkStart w:id="719" w:name="_Toc267251494"/>
      <w:r/>
      <w:bookmarkStart w:id="720" w:name="_Toc267251499"/>
      <w:r/>
      <w:bookmarkStart w:id="721" w:name="_Toc267251495"/>
      <w:r/>
      <w:bookmarkStart w:id="722" w:name="_Toc267251502"/>
      <w:r/>
      <w:bookmarkStart w:id="723" w:name="_Toc267251497"/>
      <w:r/>
      <w:bookmarkStart w:id="724" w:name="_Toc267251491"/>
      <w:r/>
      <w:bookmarkStart w:id="725" w:name="_Toc267251506"/>
      <w:r/>
      <w:bookmarkStart w:id="726" w:name="_Toc267251504"/>
      <w:r/>
      <w:bookmarkStart w:id="727" w:name="_Toc267251507"/>
      <w:r/>
      <w:bookmarkStart w:id="728" w:name="_Toc267251508"/>
      <w:r/>
      <w:bookmarkStart w:id="729" w:name="_Toc267251513"/>
      <w:r/>
      <w:bookmarkStart w:id="730" w:name="_Toc267251514"/>
      <w:r/>
      <w:bookmarkStart w:id="731" w:name="_Toc267251515"/>
      <w:r/>
      <w:bookmarkStart w:id="732" w:name="_Toc267251509"/>
      <w:r/>
      <w:bookmarkStart w:id="733" w:name="_Toc267251510"/>
      <w:r/>
      <w:bookmarkStart w:id="734" w:name="_Toc267251511"/>
      <w:r>
        <w:rPr>
          <w:rFonts w:hint="eastAsia" w:ascii="宋体" w:hAnsi="宋体"/>
          <w:color w:val="000000"/>
          <w:szCs w:val="22"/>
        </w:rPr>
        <w:t xml:space="preserve">15. 缺陷责任期与保修</w:t>
      </w:r>
      <w:bookmarkEnd w:id="704"/>
      <w:r/>
      <w:r/>
    </w:p>
    <w:p>
      <w:pPr>
        <w:ind w:firstLine="420"/>
        <w:spacing w:line="400" w:lineRule="exact"/>
        <w:rPr>
          <w:rFonts w:hint="eastAsia" w:ascii="宋体" w:hAnsi="宋体"/>
          <w:color w:val="000000"/>
          <w:szCs w:val="21"/>
          <w:highlight w:val="none"/>
        </w:rPr>
      </w:pPr>
      <w:r>
        <w:rPr>
          <w:rFonts w:hint="eastAsia" w:ascii="宋体" w:hAnsi="宋体"/>
          <w:color w:val="000000"/>
          <w:szCs w:val="21"/>
        </w:rPr>
        <w:t xml:space="preserve">15.2缺陷责</w:t>
      </w:r>
      <w:r>
        <w:rPr>
          <w:rFonts w:hint="eastAsia" w:ascii="宋体" w:hAnsi="宋体"/>
          <w:color w:val="000000"/>
          <w:szCs w:val="21"/>
          <w:highlight w:val="none"/>
        </w:rPr>
        <w:t xml:space="preserve">任期</w:t>
      </w:r>
      <w:bookmarkEnd w:id="705"/>
      <w:r/>
      <w:r/>
    </w:p>
    <w:p>
      <w:pPr>
        <w:ind w:firstLine="420"/>
        <w:jc w:val="left"/>
        <w:spacing w:line="400" w:lineRule="exact"/>
        <w:rPr>
          <w:rFonts w:hint="eastAsia" w:ascii="宋体" w:hAnsi="宋体"/>
          <w:color w:val="auto"/>
          <w:szCs w:val="21"/>
          <w:highlight w:val="none"/>
        </w:rPr>
      </w:pPr>
      <w:r>
        <w:rPr>
          <w:rFonts w:hint="eastAsia" w:ascii="宋体" w:hAnsi="宋体"/>
          <w:color w:val="000000"/>
          <w:szCs w:val="21"/>
          <w:highlight w:val="none"/>
        </w:rPr>
        <w:t xml:space="preserve">缺陷责任期的具体期</w:t>
      </w:r>
      <w:r>
        <w:rPr>
          <w:rFonts w:hint="eastAsia" w:ascii="宋体" w:hAnsi="宋体"/>
          <w:color w:val="auto"/>
          <w:szCs w:val="21"/>
          <w:highlight w:val="none"/>
        </w:rPr>
        <w:t xml:space="preserve">限：</w:t>
      </w:r>
      <w:r>
        <w:rPr>
          <w:rFonts w:hint="eastAsia" w:ascii="宋体" w:hAnsi="宋体"/>
          <w:color w:val="auto"/>
          <w:szCs w:val="21"/>
          <w:highlight w:val="none"/>
          <w:u w:val="single"/>
          <w:lang w:val="en-US" w:eastAsia="zh-CN"/>
        </w:rPr>
        <w:t xml:space="preserve">24</w:t>
      </w:r>
      <w:r>
        <w:rPr>
          <w:rFonts w:hint="eastAsia" w:ascii="宋体" w:hAnsi="宋体"/>
          <w:color w:val="auto"/>
          <w:szCs w:val="21"/>
          <w:highlight w:val="none"/>
          <w:u w:val="single"/>
        </w:rPr>
        <w:t xml:space="preserve">个月。</w:t>
      </w:r>
      <w:r/>
    </w:p>
    <w:p>
      <w:pPr>
        <w:ind w:firstLine="420"/>
        <w:spacing w:line="400" w:lineRule="exact"/>
        <w:rPr>
          <w:rFonts w:hint="eastAsia" w:ascii="宋体" w:hAnsi="宋体"/>
          <w:color w:val="auto"/>
          <w:szCs w:val="21"/>
        </w:rPr>
        <w:outlineLvl w:val="0"/>
      </w:pPr>
      <w:r/>
      <w:bookmarkStart w:id="735" w:name="_Toc28955"/>
      <w:r/>
      <w:bookmarkStart w:id="736" w:name="_Toc13284"/>
      <w:r>
        <w:rPr>
          <w:rFonts w:hint="eastAsia" w:ascii="宋体" w:hAnsi="宋体"/>
          <w:color w:val="auto"/>
          <w:szCs w:val="21"/>
        </w:rPr>
        <w:t xml:space="preserve">15.3 质量保证金</w:t>
      </w:r>
      <w:bookmarkEnd w:id="735"/>
      <w:r/>
      <w:bookmarkEnd w:id="736"/>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关于是否扣留质量保证金的约定：</w:t>
      </w:r>
      <w:r>
        <w:rPr>
          <w:rFonts w:hint="eastAsia" w:ascii="宋体" w:hAnsi="宋体"/>
          <w:color w:val="auto"/>
          <w:szCs w:val="21"/>
          <w:u w:val="single"/>
        </w:rPr>
        <w:t xml:space="preserve">    </w:t>
      </w:r>
      <w:r>
        <w:rPr>
          <w:rFonts w:hint="eastAsia" w:ascii="宋体" w:hAnsi="宋体"/>
          <w:color w:val="auto"/>
          <w:szCs w:val="21"/>
          <w:u w:val="single"/>
        </w:rPr>
        <w:t xml:space="preserve">扣留</w:t>
      </w:r>
      <w:r>
        <w:rPr>
          <w:rFonts w:hint="eastAsia" w:ascii="宋体" w:hAnsi="宋体"/>
          <w:color w:val="auto"/>
          <w:szCs w:val="21"/>
          <w:u w:val="single"/>
        </w:rPr>
        <w:t xml:space="preserve">      </w:t>
      </w:r>
      <w:r>
        <w:rPr>
          <w:rFonts w:hint="eastAsia" w:ascii="宋体" w:hAnsi="宋体"/>
          <w:color w:val="auto"/>
          <w:szCs w:val="21"/>
        </w:rPr>
        <w:t xml:space="preserve">。在工程项目竣工前，承包人按专用合同条款第3.7条提供履约担保的，发包人不得同时预留工程质量保证金。</w:t>
      </w:r>
      <w:r/>
    </w:p>
    <w:p>
      <w:pPr>
        <w:ind w:firstLine="420"/>
        <w:jc w:val="left"/>
        <w:spacing w:line="400" w:lineRule="exact"/>
        <w:rPr>
          <w:rFonts w:hint="eastAsia" w:ascii="宋体" w:hAnsi="宋体"/>
          <w:color w:val="auto"/>
          <w:szCs w:val="21"/>
        </w:rPr>
        <w:outlineLvl w:val="0"/>
      </w:pPr>
      <w:r/>
      <w:bookmarkStart w:id="737" w:name="_Toc948"/>
      <w:r/>
      <w:bookmarkStart w:id="738" w:name="_Toc11910"/>
      <w:r>
        <w:rPr>
          <w:rFonts w:hint="eastAsia" w:ascii="宋体" w:hAnsi="宋体"/>
          <w:color w:val="auto"/>
          <w:szCs w:val="21"/>
        </w:rPr>
        <w:t xml:space="preserve">15.3.1 承包人提供质量保证金的方式</w:t>
      </w:r>
      <w:bookmarkEnd w:id="737"/>
      <w:r/>
      <w:bookmarkEnd w:id="738"/>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质量保证金采用以下第</w:t>
      </w:r>
      <w:r>
        <w:rPr>
          <w:rFonts w:hint="eastAsia" w:ascii="宋体" w:hAnsi="宋体"/>
          <w:color w:val="auto"/>
          <w:szCs w:val="21"/>
          <w:u w:val="single"/>
        </w:rPr>
        <w:t xml:space="preserve"> 2</w:t>
      </w:r>
      <w:r>
        <w:rPr>
          <w:rFonts w:hint="eastAsia" w:ascii="宋体" w:hAnsi="宋体"/>
          <w:color w:val="auto"/>
          <w:szCs w:val="21"/>
        </w:rPr>
        <w:t xml:space="preserve">种方式：</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（1）质量保证金保函，保证金额为：</w:t>
      </w:r>
      <w:r>
        <w:rPr>
          <w:rFonts w:hint="eastAsia" w:ascii="宋体" w:hAnsi="宋体"/>
          <w:color w:val="auto"/>
          <w:szCs w:val="21"/>
          <w:u w:val="single"/>
        </w:rPr>
        <w:t xml:space="preserve">/</w:t>
      </w:r>
      <w:r>
        <w:rPr>
          <w:rFonts w:hint="eastAsia" w:ascii="宋体" w:hAnsi="宋体"/>
          <w:color w:val="auto"/>
          <w:szCs w:val="21"/>
        </w:rPr>
        <w:t xml:space="preserve">； </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w:t>
      </w:r>
      <w:r>
        <w:rPr>
          <w:rFonts w:hint="eastAsia" w:ascii="宋体" w:hAnsi="宋体" w:eastAsia="宋体"/>
          <w:color w:val="auto"/>
          <w:sz w:val="21"/>
          <w:szCs w:val="24"/>
          <w:highlight w:val="none"/>
        </w:rPr>
        <w:t xml:space="preserve">审计结算价</w:t>
      </w:r>
      <w:r>
        <w:rPr>
          <w:rFonts w:hint="eastAsia" w:ascii="宋体" w:hAnsi="宋体"/>
          <w:color w:val="auto"/>
          <w:sz w:val="21"/>
          <w:szCs w:val="24"/>
          <w:highlight w:val="none"/>
          <w:lang w:eastAsia="zh-CN"/>
        </w:rPr>
        <w:t xml:space="preserve">的</w:t>
      </w:r>
      <w:r>
        <w:rPr>
          <w:rFonts w:hint="eastAsia" w:ascii="宋体" w:hAnsi="宋体" w:eastAsia="宋体"/>
          <w:color w:val="auto"/>
          <w:sz w:val="21"/>
          <w:szCs w:val="24"/>
          <w:highlight w:val="none"/>
          <w:u w:val="single"/>
        </w:rPr>
        <w:t xml:space="preserve"> 3 </w:t>
      </w:r>
      <w:r>
        <w:rPr>
          <w:rFonts w:hint="eastAsia" w:ascii="宋体" w:hAnsi="宋体" w:eastAsia="宋体"/>
          <w:color w:val="auto"/>
          <w:sz w:val="21"/>
          <w:szCs w:val="24"/>
          <w:highlight w:val="none"/>
        </w:rPr>
        <w:t xml:space="preserve">%</w:t>
      </w:r>
      <w:r>
        <w:rPr>
          <w:rFonts w:hint="eastAsia" w:ascii="宋体" w:hAnsi="宋体"/>
          <w:color w:val="auto"/>
          <w:sz w:val="21"/>
          <w:szCs w:val="24"/>
          <w:highlight w:val="none"/>
          <w:lang w:val="en-US" w:eastAsia="zh-CN"/>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（3）其他方式:</w:t>
      </w:r>
      <w:r>
        <w:rPr>
          <w:rFonts w:hint="eastAsia" w:ascii="宋体" w:hAnsi="宋体"/>
          <w:color w:val="auto"/>
          <w:szCs w:val="21"/>
          <w:u w:val="single"/>
        </w:rPr>
        <w:t xml:space="preserve">/</w:t>
      </w:r>
      <w:r>
        <w:rPr>
          <w:rFonts w:hint="eastAsia" w:ascii="宋体" w:hAnsi="宋体"/>
          <w:color w:val="auto"/>
          <w:szCs w:val="21"/>
        </w:rPr>
        <w:t xml:space="preserve">。</w:t>
      </w:r>
      <w:r/>
    </w:p>
    <w:p>
      <w:pPr>
        <w:ind w:firstLine="420"/>
        <w:jc w:val="left"/>
        <w:spacing w:line="400" w:lineRule="exact"/>
        <w:rPr>
          <w:rFonts w:hint="eastAsia" w:ascii="宋体" w:hAnsi="宋体"/>
          <w:color w:val="000000"/>
          <w:szCs w:val="21"/>
        </w:rPr>
        <w:outlineLvl w:val="0"/>
      </w:pPr>
      <w:r/>
      <w:bookmarkStart w:id="739" w:name="_Toc2503"/>
      <w:r/>
      <w:bookmarkStart w:id="740" w:name="_Toc15836"/>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rPr>
        <w:t xml:space="preserve">2</w:t>
      </w:r>
      <w:r>
        <w:rPr>
          <w:rFonts w:hint="eastAsia" w:ascii="宋体" w:hAnsi="宋体"/>
          <w:color w:val="000000"/>
          <w:szCs w:val="21"/>
        </w:rPr>
        <w:t xml:space="preserve">种方式：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p>
    <w:p>
      <w:pPr>
        <w:ind w:firstLine="420"/>
        <w:jc w:val="left"/>
        <w:spacing w:line="400" w:lineRule="exact"/>
        <w:rPr>
          <w:rFonts w:hint="eastAsia" w:ascii="宋体" w:hAnsi="宋体"/>
          <w:color w:val="000000"/>
          <w:szCs w:val="21"/>
        </w:rPr>
        <w:outlineLvl w:val="0"/>
      </w:pPr>
      <w:r/>
      <w:bookmarkStart w:id="741" w:name="_Toc31848"/>
      <w:r/>
      <w:bookmarkStart w:id="742" w:name="_Toc22616"/>
      <w:r>
        <w:rPr>
          <w:rFonts w:hint="eastAsia" w:ascii="宋体" w:hAnsi="宋体"/>
          <w:color w:val="000000"/>
          <w:szCs w:val="21"/>
        </w:rPr>
        <w:t xml:space="preserve">（2</w:t>
      </w:r>
      <w:r>
        <w:rPr>
          <w:rFonts w:hint="eastAsia" w:ascii="宋体" w:hAnsi="宋体"/>
          <w:color w:val="auto"/>
          <w:szCs w:val="21"/>
        </w:rPr>
        <w:t xml:space="preserve">）</w:t>
      </w:r>
      <w:r>
        <w:rPr>
          <w:rFonts w:hint="eastAsia" w:ascii="宋体" w:hAnsi="宋体"/>
          <w:color w:val="auto"/>
          <w:sz w:val="21"/>
          <w:szCs w:val="24"/>
          <w:lang w:val="en-US" w:eastAsia="zh-CN"/>
        </w:rPr>
        <w:t xml:space="preserve">退回履约保证金后，</w:t>
      </w:r>
      <w:r>
        <w:rPr>
          <w:rFonts w:hint="eastAsia" w:ascii="宋体" w:hAnsi="宋体" w:eastAsia="宋体"/>
          <w:color w:val="auto"/>
          <w:sz w:val="21"/>
          <w:szCs w:val="24"/>
        </w:rPr>
        <w:t xml:space="preserve">工程竣工结算时一次性扣留质量保证金</w:t>
      </w:r>
      <w:r>
        <w:rPr>
          <w:rFonts w:hint="eastAsia" w:ascii="宋体" w:hAnsi="宋体"/>
          <w:color w:val="000000"/>
          <w:szCs w:val="21"/>
        </w:rPr>
        <w:t xml:space="preserve">；</w:t>
      </w:r>
      <w:bookmarkEnd w:id="741"/>
      <w:r/>
      <w:bookmarkEnd w:id="742"/>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bookmarkEnd w:id="706"/>
      <w:r/>
      <w:bookmarkEnd w:id="707"/>
      <w:r/>
      <w:r/>
    </w:p>
    <w:p>
      <w:pPr>
        <w:ind w:firstLine="420"/>
        <w:spacing w:line="400" w:lineRule="exact"/>
        <w:rPr>
          <w:rFonts w:hint="eastAsia" w:ascii="宋体" w:hAnsi="宋体"/>
          <w:color w:val="000000"/>
          <w:szCs w:val="21"/>
        </w:rPr>
      </w:pPr>
      <w:r>
        <w:rPr>
          <w:rFonts w:hint="eastAsia" w:ascii="宋体" w:hAnsi="宋体"/>
          <w:color w:val="000000"/>
          <w:szCs w:val="21"/>
        </w:rPr>
        <w:t xml:space="preserve">15.4保修</w:t>
      </w:r>
      <w:bookmarkEnd w:id="708"/>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15.4.1 保修责任</w:t>
      </w:r>
      <w:r/>
    </w:p>
    <w:p>
      <w:pPr>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bookmarkStart w:id="812" w:name="_GoBack"/>
      <w:r/>
      <w:bookmarkEnd w:id="812"/>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bookmarkEnd w:id="709"/>
      <w:r/>
      <w:bookmarkEnd w:id="710"/>
      <w:r/>
      <w:bookmarkEnd w:id="711"/>
      <w:r/>
      <w:bookmarkEnd w:id="712"/>
      <w:r/>
      <w:r/>
    </w:p>
    <w:p>
      <w:pPr>
        <w:pStyle w:val="944"/>
        <w:spacing w:line="400" w:lineRule="exact"/>
        <w:rPr>
          <w:rFonts w:hint="eastAsia" w:ascii="宋体" w:hAnsi="宋体"/>
          <w:color w:val="000000"/>
          <w:szCs w:val="22"/>
        </w:rPr>
      </w:pPr>
      <w:r/>
      <w:bookmarkStart w:id="743" w:name="_Toc351203648"/>
      <w:r/>
      <w:bookmarkStart w:id="744" w:name="_Toc280868717"/>
      <w:r/>
      <w:bookmarkStart w:id="745" w:name="_Toc280868718"/>
      <w:r>
        <w:rPr>
          <w:rFonts w:hint="eastAsia" w:ascii="宋体" w:hAnsi="宋体"/>
          <w:color w:val="000000"/>
          <w:szCs w:val="22"/>
        </w:rPr>
        <w:t xml:space="preserve">16. 违约</w:t>
      </w:r>
      <w:bookmarkEnd w:id="743"/>
      <w:r/>
      <w:r/>
    </w:p>
    <w:p>
      <w:pPr>
        <w:ind w:firstLine="420"/>
        <w:spacing w:line="400" w:lineRule="exact"/>
        <w:rPr>
          <w:rFonts w:hint="eastAsia" w:ascii="宋体" w:hAnsi="宋体"/>
          <w:color w:val="000000"/>
          <w:szCs w:val="21"/>
        </w:rPr>
        <w:outlineLvl w:val="0"/>
      </w:pPr>
      <w:r/>
      <w:bookmarkStart w:id="746" w:name="_Toc7389"/>
      <w:r/>
      <w:bookmarkStart w:id="747" w:name="_Toc6824"/>
      <w:r>
        <w:rPr>
          <w:rFonts w:hint="eastAsia" w:ascii="宋体" w:hAnsi="宋体"/>
          <w:color w:val="000000"/>
          <w:szCs w:val="21"/>
        </w:rPr>
        <w:t xml:space="preserve">16.1 发包人违约</w:t>
      </w:r>
      <w:bookmarkEnd w:id="746"/>
      <w:r/>
      <w:bookmarkEnd w:id="74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p>
    <w:p>
      <w:pPr>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p>
    <w:p>
      <w:pPr>
        <w:ind w:firstLine="420"/>
        <w:spacing w:line="400" w:lineRule="exact"/>
        <w:rPr>
          <w:rFonts w:hint="eastAsia" w:ascii="宋体" w:hAnsi="宋体"/>
          <w:color w:val="000000"/>
          <w:szCs w:val="21"/>
        </w:rPr>
        <w:outlineLvl w:val="0"/>
      </w:pPr>
      <w:r/>
      <w:bookmarkStart w:id="748" w:name="_Toc2832"/>
      <w:r/>
      <w:bookmarkStart w:id="749" w:name="_Toc3950"/>
      <w:r>
        <w:rPr>
          <w:rFonts w:hint="eastAsia" w:ascii="宋体" w:hAnsi="宋体"/>
          <w:color w:val="000000"/>
          <w:szCs w:val="21"/>
        </w:rPr>
        <w:t xml:space="preserve">16.2 承包人违约</w:t>
      </w:r>
      <w:bookmarkEnd w:id="748"/>
      <w:r/>
      <w:bookmarkEnd w:id="749"/>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 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③承包人要做到减少噪音及环境污染，文明施工达标，如因承包人原因导致工地在市、区检查中被评为不合格工地的，按每有一起罚款4000元。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p>
    <w:p>
      <w:pPr>
        <w:pStyle w:val="944"/>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4"/>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single"/>
        </w:rPr>
        <w:t xml:space="preserve">由市级以上有关部门正式发布和认定的自然灾害。</w:t>
      </w:r>
      <w:r/>
    </w:p>
    <w:p>
      <w:pPr>
        <w:ind w:firstLine="420"/>
        <w:spacing w:after="120" w:line="380" w:lineRule="exact"/>
        <w:rPr>
          <w:rFonts w:hint="eastAsia" w:ascii="宋体" w:hAnsi="宋体"/>
          <w:color w:val="000000"/>
          <w:szCs w:val="21"/>
        </w:rPr>
        <w:outlineLvl w:val="0"/>
      </w:pPr>
      <w:r/>
      <w:bookmarkStart w:id="751" w:name="_Toc26145"/>
      <w:r/>
      <w:bookmarkStart w:id="752" w:name="_Toc27838"/>
      <w:r>
        <w:rPr>
          <w:rFonts w:hint="eastAsia" w:ascii="宋体" w:hAnsi="宋体"/>
          <w:color w:val="000000"/>
          <w:szCs w:val="21"/>
        </w:rPr>
        <w:t xml:space="preserve">17.4 因不可抗力解除合同</w:t>
      </w:r>
      <w:bookmarkEnd w:id="751"/>
      <w:r/>
      <w:bookmarkEnd w:id="752"/>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合同解除后，发包人应在商定或确定发包人应支付款项后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p>
    <w:p>
      <w:pPr>
        <w:pStyle w:val="944"/>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bookmarkEnd w:id="745"/>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18.1 工程保险</w:t>
      </w:r>
      <w:r/>
    </w:p>
    <w:p>
      <w:pPr>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p>
    <w:p>
      <w:pPr>
        <w:ind w:firstLine="420"/>
        <w:jc w:val="left"/>
        <w:spacing w:line="380" w:lineRule="exact"/>
        <w:widowControl/>
        <w:rPr>
          <w:rFonts w:hint="eastAsia" w:ascii="宋体" w:hAnsi="宋体"/>
          <w:szCs w:val="21"/>
          <w:u w:val="single"/>
        </w:rPr>
      </w:pPr>
      <w:r>
        <w:rPr>
          <w:rFonts w:hint="eastAsia" w:ascii="宋体" w:hAnsi="宋体"/>
          <w:szCs w:val="21"/>
          <w:u w:val="single"/>
        </w:rPr>
        <w:t xml:space="preserve">发包人委托承包人办理的保险事项：         /          。</w:t>
      </w:r>
      <w:r/>
    </w:p>
    <w:p>
      <w:pPr>
        <w:ind w:firstLine="420"/>
        <w:jc w:val="left"/>
        <w:spacing w:line="380" w:lineRule="exact"/>
        <w:widowControl/>
        <w:rPr>
          <w:rFonts w:hint="eastAsia" w:ascii="宋体" w:hAnsi="宋体"/>
          <w:szCs w:val="21"/>
          <w:u w:val="single"/>
        </w:rPr>
      </w:pPr>
      <w:r>
        <w:rPr>
          <w:rFonts w:hint="eastAsia" w:ascii="宋体" w:hAnsi="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20"/>
        <w:spacing w:line="380" w:lineRule="exact"/>
        <w:rPr>
          <w:rFonts w:hint="eastAsia" w:ascii="宋体" w:hAnsi="宋体"/>
          <w:color w:val="000000"/>
          <w:szCs w:val="21"/>
        </w:rPr>
        <w:outlineLvl w:val="0"/>
      </w:pPr>
      <w:r/>
      <w:bookmarkStart w:id="754" w:name="_Toc6428"/>
      <w:r/>
      <w:bookmarkStart w:id="755" w:name="_Toc20373"/>
      <w:r>
        <w:rPr>
          <w:rFonts w:hint="eastAsia" w:ascii="宋体" w:hAnsi="宋体"/>
          <w:color w:val="000000"/>
          <w:szCs w:val="21"/>
        </w:rPr>
        <w:t xml:space="preserve">18.3 其他保险</w:t>
      </w:r>
      <w:bookmarkEnd w:id="754"/>
      <w:r/>
      <w:bookmarkEnd w:id="755"/>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p>
    <w:p>
      <w:pPr>
        <w:ind w:firstLine="420"/>
        <w:spacing w:line="380" w:lineRule="exact"/>
        <w:rPr>
          <w:rFonts w:hint="eastAsia" w:ascii="宋体" w:hAnsi="宋体"/>
          <w:szCs w:val="21"/>
          <w:u w:val="single"/>
        </w:rPr>
        <w:outlineLvl w:val="0"/>
      </w:pPr>
      <w:r/>
      <w:bookmarkStart w:id="756" w:name="_Toc21525"/>
      <w:r/>
      <w:bookmarkStart w:id="757" w:name="_Toc26533"/>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
    </w:p>
    <w:p>
      <w:pPr>
        <w:ind w:firstLine="420"/>
        <w:spacing w:line="380" w:lineRule="exact"/>
        <w:rPr>
          <w:rFonts w:hint="eastAsia" w:ascii="宋体" w:hAnsi="宋体"/>
          <w:color w:val="000000"/>
          <w:szCs w:val="21"/>
        </w:rPr>
        <w:outlineLvl w:val="0"/>
      </w:pPr>
      <w:r/>
      <w:bookmarkStart w:id="758" w:name="_Toc25177"/>
      <w:r/>
      <w:bookmarkStart w:id="759" w:name="_Toc1569"/>
      <w:r>
        <w:rPr>
          <w:rFonts w:hint="eastAsia" w:ascii="宋体" w:hAnsi="宋体"/>
          <w:color w:val="000000"/>
          <w:szCs w:val="21"/>
        </w:rPr>
        <w:t xml:space="preserve">18.7 通知义务</w:t>
      </w:r>
      <w:bookmarkEnd w:id="758"/>
      <w:r/>
      <w:bookmarkEnd w:id="759"/>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pStyle w:val="944"/>
        <w:spacing w:line="380" w:lineRule="exact"/>
        <w:rPr>
          <w:rFonts w:hint="eastAsia" w:ascii="宋体" w:hAnsi="宋体"/>
          <w:color w:val="000000"/>
          <w:szCs w:val="22"/>
        </w:rPr>
      </w:pPr>
      <w:r/>
      <w:bookmarkStart w:id="760" w:name="_Toc351203651"/>
      <w:r>
        <w:rPr>
          <w:rFonts w:hint="eastAsia" w:ascii="宋体" w:hAnsi="宋体"/>
          <w:color w:val="000000"/>
          <w:szCs w:val="22"/>
        </w:rPr>
        <w:t xml:space="preserve">20. 争议解决</w:t>
      </w:r>
      <w:bookmarkEnd w:id="760"/>
      <w:r/>
      <w:bookmarkEnd w:id="725"/>
      <w:r/>
      <w:bookmarkEnd w:id="726"/>
      <w:r/>
      <w:r/>
    </w:p>
    <w:p>
      <w:pPr>
        <w:ind w:firstLine="420"/>
        <w:spacing w:line="380" w:lineRule="exact"/>
        <w:rPr>
          <w:rFonts w:hint="eastAsia" w:ascii="宋体" w:hAnsi="宋体"/>
          <w:color w:val="000000"/>
          <w:szCs w:val="21"/>
        </w:rPr>
        <w:outlineLvl w:val="0"/>
      </w:pPr>
      <w:r/>
      <w:bookmarkStart w:id="761" w:name="_Toc27397"/>
      <w:r/>
      <w:bookmarkStart w:id="762" w:name="_Toc24068"/>
      <w:r>
        <w:rPr>
          <w:rFonts w:hint="eastAsia" w:ascii="宋体" w:hAnsi="宋体"/>
          <w:color w:val="000000"/>
          <w:szCs w:val="21"/>
        </w:rPr>
        <w:t xml:space="preserve">20.3 争</w:t>
      </w:r>
      <w:bookmarkEnd w:id="727"/>
      <w:r>
        <w:rPr>
          <w:rFonts w:hint="eastAsia" w:ascii="宋体" w:hAnsi="宋体"/>
          <w:color w:val="000000"/>
          <w:szCs w:val="21"/>
        </w:rPr>
        <w:t xml:space="preserve">议评审</w:t>
      </w:r>
      <w:bookmarkEnd w:id="761"/>
      <w:r/>
      <w:bookmarkEnd w:id="762"/>
      <w:r/>
      <w:r/>
    </w:p>
    <w:p>
      <w:pPr>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jc w:val="left"/>
        <w:spacing w:line="380" w:lineRule="exact"/>
        <w:rPr>
          <w:rFonts w:hint="eastAsia" w:ascii="宋体" w:hAnsi="宋体"/>
          <w:color w:val="000000"/>
          <w:szCs w:val="21"/>
        </w:rPr>
        <w:outlineLvl w:val="0"/>
      </w:pPr>
      <w:r/>
      <w:bookmarkStart w:id="763" w:name="_Toc19033"/>
      <w:r/>
      <w:bookmarkStart w:id="764" w:name="_Toc8050"/>
      <w:r>
        <w:rPr>
          <w:rFonts w:hint="eastAsia" w:ascii="宋体" w:hAnsi="宋体"/>
          <w:color w:val="000000"/>
          <w:szCs w:val="21"/>
        </w:rPr>
        <w:t xml:space="preserve">20.3.1 争议评审小组的确定</w:t>
      </w:r>
      <w:bookmarkEnd w:id="763"/>
      <w:r/>
      <w:bookmarkEnd w:id="764"/>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outlineLvl w:val="0"/>
      </w:pPr>
      <w:r/>
      <w:bookmarkStart w:id="765" w:name="_Toc16204"/>
      <w:r/>
      <w:bookmarkStart w:id="766" w:name="_Toc7245"/>
      <w:r>
        <w:rPr>
          <w:rFonts w:hint="eastAsia" w:ascii="宋体" w:hAnsi="宋体"/>
          <w:color w:val="000000"/>
          <w:szCs w:val="21"/>
        </w:rPr>
        <w:t xml:space="preserve">20.3.2 争议评审小组的决定</w:t>
      </w:r>
      <w:bookmarkEnd w:id="765"/>
      <w:r/>
      <w:bookmarkEnd w:id="766"/>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after="120" w:line="380" w:lineRule="exact"/>
        <w:rPr>
          <w:rFonts w:hint="eastAsia" w:ascii="宋体" w:hAnsi="宋体"/>
          <w:color w:val="000000"/>
          <w:szCs w:val="21"/>
        </w:rPr>
        <w:outlineLvl w:val="0"/>
      </w:pPr>
      <w:r/>
      <w:bookmarkStart w:id="767" w:name="_Toc27345"/>
      <w:r/>
      <w:bookmarkStart w:id="768" w:name="_Toc19719"/>
      <w:r>
        <w:rPr>
          <w:rFonts w:hint="eastAsia" w:ascii="宋体" w:hAnsi="宋体"/>
          <w:color w:val="000000"/>
          <w:szCs w:val="21"/>
        </w:rPr>
        <w:t xml:space="preserve">20.4仲裁或诉讼</w:t>
      </w:r>
      <w:bookmarkEnd w:id="728"/>
      <w:r/>
      <w:bookmarkEnd w:id="767"/>
      <w:r/>
      <w:bookmarkEnd w:id="768"/>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p>
    <w:p>
      <w:pPr>
        <w:ind w:firstLine="420"/>
        <w:jc w:val="left"/>
        <w:spacing w:line="380" w:lineRule="exact"/>
        <w:rPr>
          <w:rFonts w:ascii="宋体" w:hAnsi="宋体"/>
          <w:color w:val="auto"/>
          <w:szCs w:val="21"/>
        </w:rPr>
      </w:pPr>
      <w:r>
        <w:rPr>
          <w:rFonts w:hint="eastAsia" w:ascii="宋体" w:hAnsi="宋体"/>
          <w:color w:val="000000"/>
          <w:szCs w:val="21"/>
        </w:rPr>
        <w:t xml:space="preserve">（2</w:t>
      </w:r>
      <w:r>
        <w:rPr>
          <w:rFonts w:hint="eastAsia" w:ascii="宋体" w:hAnsi="宋体"/>
          <w:color w:val="auto"/>
          <w:szCs w:val="21"/>
        </w:rPr>
        <w:t xml:space="preserve">）向</w:t>
      </w:r>
      <w:r>
        <w:rPr>
          <w:rFonts w:hint="eastAsia" w:ascii="宋体" w:hAnsi="宋体"/>
          <w:color w:val="auto"/>
          <w:szCs w:val="21"/>
          <w:u w:val="single"/>
        </w:rPr>
        <w:t xml:space="preserve">南通市通州区</w:t>
      </w:r>
      <w:r>
        <w:rPr>
          <w:rFonts w:hint="eastAsia" w:ascii="宋体" w:hAnsi="宋体"/>
          <w:color w:val="auto"/>
          <w:szCs w:val="21"/>
        </w:rPr>
        <w:t xml:space="preserve">人民法院起诉。</w:t>
      </w:r>
      <w:bookmarkEnd w:id="729"/>
      <w:r/>
      <w:bookmarkEnd w:id="730"/>
      <w:r/>
      <w:bookmarkEnd w:id="731"/>
      <w:r/>
      <w:bookmarkEnd w:id="732"/>
      <w:r/>
      <w:bookmarkEnd w:id="733"/>
      <w:r/>
      <w:bookmarkEnd w:id="734"/>
      <w:r/>
      <w:r/>
    </w:p>
    <w:p>
      <w:pPr>
        <w:spacing w:line="400" w:lineRule="exact"/>
        <w:rPr>
          <w:rFonts w:hint="eastAsia" w:ascii="宋体" w:hAnsi="宋体"/>
          <w:color w:val="000000"/>
          <w:szCs w:val="21"/>
        </w:rPr>
      </w:pPr>
      <w:r>
        <w:rPr>
          <w:rFonts w:eastAsia="仿宋_GB2312"/>
          <w:color w:val="auto"/>
          <w:sz w:val="24"/>
          <w:szCs w:val="21"/>
        </w:rPr>
        <w:br w:type="page" w:clear="all"/>
      </w:r>
      <w:r>
        <w:rPr>
          <w:rFonts w:hint="eastAsia" w:ascii="宋体" w:hAnsi="宋体"/>
          <w:color w:val="000000"/>
          <w:szCs w:val="21"/>
        </w:rPr>
        <w:t xml:space="preserve">附</w:t>
      </w:r>
      <w:bookmarkStart w:id="769" w:name="_Toc296503226"/>
      <w:r/>
      <w:bookmarkStart w:id="770" w:name="_Toc296891266"/>
      <w:r/>
      <w:bookmarkStart w:id="771" w:name="_Toc296347225"/>
      <w:r/>
      <w:bookmarkStart w:id="772" w:name="_Toc296891054"/>
      <w:r/>
      <w:bookmarkStart w:id="773" w:name="_Toc267261693"/>
      <w:r/>
      <w:bookmarkStart w:id="774" w:name="_Toc296944565"/>
      <w:r/>
      <w:bookmarkStart w:id="775" w:name="_Toc296346727"/>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p>
    <w:p>
      <w:pPr>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w:t>
      </w:r>
      <w:r>
        <w:rPr>
          <w:rFonts w:hint="eastAsia" w:ascii="宋体" w:hAnsi="宋体"/>
          <w:color w:val="000000"/>
          <w:szCs w:val="21"/>
          <w:u w:val="single"/>
          <w:lang w:val="en-US" w:eastAsia="zh-CN"/>
        </w:rPr>
        <w:t xml:space="preserve">兴仁</w:t>
      </w:r>
      <w:r>
        <w:rPr>
          <w:rFonts w:hint="eastAsia" w:ascii="宋体" w:hAnsi="宋体"/>
          <w:color w:val="000000"/>
          <w:szCs w:val="21"/>
          <w:u w:val="single"/>
          <w:lang w:eastAsia="zh-CN"/>
        </w:rPr>
        <w:t xml:space="preserve">镇人民政府</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兴仁镇智能装备产业园跃进路建设工程 </w:t>
      </w:r>
      <w:r>
        <w:rPr>
          <w:rFonts w:hint="eastAsia" w:ascii="宋体" w:hAnsi="宋体"/>
          <w:color w:val="000000"/>
          <w:szCs w:val="21"/>
        </w:rPr>
        <w:t xml:space="preserve">签订工程质量保修书。</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1864"/>
      <w:r/>
      <w:bookmarkStart w:id="777" w:name="_Toc4096"/>
      <w:r>
        <w:rPr>
          <w:rFonts w:hint="eastAsia" w:ascii="宋体" w:hAnsi="宋体"/>
          <w:color w:val="000000"/>
          <w:szCs w:val="21"/>
        </w:rPr>
        <w:t xml:space="preserve">一、工程质量保修范围和内容</w:t>
      </w:r>
      <w:bookmarkEnd w:id="776"/>
      <w:r/>
      <w:bookmarkEnd w:id="777"/>
      <w:r/>
      <w:r/>
    </w:p>
    <w:p>
      <w:pPr>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p>
    <w:p>
      <w:pPr>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p>
    <w:p>
      <w:pPr>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p>
    <w:p>
      <w:pPr>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31632"/>
      <w:r/>
      <w:bookmarkStart w:id="779" w:name="_Toc8840"/>
      <w:r>
        <w:rPr>
          <w:rFonts w:hint="eastAsia" w:ascii="宋体" w:hAnsi="宋体"/>
          <w:color w:val="000000"/>
          <w:szCs w:val="21"/>
        </w:rPr>
        <w:t xml:space="preserve">二、质量保修期</w:t>
      </w:r>
      <w:bookmarkEnd w:id="778"/>
      <w:r/>
      <w:bookmarkEnd w:id="779"/>
      <w:r/>
      <w:r/>
    </w:p>
    <w:p>
      <w:pPr>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p>
    <w:p>
      <w:pPr>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p>
    <w:p>
      <w:pPr>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000000"/>
          <w:szCs w:val="21"/>
        </w:rPr>
        <w:t xml:space="preserve">7</w:t>
      </w:r>
      <w:r>
        <w:rPr>
          <w:rFonts w:hint="eastAsia" w:ascii="宋体" w:hAnsi="宋体"/>
          <w:szCs w:val="21"/>
        </w:rPr>
        <w:t xml:space="preserve">．</w:t>
      </w:r>
      <w:r>
        <w:rPr>
          <w:rFonts w:hint="eastAsia" w:ascii="宋体" w:hAnsi="宋体"/>
          <w:color w:val="000000"/>
          <w:szCs w:val="21"/>
        </w:rPr>
        <w:t xml:space="preserve">其他项目保修期限约</w:t>
      </w:r>
      <w:r>
        <w:rPr>
          <w:rFonts w:hint="eastAsia" w:ascii="宋体" w:hAnsi="宋体"/>
          <w:color w:val="auto"/>
          <w:szCs w:val="21"/>
        </w:rPr>
        <w:t xml:space="preserve">定如下：</w:t>
      </w:r>
      <w:r>
        <w:rPr>
          <w:rFonts w:hint="eastAsia" w:ascii="宋体" w:hAnsi="宋体"/>
          <w:color w:val="auto"/>
          <w:szCs w:val="21"/>
          <w:u w:val="single"/>
          <w:lang w:val="en-US" w:eastAsia="zh-CN"/>
        </w:rPr>
        <w:t xml:space="preserve">其他未列明项目质量保修</w:t>
      </w:r>
      <w:r>
        <w:rPr>
          <w:rFonts w:hint="eastAsia" w:ascii="宋体" w:hAnsi="宋体"/>
          <w:color w:val="auto"/>
          <w:szCs w:val="21"/>
          <w:highlight w:val="none"/>
          <w:u w:val="single"/>
          <w:lang w:val="en-US" w:eastAsia="zh-CN"/>
        </w:rPr>
        <w:t xml:space="preserve">期为两年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质量保修期自工程竣工验收合格之日起计算。</w:t>
      </w:r>
      <w:r/>
    </w:p>
    <w:p>
      <w:pPr>
        <w:ind w:firstLine="420"/>
        <w:spacing w:line="400" w:lineRule="exact"/>
        <w:rPr>
          <w:rFonts w:hint="eastAsia" w:ascii="宋体" w:hAnsi="宋体"/>
          <w:color w:val="auto"/>
          <w:szCs w:val="21"/>
          <w:highlight w:val="none"/>
        </w:rPr>
        <w:outlineLvl w:val="0"/>
      </w:pPr>
      <w:r/>
      <w:bookmarkStart w:id="780" w:name="_Toc49"/>
      <w:r/>
      <w:bookmarkStart w:id="781" w:name="_Toc20423"/>
      <w:r>
        <w:rPr>
          <w:rFonts w:hint="eastAsia" w:ascii="宋体" w:hAnsi="宋体"/>
          <w:color w:val="auto"/>
          <w:szCs w:val="21"/>
          <w:highlight w:val="none"/>
        </w:rPr>
        <w:t xml:space="preserve">三、缺陷责任期</w:t>
      </w:r>
      <w:bookmarkEnd w:id="780"/>
      <w:r/>
      <w:bookmarkEnd w:id="781"/>
      <w:r/>
      <w:r/>
    </w:p>
    <w:p>
      <w:pPr>
        <w:ind w:firstLine="420"/>
        <w:spacing w:line="400" w:lineRule="exact"/>
        <w:rPr>
          <w:rFonts w:hint="eastAsia" w:ascii="宋体" w:hAnsi="宋体"/>
          <w:color w:val="000000"/>
          <w:szCs w:val="21"/>
        </w:rPr>
      </w:pPr>
      <w:r>
        <w:rPr>
          <w:rFonts w:hint="eastAsia" w:ascii="宋体" w:hAnsi="宋体"/>
          <w:color w:val="auto"/>
          <w:szCs w:val="21"/>
          <w:highlight w:val="none"/>
        </w:rPr>
        <w:t xml:space="preserve">工程缺陷责任期为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24 </w:t>
      </w:r>
      <w:r>
        <w:rPr>
          <w:rFonts w:hint="eastAsia" w:ascii="宋体" w:hAnsi="宋体"/>
          <w:color w:val="auto"/>
          <w:szCs w:val="21"/>
          <w:highlight w:val="none"/>
        </w:rPr>
        <w:t xml:space="preserve">个月，缺陷责</w:t>
      </w:r>
      <w:r>
        <w:rPr>
          <w:rFonts w:hint="eastAsia" w:ascii="宋体" w:hAnsi="宋体"/>
          <w:color w:val="auto"/>
          <w:szCs w:val="21"/>
        </w:rPr>
        <w:t xml:space="preserve">任期自工程通过竣工验收之日起计算。单位工程先于全部工程进行验收，单位工程缺陷责任期自</w:t>
      </w:r>
      <w:r>
        <w:rPr>
          <w:rFonts w:hint="eastAsia" w:ascii="宋体" w:hAnsi="宋体"/>
          <w:color w:val="000000"/>
          <w:szCs w:val="21"/>
        </w:rPr>
        <w:t xml:space="preserve">单位工程验收合格之日起算。</w:t>
      </w:r>
      <w:r/>
    </w:p>
    <w:p>
      <w:pPr>
        <w:ind w:firstLine="420"/>
        <w:spacing w:line="400" w:lineRule="exact"/>
        <w:rPr>
          <w:rFonts w:hint="eastAsia" w:ascii="宋体" w:hAnsi="宋体"/>
          <w:color w:val="000000"/>
          <w:szCs w:val="21"/>
        </w:rPr>
      </w:pPr>
      <w:r>
        <w:rPr>
          <w:rFonts w:hint="eastAsia" w:ascii="宋体" w:hAnsi="宋体"/>
          <w:color w:val="000000"/>
          <w:szCs w:val="21"/>
        </w:rPr>
        <w:t xml:space="preserve">缺陷责任期终止后，发包人应退还剩余的质量保证金。</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1010"/>
      <w:r/>
      <w:bookmarkStart w:id="783" w:name="_Toc22481"/>
      <w:r>
        <w:rPr>
          <w:rFonts w:hint="eastAsia" w:ascii="宋体" w:hAnsi="宋体"/>
          <w:color w:val="000000"/>
          <w:szCs w:val="21"/>
        </w:rPr>
        <w:t xml:space="preserve">四、质量保修责任</w:t>
      </w:r>
      <w:bookmarkEnd w:id="782"/>
      <w:r/>
      <w:bookmarkEnd w:id="783"/>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7049"/>
      <w:r/>
      <w:bookmarkStart w:id="785" w:name="_Toc13416"/>
      <w:r>
        <w:rPr>
          <w:rFonts w:hint="eastAsia" w:ascii="宋体" w:hAnsi="宋体"/>
          <w:color w:val="000000"/>
          <w:szCs w:val="21"/>
        </w:rPr>
        <w:t xml:space="preserve">五、保修费用</w:t>
      </w:r>
      <w:bookmarkEnd w:id="784"/>
      <w:r/>
      <w:bookmarkEnd w:id="785"/>
      <w:r/>
      <w:r/>
    </w:p>
    <w:p>
      <w:pPr>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p>
    <w:p>
      <w:pPr>
        <w:ind w:firstLine="600"/>
        <w:jc w:val="left"/>
        <w:spacing w:line="400" w:lineRule="exact"/>
        <w:rPr>
          <w:rFonts w:hint="eastAsia" w:ascii="宋体" w:hAnsi="宋体"/>
          <w:color w:val="000000"/>
          <w:szCs w:val="21"/>
        </w:rPr>
        <w:outlineLvl w:val="0"/>
      </w:pPr>
      <w:r/>
      <w:bookmarkStart w:id="786" w:name="_Toc31250"/>
      <w:r/>
      <w:bookmarkStart w:id="787" w:name="_Toc1721"/>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
    </w:p>
    <w:p>
      <w:pPr>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p>
    <w:p>
      <w:pPr>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p>
    <w:p>
      <w:pPr>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w:t>
      </w:r>
      <w:r>
        <w:rPr>
          <w:rFonts w:hint="eastAsia" w:ascii="宋体" w:hAnsi="宋体"/>
          <w:sz w:val="24"/>
          <w:u w:val="single"/>
          <w:lang w:val="en-US" w:eastAsia="zh-CN"/>
        </w:rPr>
        <w:t xml:space="preserve">兴仁</w:t>
      </w:r>
      <w:r>
        <w:rPr>
          <w:rFonts w:hint="eastAsia" w:ascii="宋体" w:hAnsi="宋体"/>
          <w:sz w:val="24"/>
          <w:u w:val="single"/>
          <w:lang w:eastAsia="zh-CN"/>
        </w:rPr>
        <w:t xml:space="preserve">镇人民政府</w:t>
      </w:r>
      <w:r>
        <w:rPr>
          <w:rFonts w:hint="eastAsia" w:ascii="宋体" w:hAnsi="宋体"/>
          <w:sz w:val="24"/>
          <w:u w:val="single"/>
        </w:rPr>
        <w:t xml:space="preserve"> </w:t>
      </w:r>
      <w:r/>
    </w:p>
    <w:p>
      <w:pPr>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兴仁镇智能装备产业园跃进路建设工程 </w:t>
      </w:r>
      <w:r>
        <w:rPr>
          <w:rFonts w:hint="eastAsia" w:ascii="宋体" w:hAnsi="宋体"/>
          <w:sz w:val="24"/>
        </w:rPr>
        <w:t xml:space="preserve">自愿签订廉政协议：</w:t>
      </w:r>
      <w:r/>
    </w:p>
    <w:p>
      <w:pPr>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p>
    <w:p>
      <w:pPr>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p>
    <w:p>
      <w:pPr>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p>
    <w:p>
      <w:pPr>
        <w:ind w:firstLine="480"/>
        <w:spacing w:line="480" w:lineRule="exact"/>
        <w:rPr>
          <w:rFonts w:ascii="宋体" w:hAnsi="宋体" w:cs="宋体"/>
          <w:sz w:val="24"/>
        </w:rPr>
      </w:pPr>
      <w:r>
        <w:rPr>
          <w:rFonts w:hint="eastAsia" w:ascii="宋体" w:hAnsi="宋体"/>
          <w:sz w:val="24"/>
        </w:rPr>
        <w:t xml:space="preserve">六、</w:t>
      </w: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p>
    <w:p>
      <w:pPr>
        <w:ind w:firstLine="480"/>
        <w:spacing w:line="480" w:lineRule="exact"/>
        <w:rPr>
          <w:rFonts w:ascii="宋体" w:hAnsi="宋体"/>
          <w:sz w:val="24"/>
        </w:rPr>
      </w:pPr>
      <w:r>
        <w:rPr>
          <w:rFonts w:hint="eastAsia" w:ascii="宋体" w:hAnsi="宋体"/>
          <w:sz w:val="24"/>
        </w:rPr>
        <w:t xml:space="preserve">七、此协议自双方签字盖章之日起生效。</w:t>
      </w:r>
      <w:r/>
    </w:p>
    <w:p>
      <w:pPr>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p>
    <w:p>
      <w:pPr>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p>
    <w:p>
      <w:pPr>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p>
    <w:p>
      <w:pPr>
        <w:ind w:firstLine="480"/>
        <w:spacing w:line="480" w:lineRule="exact"/>
        <w:rPr>
          <w:rFonts w:ascii="宋体" w:hAnsi="宋体"/>
          <w:sz w:val="24"/>
        </w:rPr>
      </w:pPr>
      <w:r>
        <w:rPr>
          <w:rFonts w:hint="eastAsia" w:ascii="宋体" w:hAnsi="宋体"/>
          <w:sz w:val="24"/>
        </w:rPr>
        <w:t xml:space="preserve">地址：                        地址：</w:t>
      </w:r>
      <w:r/>
    </w:p>
    <w:p>
      <w:pPr>
        <w:ind w:firstLine="480"/>
        <w:spacing w:line="480" w:lineRule="exact"/>
        <w:rPr>
          <w:rFonts w:ascii="宋体" w:hAnsi="宋体"/>
          <w:sz w:val="24"/>
        </w:rPr>
      </w:pPr>
      <w:r>
        <w:rPr>
          <w:rFonts w:hint="eastAsia" w:ascii="宋体" w:hAnsi="宋体"/>
          <w:sz w:val="24"/>
        </w:rPr>
        <w:t xml:space="preserve">电话：                        电话：</w:t>
      </w:r>
      <w:r/>
    </w:p>
    <w:p>
      <w:pPr>
        <w:ind w:firstLine="480"/>
        <w:spacing w:line="480" w:lineRule="exact"/>
        <w:rPr>
          <w:rFonts w:ascii="宋体" w:hAnsi="宋体"/>
          <w:sz w:val="24"/>
        </w:rPr>
      </w:pPr>
      <w:r>
        <w:rPr>
          <w:rFonts w:hint="eastAsia" w:ascii="宋体" w:hAnsi="宋体"/>
          <w:sz w:val="24"/>
        </w:rPr>
        <w:t xml:space="preserve">年    月    日                  年    月    日</w:t>
      </w:r>
      <w:r/>
    </w:p>
    <w:p>
      <w:pPr>
        <w:spacing w:line="480" w:lineRule="exact"/>
        <w:rPr>
          <w:rFonts w:ascii="宋体" w:hAnsi="宋体"/>
          <w:sz w:val="24"/>
        </w:rPr>
      </w:pPr>
      <w:r>
        <w:rPr>
          <w:rFonts w:hint="eastAsia" w:ascii="宋体" w:hAnsi="宋体"/>
          <w:sz w:val="24"/>
        </w:rPr>
        <w:t xml:space="preserve">    监督单位（盖章）：</w:t>
      </w:r>
      <w:r/>
    </w:p>
    <w:p>
      <w:pPr>
        <w:ind w:firstLine="480"/>
        <w:spacing w:line="400" w:lineRule="atLeast"/>
        <w:rPr>
          <w:rFonts w:hint="eastAsia" w:ascii="宋体" w:hAnsi="宋体" w:cs="Arial"/>
          <w:sz w:val="24"/>
        </w:rPr>
      </w:pPr>
      <w:r>
        <w:rPr>
          <w:rFonts w:hint="eastAsia" w:ascii="宋体" w:hAnsi="宋体"/>
          <w:sz w:val="24"/>
        </w:rPr>
        <w:t xml:space="preserve">年    月    日</w:t>
      </w:r>
      <w:r/>
    </w:p>
    <w:p>
      <w:pPr>
        <w:jc w:val="center"/>
        <w:spacing w:line="360" w:lineRule="auto"/>
        <w:rPr>
          <w:rFonts w:hint="eastAsia" w:ascii="宋体" w:hAnsi="宋体" w:cs="宋体"/>
          <w:sz w:val="2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4"/>
        </w:rPr>
      </w:r>
      <w:r/>
    </w:p>
    <w:p>
      <w:pPr>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p>
    <w:p>
      <w:pPr>
        <w:jc w:val="center"/>
        <w:spacing w:line="360" w:lineRule="auto"/>
        <w:rPr>
          <w:rFonts w:ascii="宋体" w:hAnsi="宋体" w:cs="宋体"/>
          <w:sz w:val="24"/>
        </w:rPr>
      </w:pPr>
      <w:r>
        <w:rPr>
          <w:rFonts w:ascii="宋体" w:hAnsi="宋体" w:cs="宋体"/>
          <w:sz w:val="24"/>
        </w:rPr>
        <w:t xml:space="preserve">安全生产合同</w:t>
      </w:r>
      <w:r/>
    </w:p>
    <w:p>
      <w:pPr>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w:t>
      </w:r>
      <w:r>
        <w:rPr>
          <w:rFonts w:hint="eastAsia" w:ascii="宋体" w:hAnsi="宋体"/>
          <w:sz w:val="24"/>
          <w:u w:val="single"/>
          <w:lang w:val="en-US" w:eastAsia="zh-CN"/>
        </w:rPr>
        <w:t xml:space="preserve">兴仁</w:t>
      </w:r>
      <w:r>
        <w:rPr>
          <w:rFonts w:hint="eastAsia" w:ascii="宋体" w:hAnsi="宋体"/>
          <w:sz w:val="24"/>
          <w:u w:val="single"/>
          <w:lang w:eastAsia="zh-CN"/>
        </w:rPr>
        <w:t xml:space="preserve">镇人民政府</w:t>
      </w:r>
      <w:r>
        <w:rPr>
          <w:rFonts w:hint="eastAsia" w:ascii="宋体" w:hAnsi="宋体" w:cs="宋体"/>
          <w:sz w:val="24"/>
          <w:u w:val="single"/>
        </w:rPr>
        <w:t xml:space="preserve"> </w:t>
      </w:r>
      <w:r>
        <w:rPr>
          <w:rFonts w:ascii="宋体" w:hAnsi="宋体" w:cs="宋体"/>
          <w:sz w:val="24"/>
        </w:rPr>
        <w:t xml:space="preserve"> </w:t>
      </w:r>
      <w:r/>
    </w:p>
    <w:p>
      <w:pPr>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兴仁镇智能装备产业园跃进路建设工程 </w:t>
      </w:r>
      <w:r>
        <w:rPr>
          <w:rFonts w:ascii="宋体" w:hAnsi="宋体" w:cs="宋体"/>
          <w:sz w:val="24"/>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sz w:val="24"/>
        </w:rPr>
      </w:pPr>
      <w:r>
        <w:rPr>
          <w:rFonts w:ascii="宋体" w:hAnsi="宋体" w:cs="宋体"/>
          <w:b/>
          <w:bCs/>
          <w:sz w:val="24"/>
        </w:rPr>
        <w:t xml:space="preserve">一、发包人职责 </w:t>
      </w:r>
      <w:r/>
    </w:p>
    <w:p>
      <w:pPr>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p>
    <w:p>
      <w:pPr>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p>
    <w:p>
      <w:pPr>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组织对承包人施工现场安全生产检查，监督承包有及时处理发现的各项隐患。</w:t>
      </w:r>
      <w:r/>
    </w:p>
    <w:p>
      <w:pPr>
        <w:spacing w:line="360" w:lineRule="auto"/>
        <w:rPr>
          <w:rFonts w:ascii="宋体" w:hAnsi="宋体" w:cs="宋体"/>
          <w:b/>
          <w:bCs/>
          <w:sz w:val="24"/>
        </w:rPr>
      </w:pPr>
      <w:r>
        <w:rPr>
          <w:rFonts w:ascii="宋体" w:hAnsi="宋体" w:cs="宋体"/>
          <w:b/>
          <w:bCs/>
          <w:sz w:val="24"/>
        </w:rPr>
        <w:t xml:space="preserve">二、承包人职责</w:t>
      </w:r>
      <w:r/>
    </w:p>
    <w:p>
      <w:pPr>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spacing w:line="360" w:lineRule="auto"/>
        <w:rPr>
          <w:rFonts w:ascii="宋体" w:hAnsi="宋体" w:cs="宋体"/>
          <w:b/>
          <w:bCs/>
          <w:sz w:val="24"/>
        </w:rPr>
      </w:pPr>
      <w:r>
        <w:rPr>
          <w:rFonts w:ascii="宋体" w:hAnsi="宋体" w:cs="宋体"/>
          <w:b/>
          <w:bCs/>
          <w:sz w:val="24"/>
        </w:rPr>
        <w:t xml:space="preserve">违约责任</w:t>
      </w:r>
      <w:r/>
    </w:p>
    <w:p>
      <w:pPr>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p>
    <w:p>
      <w:pPr>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p>
    <w:p>
      <w:pPr>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p>
    <w:p>
      <w:pPr>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p>
    <w:p>
      <w:pPr>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p>
    <w:p>
      <w:pPr>
        <w:spacing w:line="360" w:lineRule="auto"/>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r>
      <w:r/>
    </w:p>
    <w:p>
      <w:pPr>
        <w:jc w:val="both"/>
        <w:spacing w:before="120" w:after="120" w:line="0" w:lineRule="atLeast"/>
        <w:rPr>
          <w:rFonts w:hint="eastAsia" w:ascii="宋体" w:hAnsi="宋体" w:eastAsia="宋体" w:cs="宋体"/>
          <w:b/>
          <w:sz w:val="24"/>
          <w:szCs w:val="24"/>
        </w:rPr>
      </w:pPr>
      <w:r>
        <w:rPr>
          <w:rFonts w:hint="eastAsia" w:ascii="宋体" w:hAnsi="宋体" w:eastAsia="宋体" w:cs="宋体"/>
          <w:b/>
          <w:sz w:val="24"/>
          <w:szCs w:val="24"/>
        </w:rPr>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03"/>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986"/>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984"/>
        <w:rPr>
          <w:rFonts w:hint="eastAsia"/>
          <w:color w:val="auto"/>
          <w:highlight w:val="none"/>
          <w:lang w:eastAsia="zh-CN"/>
        </w:rPr>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88" w:name="_Toc26554093"/>
      <w:r/>
      <w:bookmarkStart w:id="789"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.项目名称：兴仁镇智能装备产业园跃进路建设工程</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w:t>
      </w:r>
      <w:r>
        <w:rPr>
          <w:rFonts w:hint="eastAsia" w:ascii="宋体" w:hAnsi="宋体" w:eastAsia="宋体" w:cs="宋体"/>
          <w:color w:val="auto"/>
          <w:sz w:val="24"/>
          <w:szCs w:val="24"/>
          <w:highlight w:val="none"/>
        </w:rPr>
        <w:t xml:space="preserve">兴仁镇智能装备产业园</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280.82</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238.697</w:t>
      </w:r>
      <w:r>
        <w:rPr>
          <w:rFonts w:hint="eastAsia" w:ascii="宋体" w:hAnsi="宋体" w:eastAsia="宋体" w:cs="宋体"/>
          <w:color w:val="auto"/>
          <w:sz w:val="24"/>
          <w:szCs w:val="24"/>
          <w:highlight w:val="none"/>
          <w:lang w:val="en-US" w:eastAsia="zh-CN"/>
        </w:rPr>
        <w:t xml:space="preserve">万元，最终报价超过采购最高限价的为无效响应文件</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0" w:name="_Toc473034406"/>
      <w:r/>
      <w:bookmarkStart w:id="791" w:name="_Toc498006749"/>
      <w:r>
        <w:rPr>
          <w:rFonts w:hint="eastAsia" w:ascii="宋体" w:hAnsi="宋体" w:eastAsia="宋体" w:cs="宋体"/>
          <w:b/>
          <w:color w:val="auto"/>
          <w:sz w:val="24"/>
          <w:szCs w:val="24"/>
          <w:highlight w:val="none"/>
        </w:rPr>
        <w:t xml:space="preserve">1．工程量清单编制说明</w:t>
      </w:r>
      <w:bookmarkEnd w:id="790"/>
      <w:r/>
      <w:bookmarkEnd w:id="79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2" w:name="_Toc473034407"/>
      <w:r/>
      <w:bookmarkStart w:id="793" w:name="_Toc498006750"/>
      <w:r>
        <w:rPr>
          <w:rFonts w:hint="eastAsia" w:ascii="宋体" w:hAnsi="宋体" w:eastAsia="宋体" w:cs="宋体"/>
          <w:b/>
          <w:color w:val="auto"/>
          <w:sz w:val="24"/>
          <w:szCs w:val="24"/>
          <w:highlight w:val="none"/>
        </w:rPr>
        <w:t xml:space="preserve">2．投标报价编制要求</w:t>
      </w:r>
      <w:bookmarkEnd w:id="792"/>
      <w:r/>
      <w:bookmarkEnd w:id="793"/>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4" w:name="_Toc473034408"/>
      <w:r/>
      <w:bookmarkStart w:id="795" w:name="_Toc498006751"/>
      <w:r>
        <w:rPr>
          <w:rFonts w:hint="eastAsia" w:ascii="宋体" w:hAnsi="宋体" w:eastAsia="宋体" w:cs="宋体"/>
          <w:b/>
          <w:color w:val="auto"/>
          <w:sz w:val="24"/>
          <w:szCs w:val="24"/>
          <w:highlight w:val="none"/>
        </w:rPr>
        <w:t xml:space="preserve">3．其他说明</w:t>
      </w:r>
      <w:bookmarkEnd w:id="794"/>
      <w:r/>
      <w:bookmarkEnd w:id="795"/>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96" w:name="_Toc21910"/>
      <w:r/>
      <w:bookmarkStart w:id="797" w:name="_Toc28804"/>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96"/>
      <w:r/>
      <w:bookmarkEnd w:id="797"/>
      <w:r/>
      <w:bookmarkStart w:id="798" w:name="_Toc349555826"/>
      <w:r/>
      <w:bookmarkEnd w:id="798"/>
      <w:r/>
      <w:bookmarkStart w:id="799" w:name="_Toc349557651"/>
      <w:r/>
      <w:bookmarkEnd w:id="799"/>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0" w:name="_Toc333498743"/>
      <w:r>
        <w:rPr>
          <w:rFonts w:hint="eastAsia" w:ascii="宋体" w:hAnsi="宋体" w:eastAsia="宋体" w:cs="宋体"/>
          <w:color w:val="auto"/>
          <w:sz w:val="24"/>
          <w:szCs w:val="24"/>
          <w:highlight w:val="none"/>
        </w:rPr>
        <w:t xml:space="preserve">1、本工程采用的计价规范</w:t>
      </w:r>
      <w:bookmarkEnd w:id="800"/>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1" w:name="_Toc333498744"/>
      <w:r>
        <w:rPr>
          <w:rFonts w:hint="eastAsia" w:ascii="宋体" w:hAnsi="宋体" w:eastAsia="宋体" w:cs="宋体"/>
          <w:color w:val="auto"/>
          <w:sz w:val="24"/>
          <w:szCs w:val="24"/>
          <w:highlight w:val="none"/>
        </w:rPr>
        <w:t xml:space="preserve">2、本工程采用的技术规范</w:t>
      </w:r>
      <w:bookmarkEnd w:id="801"/>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2" w:name="_Toc333498745"/>
      <w:r>
        <w:rPr>
          <w:rFonts w:hint="eastAsia" w:ascii="宋体" w:hAnsi="宋体" w:eastAsia="宋体" w:cs="宋体"/>
          <w:color w:val="auto"/>
          <w:sz w:val="24"/>
          <w:szCs w:val="24"/>
          <w:highlight w:val="none"/>
        </w:rPr>
        <w:t xml:space="preserve">3、本工程对施工工艺的特殊要求</w:t>
      </w:r>
      <w:bookmarkEnd w:id="802"/>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bookmarkStart w:id="803" w:name="_Toc120614281"/>
      <w:r>
        <w:rPr>
          <w:rFonts w:hint="eastAsia" w:ascii="宋体" w:hAnsi="宋体" w:eastAsia="宋体" w:cs="Times New Roman"/>
          <w:color w:val="auto"/>
          <w:sz w:val="24"/>
          <w:szCs w:val="24"/>
          <w:lang w:val="en-US" w:eastAsia="zh-CN"/>
        </w:rPr>
        <w:t xml:space="preserve">2、</w:t>
      </w:r>
      <w:r>
        <w:rPr>
          <w:rFonts w:hint="eastAsia" w:ascii="宋体" w:hAnsi="宋体" w:eastAsia="宋体" w:cs="宋体"/>
          <w:bCs/>
          <w:i w:val="0"/>
          <w:iCs w:val="0"/>
          <w:color w:val="auto"/>
          <w:sz w:val="24"/>
          <w:szCs w:val="24"/>
          <w:highlight w:val="none"/>
          <w:lang w:val="en-US" w:eastAsia="zh-CN"/>
        </w:rPr>
        <w:t xml:space="preserve">差额履约保证金</w:t>
      </w:r>
      <w:r/>
    </w:p>
    <w:p>
      <w:pPr>
        <w:ind w:firstLine="42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color w:val="auto"/>
          <w:sz w:val="24"/>
          <w:szCs w:val="24"/>
          <w:highlight w:val="yellow"/>
          <w:lang w:val="en-US" w:eastAsia="zh-CN"/>
        </w:rPr>
        <w:t xml:space="preserve">（1）如成交价过低（过低的界定详见磋商文件《第五章评审方法与评审标准》（五）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（2）差额履约保证金的缴纳方式和退还方式同履约保证金。</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cs="宋体"/>
          <w:bCs/>
          <w:color w:val="auto"/>
          <w:sz w:val="24"/>
          <w:highlight w:val="none"/>
          <w:lang w:bidi="ar"/>
        </w:rPr>
        <w:t xml:space="preserve">企业资质证书（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施工总承包三级及以上</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）及安全生产许可证</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bCs/>
          <w:color w:val="auto"/>
          <w:sz w:val="24"/>
          <w:highlight w:val="none"/>
          <w:lang w:bidi="ar"/>
        </w:rPr>
        <w:t xml:space="preserve">拟派项目负责人资格证书（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贰级及以上注册建造师</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804" w:name="_Toc12009"/>
      <w:r/>
      <w:bookmarkEnd w:id="804"/>
      <w:r/>
      <w:bookmarkStart w:id="805" w:name="_Toc184635088"/>
      <w:r/>
      <w:bookmarkEnd w:id="805"/>
      <w:r/>
      <w:bookmarkStart w:id="806" w:name="_Toc474229428"/>
      <w:r/>
      <w:bookmarkEnd w:id="806"/>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51"/>
        <w:tblW w:w="8990"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2277"/>
        <w:gridCol w:w="5947"/>
      </w:tblGrid>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eastAsia" w:ascii="宋体" w:hAnsi="宋体" w:eastAsia="宋体"/>
                <w:color w:val="auto"/>
                <w:sz w:val="24"/>
                <w:lang w:val="en-US" w:eastAsia="zh-CN"/>
              </w:rPr>
            </w:pPr>
            <w:r>
              <w:rPr>
                <w:rFonts w:hint="eastAsia" w:ascii="宋体" w:hAnsi="宋体"/>
                <w:color w:val="auto"/>
                <w:sz w:val="24"/>
                <w:lang w:val="en-US" w:eastAsia="zh-CN"/>
              </w:rPr>
              <w:t xml:space="preserve">序号</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评分因素</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评分标准</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1</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施工总体部署</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总体施工布置及规划、施工组织内容的完整性和合理性、施工工艺流程、各分部分项工程工序计划安排，符合磋商文件要求。</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2</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施工方案与技术措施</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eastAsia="zh-CN"/>
              </w:rPr>
              <w:t xml:space="preserve">施工重点难点解决方案</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对执行计划、组织实施方案、控制措施</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eastAsia="zh-CN"/>
              </w:rPr>
              <w:t xml:space="preserve">关键施工技术、工艺及工程项目实施重点、难点、解决方案等内容进行评分。</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3</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工程进度计划与措施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安全生产、文明施工、环境保护体系与措施</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进度安排具体、科学合理、可行，解决措施可靠、合理有效、完全满足项目要求。</w:t>
            </w:r>
            <w:r/>
          </w:p>
          <w:p>
            <w:pPr>
              <w:ind w:left="0" w:right="0" w:firstLine="0"/>
              <w:jc w:val="both"/>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安全生产、文明施工、环境保护管理体系及保证措施合理详细。</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4</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质量管理体系与措施</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eastAsia="zh-CN"/>
              </w:rPr>
              <w:t xml:space="preserve">质量通病的防治措施</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对整个项目质量管理有具体的保障制度和措施，分析质量通病</w:t>
            </w:r>
            <w:r>
              <w:rPr>
                <w:rFonts w:hint="eastAsia" w:ascii="宋体" w:hAnsi="宋体" w:eastAsia="宋体" w:cs="宋体"/>
                <w:color w:val="000000"/>
                <w:sz w:val="24"/>
                <w:szCs w:val="24"/>
                <w:lang w:val="en-US" w:eastAsia="zh-CN"/>
              </w:rPr>
              <w:t xml:space="preserve">提出</w:t>
            </w:r>
            <w:r>
              <w:rPr>
                <w:rFonts w:hint="eastAsia" w:ascii="宋体" w:hAnsi="宋体" w:eastAsia="宋体" w:cs="宋体"/>
                <w:color w:val="000000"/>
                <w:sz w:val="24"/>
                <w:szCs w:val="24"/>
                <w:lang w:eastAsia="zh-CN"/>
              </w:rPr>
              <w:t xml:space="preserve">防治措施。</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5</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确保完成工程建设的技术和管理措施</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技术方案合理、完善、实用性强、有针对性，对本项目的概况理解较深、工作方案切实可行。</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6</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rPr>
              <w:t xml:space="preserve">季节性施工方案</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Segoe UI Emoji" w:hAnsi="Segoe UI Emoji" w:eastAsia="Segoe UI Emoji" w:cs="Segoe UI Emoji"/>
                <w:i w:val="0"/>
                <w:iCs w:val="0"/>
                <w:caps w:val="0"/>
                <w:color w:val="auto"/>
                <w:spacing w:val="0"/>
                <w:sz w:val="24"/>
                <w:szCs w:val="24"/>
                <w:shd w:val="clear" w:color="auto" w:fill="ffffff"/>
              </w:rPr>
              <w:t xml:space="preserve">包含雨季施工总体部署、组织机构及岗位职责、施工准备（技术、物资、人员、现场</w:t>
            </w:r>
            <w:r>
              <w:rPr>
                <w:rFonts w:hint="eastAsia" w:ascii="Segoe UI Emoji" w:hAnsi="Segoe UI Emoji" w:eastAsia="宋体" w:cs="Segoe UI Emoji"/>
                <w:i w:val="0"/>
                <w:iCs w:val="0"/>
                <w:caps w:val="0"/>
                <w:color w:val="auto"/>
                <w:spacing w:val="0"/>
                <w:sz w:val="24"/>
                <w:szCs w:val="24"/>
                <w:shd w:val="clear" w:color="auto" w:fill="ffffff"/>
                <w:lang w:val="en-US" w:eastAsia="zh-CN"/>
              </w:rPr>
              <w:t xml:space="preserve">等</w:t>
            </w:r>
            <w:r>
              <w:rPr>
                <w:rFonts w:ascii="Segoe UI Emoji" w:hAnsi="Segoe UI Emoji" w:eastAsia="Segoe UI Emoji" w:cs="Segoe UI Emoji"/>
                <w:i w:val="0"/>
                <w:iCs w:val="0"/>
                <w:caps w:val="0"/>
                <w:color w:val="auto"/>
                <w:spacing w:val="0"/>
                <w:sz w:val="24"/>
                <w:szCs w:val="24"/>
                <w:shd w:val="clear" w:color="auto" w:fill="ffffff"/>
              </w:rPr>
              <w:t xml:space="preserve">）、各分部分项工程雨季施工针对性措施、排水防汛措施</w:t>
            </w:r>
            <w:r>
              <w:rPr>
                <w:rFonts w:hint="eastAsia" w:ascii="Segoe UI Emoji" w:hAnsi="Segoe UI Emoji" w:eastAsia="宋体" w:cs="Segoe UI Emoji"/>
                <w:i w:val="0"/>
                <w:iCs w:val="0"/>
                <w:caps w:val="0"/>
                <w:color w:val="auto"/>
                <w:spacing w:val="0"/>
                <w:sz w:val="24"/>
                <w:szCs w:val="24"/>
                <w:shd w:val="clear" w:color="auto" w:fill="ffffff"/>
                <w:lang w:eastAsia="zh-CN"/>
              </w:rPr>
              <w:t xml:space="preserve">。</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7</w:t>
            </w:r>
            <w:r/>
          </w:p>
        </w:tc>
        <w:tc>
          <w:tcPr>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ind w:left="0" w:right="0" w:firstLine="0"/>
              <w:jc w:val="both"/>
              <w:spacing w:before="0" w:after="0"/>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rPr>
              <w:t xml:space="preserve">劳动力</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资源配备</w:t>
            </w:r>
            <w:r>
              <w:rPr>
                <w:rFonts w:hint="eastAsia" w:ascii="宋体" w:hAnsi="宋体" w:eastAsia="宋体"/>
                <w:color w:val="auto"/>
                <w:sz w:val="24"/>
                <w:szCs w:val="24"/>
                <w:lang w:eastAsia="zh-CN"/>
              </w:rPr>
              <w:t xml:space="preserve">、</w:t>
            </w:r>
            <w:r>
              <w:rPr>
                <w:rFonts w:hint="eastAsia" w:ascii="宋体" w:hAnsi="宋体" w:eastAsia="宋体"/>
                <w:color w:val="000000"/>
                <w:sz w:val="24"/>
                <w:szCs w:val="24"/>
              </w:rPr>
              <w:t xml:space="preserve">成品保护</w:t>
            </w:r>
            <w:r/>
          </w:p>
        </w:tc>
        <w:tc>
          <w:tcPr>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ind w:left="0" w:right="0" w:firstLine="0"/>
              <w:jc w:val="both"/>
              <w:spacing w:before="0" w:after="0"/>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rPr>
              <w:t xml:space="preserve">劳动力组织及计划表</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拟投入的主要物资计划</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拟投入的主要施工机械设备情况</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成品保护措施</w:t>
            </w:r>
            <w:r>
              <w:rPr>
                <w:rFonts w:hint="eastAsia" w:ascii="宋体" w:hAnsi="宋体"/>
                <w:color w:val="000000"/>
                <w:sz w:val="24"/>
                <w:szCs w:val="24"/>
                <w:lang w:eastAsia="zh-CN"/>
              </w:rPr>
              <w:t xml:space="preserve">。</w:t>
            </w:r>
            <w:r/>
          </w:p>
        </w:tc>
      </w:tr>
      <w:tr>
        <w:trPr>
          <w:jc w:val="center"/>
          <w:trHeight w:val="492"/>
        </w:trPr>
        <w:tc>
          <w:tcPr>
            <w:gridSpan w:val="3"/>
            <w:tcBorders>
              <w:top w:val="single" w:color="auto" w:sz="6" w:space="0"/>
              <w:left w:val="single" w:color="auto" w:sz="6" w:space="0"/>
              <w:bottom w:val="single" w:color="auto" w:sz="4" w:space="0"/>
              <w:right w:val="single" w:color="auto" w:sz="6" w:space="0"/>
            </w:tcBorders>
            <w:tcW w:w="8990" w:type="dxa"/>
            <w:vAlign w:val="center"/>
            <w:textDirection w:val="lrTb"/>
            <w:noWrap w:val="false"/>
          </w:tcPr>
          <w:p>
            <w:pPr>
              <w:ind w:left="0" w:right="0" w:firstLine="0"/>
              <w:jc w:val="both"/>
              <w:spacing w:before="0" w:after="0"/>
              <w:rPr>
                <w:rFonts w:hint="eastAsia" w:ascii="宋体" w:hAnsi="宋体" w:eastAsia="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bidi="ar"/>
              </w:rPr>
              <w:t xml:space="preserve">以上</w:t>
            </w:r>
            <w:r>
              <w:rPr>
                <w:rFonts w:hint="eastAsia" w:ascii="宋体" w:hAnsi="宋体" w:cs="宋体"/>
                <w:b/>
                <w:bCs/>
                <w:color w:val="auto"/>
                <w:sz w:val="24"/>
                <w:lang w:bidi="ar"/>
              </w:rPr>
              <w:t xml:space="preserve">方案完全满足项目需求的得</w:t>
            </w:r>
            <w:r>
              <w:rPr>
                <w:rFonts w:hint="eastAsia" w:ascii="宋体" w:hAnsi="宋体" w:cs="宋体"/>
                <w:b/>
                <w:bCs/>
                <w:color w:val="auto"/>
                <w:sz w:val="24"/>
                <w:lang w:val="en-US" w:eastAsia="zh-CN" w:bidi="ar"/>
              </w:rPr>
              <w:t xml:space="preserve">5分</w:t>
            </w:r>
            <w:r>
              <w:rPr>
                <w:rFonts w:hint="eastAsia" w:ascii="宋体" w:hAnsi="宋体" w:cs="宋体"/>
                <w:b/>
                <w:bCs/>
                <w:color w:val="auto"/>
                <w:sz w:val="24"/>
                <w:lang w:bidi="ar"/>
              </w:rPr>
              <w:t xml:space="preserve">，方案合理基本满足项目需求得</w:t>
            </w:r>
            <w:r>
              <w:rPr>
                <w:rFonts w:hint="eastAsia" w:ascii="宋体" w:hAnsi="宋体" w:cs="宋体"/>
                <w:b/>
                <w:bCs/>
                <w:color w:val="auto"/>
                <w:sz w:val="24"/>
                <w:lang w:val="en-US" w:eastAsia="zh-CN" w:bidi="ar"/>
              </w:rPr>
              <w:t xml:space="preserve">3.5</w:t>
            </w:r>
            <w:r>
              <w:rPr>
                <w:rFonts w:hint="eastAsia" w:ascii="宋体" w:hAnsi="宋体" w:cs="宋体"/>
                <w:b/>
                <w:bCs/>
                <w:color w:val="auto"/>
                <w:sz w:val="24"/>
                <w:lang w:bidi="ar"/>
              </w:rPr>
              <w:t xml:space="preserve">分，缺少相应内容</w:t>
            </w:r>
            <w:r>
              <w:rPr>
                <w:rFonts w:hint="eastAsia" w:ascii="宋体" w:hAnsi="宋体" w:cs="宋体"/>
                <w:b/>
                <w:bCs/>
                <w:color w:val="auto"/>
                <w:sz w:val="24"/>
                <w:lang w:val="en-US" w:eastAsia="zh-CN" w:bidi="ar"/>
              </w:rPr>
              <w:t xml:space="preserve">或未提供</w:t>
            </w:r>
            <w:r>
              <w:rPr>
                <w:rFonts w:hint="eastAsia" w:ascii="宋体" w:hAnsi="宋体" w:cs="宋体"/>
                <w:b/>
                <w:bCs/>
                <w:color w:val="auto"/>
                <w:sz w:val="24"/>
                <w:lang w:eastAsia="zh-CN" w:bidi="ar"/>
              </w:rPr>
              <w:t xml:space="preserve">的</w:t>
            </w:r>
            <w:r>
              <w:rPr>
                <w:rFonts w:hint="eastAsia" w:ascii="宋体" w:hAnsi="宋体" w:cs="宋体"/>
                <w:b/>
                <w:bCs/>
                <w:color w:val="auto"/>
                <w:sz w:val="24"/>
                <w:lang w:bidi="ar"/>
              </w:rPr>
              <w:t xml:space="preserve">不得分。</w:t>
            </w:r>
            <w:r/>
          </w:p>
        </w:tc>
      </w:tr>
      <w:tr>
        <w:trPr>
          <w:jc w:val="center"/>
          <w:trHeight w:val="492"/>
        </w:trPr>
        <w:tc>
          <w:tcPr>
            <w:tcBorders>
              <w:top w:val="single" w:color="auto" w:sz="6" w:space="0"/>
              <w:left w:val="single" w:color="auto" w:sz="6" w:space="0"/>
              <w:bottom w:val="single" w:color="auto" w:sz="4" w:space="0"/>
              <w:right w:val="single" w:color="auto" w:sz="6" w:space="0"/>
            </w:tcBorders>
            <w:tcW w:w="766" w:type="dxa"/>
            <w:vAlign w:val="center"/>
            <w:textDirection w:val="lrTb"/>
            <w:noWrap w:val="false"/>
          </w:tcPr>
          <w:p>
            <w:pPr>
              <w:jc w:val="center"/>
              <w:rPr>
                <w:rFonts w:hint="default" w:ascii="宋体" w:hAnsi="宋体"/>
                <w:color w:val="auto"/>
                <w:sz w:val="24"/>
                <w:lang w:val="en-US" w:eastAsia="zh-CN"/>
              </w:rPr>
            </w:pPr>
            <w:r>
              <w:rPr>
                <w:rFonts w:hint="eastAsia" w:ascii="宋体" w:hAnsi="宋体"/>
                <w:color w:val="auto"/>
                <w:sz w:val="24"/>
                <w:lang w:val="en-US" w:eastAsia="zh-CN"/>
              </w:rPr>
              <w:t xml:space="preserve">8</w:t>
            </w:r>
            <w:r/>
          </w:p>
        </w:tc>
        <w:tc>
          <w:tcPr>
            <w:shd w:val="clear" w:color="auto" w:fill="auto"/>
            <w:tcBorders>
              <w:top w:val="single" w:color="auto" w:sz="6" w:space="0"/>
              <w:left w:val="single" w:color="auto" w:sz="6" w:space="0"/>
              <w:bottom w:val="single" w:color="auto" w:sz="4" w:space="0"/>
              <w:right w:val="single" w:color="auto" w:sz="6" w:space="0"/>
            </w:tcBorders>
            <w:tcW w:w="2277" w:type="dxa"/>
            <w:vAlign w:val="center"/>
            <w:textDirection w:val="lrTb"/>
            <w:noWrap w:val="false"/>
          </w:tcPr>
          <w:p>
            <w:pPr>
              <w:rPr>
                <w:rFonts w:hint="eastAsia" w:ascii="宋体" w:hAnsi="宋体" w:eastAsia="宋体" w:cs="宋体"/>
                <w:color w:val="auto"/>
                <w:sz w:val="24"/>
                <w:szCs w:val="22"/>
                <w:highlight w:val="none"/>
                <w:lang w:val="en-US" w:eastAsia="zh-CN" w:bidi="ar"/>
              </w:rPr>
            </w:pPr>
            <w:r>
              <w:rPr>
                <w:rFonts w:hint="eastAsia" w:ascii="宋体" w:hAnsi="宋体" w:cs="宋体"/>
                <w:color w:val="auto"/>
                <w:sz w:val="24"/>
                <w:highlight w:val="none"/>
                <w:lang w:val="en-US" w:eastAsia="zh-CN" w:bidi="ar"/>
              </w:rPr>
              <w:t xml:space="preserve">业绩（5分）</w:t>
            </w:r>
            <w:r/>
          </w:p>
        </w:tc>
        <w:tc>
          <w:tcPr>
            <w:shd w:val="clear" w:color="auto" w:fill="auto"/>
            <w:tcBorders>
              <w:top w:val="single" w:color="auto" w:sz="6" w:space="0"/>
              <w:left w:val="single" w:color="auto" w:sz="6" w:space="0"/>
              <w:bottom w:val="single" w:color="auto" w:sz="4" w:space="0"/>
              <w:right w:val="single" w:color="auto" w:sz="6" w:space="0"/>
            </w:tcBorders>
            <w:tcW w:w="5947" w:type="dxa"/>
            <w:vAlign w:val="center"/>
            <w:textDirection w:val="lrTb"/>
            <w:noWrap w:val="false"/>
          </w:tcPr>
          <w:p>
            <w:pPr>
              <w:rPr>
                <w:rFonts w:hint="eastAsia" w:ascii="宋体" w:hAnsi="宋体" w:eastAsia="宋体" w:cs="宋体"/>
                <w:color w:val="auto"/>
                <w:sz w:val="24"/>
                <w:szCs w:val="22"/>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完成过类似项目</w:t>
            </w:r>
            <w:r>
              <w:rPr>
                <w:rFonts w:hint="eastAsia" w:ascii="宋体" w:hAnsi="宋体"/>
                <w:color w:val="auto"/>
                <w:sz w:val="24"/>
                <w:highlight w:val="none"/>
                <w:lang w:val="en-US" w:eastAsia="zh-CN"/>
              </w:rPr>
              <w:t xml:space="preserve">业绩</w:t>
            </w:r>
            <w:r>
              <w:rPr>
                <w:rFonts w:hint="eastAsia" w:ascii="宋体" w:hAnsi="宋体"/>
                <w:color w:val="auto"/>
                <w:sz w:val="24"/>
                <w:highlight w:val="none"/>
              </w:rPr>
              <w:t xml:space="preserve">每有一个得</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分。须提供</w:t>
            </w:r>
            <w:r>
              <w:rPr>
                <w:rFonts w:ascii="宋体" w:hAnsi="宋体" w:eastAsia="宋体" w:cs="宋体"/>
                <w:color w:val="000000"/>
                <w:sz w:val="24"/>
              </w:rPr>
              <w:t xml:space="preserve">中标（成交）通知书</w:t>
            </w:r>
            <w:r>
              <w:rPr>
                <w:rFonts w:hint="eastAsia" w:ascii="宋体" w:hAnsi="宋体"/>
                <w:color w:val="auto"/>
                <w:sz w:val="24"/>
                <w:highlight w:val="none"/>
              </w:rPr>
              <w:t xml:space="preserve">、施工合同和竣工验收证明，缺一不可，否则不得分（提供复印件，原件备查）。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975"/>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51"/>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88"/>
      <w:r/>
      <w:bookmarkEnd w:id="789"/>
      <w:r/>
      <w:bookmarkEnd w:id="803"/>
      <w:r/>
      <w:r/>
    </w:p>
    <w:p>
      <w:pPr>
        <w:pStyle w:val="984"/>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807" w:name="_Hlt26671244"/>
      <w:r/>
      <w:bookmarkEnd w:id="807"/>
      <w:r/>
      <w:bookmarkStart w:id="808" w:name="_Hlt26955039"/>
      <w:r/>
      <w:bookmarkEnd w:id="808"/>
      <w:r/>
      <w:bookmarkStart w:id="809" w:name="_Toc26554094"/>
      <w:r/>
      <w:bookmarkStart w:id="810" w:name="_Toc120614282"/>
      <w:r/>
      <w:bookmarkStart w:id="811"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46"/>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809"/>
      <w:r/>
      <w:bookmarkEnd w:id="810"/>
      <w:r/>
      <w:bookmarkEnd w:id="811"/>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42"/>
        <w:jc w:val="center"/>
        <w:keepLines w:val="0"/>
        <w:keepNext w:val="0"/>
        <w:widowControl/>
        <w:rPr>
          <w:color w:val="auto"/>
          <w:highlight w:val="none"/>
        </w:rPr>
        <w:suppressLineNumbers w:val="0"/>
      </w:pPr>
      <w:r>
        <w:rPr>
          <w:rStyle w:val="977"/>
          <w:color w:val="auto"/>
          <w:highlight w:val="none"/>
        </w:rPr>
        <w:t xml:space="preserve">磋商报价表</w:t>
      </w:r>
      <w:r/>
    </w:p>
    <w:p>
      <w:pPr>
        <w:pStyle w:val="973"/>
        <w:keepLines w:val="0"/>
        <w:keepNext w:val="0"/>
        <w:widowControl/>
        <w:rPr>
          <w:color w:val="auto"/>
          <w:highlight w:val="none"/>
        </w:rPr>
        <w:suppressLineNumbers w:val="0"/>
      </w:pPr>
      <w:r>
        <w:rPr>
          <w:color w:val="auto"/>
          <w:highlight w:val="none"/>
        </w:rPr>
        <w:t xml:space="preserve">本次为首次报价                                  货币单位：人民币元</w:t>
      </w:r>
      <w:r/>
    </w:p>
    <w:p>
      <w:pPr>
        <w:pStyle w:val="973"/>
        <w:keepLines w:val="0"/>
        <w:keepNext w:val="0"/>
        <w:widowControl/>
        <w:rPr>
          <w:color w:val="auto"/>
          <w:highlight w:val="none"/>
        </w:rPr>
        <w:suppressLineNumbers w:val="0"/>
      </w:pPr>
      <w:r>
        <w:rPr>
          <w:color w:val="auto"/>
          <w:highlight w:val="none"/>
        </w:rPr>
        <w:t xml:space="preserve">项目编号：项目编号  </w:t>
      </w:r>
      <w:r/>
    </w:p>
    <w:tbl>
      <w:tblPr>
        <w:tblStyle w:val="95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金额大写 </w:t>
            </w:r>
            <w:r/>
          </w:p>
        </w:tc>
      </w:tr>
    </w:tbl>
    <w:p>
      <w:pPr>
        <w:pStyle w:val="973"/>
        <w:keepLines w:val="0"/>
        <w:keepNext w:val="0"/>
        <w:widowControl/>
        <w:rPr>
          <w:color w:val="auto"/>
          <w:highlight w:val="none"/>
        </w:rPr>
        <w:suppressLineNumbers w:val="0"/>
      </w:pPr>
      <w:r>
        <w:rPr>
          <w:color w:val="auto"/>
          <w:highlight w:val="none"/>
        </w:rPr>
        <w:t xml:space="preserve">报价说明：</w:t>
      </w:r>
      <w:r/>
    </w:p>
    <w:p>
      <w:pPr>
        <w:pStyle w:val="973"/>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73"/>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73"/>
        <w:keepLines w:val="0"/>
        <w:keepNext w:val="0"/>
        <w:widowControl/>
        <w:rPr>
          <w:color w:val="auto"/>
          <w:highlight w:val="none"/>
        </w:rPr>
        <w:suppressLineNumbers w:val="0"/>
      </w:pPr>
      <w:r>
        <w:rPr>
          <w:color w:val="auto"/>
          <w:highlight w:val="none"/>
        </w:rPr>
        <w:t xml:space="preserve">3、偏离说明：详见《偏离表》；</w:t>
      </w:r>
      <w:r/>
    </w:p>
    <w:p>
      <w:pPr>
        <w:pStyle w:val="973"/>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973"/>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5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5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45"/>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4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8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8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16"/>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46"/>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46"/>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6"/>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6"/>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32"/>
          <w:szCs w:val="28"/>
          <w:highlight w:val="none"/>
          <w:lang w:bidi="ar"/>
        </w:rPr>
        <w:outlineLvl w:val="1"/>
      </w:pPr>
      <w:r>
        <w:rPr>
          <w:rFonts w:hint="eastAsia" w:ascii="宋体" w:hAnsi="宋体" w:eastAsia="宋体" w:cs="宋体"/>
          <w:b/>
          <w:color w:val="auto"/>
          <w:sz w:val="32"/>
          <w:szCs w:val="28"/>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56"/>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6"/>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6"/>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6"/>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6"/>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5"/>
      </w:rPr>
      <w:framePr w:wrap="around" w:vAnchor="text" w:hAnchor="margin" w:xAlign="center" w:y="1"/>
    </w:pPr>
    <w:r>
      <w:fldChar w:fldCharType="begin"/>
    </w:r>
    <w:r>
      <w:rPr>
        <w:rStyle w:val="1205"/>
      </w:rPr>
      <w:instrText xml:space="preserve">PAGE  </w:instrText>
    </w:r>
    <w:r>
      <w:fldChar w:fldCharType="separate"/>
    </w:r>
    <w:r>
      <w:rPr>
        <w:rStyle w:val="1205"/>
      </w:rPr>
      <w:t xml:space="preserve">1</w:t>
    </w:r>
    <w:r>
      <w:fldChar w:fldCharType="end"/>
    </w:r>
    <w:r/>
  </w:p>
  <w:p>
    <w:pPr>
      <w:pStyle w:val="11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6962" w:leader="none"/>
        <w:tab w:val="clear" w:pos="7143" w:leader="none"/>
        <w:tab w:val="clear" w:pos="14287"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lang w:val="en-US" w:eastAsia="zh-CN"/>
      </w:rPr>
      <w:tab/>
    </w:r>
    <w:r/>
  </w:p>
  <w:p>
    <w:pPr>
      <w:pStyle w:val="963"/>
      <w:tabs>
        <w:tab w:val="center" w:pos="6962" w:leader="none"/>
        <w:tab w:val="clear" w:pos="7143" w:leader="none"/>
        <w:tab w:val="clear" w:pos="14287" w:leader="none"/>
      </w:tabs>
      <w:rPr>
        <w:lang w:val="en-US" w:eastAsia="zh-CN"/>
      </w:rPr>
    </w:pPr>
    <w:r>
      <w:rPr>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3"/>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0"/>
      <w:isLgl w:val="false"/>
      <w:suff w:val="nothing"/>
      <w:lvlText w:val=""/>
      <w:lvlJc w:val="left"/>
      <w:pPr>
        <w:ind w:left="0" w:firstLine="0"/>
      </w:pPr>
      <w:rPr>
        <w:rFonts w:hint="eastAsia"/>
      </w:rPr>
    </w:lvl>
    <w:lvl w:ilvl="6">
      <w:start w:val="1"/>
      <w:numFmt w:val="decimal"/>
      <w:pStyle w:val="1141"/>
      <w:isLgl w:val="false"/>
      <w:suff w:val="nothing"/>
      <w:lvlText w:val=""/>
      <w:lvlJc w:val="left"/>
      <w:pPr>
        <w:ind w:left="0" w:firstLine="0"/>
      </w:pPr>
      <w:rPr>
        <w:rFonts w:hint="eastAsia"/>
      </w:rPr>
    </w:lvl>
    <w:lvl w:ilvl="7">
      <w:start w:val="1"/>
      <w:numFmt w:val="decimal"/>
      <w:pStyle w:val="1142"/>
      <w:isLgl w:val="false"/>
      <w:suff w:val="nothing"/>
      <w:lvlText w:val=""/>
      <w:lvlJc w:val="left"/>
      <w:pPr>
        <w:ind w:left="0" w:firstLine="0"/>
      </w:pPr>
      <w:rPr>
        <w:rFonts w:hint="eastAsia"/>
      </w:rPr>
    </w:lvl>
    <w:lvl w:ilvl="8">
      <w:start w:val="1"/>
      <w:numFmt w:val="decimal"/>
      <w:pStyle w:val="1143"/>
      <w:isLgl w:val="false"/>
      <w:suff w:val="nothing"/>
      <w:lvlText w:val=""/>
      <w:lvlJc w:val="left"/>
      <w:pPr>
        <w:ind w:left="0" w:firstLine="0"/>
      </w:pPr>
      <w:rPr>
        <w:rFonts w:hint="eastAsia"/>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chineseCounting"/>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pStyle w:val="12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default="1">
    <w:name w:val="Normal"/>
    <w:link w:val="12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1">
    <w:name w:val="Heading 1"/>
    <w:basedOn w:val="940"/>
    <w:next w:val="940"/>
    <w:link w:val="987"/>
    <w:uiPriority w:val="9"/>
    <w:qFormat/>
    <w:pPr>
      <w:keepLines/>
      <w:keepNext/>
      <w:spacing w:before="480" w:after="200"/>
      <w:outlineLvl w:val="0"/>
    </w:pPr>
    <w:rPr>
      <w:rFonts w:ascii="Arial" w:hAnsi="Arial" w:eastAsia="Arial" w:cs="Arial"/>
      <w:sz w:val="40"/>
      <w:szCs w:val="40"/>
    </w:rPr>
  </w:style>
  <w:style w:type="paragraph" w:styleId="942">
    <w:name w:val="Heading 2"/>
    <w:basedOn w:val="940"/>
    <w:next w:val="940"/>
    <w:link w:val="988"/>
    <w:uiPriority w:val="9"/>
    <w:unhideWhenUsed/>
    <w:qFormat/>
    <w:pPr>
      <w:keepLines/>
      <w:keepNext/>
      <w:spacing w:before="360" w:after="200"/>
      <w:outlineLvl w:val="1"/>
    </w:pPr>
    <w:rPr>
      <w:rFonts w:ascii="Arial" w:hAnsi="Arial" w:eastAsia="Arial" w:cs="Arial"/>
      <w:sz w:val="34"/>
    </w:rPr>
  </w:style>
  <w:style w:type="paragraph" w:styleId="943">
    <w:name w:val="Heading 3"/>
    <w:basedOn w:val="940"/>
    <w:next w:val="940"/>
    <w:link w:val="989"/>
    <w:uiPriority w:val="9"/>
    <w:unhideWhenUsed/>
    <w:qFormat/>
    <w:pPr>
      <w:keepLines/>
      <w:keepNext/>
      <w:spacing w:before="320" w:after="200"/>
      <w:outlineLvl w:val="2"/>
    </w:pPr>
    <w:rPr>
      <w:rFonts w:ascii="Arial" w:hAnsi="Arial" w:eastAsia="Arial" w:cs="Arial"/>
      <w:sz w:val="30"/>
      <w:szCs w:val="30"/>
    </w:rPr>
  </w:style>
  <w:style w:type="paragraph" w:styleId="944">
    <w:name w:val="Heading 4"/>
    <w:basedOn w:val="940"/>
    <w:next w:val="952"/>
    <w:link w:val="990"/>
    <w:uiPriority w:val="9"/>
    <w:unhideWhenUsed/>
    <w:qFormat/>
    <w:pPr>
      <w:keepLines/>
      <w:keepNext/>
      <w:spacing w:before="320" w:after="200"/>
      <w:outlineLvl w:val="3"/>
    </w:pPr>
    <w:rPr>
      <w:rFonts w:ascii="Arial" w:hAnsi="Arial" w:eastAsia="Arial" w:cs="Arial"/>
      <w:b/>
      <w:bCs/>
      <w:sz w:val="26"/>
      <w:szCs w:val="26"/>
    </w:rPr>
  </w:style>
  <w:style w:type="paragraph" w:styleId="945">
    <w:name w:val="Heading 5"/>
    <w:basedOn w:val="940"/>
    <w:next w:val="940"/>
    <w:link w:val="991"/>
    <w:uiPriority w:val="9"/>
    <w:unhideWhenUsed/>
    <w:qFormat/>
    <w:pPr>
      <w:keepLines/>
      <w:keepNext/>
      <w:spacing w:before="320" w:after="200"/>
      <w:outlineLvl w:val="4"/>
    </w:pPr>
    <w:rPr>
      <w:rFonts w:ascii="Arial" w:hAnsi="Arial" w:eastAsia="Arial" w:cs="Arial"/>
      <w:b/>
      <w:bCs/>
      <w:sz w:val="24"/>
      <w:szCs w:val="24"/>
    </w:rPr>
  </w:style>
  <w:style w:type="paragraph" w:styleId="946">
    <w:name w:val="Heading 6"/>
    <w:basedOn w:val="940"/>
    <w:next w:val="940"/>
    <w:link w:val="992"/>
    <w:uiPriority w:val="9"/>
    <w:unhideWhenUsed/>
    <w:qFormat/>
    <w:pPr>
      <w:keepLines/>
      <w:keepNext/>
      <w:spacing w:before="320" w:after="200"/>
      <w:outlineLvl w:val="5"/>
    </w:pPr>
    <w:rPr>
      <w:rFonts w:ascii="Arial" w:hAnsi="Arial" w:eastAsia="Arial" w:cs="Arial"/>
      <w:b/>
      <w:bCs/>
      <w:sz w:val="22"/>
      <w:szCs w:val="22"/>
    </w:rPr>
  </w:style>
  <w:style w:type="paragraph" w:styleId="947">
    <w:name w:val="Heading 7"/>
    <w:basedOn w:val="940"/>
    <w:next w:val="940"/>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948">
    <w:name w:val="Heading 8"/>
    <w:basedOn w:val="940"/>
    <w:next w:val="940"/>
    <w:link w:val="994"/>
    <w:uiPriority w:val="9"/>
    <w:unhideWhenUsed/>
    <w:qFormat/>
    <w:pPr>
      <w:keepLines/>
      <w:keepNext/>
      <w:spacing w:before="320" w:after="200"/>
      <w:outlineLvl w:val="7"/>
    </w:pPr>
    <w:rPr>
      <w:rFonts w:ascii="Arial" w:hAnsi="Arial" w:eastAsia="Arial" w:cs="Arial"/>
      <w:i/>
      <w:iCs/>
      <w:sz w:val="22"/>
      <w:szCs w:val="22"/>
    </w:rPr>
  </w:style>
  <w:style w:type="paragraph" w:styleId="949">
    <w:name w:val="Heading 9"/>
    <w:basedOn w:val="940"/>
    <w:next w:val="940"/>
    <w:link w:val="995"/>
    <w:uiPriority w:val="9"/>
    <w:unhideWhenUsed/>
    <w:qFormat/>
    <w:pPr>
      <w:keepLines/>
      <w:keepNext/>
      <w:spacing w:before="320" w:after="200"/>
      <w:outlineLvl w:val="8"/>
    </w:pPr>
    <w:rPr>
      <w:rFonts w:ascii="Arial" w:hAnsi="Arial" w:eastAsia="Arial" w:cs="Arial"/>
      <w:i/>
      <w:iCs/>
      <w:sz w:val="21"/>
      <w:szCs w:val="21"/>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Normal Indent"/>
    <w:basedOn w:val="940"/>
    <w:uiPriority w:val="0"/>
    <w:qFormat/>
    <w:pPr>
      <w:ind w:firstLine="420"/>
    </w:pPr>
  </w:style>
  <w:style w:type="paragraph" w:styleId="953">
    <w:name w:val="toc 7"/>
    <w:basedOn w:val="940"/>
    <w:next w:val="940"/>
    <w:uiPriority w:val="39"/>
    <w:unhideWhenUsed/>
    <w:qFormat/>
    <w:pPr>
      <w:ind w:left="1701" w:right="0" w:firstLine="0"/>
      <w:spacing w:after="57"/>
    </w:pPr>
  </w:style>
  <w:style w:type="paragraph" w:styleId="954">
    <w:name w:val="Caption"/>
    <w:basedOn w:val="940"/>
    <w:next w:val="9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5">
    <w:name w:val="index 5"/>
    <w:basedOn w:val="940"/>
    <w:next w:val="940"/>
    <w:uiPriority w:val="99"/>
    <w:unhideWhenUsed/>
    <w:qFormat/>
    <w:pPr>
      <w:ind w:left="1050" w:hanging="210"/>
      <w:jc w:val="left"/>
    </w:pPr>
    <w:rPr>
      <w:rFonts w:hint="default"/>
      <w:sz w:val="18"/>
      <w:szCs w:val="24"/>
      <w:lang w:eastAsia="zh-TW"/>
    </w:rPr>
  </w:style>
  <w:style w:type="paragraph" w:styleId="956">
    <w:name w:val="Body Text"/>
    <w:basedOn w:val="940"/>
    <w:next w:val="940"/>
    <w:uiPriority w:val="0"/>
    <w:qFormat/>
    <w:rPr>
      <w:rFonts w:ascii="楷体_GB2312" w:hAnsi="Arial" w:eastAsia="楷体_GB2312" w:cs="Times New Roman"/>
      <w:sz w:val="28"/>
      <w:szCs w:val="28"/>
    </w:rPr>
  </w:style>
  <w:style w:type="paragraph" w:styleId="957">
    <w:name w:val="Body Text Indent"/>
    <w:basedOn w:val="940"/>
    <w:next w:val="958"/>
    <w:uiPriority w:val="0"/>
    <w:unhideWhenUsed/>
    <w:qFormat/>
    <w:pPr>
      <w:ind w:left="420"/>
      <w:spacing w:after="120"/>
    </w:pPr>
  </w:style>
  <w:style w:type="paragraph" w:styleId="958">
    <w:name w:val="envelope return"/>
    <w:basedOn w:val="940"/>
    <w:next w:val="953"/>
    <w:uiPriority w:val="99"/>
    <w:qFormat/>
    <w:rPr>
      <w:rFonts w:ascii="Arial" w:hAnsi="Arial" w:cs="Arial"/>
    </w:rPr>
  </w:style>
  <w:style w:type="paragraph" w:styleId="959">
    <w:name w:val="toc 5"/>
    <w:basedOn w:val="940"/>
    <w:next w:val="940"/>
    <w:uiPriority w:val="39"/>
    <w:unhideWhenUsed/>
    <w:qFormat/>
    <w:pPr>
      <w:ind w:left="1134" w:right="0" w:firstLine="0"/>
      <w:spacing w:after="57"/>
    </w:pPr>
  </w:style>
  <w:style w:type="paragraph" w:styleId="960">
    <w:name w:val="toc 3"/>
    <w:basedOn w:val="940"/>
    <w:next w:val="940"/>
    <w:uiPriority w:val="39"/>
    <w:unhideWhenUsed/>
    <w:qFormat/>
    <w:pPr>
      <w:ind w:left="567" w:right="0" w:firstLine="0"/>
      <w:spacing w:after="57"/>
    </w:pPr>
  </w:style>
  <w:style w:type="paragraph" w:styleId="961">
    <w:name w:val="toc 8"/>
    <w:basedOn w:val="940"/>
    <w:next w:val="940"/>
    <w:uiPriority w:val="39"/>
    <w:unhideWhenUsed/>
    <w:qFormat/>
    <w:pPr>
      <w:ind w:left="1984" w:right="0" w:firstLine="0"/>
      <w:spacing w:after="57"/>
    </w:pPr>
  </w:style>
  <w:style w:type="paragraph" w:styleId="962">
    <w:name w:val="endnote text"/>
    <w:basedOn w:val="940"/>
    <w:link w:val="1133"/>
    <w:uiPriority w:val="99"/>
    <w:semiHidden/>
    <w:unhideWhenUsed/>
    <w:qFormat/>
    <w:pPr>
      <w:spacing w:after="0" w:line="240" w:lineRule="auto"/>
    </w:pPr>
    <w:rPr>
      <w:sz w:val="20"/>
    </w:rPr>
  </w:style>
  <w:style w:type="paragraph" w:styleId="963">
    <w:name w:val="Footer"/>
    <w:basedOn w:val="940"/>
    <w:link w:val="1006"/>
    <w:uiPriority w:val="99"/>
    <w:unhideWhenUsed/>
    <w:qFormat/>
    <w:pPr>
      <w:spacing w:after="0" w:line="240" w:lineRule="auto"/>
      <w:tabs>
        <w:tab w:val="center" w:pos="7143" w:leader="none"/>
        <w:tab w:val="right" w:pos="14287" w:leader="none"/>
      </w:tabs>
    </w:pPr>
  </w:style>
  <w:style w:type="paragraph" w:styleId="964">
    <w:name w:val="Header"/>
    <w:basedOn w:val="940"/>
    <w:link w:val="1004"/>
    <w:uiPriority w:val="99"/>
    <w:unhideWhenUsed/>
    <w:qFormat/>
    <w:pPr>
      <w:spacing w:after="0" w:line="240" w:lineRule="auto"/>
      <w:tabs>
        <w:tab w:val="center" w:pos="7143" w:leader="none"/>
        <w:tab w:val="right" w:pos="14287" w:leader="none"/>
      </w:tabs>
    </w:pPr>
  </w:style>
  <w:style w:type="paragraph" w:styleId="965">
    <w:name w:val="toc 1"/>
    <w:basedOn w:val="940"/>
    <w:next w:val="940"/>
    <w:uiPriority w:val="39"/>
    <w:unhideWhenUsed/>
    <w:qFormat/>
    <w:pPr>
      <w:ind w:left="0" w:right="0" w:firstLine="0"/>
      <w:spacing w:after="57"/>
    </w:pPr>
  </w:style>
  <w:style w:type="paragraph" w:styleId="966">
    <w:name w:val="toc 4"/>
    <w:basedOn w:val="940"/>
    <w:next w:val="940"/>
    <w:uiPriority w:val="39"/>
    <w:unhideWhenUsed/>
    <w:qFormat/>
    <w:pPr>
      <w:ind w:left="850" w:right="0" w:firstLine="0"/>
      <w:spacing w:after="57"/>
    </w:pPr>
  </w:style>
  <w:style w:type="paragraph" w:styleId="967">
    <w:name w:val="Subtitle"/>
    <w:basedOn w:val="940"/>
    <w:next w:val="940"/>
    <w:link w:val="999"/>
    <w:uiPriority w:val="11"/>
    <w:qFormat/>
    <w:pPr>
      <w:spacing w:before="200" w:after="200"/>
    </w:pPr>
    <w:rPr>
      <w:sz w:val="24"/>
      <w:szCs w:val="24"/>
    </w:rPr>
  </w:style>
  <w:style w:type="paragraph" w:styleId="968">
    <w:name w:val="footnote text"/>
    <w:basedOn w:val="940"/>
    <w:link w:val="1132"/>
    <w:uiPriority w:val="99"/>
    <w:semiHidden/>
    <w:unhideWhenUsed/>
    <w:qFormat/>
    <w:pPr>
      <w:spacing w:after="40" w:line="240" w:lineRule="auto"/>
    </w:pPr>
    <w:rPr>
      <w:sz w:val="18"/>
    </w:rPr>
  </w:style>
  <w:style w:type="paragraph" w:styleId="969">
    <w:name w:val="toc 6"/>
    <w:basedOn w:val="940"/>
    <w:next w:val="940"/>
    <w:uiPriority w:val="39"/>
    <w:unhideWhenUsed/>
    <w:qFormat/>
    <w:pPr>
      <w:ind w:left="1417" w:right="0" w:firstLine="0"/>
      <w:spacing w:after="57"/>
    </w:pPr>
  </w:style>
  <w:style w:type="paragraph" w:styleId="970">
    <w:name w:val="table of figures"/>
    <w:basedOn w:val="940"/>
    <w:next w:val="940"/>
    <w:uiPriority w:val="99"/>
    <w:unhideWhenUsed/>
    <w:qFormat/>
    <w:pPr>
      <w:spacing w:after="0" w:afterAutospacing="0"/>
    </w:pPr>
  </w:style>
  <w:style w:type="paragraph" w:styleId="971">
    <w:name w:val="toc 2"/>
    <w:basedOn w:val="940"/>
    <w:next w:val="940"/>
    <w:uiPriority w:val="39"/>
    <w:unhideWhenUsed/>
    <w:qFormat/>
    <w:pPr>
      <w:ind w:left="283" w:right="0" w:firstLine="0"/>
      <w:spacing w:after="57"/>
    </w:pPr>
  </w:style>
  <w:style w:type="paragraph" w:styleId="972">
    <w:name w:val="toc 9"/>
    <w:basedOn w:val="940"/>
    <w:next w:val="940"/>
    <w:uiPriority w:val="39"/>
    <w:unhideWhenUsed/>
    <w:qFormat/>
    <w:pPr>
      <w:ind w:left="2268" w:right="0" w:firstLine="0"/>
      <w:spacing w:after="57"/>
    </w:pPr>
  </w:style>
  <w:style w:type="paragraph" w:styleId="973">
    <w:name w:val="Normal (Web)"/>
    <w:basedOn w:val="940"/>
    <w:uiPriority w:val="99"/>
    <w:semiHidden/>
    <w:unhideWhenUsed/>
    <w:qFormat/>
    <w:pPr>
      <w:ind w:left="0" w:right="0"/>
      <w:jc w:val="left"/>
      <w:spacing w:before="0" w:beforeAutospacing="1" w:after="0" w:afterAutospacing="1"/>
    </w:pPr>
    <w:rPr>
      <w:sz w:val="24"/>
      <w:lang w:val="en-US" w:eastAsia="zh-CN" w:bidi="ar"/>
    </w:rPr>
  </w:style>
  <w:style w:type="paragraph" w:styleId="974">
    <w:name w:val="Title"/>
    <w:basedOn w:val="940"/>
    <w:next w:val="940"/>
    <w:link w:val="998"/>
    <w:uiPriority w:val="10"/>
    <w:qFormat/>
    <w:pPr>
      <w:contextualSpacing/>
      <w:spacing w:before="300" w:after="200"/>
    </w:pPr>
    <w:rPr>
      <w:sz w:val="48"/>
      <w:szCs w:val="48"/>
    </w:rPr>
  </w:style>
  <w:style w:type="paragraph" w:styleId="975">
    <w:name w:val="Body Text First Indent 2"/>
    <w:basedOn w:val="957"/>
    <w:uiPriority w:val="0"/>
    <w:qFormat/>
    <w:pPr>
      <w:ind w:left="0" w:firstLine="420"/>
      <w:spacing w:after="0" w:line="360" w:lineRule="auto"/>
    </w:pPr>
    <w:rPr>
      <w:rFonts w:ascii="宋体" w:hAnsi="宋体" w:eastAsia="宋体" w:cs="Times New Roman"/>
      <w:szCs w:val="20"/>
    </w:rPr>
  </w:style>
  <w:style w:type="table" w:styleId="9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Strong"/>
    <w:basedOn w:val="950"/>
    <w:uiPriority w:val="22"/>
    <w:qFormat/>
    <w:rPr>
      <w:b/>
    </w:rPr>
  </w:style>
  <w:style w:type="character" w:styleId="978">
    <w:name w:val="endnote reference"/>
    <w:uiPriority w:val="99"/>
    <w:semiHidden/>
    <w:unhideWhenUsed/>
    <w:qFormat/>
    <w:rPr>
      <w:vertAlign w:val="superscript"/>
    </w:rPr>
  </w:style>
  <w:style w:type="character" w:styleId="979">
    <w:name w:val="FollowedHyperlink"/>
    <w:basedOn w:val="950"/>
    <w:uiPriority w:val="99"/>
    <w:semiHidden/>
    <w:unhideWhenUsed/>
    <w:qFormat/>
    <w:rPr>
      <w:color w:val="333333"/>
      <w:u w:val="none"/>
    </w:rPr>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annotation reference"/>
    <w:uiPriority w:val="0"/>
    <w:qFormat/>
    <w:rPr>
      <w:sz w:val="21"/>
      <w:szCs w:val="21"/>
    </w:rPr>
  </w:style>
  <w:style w:type="character" w:styleId="982">
    <w:name w:val="footnote reference"/>
    <w:uiPriority w:val="99"/>
    <w:unhideWhenUsed/>
    <w:qFormat/>
    <w:rPr>
      <w:vertAlign w:val="superscript"/>
    </w:rPr>
  </w:style>
  <w:style w:type="paragraph" w:styleId="983" w:customStyle="1">
    <w:name w:val="目录 11"/>
    <w:basedOn w:val="940"/>
    <w:next w:val="94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4" w:customStyle="1">
    <w:name w:val="标题 211"/>
    <w:basedOn w:val="940"/>
    <w:next w:val="940"/>
    <w:uiPriority w:val="99"/>
    <w:qFormat/>
    <w:pPr>
      <w:jc w:val="left"/>
      <w:keepLines/>
      <w:keepNext/>
      <w:outlineLvl w:val="1"/>
    </w:pPr>
    <w:rPr>
      <w:rFonts w:ascii="宋体" w:hAnsi="宋体" w:eastAsia="楷体_GB2312" w:cs="宋体"/>
      <w:b/>
      <w:bCs/>
      <w:sz w:val="26"/>
      <w:szCs w:val="26"/>
    </w:rPr>
  </w:style>
  <w:style w:type="paragraph" w:styleId="985" w:customStyle="1">
    <w:name w:val="信息标题1"/>
    <w:basedOn w:val="94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86" w:customStyle="1">
    <w:name w:val="标题 21"/>
    <w:basedOn w:val="940"/>
    <w:next w:val="940"/>
    <w:link w:val="114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87" w:customStyle="1">
    <w:name w:val="Heading 1 Char"/>
    <w:link w:val="941"/>
    <w:uiPriority w:val="9"/>
    <w:qFormat/>
    <w:rPr>
      <w:rFonts w:ascii="Arial" w:hAnsi="Arial" w:eastAsia="Arial" w:cs="Arial"/>
      <w:sz w:val="40"/>
      <w:szCs w:val="40"/>
    </w:rPr>
  </w:style>
  <w:style w:type="character" w:styleId="988" w:customStyle="1">
    <w:name w:val="Heading 2 Char"/>
    <w:link w:val="942"/>
    <w:uiPriority w:val="9"/>
    <w:qFormat/>
    <w:rPr>
      <w:rFonts w:ascii="Arial" w:hAnsi="Arial" w:eastAsia="Arial" w:cs="Arial"/>
      <w:sz w:val="34"/>
    </w:rPr>
  </w:style>
  <w:style w:type="character" w:styleId="989" w:customStyle="1">
    <w:name w:val="Heading 3 Char"/>
    <w:link w:val="943"/>
    <w:uiPriority w:val="9"/>
    <w:qFormat/>
    <w:rPr>
      <w:rFonts w:ascii="Arial" w:hAnsi="Arial" w:eastAsia="Arial" w:cs="Arial"/>
      <w:sz w:val="30"/>
      <w:szCs w:val="30"/>
    </w:rPr>
  </w:style>
  <w:style w:type="character" w:styleId="990" w:customStyle="1">
    <w:name w:val="Heading 4 Char"/>
    <w:link w:val="944"/>
    <w:uiPriority w:val="9"/>
    <w:qFormat/>
    <w:rPr>
      <w:rFonts w:ascii="Arial" w:hAnsi="Arial" w:eastAsia="Arial" w:cs="Arial"/>
      <w:b/>
      <w:bCs/>
      <w:sz w:val="26"/>
      <w:szCs w:val="26"/>
    </w:rPr>
  </w:style>
  <w:style w:type="character" w:styleId="991" w:customStyle="1">
    <w:name w:val="Heading 5 Char"/>
    <w:link w:val="945"/>
    <w:uiPriority w:val="9"/>
    <w:qFormat/>
    <w:rPr>
      <w:rFonts w:ascii="Arial" w:hAnsi="Arial" w:eastAsia="Arial" w:cs="Arial"/>
      <w:b/>
      <w:bCs/>
      <w:sz w:val="24"/>
      <w:szCs w:val="24"/>
    </w:rPr>
  </w:style>
  <w:style w:type="character" w:styleId="992" w:customStyle="1">
    <w:name w:val="Heading 6 Char"/>
    <w:link w:val="946"/>
    <w:uiPriority w:val="9"/>
    <w:qFormat/>
    <w:rPr>
      <w:rFonts w:ascii="Arial" w:hAnsi="Arial" w:eastAsia="Arial" w:cs="Arial"/>
      <w:b/>
      <w:bCs/>
      <w:sz w:val="22"/>
      <w:szCs w:val="22"/>
    </w:rPr>
  </w:style>
  <w:style w:type="character" w:styleId="993" w:customStyle="1">
    <w:name w:val="Heading 7 Char"/>
    <w:link w:val="947"/>
    <w:uiPriority w:val="9"/>
    <w:qFormat/>
    <w:rPr>
      <w:rFonts w:ascii="Arial" w:hAnsi="Arial" w:eastAsia="Arial" w:cs="Arial"/>
      <w:b/>
      <w:bCs/>
      <w:i/>
      <w:iCs/>
      <w:sz w:val="22"/>
      <w:szCs w:val="22"/>
    </w:rPr>
  </w:style>
  <w:style w:type="character" w:styleId="994" w:customStyle="1">
    <w:name w:val="Heading 8 Char"/>
    <w:link w:val="948"/>
    <w:uiPriority w:val="9"/>
    <w:qFormat/>
    <w:rPr>
      <w:rFonts w:ascii="Arial" w:hAnsi="Arial" w:eastAsia="Arial" w:cs="Arial"/>
      <w:i/>
      <w:iCs/>
      <w:sz w:val="22"/>
      <w:szCs w:val="22"/>
    </w:rPr>
  </w:style>
  <w:style w:type="character" w:styleId="995" w:customStyle="1">
    <w:name w:val="Heading 9 Char"/>
    <w:link w:val="949"/>
    <w:uiPriority w:val="9"/>
    <w:qFormat/>
    <w:rPr>
      <w:rFonts w:ascii="Arial" w:hAnsi="Arial" w:eastAsia="Arial" w:cs="Arial"/>
      <w:i/>
      <w:iCs/>
      <w:sz w:val="21"/>
      <w:szCs w:val="21"/>
    </w:rPr>
  </w:style>
  <w:style w:type="paragraph" w:styleId="996">
    <w:name w:val="List Paragraph"/>
    <w:basedOn w:val="940"/>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character" w:styleId="998" w:customStyle="1">
    <w:name w:val="Title Char"/>
    <w:link w:val="974"/>
    <w:uiPriority w:val="10"/>
    <w:qFormat/>
    <w:rPr>
      <w:sz w:val="48"/>
      <w:szCs w:val="48"/>
    </w:rPr>
  </w:style>
  <w:style w:type="character" w:styleId="999" w:customStyle="1">
    <w:name w:val="Subtitle Char"/>
    <w:link w:val="967"/>
    <w:uiPriority w:val="11"/>
    <w:qFormat/>
    <w:rPr>
      <w:sz w:val="24"/>
      <w:szCs w:val="24"/>
    </w:rPr>
  </w:style>
  <w:style w:type="paragraph" w:styleId="1000">
    <w:name w:val="Quote"/>
    <w:basedOn w:val="940"/>
    <w:next w:val="940"/>
    <w:link w:val="1001"/>
    <w:uiPriority w:val="29"/>
    <w:qFormat/>
    <w:pPr>
      <w:ind w:left="720" w:right="720"/>
    </w:pPr>
    <w:rPr>
      <w:i/>
    </w:rPr>
  </w:style>
  <w:style w:type="character" w:styleId="1001" w:customStyle="1">
    <w:name w:val="Quote Char"/>
    <w:link w:val="1000"/>
    <w:uiPriority w:val="29"/>
    <w:qFormat/>
    <w:rPr>
      <w:i/>
    </w:rPr>
  </w:style>
  <w:style w:type="paragraph" w:styleId="1002">
    <w:name w:val="Intense Quote"/>
    <w:basedOn w:val="940"/>
    <w:next w:val="940"/>
    <w:link w:val="10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Intense Quote Char"/>
    <w:link w:val="1002"/>
    <w:uiPriority w:val="30"/>
    <w:qFormat/>
    <w:rPr>
      <w:i/>
    </w:rPr>
  </w:style>
  <w:style w:type="character" w:styleId="1004" w:customStyle="1">
    <w:name w:val="Header Char"/>
    <w:link w:val="964"/>
    <w:uiPriority w:val="99"/>
    <w:qFormat/>
  </w:style>
  <w:style w:type="character" w:styleId="1005" w:customStyle="1">
    <w:name w:val="Footer Char"/>
    <w:link w:val="963"/>
    <w:uiPriority w:val="99"/>
    <w:qFormat/>
  </w:style>
  <w:style w:type="character" w:styleId="1006" w:customStyle="1">
    <w:name w:val="Caption Char"/>
    <w:link w:val="963"/>
    <w:uiPriority w:val="99"/>
    <w:qFormat/>
  </w:style>
  <w:style w:type="table" w:styleId="10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Footnote Text Char"/>
    <w:link w:val="968"/>
    <w:uiPriority w:val="99"/>
    <w:qFormat/>
    <w:rPr>
      <w:sz w:val="18"/>
    </w:rPr>
  </w:style>
  <w:style w:type="character" w:styleId="1133" w:customStyle="1">
    <w:name w:val="Endnote Text Char"/>
    <w:link w:val="962"/>
    <w:uiPriority w:val="99"/>
    <w:qFormat/>
    <w:rPr>
      <w:sz w:val="20"/>
    </w:rPr>
  </w:style>
  <w:style w:type="paragraph" w:styleId="1134" w:customStyle="1">
    <w:name w:val="TOC Heading"/>
    <w:uiPriority w:val="39"/>
    <w:unhideWhenUsed/>
    <w:qFormat/>
    <w:rPr>
      <w:rFonts w:hint="default" w:ascii="Times New Roman" w:hAnsi="Times New Roman" w:eastAsia="宋体" w:cs="Times New Roman"/>
    </w:rPr>
  </w:style>
  <w:style w:type="paragraph" w:styleId="1135" w:customStyle="1">
    <w:name w:val="标题 11"/>
    <w:basedOn w:val="940"/>
    <w:next w:val="940"/>
    <w:link w:val="1148"/>
    <w:uiPriority w:val="0"/>
    <w:qFormat/>
    <w:pPr>
      <w:jc w:val="center"/>
      <w:keepNext/>
      <w:outlineLvl w:val="0"/>
    </w:pPr>
    <w:rPr>
      <w:rFonts w:ascii="楷体_GB2312" w:hAnsi="Times New Roman" w:eastAsia="楷体_GB2312" w:cs="Times New Roman"/>
      <w:sz w:val="28"/>
      <w:szCs w:val="28"/>
    </w:rPr>
  </w:style>
  <w:style w:type="paragraph" w:styleId="1136" w:customStyle="1">
    <w:name w:val="正文缩进1"/>
    <w:basedOn w:val="940"/>
    <w:link w:val="1150"/>
    <w:uiPriority w:val="0"/>
    <w:qFormat/>
    <w:pPr>
      <w:ind w:firstLine="420"/>
    </w:pPr>
    <w:rPr>
      <w:szCs w:val="21"/>
    </w:rPr>
  </w:style>
  <w:style w:type="paragraph" w:styleId="1137" w:customStyle="1">
    <w:name w:val="标题 31"/>
    <w:basedOn w:val="940"/>
    <w:next w:val="940"/>
    <w:link w:val="115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38" w:customStyle="1">
    <w:name w:val="标题 41"/>
    <w:basedOn w:val="940"/>
    <w:next w:val="940"/>
    <w:link w:val="1152"/>
    <w:uiPriority w:val="0"/>
    <w:qFormat/>
    <w:pPr>
      <w:keepLines/>
      <w:keepNext/>
      <w:spacing w:before="280" w:after="290" w:line="376" w:lineRule="auto"/>
      <w:outlineLvl w:val="3"/>
    </w:pPr>
    <w:rPr>
      <w:rFonts w:ascii="Arial" w:hAnsi="Arial" w:eastAsia="黑体" w:cs="Arial"/>
      <w:b/>
      <w:bCs/>
      <w:sz w:val="28"/>
      <w:szCs w:val="28"/>
    </w:rPr>
  </w:style>
  <w:style w:type="paragraph" w:styleId="1139" w:customStyle="1">
    <w:name w:val="标题 51"/>
    <w:basedOn w:val="940"/>
    <w:next w:val="1136"/>
    <w:link w:val="1153"/>
    <w:uiPriority w:val="0"/>
    <w:qFormat/>
    <w:pPr>
      <w:keepNext/>
      <w:outlineLvl w:val="4"/>
    </w:pPr>
    <w:rPr>
      <w:rFonts w:ascii="宋体" w:hAnsi="Times New Roman" w:eastAsia="宋体" w:cs="Times New Roman"/>
      <w:color w:val="000000"/>
      <w:sz w:val="28"/>
      <w:szCs w:val="28"/>
    </w:rPr>
  </w:style>
  <w:style w:type="paragraph" w:styleId="1140" w:customStyle="1">
    <w:name w:val="标题 61"/>
    <w:basedOn w:val="940"/>
    <w:next w:val="940"/>
    <w:link w:val="115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1" w:customStyle="1">
    <w:name w:val="标题 71"/>
    <w:basedOn w:val="940"/>
    <w:next w:val="940"/>
    <w:link w:val="115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2" w:customStyle="1">
    <w:name w:val="标题 81"/>
    <w:basedOn w:val="940"/>
    <w:next w:val="940"/>
    <w:link w:val="115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3" w:customStyle="1">
    <w:name w:val="标题 91"/>
    <w:basedOn w:val="940"/>
    <w:next w:val="940"/>
    <w:link w:val="115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4" w:customStyle="1">
    <w:name w:val="默认段落字体1"/>
    <w:link w:val="940"/>
    <w:uiPriority w:val="1"/>
    <w:unhideWhenUsed/>
    <w:qFormat/>
  </w:style>
  <w:style w:type="table" w:styleId="1145" w:customStyle="1">
    <w:name w:val="普通表格1"/>
    <w:uiPriority w:val="99"/>
    <w:unhideWhenUsed/>
    <w:qFormat/>
    <w:tblPr/>
  </w:style>
  <w:style w:type="paragraph" w:styleId="1146" w:customStyle="1">
    <w:name w:val="正文文本11"/>
    <w:basedOn w:val="940"/>
    <w:next w:val="940"/>
    <w:link w:val="1147"/>
    <w:uiPriority w:val="0"/>
    <w:qFormat/>
    <w:rPr>
      <w:rFonts w:ascii="楷体_GB2312" w:hAnsi="Arial" w:eastAsia="楷体_GB2312" w:cs="Times New Roman"/>
      <w:sz w:val="28"/>
      <w:szCs w:val="28"/>
    </w:rPr>
  </w:style>
  <w:style w:type="character" w:styleId="1147" w:customStyle="1">
    <w:name w:val="正文文本 Char"/>
    <w:link w:val="1146"/>
    <w:uiPriority w:val="0"/>
    <w:qFormat/>
    <w:rPr>
      <w:rFonts w:ascii="楷体_GB2312" w:hAnsi="Arial" w:eastAsia="楷体_GB2312" w:cs="Times New Roman"/>
      <w:sz w:val="28"/>
      <w:szCs w:val="28"/>
    </w:rPr>
  </w:style>
  <w:style w:type="character" w:styleId="1148" w:customStyle="1">
    <w:name w:val="标题 1 Char"/>
    <w:link w:val="1135"/>
    <w:uiPriority w:val="0"/>
    <w:qFormat/>
    <w:rPr>
      <w:rFonts w:ascii="楷体_GB2312" w:hAnsi="Times New Roman" w:eastAsia="楷体_GB2312" w:cs="Times New Roman"/>
      <w:sz w:val="28"/>
      <w:szCs w:val="28"/>
    </w:rPr>
  </w:style>
  <w:style w:type="character" w:styleId="1149" w:customStyle="1">
    <w:name w:val="标题 2 Char"/>
    <w:link w:val="986"/>
    <w:uiPriority w:val="0"/>
    <w:qFormat/>
    <w:rPr>
      <w:rFonts w:ascii="Arial" w:hAnsi="Arial" w:eastAsia="幼圆" w:cs="Arial"/>
      <w:b/>
      <w:bCs/>
      <w:sz w:val="44"/>
      <w:szCs w:val="44"/>
    </w:rPr>
  </w:style>
  <w:style w:type="character" w:styleId="1150" w:customStyle="1">
    <w:name w:val="正文缩进 Char"/>
    <w:link w:val="1136"/>
    <w:uiPriority w:val="0"/>
    <w:qFormat/>
    <w:rPr>
      <w:szCs w:val="21"/>
    </w:rPr>
  </w:style>
  <w:style w:type="character" w:styleId="1151" w:customStyle="1">
    <w:name w:val="标题 3 Char"/>
    <w:link w:val="1137"/>
    <w:uiPriority w:val="0"/>
    <w:qFormat/>
    <w:rPr>
      <w:rFonts w:ascii="Times New Roman" w:hAnsi="Times New Roman" w:eastAsia="宋体" w:cs="Times New Roman"/>
      <w:b/>
      <w:bCs/>
      <w:sz w:val="32"/>
      <w:szCs w:val="32"/>
    </w:rPr>
  </w:style>
  <w:style w:type="character" w:styleId="1152" w:customStyle="1">
    <w:name w:val="标题 4 Char"/>
    <w:link w:val="1138"/>
    <w:uiPriority w:val="0"/>
    <w:qFormat/>
    <w:rPr>
      <w:rFonts w:ascii="Arial" w:hAnsi="Arial" w:eastAsia="黑体" w:cs="Arial"/>
      <w:b/>
      <w:bCs/>
      <w:sz w:val="28"/>
      <w:szCs w:val="28"/>
    </w:rPr>
  </w:style>
  <w:style w:type="character" w:styleId="1153" w:customStyle="1">
    <w:name w:val="标题 5 Char"/>
    <w:link w:val="1139"/>
    <w:uiPriority w:val="0"/>
    <w:qFormat/>
    <w:rPr>
      <w:rFonts w:ascii="宋体" w:hAnsi="Times New Roman" w:eastAsia="宋体" w:cs="Times New Roman"/>
      <w:color w:val="000000"/>
      <w:sz w:val="28"/>
      <w:szCs w:val="28"/>
    </w:rPr>
  </w:style>
  <w:style w:type="character" w:styleId="1154" w:customStyle="1">
    <w:name w:val="标题 6 Char"/>
    <w:link w:val="1140"/>
    <w:uiPriority w:val="0"/>
    <w:qFormat/>
    <w:rPr>
      <w:rFonts w:ascii="Arial" w:hAnsi="Arial" w:eastAsia="黑体" w:cs="Times New Roman"/>
      <w:b/>
      <w:bCs/>
      <w:sz w:val="24"/>
      <w:szCs w:val="24"/>
    </w:rPr>
  </w:style>
  <w:style w:type="character" w:styleId="1155" w:customStyle="1">
    <w:name w:val="标题 7 Char"/>
    <w:link w:val="1141"/>
    <w:uiPriority w:val="0"/>
    <w:qFormat/>
    <w:rPr>
      <w:rFonts w:ascii="Times New Roman" w:hAnsi="Times New Roman" w:eastAsia="宋体" w:cs="Times New Roman"/>
      <w:b/>
      <w:bCs/>
      <w:sz w:val="24"/>
      <w:szCs w:val="24"/>
    </w:rPr>
  </w:style>
  <w:style w:type="character" w:styleId="1156" w:customStyle="1">
    <w:name w:val="标题 8 Char"/>
    <w:link w:val="1142"/>
    <w:uiPriority w:val="0"/>
    <w:qFormat/>
    <w:rPr>
      <w:rFonts w:ascii="Arial" w:hAnsi="Arial" w:eastAsia="黑体" w:cs="Times New Roman"/>
      <w:sz w:val="24"/>
      <w:szCs w:val="24"/>
    </w:rPr>
  </w:style>
  <w:style w:type="character" w:styleId="1157" w:customStyle="1">
    <w:name w:val="标题 9 Char"/>
    <w:link w:val="1143"/>
    <w:uiPriority w:val="0"/>
    <w:qFormat/>
    <w:rPr>
      <w:rFonts w:ascii="Arial" w:hAnsi="Arial" w:eastAsia="黑体" w:cs="Times New Roman"/>
      <w:szCs w:val="21"/>
    </w:rPr>
  </w:style>
  <w:style w:type="paragraph" w:styleId="1158" w:customStyle="1">
    <w:name w:val="列表 31"/>
    <w:basedOn w:val="940"/>
    <w:uiPriority w:val="0"/>
    <w:qFormat/>
    <w:pPr>
      <w:ind w:left="100" w:hanging="200"/>
    </w:pPr>
    <w:rPr>
      <w:rFonts w:ascii="Times New Roman" w:hAnsi="Times New Roman" w:eastAsia="宋体" w:cs="Times New Roman"/>
      <w:szCs w:val="21"/>
    </w:rPr>
  </w:style>
  <w:style w:type="paragraph" w:styleId="1159" w:customStyle="1">
    <w:name w:val="目录 71"/>
    <w:basedOn w:val="940"/>
    <w:next w:val="940"/>
    <w:uiPriority w:val="0"/>
    <w:semiHidden/>
    <w:qFormat/>
    <w:pPr>
      <w:ind w:left="1260"/>
      <w:jc w:val="left"/>
    </w:pPr>
    <w:rPr>
      <w:rFonts w:ascii="Times New Roman" w:hAnsi="Times New Roman" w:eastAsia="宋体" w:cs="Times New Roman"/>
      <w:szCs w:val="21"/>
    </w:rPr>
  </w:style>
  <w:style w:type="paragraph" w:styleId="1160" w:customStyle="1">
    <w:name w:val="文档结构图1"/>
    <w:basedOn w:val="940"/>
    <w:link w:val="1161"/>
    <w:uiPriority w:val="0"/>
    <w:semiHidden/>
    <w:qFormat/>
    <w:pPr>
      <w:shd w:val="clear" w:color="auto" w:fill="000080"/>
    </w:pPr>
    <w:rPr>
      <w:rFonts w:ascii="Times New Roman" w:hAnsi="Times New Roman" w:eastAsia="宋体" w:cs="Times New Roman"/>
      <w:szCs w:val="21"/>
    </w:rPr>
  </w:style>
  <w:style w:type="character" w:styleId="1161" w:customStyle="1">
    <w:name w:val="文档结构图 Char"/>
    <w:link w:val="1160"/>
    <w:uiPriority w:val="0"/>
    <w:semiHidden/>
    <w:qFormat/>
    <w:rPr>
      <w:rFonts w:ascii="Times New Roman" w:hAnsi="Times New Roman" w:eastAsia="宋体" w:cs="Times New Roman"/>
      <w:szCs w:val="21"/>
      <w:shd w:val="clear" w:color="auto" w:fill="000080"/>
    </w:rPr>
  </w:style>
  <w:style w:type="paragraph" w:styleId="1162" w:customStyle="1">
    <w:name w:val="批注文字1"/>
    <w:basedOn w:val="940"/>
    <w:link w:val="1163"/>
    <w:uiPriority w:val="0"/>
    <w:unhideWhenUsed/>
    <w:qFormat/>
    <w:pPr>
      <w:jc w:val="left"/>
    </w:pPr>
  </w:style>
  <w:style w:type="character" w:styleId="1163" w:customStyle="1">
    <w:name w:val="批注文字 Char"/>
    <w:basedOn w:val="1144"/>
    <w:link w:val="1162"/>
    <w:uiPriority w:val="99"/>
    <w:semiHidden/>
    <w:qFormat/>
  </w:style>
  <w:style w:type="paragraph" w:styleId="1164" w:customStyle="1">
    <w:name w:val="正文文本 31"/>
    <w:basedOn w:val="940"/>
    <w:link w:val="1165"/>
    <w:uiPriority w:val="0"/>
    <w:qFormat/>
    <w:rPr>
      <w:rFonts w:ascii="仿宋_GB2312" w:hAnsi="Arial" w:eastAsia="仿宋_GB2312" w:cs="Times New Roman"/>
      <w:sz w:val="32"/>
      <w:szCs w:val="32"/>
    </w:rPr>
  </w:style>
  <w:style w:type="character" w:styleId="1165" w:customStyle="1">
    <w:name w:val="正文文本 3 Char"/>
    <w:link w:val="1164"/>
    <w:uiPriority w:val="0"/>
    <w:qFormat/>
    <w:rPr>
      <w:rFonts w:ascii="仿宋_GB2312" w:hAnsi="Arial" w:eastAsia="仿宋_GB2312" w:cs="Times New Roman"/>
      <w:sz w:val="32"/>
      <w:szCs w:val="32"/>
    </w:rPr>
  </w:style>
  <w:style w:type="paragraph" w:styleId="1166" w:customStyle="1">
    <w:name w:val="正文文本缩进1"/>
    <w:basedOn w:val="940"/>
    <w:next w:val="1167"/>
    <w:link w:val="1168"/>
    <w:uiPriority w:val="0"/>
    <w:unhideWhenUsed/>
    <w:qFormat/>
    <w:pPr>
      <w:ind w:left="420"/>
      <w:spacing w:after="120"/>
    </w:pPr>
  </w:style>
  <w:style w:type="paragraph" w:styleId="1167" w:customStyle="1">
    <w:name w:val="寄信人地址1"/>
    <w:basedOn w:val="940"/>
    <w:uiPriority w:val="99"/>
    <w:unhideWhenUsed/>
    <w:qFormat/>
    <w:rPr>
      <w:rFonts w:ascii="Arial" w:hAnsi="Arial"/>
    </w:rPr>
  </w:style>
  <w:style w:type="character" w:styleId="1168" w:customStyle="1">
    <w:name w:val="正文文本缩进 Char"/>
    <w:basedOn w:val="1144"/>
    <w:link w:val="1166"/>
    <w:uiPriority w:val="99"/>
    <w:semiHidden/>
    <w:qFormat/>
  </w:style>
  <w:style w:type="paragraph" w:styleId="1169" w:customStyle="1">
    <w:name w:val="列表 21"/>
    <w:basedOn w:val="940"/>
    <w:uiPriority w:val="0"/>
    <w:qFormat/>
    <w:pPr>
      <w:ind w:left="100" w:hanging="200"/>
    </w:pPr>
    <w:rPr>
      <w:rFonts w:ascii="Times New Roman" w:hAnsi="Times New Roman" w:eastAsia="宋体" w:cs="Times New Roman"/>
      <w:szCs w:val="21"/>
    </w:rPr>
  </w:style>
  <w:style w:type="paragraph" w:styleId="1170" w:customStyle="1">
    <w:name w:val="目录 51"/>
    <w:basedOn w:val="940"/>
    <w:next w:val="940"/>
    <w:uiPriority w:val="0"/>
    <w:semiHidden/>
    <w:qFormat/>
    <w:pPr>
      <w:ind w:left="840"/>
      <w:jc w:val="left"/>
    </w:pPr>
    <w:rPr>
      <w:rFonts w:ascii="Times New Roman" w:hAnsi="Times New Roman" w:eastAsia="宋体" w:cs="Times New Roman"/>
      <w:szCs w:val="21"/>
    </w:rPr>
  </w:style>
  <w:style w:type="paragraph" w:styleId="1171" w:customStyle="1">
    <w:name w:val="目录 31"/>
    <w:basedOn w:val="940"/>
    <w:next w:val="940"/>
    <w:uiPriority w:val="0"/>
    <w:semiHidden/>
    <w:qFormat/>
    <w:pPr>
      <w:ind w:left="420"/>
      <w:jc w:val="left"/>
    </w:pPr>
    <w:rPr>
      <w:rFonts w:ascii="Times New Roman" w:hAnsi="Times New Roman" w:eastAsia="宋体" w:cs="Times New Roman"/>
      <w:i/>
      <w:iCs/>
      <w:szCs w:val="24"/>
    </w:rPr>
  </w:style>
  <w:style w:type="paragraph" w:styleId="1172" w:customStyle="1">
    <w:name w:val="纯文本1"/>
    <w:basedOn w:val="940"/>
    <w:link w:val="1173"/>
    <w:uiPriority w:val="0"/>
    <w:qFormat/>
    <w:rPr>
      <w:rFonts w:ascii="宋体" w:hAnsi="Courier New" w:eastAsia="宋体" w:cs="Courier New"/>
      <w:szCs w:val="21"/>
    </w:rPr>
  </w:style>
  <w:style w:type="character" w:styleId="1173" w:customStyle="1">
    <w:name w:val="纯文本 Char"/>
    <w:link w:val="1172"/>
    <w:uiPriority w:val="0"/>
    <w:qFormat/>
    <w:rPr>
      <w:rFonts w:ascii="宋体" w:hAnsi="Courier New" w:eastAsia="宋体" w:cs="Courier New"/>
      <w:szCs w:val="21"/>
    </w:rPr>
  </w:style>
  <w:style w:type="paragraph" w:styleId="1174" w:customStyle="1">
    <w:name w:val="目录 81"/>
    <w:basedOn w:val="940"/>
    <w:next w:val="940"/>
    <w:uiPriority w:val="0"/>
    <w:semiHidden/>
    <w:qFormat/>
    <w:pPr>
      <w:ind w:left="1470"/>
      <w:jc w:val="left"/>
    </w:pPr>
    <w:rPr>
      <w:rFonts w:ascii="Times New Roman" w:hAnsi="Times New Roman" w:eastAsia="宋体" w:cs="Times New Roman"/>
      <w:szCs w:val="21"/>
    </w:rPr>
  </w:style>
  <w:style w:type="paragraph" w:styleId="1175" w:customStyle="1">
    <w:name w:val="日期1"/>
    <w:basedOn w:val="940"/>
    <w:next w:val="940"/>
    <w:link w:val="1176"/>
    <w:uiPriority w:val="0"/>
    <w:qFormat/>
    <w:rPr>
      <w:rFonts w:ascii="Times New Roman" w:hAnsi="Times New Roman" w:eastAsia="宋体" w:cs="Times New Roman"/>
      <w:sz w:val="24"/>
      <w:szCs w:val="24"/>
    </w:rPr>
  </w:style>
  <w:style w:type="character" w:styleId="1176" w:customStyle="1">
    <w:name w:val="日期 Char"/>
    <w:link w:val="1175"/>
    <w:uiPriority w:val="0"/>
    <w:qFormat/>
    <w:rPr>
      <w:rFonts w:ascii="Times New Roman" w:hAnsi="Times New Roman" w:eastAsia="宋体" w:cs="Times New Roman"/>
      <w:sz w:val="24"/>
      <w:szCs w:val="24"/>
    </w:rPr>
  </w:style>
  <w:style w:type="paragraph" w:styleId="1177" w:customStyle="1">
    <w:name w:val="正文文本缩进 21"/>
    <w:basedOn w:val="940"/>
    <w:link w:val="1178"/>
    <w:uiPriority w:val="0"/>
    <w:qFormat/>
    <w:pPr>
      <w:ind w:left="630" w:firstLine="645"/>
    </w:pPr>
    <w:rPr>
      <w:rFonts w:ascii="Arial" w:hAnsi="Arial" w:eastAsia="仿宋_GB2312" w:cs="Arial"/>
      <w:sz w:val="32"/>
      <w:szCs w:val="32"/>
    </w:rPr>
  </w:style>
  <w:style w:type="character" w:styleId="1178" w:customStyle="1">
    <w:name w:val="正文文本缩进 2 Char"/>
    <w:link w:val="1177"/>
    <w:uiPriority w:val="0"/>
    <w:qFormat/>
    <w:rPr>
      <w:rFonts w:ascii="Arial" w:hAnsi="Arial" w:eastAsia="仿宋_GB2312" w:cs="Arial"/>
      <w:sz w:val="32"/>
      <w:szCs w:val="32"/>
    </w:rPr>
  </w:style>
  <w:style w:type="paragraph" w:styleId="1179" w:customStyle="1">
    <w:name w:val="批注框文本1"/>
    <w:basedOn w:val="940"/>
    <w:link w:val="1180"/>
    <w:uiPriority w:val="0"/>
    <w:semiHidden/>
    <w:qFormat/>
    <w:rPr>
      <w:rFonts w:ascii="Times New Roman" w:hAnsi="Times New Roman" w:eastAsia="宋体" w:cs="Times New Roman"/>
      <w:sz w:val="18"/>
      <w:szCs w:val="18"/>
    </w:rPr>
  </w:style>
  <w:style w:type="character" w:styleId="1180" w:customStyle="1">
    <w:name w:val="批注框文本 Char"/>
    <w:link w:val="1179"/>
    <w:uiPriority w:val="0"/>
    <w:semiHidden/>
    <w:qFormat/>
    <w:rPr>
      <w:rFonts w:ascii="Times New Roman" w:hAnsi="Times New Roman" w:eastAsia="宋体" w:cs="Times New Roman"/>
      <w:sz w:val="18"/>
      <w:szCs w:val="18"/>
    </w:rPr>
  </w:style>
  <w:style w:type="paragraph" w:styleId="1181" w:customStyle="1">
    <w:name w:val="页脚1"/>
    <w:basedOn w:val="940"/>
    <w:link w:val="118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82" w:customStyle="1">
    <w:name w:val="页脚 Char"/>
    <w:link w:val="1181"/>
    <w:uiPriority w:val="0"/>
    <w:qFormat/>
    <w:rPr>
      <w:rFonts w:ascii="Times New Roman" w:hAnsi="Times New Roman" w:eastAsia="宋体" w:cs="Times New Roman"/>
      <w:sz w:val="18"/>
      <w:szCs w:val="18"/>
    </w:rPr>
  </w:style>
  <w:style w:type="paragraph" w:styleId="1183" w:customStyle="1">
    <w:name w:val="页眉1"/>
    <w:basedOn w:val="940"/>
    <w:link w:val="118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84" w:customStyle="1">
    <w:name w:val="页眉 Char"/>
    <w:link w:val="1183"/>
    <w:uiPriority w:val="0"/>
    <w:qFormat/>
    <w:rPr>
      <w:rFonts w:ascii="Times New Roman" w:hAnsi="Times New Roman" w:eastAsia="宋体" w:cs="Times New Roman"/>
      <w:sz w:val="18"/>
      <w:szCs w:val="18"/>
    </w:rPr>
  </w:style>
  <w:style w:type="paragraph" w:styleId="1185" w:customStyle="1">
    <w:name w:val="目录 41"/>
    <w:basedOn w:val="940"/>
    <w:next w:val="940"/>
    <w:uiPriority w:val="0"/>
    <w:semiHidden/>
    <w:qFormat/>
    <w:pPr>
      <w:ind w:left="630"/>
      <w:jc w:val="left"/>
    </w:pPr>
    <w:rPr>
      <w:rFonts w:ascii="Times New Roman" w:hAnsi="Times New Roman" w:eastAsia="宋体" w:cs="Times New Roman"/>
      <w:szCs w:val="21"/>
    </w:rPr>
  </w:style>
  <w:style w:type="paragraph" w:styleId="1186" w:customStyle="1">
    <w:name w:val="列表1"/>
    <w:basedOn w:val="940"/>
    <w:uiPriority w:val="0"/>
    <w:qFormat/>
    <w:pPr>
      <w:ind w:left="200" w:hanging="200"/>
    </w:pPr>
    <w:rPr>
      <w:rFonts w:ascii="Times New Roman" w:hAnsi="Times New Roman" w:eastAsia="宋体" w:cs="Times New Roman"/>
      <w:szCs w:val="21"/>
    </w:rPr>
  </w:style>
  <w:style w:type="paragraph" w:styleId="1187" w:customStyle="1">
    <w:name w:val="目录 61"/>
    <w:basedOn w:val="940"/>
    <w:next w:val="940"/>
    <w:uiPriority w:val="0"/>
    <w:semiHidden/>
    <w:qFormat/>
    <w:pPr>
      <w:ind w:left="1050"/>
      <w:jc w:val="left"/>
    </w:pPr>
    <w:rPr>
      <w:rFonts w:ascii="Times New Roman" w:hAnsi="Times New Roman" w:eastAsia="宋体" w:cs="Times New Roman"/>
      <w:szCs w:val="21"/>
    </w:rPr>
  </w:style>
  <w:style w:type="paragraph" w:styleId="1188" w:customStyle="1">
    <w:name w:val="正文文本缩进 31"/>
    <w:basedOn w:val="940"/>
    <w:link w:val="1189"/>
    <w:uiPriority w:val="0"/>
    <w:qFormat/>
    <w:pPr>
      <w:ind w:left="645" w:firstLine="645"/>
    </w:pPr>
    <w:rPr>
      <w:rFonts w:ascii="Arial" w:hAnsi="Arial" w:eastAsia="仿宋_GB2312" w:cs="Arial"/>
      <w:color w:val="ffff00"/>
      <w:sz w:val="32"/>
      <w:szCs w:val="32"/>
    </w:rPr>
  </w:style>
  <w:style w:type="character" w:styleId="1189" w:customStyle="1">
    <w:name w:val="正文文本缩进 3 Char"/>
    <w:link w:val="1188"/>
    <w:uiPriority w:val="0"/>
    <w:qFormat/>
    <w:rPr>
      <w:rFonts w:ascii="Arial" w:hAnsi="Arial" w:eastAsia="仿宋_GB2312" w:cs="Arial"/>
      <w:color w:val="ffff00"/>
      <w:sz w:val="32"/>
      <w:szCs w:val="32"/>
    </w:rPr>
  </w:style>
  <w:style w:type="paragraph" w:styleId="1190" w:customStyle="1">
    <w:name w:val="图表目录1"/>
    <w:basedOn w:val="940"/>
    <w:next w:val="940"/>
    <w:uiPriority w:val="0"/>
    <w:semiHidden/>
    <w:qFormat/>
    <w:pPr>
      <w:ind w:left="840" w:hanging="420"/>
    </w:pPr>
    <w:rPr>
      <w:rFonts w:ascii="Times New Roman" w:hAnsi="Times New Roman" w:eastAsia="宋体" w:cs="Times New Roman"/>
      <w:szCs w:val="21"/>
    </w:rPr>
  </w:style>
  <w:style w:type="paragraph" w:styleId="1191" w:customStyle="1">
    <w:name w:val="目录 21"/>
    <w:basedOn w:val="940"/>
    <w:next w:val="940"/>
    <w:uiPriority w:val="0"/>
    <w:semiHidden/>
    <w:qFormat/>
    <w:pPr>
      <w:ind w:left="210"/>
      <w:jc w:val="left"/>
    </w:pPr>
    <w:rPr>
      <w:rFonts w:ascii="Times New Roman" w:hAnsi="Times New Roman" w:eastAsia="宋体" w:cs="Times New Roman"/>
      <w:smallCaps/>
      <w:szCs w:val="24"/>
    </w:rPr>
  </w:style>
  <w:style w:type="paragraph" w:styleId="1192" w:customStyle="1">
    <w:name w:val="目录 91"/>
    <w:basedOn w:val="940"/>
    <w:next w:val="940"/>
    <w:uiPriority w:val="0"/>
    <w:semiHidden/>
    <w:qFormat/>
    <w:pPr>
      <w:ind w:left="1680"/>
      <w:jc w:val="left"/>
    </w:pPr>
    <w:rPr>
      <w:rFonts w:ascii="Times New Roman" w:hAnsi="Times New Roman" w:eastAsia="宋体" w:cs="Times New Roman"/>
      <w:szCs w:val="21"/>
    </w:rPr>
  </w:style>
  <w:style w:type="paragraph" w:styleId="1193" w:customStyle="1">
    <w:name w:val="正文文本 21"/>
    <w:basedOn w:val="940"/>
    <w:link w:val="1194"/>
    <w:uiPriority w:val="0"/>
    <w:qFormat/>
    <w:pPr>
      <w:jc w:val="center"/>
      <w:widowControl/>
    </w:pPr>
    <w:rPr>
      <w:rFonts w:ascii="楷体_GB2312" w:hAnsi="Times New Roman" w:eastAsia="楷体_GB2312" w:cs="Times New Roman"/>
      <w:sz w:val="28"/>
      <w:szCs w:val="28"/>
    </w:rPr>
  </w:style>
  <w:style w:type="character" w:styleId="1194" w:customStyle="1">
    <w:name w:val="正文文本 2 Char"/>
    <w:link w:val="1193"/>
    <w:uiPriority w:val="0"/>
    <w:qFormat/>
    <w:rPr>
      <w:rFonts w:ascii="楷体_GB2312" w:hAnsi="Times New Roman" w:eastAsia="楷体_GB2312" w:cs="Times New Roman"/>
      <w:sz w:val="28"/>
      <w:szCs w:val="28"/>
    </w:rPr>
  </w:style>
  <w:style w:type="paragraph" w:styleId="1195" w:customStyle="1">
    <w:name w:val="普通(网站)1"/>
    <w:basedOn w:val="940"/>
    <w:uiPriority w:val="99"/>
    <w:qFormat/>
    <w:pPr>
      <w:jc w:val="left"/>
      <w:spacing w:before="100" w:beforeAutospacing="1" w:after="100" w:afterAutospacing="1"/>
      <w:widowControl/>
    </w:pPr>
    <w:rPr>
      <w:rFonts w:ascii="宋体" w:hAnsi="宋体" w:eastAsia="宋体" w:cs="宋体"/>
      <w:sz w:val="24"/>
      <w:szCs w:val="24"/>
    </w:rPr>
  </w:style>
  <w:style w:type="paragraph" w:styleId="1196" w:customStyle="1">
    <w:name w:val="索引 11"/>
    <w:basedOn w:val="940"/>
    <w:next w:val="940"/>
    <w:uiPriority w:val="0"/>
    <w:semiHidden/>
    <w:qFormat/>
    <w:pPr>
      <w:spacing w:line="240" w:lineRule="atLeast"/>
    </w:pPr>
    <w:rPr>
      <w:rFonts w:ascii="Times New Roman" w:hAnsi="Times New Roman" w:eastAsia="宋体" w:cs="Times New Roman"/>
      <w:b/>
      <w:bCs/>
      <w:szCs w:val="21"/>
    </w:rPr>
  </w:style>
  <w:style w:type="paragraph" w:styleId="1197" w:customStyle="1">
    <w:name w:val="批注主题1"/>
    <w:basedOn w:val="1162"/>
    <w:next w:val="1162"/>
    <w:link w:val="1198"/>
    <w:uiPriority w:val="0"/>
    <w:semiHidden/>
    <w:qFormat/>
    <w:rPr>
      <w:rFonts w:ascii="Times New Roman" w:hAnsi="Times New Roman" w:eastAsia="宋体" w:cs="Times New Roman"/>
      <w:b/>
      <w:bCs/>
      <w:szCs w:val="21"/>
    </w:rPr>
  </w:style>
  <w:style w:type="character" w:styleId="1198" w:customStyle="1">
    <w:name w:val="批注主题 Char"/>
    <w:link w:val="1197"/>
    <w:uiPriority w:val="0"/>
    <w:semiHidden/>
    <w:qFormat/>
    <w:rPr>
      <w:rFonts w:ascii="Times New Roman" w:hAnsi="Times New Roman" w:eastAsia="宋体" w:cs="Times New Roman"/>
      <w:b/>
      <w:bCs/>
      <w:szCs w:val="21"/>
    </w:rPr>
  </w:style>
  <w:style w:type="paragraph" w:styleId="1199" w:customStyle="1">
    <w:name w:val="正文首行缩进1"/>
    <w:basedOn w:val="940"/>
    <w:link w:val="1200"/>
    <w:uiPriority w:val="0"/>
    <w:qFormat/>
    <w:pPr>
      <w:ind w:firstLine="200"/>
      <w:spacing w:line="360" w:lineRule="auto"/>
    </w:pPr>
    <w:rPr>
      <w:rFonts w:ascii="仿宋_GB2312" w:hAnsi="Times New Roman" w:eastAsia="仿宋_GB2312" w:cs="Times New Roman"/>
      <w:sz w:val="30"/>
      <w:szCs w:val="30"/>
    </w:rPr>
  </w:style>
  <w:style w:type="character" w:styleId="1200" w:customStyle="1">
    <w:name w:val="正文首行缩进 Char"/>
    <w:link w:val="1199"/>
    <w:uiPriority w:val="0"/>
    <w:qFormat/>
    <w:rPr>
      <w:rFonts w:ascii="仿宋_GB2312" w:hAnsi="Times New Roman" w:eastAsia="仿宋_GB2312" w:cs="Times New Roman"/>
      <w:sz w:val="30"/>
      <w:szCs w:val="30"/>
    </w:rPr>
  </w:style>
  <w:style w:type="paragraph" w:styleId="1201" w:customStyle="1">
    <w:name w:val="正文首行缩进 21"/>
    <w:basedOn w:val="1166"/>
    <w:link w:val="1202"/>
    <w:uiPriority w:val="0"/>
    <w:qFormat/>
    <w:pPr>
      <w:ind w:left="0" w:firstLine="420"/>
      <w:spacing w:after="0" w:line="360" w:lineRule="auto"/>
    </w:pPr>
    <w:rPr>
      <w:rFonts w:ascii="宋体" w:hAnsi="宋体" w:eastAsia="宋体" w:cs="Times New Roman"/>
      <w:szCs w:val="20"/>
    </w:rPr>
  </w:style>
  <w:style w:type="character" w:styleId="1202" w:customStyle="1">
    <w:name w:val="正文首行缩进 2 Char"/>
    <w:link w:val="1201"/>
    <w:uiPriority w:val="0"/>
    <w:qFormat/>
    <w:rPr>
      <w:rFonts w:ascii="宋体" w:hAnsi="宋体" w:eastAsia="宋体" w:cs="Times New Roman"/>
      <w:szCs w:val="20"/>
    </w:rPr>
  </w:style>
  <w:style w:type="table" w:styleId="1203" w:customStyle="1">
    <w:name w:val="网格型1"/>
    <w:basedOn w:val="1145"/>
    <w:uiPriority w:val="0"/>
    <w:qFormat/>
    <w:pPr>
      <w:jc w:val="both"/>
      <w:widowControl w:val="off"/>
    </w:pPr>
    <w:rPr>
      <w:rFonts w:ascii="Times New Roman" w:hAnsi="Times New Roman" w:eastAsia="宋体" w:cs="Times New Roman"/>
      <w:sz w:val="20"/>
      <w:szCs w:val="20"/>
    </w:rPr>
    <w:tblPr/>
  </w:style>
  <w:style w:type="character" w:styleId="1204" w:customStyle="1">
    <w:name w:val="要点1"/>
    <w:link w:val="940"/>
    <w:uiPriority w:val="0"/>
    <w:qFormat/>
    <w:rPr>
      <w:b/>
      <w:bCs/>
    </w:rPr>
  </w:style>
  <w:style w:type="character" w:styleId="1205" w:customStyle="1">
    <w:name w:val="页码1"/>
    <w:link w:val="940"/>
    <w:uiPriority w:val="0"/>
    <w:qFormat/>
  </w:style>
  <w:style w:type="character" w:styleId="1206" w:customStyle="1">
    <w:name w:val="已访问的超链接1"/>
    <w:link w:val="940"/>
    <w:uiPriority w:val="0"/>
    <w:qFormat/>
    <w:rPr>
      <w:color w:val="800080"/>
      <w:u w:val="single"/>
    </w:rPr>
  </w:style>
  <w:style w:type="character" w:styleId="1207" w:customStyle="1">
    <w:name w:val="超链接1"/>
    <w:link w:val="940"/>
    <w:uiPriority w:val="0"/>
    <w:qFormat/>
    <w:rPr>
      <w:color w:val="0000ff"/>
      <w:u w:val="single"/>
    </w:rPr>
  </w:style>
  <w:style w:type="character" w:styleId="1208" w:customStyle="1">
    <w:name w:val="批注引用1"/>
    <w:link w:val="940"/>
    <w:uiPriority w:val="0"/>
    <w:semiHidden/>
    <w:qFormat/>
    <w:rPr>
      <w:sz w:val="21"/>
      <w:szCs w:val="21"/>
    </w:rPr>
  </w:style>
  <w:style w:type="character" w:styleId="1209" w:customStyle="1">
    <w:name w:val="font5 Char"/>
    <w:link w:val="940"/>
    <w:uiPriority w:val="0"/>
    <w:qFormat/>
    <w:rPr>
      <w:rFonts w:ascii="宋体" w:hAnsi="宋体" w:eastAsia="宋体"/>
      <w:sz w:val="28"/>
      <w:szCs w:val="28"/>
      <w:lang w:val="en-US" w:eastAsia="zh-CN" w:bidi="ar-SA"/>
    </w:rPr>
  </w:style>
  <w:style w:type="character" w:styleId="1210" w:customStyle="1">
    <w:name w:val="二级目录 Char"/>
    <w:link w:val="1211"/>
    <w:uiPriority w:val="0"/>
    <w:qFormat/>
    <w:rPr>
      <w:b/>
      <w:sz w:val="30"/>
      <w:szCs w:val="28"/>
    </w:rPr>
  </w:style>
  <w:style w:type="paragraph" w:styleId="1211" w:customStyle="1">
    <w:name w:val="二级目录"/>
    <w:next w:val="940"/>
    <w:link w:val="121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2" w:customStyle="1">
    <w:name w:val="列出段落 Char"/>
    <w:link w:val="1213"/>
    <w:uiPriority w:val="0"/>
    <w:qFormat/>
    <w:rPr>
      <w:rFonts w:ascii="Calibri" w:hAnsi="Calibri"/>
      <w:sz w:val="24"/>
      <w:szCs w:val="24"/>
      <w:lang w:eastAsia="en-US" w:bidi="en-US"/>
    </w:rPr>
  </w:style>
  <w:style w:type="paragraph" w:styleId="1213" w:customStyle="1">
    <w:name w:val="列出段落1"/>
    <w:basedOn w:val="940"/>
    <w:link w:val="1212"/>
    <w:uiPriority w:val="0"/>
    <w:qFormat/>
    <w:pPr>
      <w:contextualSpacing/>
      <w:ind w:left="720"/>
      <w:jc w:val="left"/>
      <w:widowControl/>
    </w:pPr>
    <w:rPr>
      <w:rFonts w:ascii="Calibri" w:hAnsi="Calibri"/>
      <w:sz w:val="24"/>
      <w:szCs w:val="24"/>
      <w:lang w:eastAsia="en-US" w:bidi="en-US"/>
    </w:rPr>
  </w:style>
  <w:style w:type="paragraph" w:styleId="1214" w:customStyle="1">
    <w:name w:val="Body Text(ch)"/>
    <w:basedOn w:val="940"/>
    <w:next w:val="1146"/>
    <w:uiPriority w:val="0"/>
    <w:qFormat/>
    <w:pPr>
      <w:spacing w:after="120"/>
    </w:pPr>
    <w:rPr>
      <w:rFonts w:ascii="宋体" w:hAnsi="Arial" w:eastAsia="宋体" w:cs="Times New Roman"/>
      <w:bCs/>
      <w:iCs/>
      <w:szCs w:val="24"/>
    </w:rPr>
  </w:style>
  <w:style w:type="paragraph" w:styleId="1215" w:customStyle="1">
    <w:name w:val="xl27"/>
    <w:basedOn w:val="9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6" w:customStyle="1">
    <w:name w:val="xl26"/>
    <w:basedOn w:val="9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7" w:customStyle="1">
    <w:name w:val="Char"/>
    <w:basedOn w:val="940"/>
    <w:uiPriority w:val="0"/>
    <w:qFormat/>
    <w:pPr>
      <w:ind w:firstLine="200"/>
      <w:tabs>
        <w:tab w:val="left" w:pos="360" w:leader="none"/>
      </w:tabs>
    </w:pPr>
    <w:rPr>
      <w:rFonts w:ascii="Times New Roman" w:hAnsi="Times New Roman" w:eastAsia="宋体" w:cs="Times New Roman"/>
      <w:sz w:val="28"/>
      <w:szCs w:val="30"/>
    </w:rPr>
  </w:style>
  <w:style w:type="paragraph" w:styleId="1218" w:customStyle="1">
    <w:name w:val=" Char"/>
    <w:basedOn w:val="1160"/>
    <w:uiPriority w:val="0"/>
    <w:qFormat/>
    <w:rPr>
      <w:rFonts w:ascii="Tahoma" w:hAnsi="Tahoma"/>
      <w:sz w:val="24"/>
      <w:szCs w:val="24"/>
    </w:rPr>
  </w:style>
  <w:style w:type="paragraph" w:styleId="1219" w:customStyle="1">
    <w:name w:val="普通正文"/>
    <w:basedOn w:val="940"/>
    <w:uiPriority w:val="0"/>
    <w:qFormat/>
    <w:pPr>
      <w:ind w:firstLine="480"/>
      <w:jc w:val="left"/>
      <w:spacing w:before="120" w:after="120" w:line="360" w:lineRule="auto"/>
    </w:pPr>
    <w:rPr>
      <w:rFonts w:ascii="Arial" w:hAnsi="Arial" w:eastAsia="宋体" w:cs="Times New Roman"/>
      <w:sz w:val="24"/>
      <w:szCs w:val="24"/>
    </w:rPr>
  </w:style>
  <w:style w:type="paragraph" w:styleId="1220" w:customStyle="1">
    <w:name w:val="table_lines"/>
    <w:basedOn w:val="940"/>
    <w:uiPriority w:val="0"/>
    <w:qFormat/>
    <w:pPr>
      <w:jc w:val="left"/>
      <w:widowControl/>
    </w:pPr>
    <w:rPr>
      <w:rFonts w:ascii="Times New Roman" w:hAnsi="Times New Roman" w:eastAsia="宋体" w:cs="Times New Roman"/>
      <w:sz w:val="20"/>
      <w:szCs w:val="20"/>
      <w:lang w:val="de-DE" w:eastAsia="de-DE"/>
    </w:rPr>
  </w:style>
  <w:style w:type="paragraph" w:styleId="122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22" w:customStyle="1">
    <w:name w:val="font7"/>
    <w:basedOn w:val="94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3" w:customStyle="1">
    <w:name w:val=" Char Char Char Char"/>
    <w:basedOn w:val="1160"/>
    <w:uiPriority w:val="0"/>
    <w:qFormat/>
    <w:pPr>
      <w:spacing w:line="360" w:lineRule="auto"/>
    </w:pPr>
    <w:rPr>
      <w:rFonts w:ascii="Tahoma" w:hAnsi="Tahoma"/>
      <w:sz w:val="24"/>
      <w:szCs w:val="24"/>
    </w:rPr>
  </w:style>
  <w:style w:type="paragraph" w:styleId="1224" w:customStyle="1">
    <w:name w:val="列出段落"/>
    <w:basedOn w:val="940"/>
    <w:uiPriority w:val="0"/>
    <w:qFormat/>
    <w:pPr>
      <w:contextualSpacing/>
      <w:ind w:left="720"/>
      <w:jc w:val="left"/>
      <w:widowControl/>
    </w:pPr>
    <w:rPr>
      <w:rFonts w:ascii="Calibri" w:hAnsi="Calibri" w:eastAsia="宋体" w:cs="Times New Roman"/>
      <w:sz w:val="24"/>
      <w:szCs w:val="24"/>
      <w:lang w:eastAsia="en-US" w:bidi="en-US"/>
    </w:rPr>
  </w:style>
  <w:style w:type="paragraph" w:styleId="1225" w:customStyle="1">
    <w:name w:val="4"/>
    <w:basedOn w:val="940"/>
    <w:next w:val="1188"/>
    <w:uiPriority w:val="0"/>
    <w:qFormat/>
    <w:pPr>
      <w:ind w:firstLine="420"/>
      <w:spacing w:line="360" w:lineRule="auto"/>
    </w:pPr>
    <w:rPr>
      <w:rFonts w:ascii="Times New Roman" w:hAnsi="Times New Roman" w:eastAsia="宋体" w:cs="Times New Roman"/>
      <w:color w:val="ff0000"/>
      <w:sz w:val="24"/>
      <w:szCs w:val="24"/>
    </w:rPr>
  </w:style>
  <w:style w:type="paragraph" w:styleId="1226" w:customStyle="1">
    <w:name w:val="普通 (Web)"/>
    <w:basedOn w:val="940"/>
    <w:uiPriority w:val="0"/>
    <w:qFormat/>
    <w:pPr>
      <w:jc w:val="left"/>
      <w:spacing w:before="100" w:beforeAutospacing="1" w:after="100" w:afterAutospacing="1"/>
      <w:widowControl/>
    </w:pPr>
    <w:rPr>
      <w:rFonts w:ascii="宋体" w:hAnsi="宋体" w:eastAsia="宋体" w:cs="Times New Roman"/>
      <w:sz w:val="24"/>
      <w:szCs w:val="24"/>
    </w:rPr>
  </w:style>
  <w:style w:type="paragraph" w:styleId="1227" w:customStyle="1">
    <w:name w:val=" Char Char Char Char Char Char Char Char Char Char"/>
    <w:basedOn w:val="940"/>
    <w:uiPriority w:val="0"/>
    <w:qFormat/>
    <w:pPr>
      <w:spacing w:line="360" w:lineRule="auto"/>
    </w:pPr>
    <w:rPr>
      <w:rFonts w:ascii="Times New Roman" w:hAnsi="Times New Roman" w:eastAsia="宋体" w:cs="Times New Roman"/>
      <w:sz w:val="24"/>
      <w:szCs w:val="20"/>
    </w:rPr>
  </w:style>
  <w:style w:type="paragraph" w:styleId="1228" w:customStyle="1">
    <w:name w:val="样式1"/>
    <w:basedOn w:val="940"/>
    <w:uiPriority w:val="0"/>
    <w:qFormat/>
    <w:pPr>
      <w:numPr>
        <w:ilvl w:val="0"/>
        <w:numId w:val="3"/>
      </w:numPr>
    </w:pPr>
    <w:rPr>
      <w:rFonts w:ascii="宋体" w:hAnsi="宋体" w:eastAsia="宋体" w:cs="Times New Roman"/>
      <w:szCs w:val="21"/>
    </w:rPr>
  </w:style>
  <w:style w:type="paragraph" w:styleId="1229" w:customStyle="1">
    <w:name w:val="font6"/>
    <w:basedOn w:val="94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30" w:customStyle="1">
    <w:name w:val="xl25"/>
    <w:basedOn w:val="9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1" w:customStyle="1">
    <w:name w:val="图标"/>
    <w:basedOn w:val="940"/>
    <w:next w:val="9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32" w:customStyle="1">
    <w:name w:val="标题3"/>
    <w:basedOn w:val="940"/>
    <w:next w:val="940"/>
    <w:uiPriority w:val="0"/>
    <w:qFormat/>
    <w:pPr>
      <w:ind w:firstLine="624"/>
      <w:spacing w:line="590" w:lineRule="atLeast"/>
    </w:pPr>
    <w:rPr>
      <w:rFonts w:ascii="方正黑体_GBK" w:hAnsi="Times New Roman" w:eastAsia="方正黑体_GBK" w:cs="Times New Roman"/>
      <w:sz w:val="32"/>
      <w:szCs w:val="32"/>
    </w:rPr>
  </w:style>
  <w:style w:type="paragraph" w:styleId="1233" w:customStyle="1">
    <w:name w:val="xl24"/>
    <w:basedOn w:val="9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4" w:customStyle="1">
    <w:name w:val="xl29"/>
    <w:basedOn w:val="94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35" w:customStyle="1">
    <w:name w:val="Char Char Char Char Char Char Char Char"/>
    <w:basedOn w:val="940"/>
    <w:uiPriority w:val="0"/>
    <w:qFormat/>
    <w:pPr>
      <w:jc w:val="left"/>
      <w:spacing w:after="160" w:line="240" w:lineRule="exact"/>
      <w:widowControl/>
    </w:pPr>
    <w:rPr>
      <w:rFonts w:ascii="Verdana" w:hAnsi="Verdana" w:eastAsia="宋体" w:cs="Times New Roman"/>
      <w:sz w:val="20"/>
      <w:szCs w:val="20"/>
      <w:lang w:eastAsia="en-US"/>
    </w:rPr>
  </w:style>
  <w:style w:type="paragraph" w:styleId="1236" w:customStyle="1">
    <w:name w:val="xl28"/>
    <w:basedOn w:val="9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37" w:customStyle="1">
    <w:name w:val=" Char Char Char Char Char Char Char Char"/>
    <w:basedOn w:val="940"/>
    <w:uiPriority w:val="0"/>
    <w:qFormat/>
    <w:pPr>
      <w:jc w:val="left"/>
      <w:spacing w:after="160" w:line="240" w:lineRule="exact"/>
      <w:widowControl/>
    </w:pPr>
    <w:rPr>
      <w:rFonts w:ascii="Verdana" w:hAnsi="Verdana" w:eastAsia="宋体" w:cs="Times New Roman"/>
      <w:sz w:val="20"/>
      <w:szCs w:val="20"/>
      <w:lang w:eastAsia="en-US"/>
    </w:rPr>
  </w:style>
  <w:style w:type="paragraph" w:styleId="1238" w:customStyle="1">
    <w:name w:val="xl30"/>
    <w:basedOn w:val="94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39" w:customStyle="1">
    <w:name w:val="Char Char Char Char"/>
    <w:basedOn w:val="1160"/>
    <w:uiPriority w:val="0"/>
    <w:qFormat/>
    <w:pPr>
      <w:spacing w:line="360" w:lineRule="auto"/>
    </w:pPr>
    <w:rPr>
      <w:rFonts w:ascii="Tahoma" w:hAnsi="Tahoma"/>
      <w:sz w:val="24"/>
      <w:szCs w:val="24"/>
    </w:rPr>
  </w:style>
  <w:style w:type="paragraph" w:styleId="1240" w:customStyle="1">
    <w:name w:val="table_1stline"/>
    <w:basedOn w:val="940"/>
    <w:uiPriority w:val="0"/>
    <w:qFormat/>
    <w:pPr>
      <w:jc w:val="left"/>
      <w:spacing w:before="120"/>
      <w:widowControl/>
    </w:pPr>
    <w:rPr>
      <w:rFonts w:ascii="Times New Roman" w:hAnsi="Times New Roman" w:eastAsia="宋体" w:cs="Times New Roman"/>
      <w:bCs/>
      <w:sz w:val="20"/>
      <w:szCs w:val="20"/>
      <w:lang w:val="de-DE" w:eastAsia="de-DE"/>
    </w:rPr>
  </w:style>
  <w:style w:type="paragraph" w:styleId="1241" w:customStyle="1">
    <w:name w:val="font5"/>
    <w:basedOn w:val="94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42" w:customStyle="1">
    <w:name w:val="标题1"/>
    <w:basedOn w:val="940"/>
    <w:next w:val="94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5" w:customStyle="1">
    <w:name w:val="正文文本1"/>
    <w:basedOn w:val="940"/>
    <w:next w:val="940"/>
    <w:uiPriority w:val="0"/>
    <w:qFormat/>
    <w:rPr>
      <w:rFonts w:ascii="仿宋_GB2312" w:eastAsia="仿宋_GB2312"/>
      <w:sz w:val="24"/>
      <w:szCs w:val="20"/>
    </w:rPr>
  </w:style>
  <w:style w:type="paragraph" w:styleId="1246" w:customStyle="1">
    <w:name w:val="正文缩进2格"/>
    <w:basedOn w:val="940"/>
    <w:uiPriority w:val="0"/>
    <w:unhideWhenUsed/>
    <w:qFormat/>
    <w:pPr>
      <w:ind w:firstLine="639"/>
      <w:spacing w:line="600" w:lineRule="exact"/>
    </w:pPr>
    <w:rPr>
      <w:rFonts w:hint="eastAsia" w:ascii="仿宋_GB2312" w:hAnsi="宋体" w:eastAsia="仿宋_GB2312"/>
      <w:sz w:val="31"/>
      <w:szCs w:val="24"/>
    </w:rPr>
  </w:style>
  <w:style w:type="character" w:styleId="1247" w:customStyle="1">
    <w:name w:val="Variable"/>
    <w:link w:val="940"/>
    <w:uiPriority w:val="0"/>
    <w:qFormat/>
    <w:rPr>
      <w:i/>
    </w:rPr>
  </w:style>
  <w:style w:type="character" w:styleId="1248" w:customStyle="1">
    <w:name w:val="fontstyle11"/>
    <w:link w:val="940"/>
    <w:uiPriority w:val="0"/>
    <w:qFormat/>
    <w:rPr>
      <w:rFonts w:hint="eastAsia" w:ascii="宋体" w:hAnsi="宋体" w:eastAsia="宋体"/>
      <w:color w:val="000000"/>
      <w:sz w:val="22"/>
      <w:szCs w:val="22"/>
    </w:rPr>
  </w:style>
  <w:style w:type="character" w:styleId="1249" w:customStyle="1">
    <w:name w:val="fontstyle01"/>
    <w:link w:val="940"/>
    <w:uiPriority w:val="0"/>
    <w:qFormat/>
    <w:rPr>
      <w:rFonts w:hint="default" w:ascii="Calibri-Bold" w:hAnsi="Calibri-Bold"/>
      <w:b/>
      <w:bCs/>
      <w:color w:val="000000"/>
      <w:sz w:val="22"/>
      <w:szCs w:val="22"/>
    </w:rPr>
  </w:style>
  <w:style w:type="paragraph" w:styleId="125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2" w:customStyle="1">
    <w:name w:val="active16"/>
    <w:basedOn w:val="950"/>
    <w:uiPriority w:val="0"/>
    <w:qFormat/>
    <w:rPr>
      <w:color w:val="ffffff"/>
      <w:shd w:val="clear" w:color="auto" w:fill="0f5bb9"/>
    </w:rPr>
  </w:style>
  <w:style w:type="character" w:styleId="1253" w:customStyle="1">
    <w:name w:val="15"/>
    <w:basedOn w:val="950"/>
    <w:uiPriority w:val="0"/>
    <w:qFormat/>
    <w:rPr>
      <w:rFonts w:hint="default" w:ascii="Times New Roman" w:hAnsi="Times New Roman" w:cs="Times New Roman"/>
    </w:rPr>
  </w:style>
  <w:style w:type="paragraph" w:styleId="1254" w:customStyle="1">
    <w:name w:val="页脚11"/>
    <w:basedOn w:val="9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55" w:customStyle="1">
    <w:name w:val="NormalCharacter"/>
    <w:link w:val="940"/>
    <w:uiPriority w:val="0"/>
    <w:semiHidden/>
    <w:qFormat/>
    <w:rPr>
      <w:rFonts w:ascii="Times New Roman" w:hAnsi="Times New Roman" w:eastAsia="宋体" w:cs="Times New Roman"/>
      <w:sz w:val="21"/>
      <w:szCs w:val="24"/>
      <w:lang w:val="en-US" w:eastAsia="zh-CN" w:bidi="ar-SA"/>
    </w:rPr>
  </w:style>
  <w:style w:type="character" w:styleId="1256" w:customStyle="1">
    <w:name w:val="active"/>
    <w:basedOn w:val="950"/>
    <w:uiPriority w:val="0"/>
    <w:qFormat/>
    <w:rPr>
      <w:color w:val="0f5bb9"/>
      <w:shd w:val="clear" w:color="auto" w:fill="0f5bb9"/>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image" Target="media/image1.wmf"/><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revision>3</cp:revision>
  <dcterms:created xsi:type="dcterms:W3CDTF">2023-03-27T07:28:00Z</dcterms:created>
  <dcterms:modified xsi:type="dcterms:W3CDTF">2026-06-09T10:15:53Z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374FB920E774452FA79956F5CC16C981_13</vt:lpwstr>
  </property>
  <property fmtid="{D5CDD505-2E9C-101B-9397-08002B2CF9AE}" pid="4" name="KSOTemplateDocerSaveRecord">
    <vt:lpwstr>eyJoZGlkIjoiMjg0MjRkYWMwNTY2MzRlOTMyYWM1ZGVhNmRmNmY0YTUiLCJ1c2VySWQiOiIyNDE2MjUwNTkifQ==</vt:lpwstr>
  </property>
</Properties>
</file>