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0E48">
      <w:pPr>
        <w:spacing w:before="120" w:after="120" w:line="288" w:lineRule="auto"/>
        <w:ind w:left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平台及终端对接规范</w:t>
      </w:r>
    </w:p>
    <w:p w14:paraId="7F8BB68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一、总体对接要求</w:t>
      </w:r>
    </w:p>
    <w:p w14:paraId="3953919C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投标人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提供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的第三方业务平台/终端设备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严格遵循本技术规范要求，与校园安全监管平台完成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全接口对接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，保证数据互联互通、功能协同运行。所有对接开发工作由投标人完成，采购人不额外支付对接费用。对接完成后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通过采购人技术验证，满足实时数据传输、稳定事件推送、接口权限控制等要求。</w:t>
      </w:r>
    </w:p>
    <w:p w14:paraId="0844A120">
      <w:pPr>
        <w:numPr>
          <w:ilvl w:val="0"/>
          <w:numId w:val="1"/>
        </w:numPr>
        <w:spacing w:before="120" w:after="120" w:line="288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第三方平台对接技术要求</w:t>
      </w:r>
    </w:p>
    <w:p w14:paraId="39BCB10F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1. 基础接口规则</w:t>
      </w:r>
    </w:p>
    <w:p w14:paraId="1ACEB275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传输要求：仅支持HTTPS传输，统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一采用UTF-8字符编码，所有请求采用POST方法提交，请求与返回数据均为JSON格式。</w:t>
      </w:r>
    </w:p>
    <w:p w14:paraId="40D12F3F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URL格式：遵循 https://{hostname}:{port}/artemis/{uri} 规范，每个API分配唯一uri。</w:t>
      </w:r>
    </w:p>
    <w:p w14:paraId="6DA6BEC0">
      <w:pPr>
        <w:spacing w:before="120" w:after="120" w:line="288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安全认证：必须支持基于AK/SK的摘要认证，所有请求携带规定的Headers信息，签名计算采用HmacSHA256+BASE64算法，未认证或认证不通过的请求一律拒绝。</w:t>
      </w:r>
    </w:p>
    <w:p w14:paraId="09718494">
      <w:pPr>
        <w:spacing w:before="120" w:after="120" w:line="288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权限控制：每一个API调用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提前获得授权，调用未授权接口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返回标准错误提示。</w:t>
      </w:r>
    </w:p>
    <w:p w14:paraId="4A4C0CBC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2. 返回值规范</w:t>
      </w:r>
    </w:p>
    <w:p w14:paraId="6011B14F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所有接口返回值必须遵循统一JSON格式，字段采用驼峰命名法，结构如下：</w:t>
      </w:r>
    </w:p>
    <w:p w14:paraId="452B1F64">
      <w:pPr>
        <w:spacing w:before="120" w:after="120" w:line="288" w:lineRule="auto"/>
        <w:ind w:left="0" w:firstLine="420" w:firstLineChars="20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3505200" cy="137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E923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支持单条数据、分页查询、批量数据、图片二进制流等不同场景的返回格式，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严格匹配规范定义。</w:t>
      </w:r>
    </w:p>
    <w:p w14:paraId="1F1420B9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3. 公共错误码适配</w:t>
      </w:r>
    </w:p>
    <w:p w14:paraId="29346B5B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所有接口返回错误码必须匹配规范定义的公共返回码体系，涵盖API网关错误、参数错误、内部服务错误、资源访问错误、其他错误五大类，错误原因与消除建议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严格匹配规范要求，便于问题定位排查。</w:t>
      </w:r>
    </w:p>
    <w:p w14:paraId="65689424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4. 事件订阅推送要求</w:t>
      </w:r>
    </w:p>
    <w:p w14:paraId="02173545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第三方平台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支持按事件类型订阅校园安全事件，支持订阅原始事件/联动事件/全部事件三种模式，同一用户重复订阅同一事件平台自动去重，不重复投递。</w:t>
      </w:r>
    </w:p>
    <w:p w14:paraId="3685AF34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第三方平台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提供POST回调接口，内容类型为application/json，校园安全监管平台触发事件后主动推送至回调地址。</w:t>
      </w:r>
    </w:p>
    <w:p w14:paraId="7FDEBB86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并发量限制：事件服务最多累积1000条事件，单次回调最多传送50条事件，回调接口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能适配该并发要求。</w:t>
      </w:r>
    </w:p>
    <w:p w14:paraId="1FDC9BC9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事件报文格式：必须采用规范定义的JSON统一格式，包含method（固定值OnEventNotify）、sendTime、ability、events等必填字段，每个事件包含唯一eventId，最大支持50条事件数据。</w:t>
      </w:r>
    </w:p>
    <w:p w14:paraId="29B40E93">
      <w:pPr>
        <w:spacing w:before="120" w:after="120" w:line="288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三、核心API对接清单</w:t>
      </w:r>
    </w:p>
    <w:p w14:paraId="437D13A2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投标人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完成以下所有核心API对接，实现对应功能：</w:t>
      </w:r>
    </w:p>
    <w:p w14:paraId="20079003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1. 资源目录接口</w:t>
      </w:r>
    </w:p>
    <w:p w14:paraId="0DA32178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获取根区域信息：支持获取平台根区域的唯一标识、名称、父区域编码等信息。</w:t>
      </w:r>
    </w:p>
    <w:p w14:paraId="61E99306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查询资源列表：支持按区域、名称、资源类型、权限等条件分页查询设备资源，支持按更新时间筛选，可查询门禁、摄像头、报警设备等12类资源信息。</w:t>
      </w:r>
    </w:p>
    <w:p w14:paraId="28C1F39B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2. 事件服务接口</w:t>
      </w:r>
    </w:p>
    <w:p w14:paraId="2AF2CDC1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按事件类型订阅事件：支持一次最多订阅256个事件类型，指定回调接收地址。</w:t>
      </w:r>
    </w:p>
    <w:p w14:paraId="44B57B5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按事件类型取消订阅：支持取消指定事件类型的订阅。</w:t>
      </w:r>
    </w:p>
    <w:p w14:paraId="15F171E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查询事件订阅信息：支持查询当前所有订阅的详情。</w:t>
      </w:r>
    </w:p>
    <w:p w14:paraId="2B7D0E2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3. 视频业务接口</w:t>
      </w:r>
    </w:p>
    <w:p w14:paraId="7E79F937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获取监控点预览取流URL：支持主/子/第三码流选择，支持rtsp/rtmp/hls协议，取流URL有效期5分钟。</w:t>
      </w:r>
    </w:p>
    <w:p w14:paraId="753F225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获取监控点回放取流URL：支持中心存储/设备存储，支持按时间范围查询，支持分页获取录像片段，取流URL有效期5分钟。</w:t>
      </w:r>
    </w:p>
    <w:p w14:paraId="62E129DA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获取视频事件图片：支持根据图片存储标识获取事件关联图片。</w:t>
      </w:r>
    </w:p>
    <w:p w14:paraId="0CADDE3A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4. 防欺凌业务接口</w:t>
      </w:r>
    </w:p>
    <w:p w14:paraId="6F1F4941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支持根据防欺凌事件id下载对应音频文件。</w:t>
      </w:r>
    </w:p>
    <w:p w14:paraId="7E8DC14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5. 设备在线状态查询接口</w:t>
      </w:r>
    </w:p>
    <w:p w14:paraId="50B05101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支持获取存储设备、监控点、解码设备、编码设备、门禁设备五类设备的在线状态，支持按区域、IP、设备编码、状态筛选分页查询，返回设备型号、协议类型、厂商、在线状态等信息。</w:t>
      </w:r>
    </w:p>
    <w:p w14:paraId="499BAABD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6. 报警事件对接</w:t>
      </w:r>
    </w:p>
    <w:p w14:paraId="3DFD933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支持接收以下四类核心报警事件，事件类型码匹配规范要求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如下表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对接完成后，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支持根据事件关联的监控点ID获取预览/回放URL、事件图片，防欺凌事件支持下载对应音频。</w:t>
      </w:r>
    </w:p>
    <w:p w14:paraId="154FEA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W w:w="8608" w:type="dxa"/>
        <w:jc w:val="center"/>
        <w:tblBorders>
          <w:top w:val="single" w:color="C6CBD1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4395"/>
        <w:gridCol w:w="2625"/>
      </w:tblGrid>
      <w:tr w14:paraId="55DBC4C9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588" w:type="dxa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ED4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事件分类</w:t>
            </w:r>
          </w:p>
        </w:tc>
        <w:tc>
          <w:tcPr>
            <w:tcW w:w="4395" w:type="dxa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6A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事件名称</w:t>
            </w:r>
          </w:p>
        </w:tc>
        <w:tc>
          <w:tcPr>
            <w:tcW w:w="2625" w:type="dxa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099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事件类型码</w:t>
            </w:r>
          </w:p>
        </w:tc>
      </w:tr>
      <w:tr w14:paraId="3BF0F791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042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视频检测</w:t>
            </w:r>
          </w:p>
        </w:tc>
        <w:tc>
          <w:tcPr>
            <w:tcW w:w="439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0E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区域入侵/剧烈运动/倒地/温度报警/火点检测/烟火检测/烟雾检测</w:t>
            </w:r>
          </w:p>
        </w:tc>
        <w:tc>
          <w:tcPr>
            <w:tcW w:w="262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4AC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131588、131596、131605、192517、192515、192514、192513</w:t>
            </w:r>
          </w:p>
        </w:tc>
      </w:tr>
      <w:tr w14:paraId="485BD7AF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9B3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入侵报警</w:t>
            </w:r>
          </w:p>
        </w:tc>
        <w:tc>
          <w:tcPr>
            <w:tcW w:w="439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7AB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防区报警</w:t>
            </w:r>
          </w:p>
        </w:tc>
        <w:tc>
          <w:tcPr>
            <w:tcW w:w="262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52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327681</w:t>
            </w:r>
          </w:p>
        </w:tc>
      </w:tr>
      <w:tr w14:paraId="7C7F3EF0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1DA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紧急报警</w:t>
            </w:r>
          </w:p>
        </w:tc>
        <w:tc>
          <w:tcPr>
            <w:tcW w:w="439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721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紧急报警</w:t>
            </w:r>
          </w:p>
        </w:tc>
        <w:tc>
          <w:tcPr>
            <w:tcW w:w="262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2E62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327687</w:t>
            </w:r>
          </w:p>
        </w:tc>
      </w:tr>
      <w:tr w14:paraId="4EE77E92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9A8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防欺凌</w:t>
            </w:r>
          </w:p>
        </w:tc>
        <w:tc>
          <w:tcPr>
            <w:tcW w:w="439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C9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防欺凌事件</w:t>
            </w:r>
          </w:p>
        </w:tc>
        <w:tc>
          <w:tcPr>
            <w:tcW w:w="262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520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3653633</w:t>
            </w:r>
          </w:p>
        </w:tc>
      </w:tr>
    </w:tbl>
    <w:p w14:paraId="7DE39617">
      <w:pPr>
        <w:spacing w:before="120" w:after="120" w:line="288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B673226">
      <w:pPr>
        <w:spacing w:before="120" w:after="120" w:line="288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四、终端设备对接要求</w:t>
      </w:r>
    </w:p>
    <w:p w14:paraId="753F10C7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1. 专用拾音器对接要求</w:t>
      </w:r>
    </w:p>
    <w:p w14:paraId="6E3DBC1C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专用拾音器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支持以下接口能力，满足监管平台对接要求：</w:t>
      </w:r>
    </w:p>
    <w:p w14:paraId="71CB531E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设备信息注册：支持通过GET请求获取设备类型、序列号、软件版本等基础信息，认证方式为Digest Auth。</w:t>
      </w:r>
    </w:p>
    <w:p w14:paraId="099F948F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音频数据取流：支持RTSP协议取流，通过账号密码认证获取实时音频数据。</w:t>
      </w:r>
    </w:p>
    <w:p w14:paraId="6505AE4E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音量查询与设置：支持获取、设置输入降噪级别和输出音量级别，音量级别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不低于5个可调节档位。</w:t>
      </w:r>
    </w:p>
    <w:p w14:paraId="06D7745C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远程升级：支持切换升级模式、上传升级文件、查询升级进度、设备远程重启。</w:t>
      </w:r>
    </w:p>
    <w:p w14:paraId="7AC0C6FB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2. 专用火焰探测器对接要求</w:t>
      </w:r>
    </w:p>
    <w:p w14:paraId="499B6D8C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专用火焰探测器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支持标准Modbus RTU协议，提供以下功能：</w:t>
      </w:r>
    </w:p>
    <w:tbl>
      <w:tblPr>
        <w:tblStyle w:val="2"/>
        <w:tblW w:w="8233" w:type="dxa"/>
        <w:jc w:val="center"/>
        <w:tblBorders>
          <w:top w:val="single" w:color="C6CBD1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1442"/>
        <w:gridCol w:w="4661"/>
      </w:tblGrid>
      <w:tr w14:paraId="3A1CF436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AFED0E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功能项</w:t>
            </w:r>
          </w:p>
        </w:tc>
        <w:tc>
          <w:tcPr>
            <w:tcW w:w="1239" w:type="dxa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23580CB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005" w:type="dxa"/>
            <w:tcBorders>
              <w:top w:val="single" w:color="202121" w:sz="6" w:space="0"/>
              <w:left w:val="single" w:color="202121" w:sz="6" w:space="0"/>
              <w:bottom w:val="single" w:color="202121" w:sz="6" w:space="0"/>
              <w:right w:val="single" w:color="20212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81D56B">
            <w:pPr>
              <w:spacing w:before="120" w:after="120" w:line="288" w:lineRule="auto"/>
              <w:ind w:left="0" w:firstLine="48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303CD7FA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08BD74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重启标志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056D51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读写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F12F7BF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0:重启，1:正常</w:t>
            </w:r>
          </w:p>
        </w:tc>
      </w:tr>
      <w:tr w14:paraId="516C4122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59B313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报警恢复时间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15D2E0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读写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953E85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配置报警自动恢复的时间</w:t>
            </w:r>
          </w:p>
        </w:tc>
      </w:tr>
      <w:tr w14:paraId="36BB2626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5BD90F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报警复位标志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67777A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读写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6AC176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0:复位，1:正常</w:t>
            </w:r>
          </w:p>
        </w:tc>
      </w:tr>
      <w:tr w14:paraId="2BD422F9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7A4FFC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UV实时值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BD5971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只读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0ABE1B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获取当前UV检测值</w:t>
            </w:r>
          </w:p>
        </w:tc>
      </w:tr>
      <w:tr w14:paraId="6C10A61B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6C21CE4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UV报警阈值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9B5C93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读写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B6C3CA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配置UV报警触发阈值</w:t>
            </w:r>
          </w:p>
        </w:tc>
      </w:tr>
      <w:tr w14:paraId="427C2481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77DA5D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报警设置</w:t>
            </w:r>
          </w:p>
        </w:tc>
        <w:tc>
          <w:tcPr>
            <w:tcW w:w="123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72AC30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可写</w:t>
            </w:r>
          </w:p>
        </w:tc>
        <w:tc>
          <w:tcPr>
            <w:tcW w:w="4005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0C19B2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手动触发报警</w:t>
            </w:r>
          </w:p>
        </w:tc>
      </w:tr>
      <w:tr w14:paraId="32F1F531"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3" w:type="dxa"/>
            <w:gridSpan w:val="3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81D51E">
            <w:pPr>
              <w:spacing w:before="120" w:after="120" w:line="28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所有报文格式需符合规范定义的字节结构与示例要求，支持标准CRC校验。</w:t>
            </w:r>
          </w:p>
        </w:tc>
      </w:tr>
    </w:tbl>
    <w:p w14:paraId="622543BB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3. 物联网网关对接要求</w:t>
      </w:r>
    </w:p>
    <w:p w14:paraId="24B84452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物联网网关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支持标准Modbus RTU协议，提供以下功能：</w:t>
      </w:r>
    </w:p>
    <w:p w14:paraId="55E360A3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获取数字干节点信号输入/输出状态。</w:t>
      </w:r>
    </w:p>
    <w:p w14:paraId="39B83C12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获取模拟信号输入状态。</w:t>
      </w:r>
    </w:p>
    <w:p w14:paraId="173C5496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获取数字干节点信号输出状态。</w:t>
      </w:r>
    </w:p>
    <w:p w14:paraId="2B564582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设置数字干节点信号输出状态。</w:t>
      </w:r>
    </w:p>
    <w:p w14:paraId="3001D98B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4. 电源切断控制柜对接要求</w:t>
      </w:r>
    </w:p>
    <w:p w14:paraId="43811265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发生火情时，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支持监管平台通过Modbus RTU协议下发切断指令，自动切断电源，报文格式符合规范定义要求。</w:t>
      </w:r>
    </w:p>
    <w:p w14:paraId="5F0C397E">
      <w:pPr>
        <w:spacing w:before="120" w:after="120" w:line="288" w:lineRule="auto"/>
        <w:ind w:left="0" w:firstLine="48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五、安全与稳定性要求</w:t>
      </w:r>
    </w:p>
    <w:p w14:paraId="6591CB80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所有接口调用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遵循认证与权限控制规则，杜绝未授权访问，保证校园安全数据不泄露。</w:t>
      </w:r>
    </w:p>
    <w:p w14:paraId="656A97BD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对接完成后，接口调用成功率不低于99.9%，单接口平均响应时间不超过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s。</w:t>
      </w:r>
    </w:p>
    <w:p w14:paraId="0C00132F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事件推送延迟不超过10s，并发情况下不丢包、不重复推送。</w:t>
      </w:r>
    </w:p>
    <w:p w14:paraId="77E41BC9">
      <w:pPr>
        <w:spacing w:before="120" w:after="120" w:line="288" w:lineRule="auto"/>
        <w:ind w:left="0" w:firstLine="480" w:firstLineChars="2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取流URL设置有效期，过期自动失效，保证视频数据安全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822FC"/>
    <w:multiLevelType w:val="singleLevel"/>
    <w:tmpl w:val="A79822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02873"/>
    <w:rsid w:val="0746253D"/>
    <w:rsid w:val="2A502873"/>
    <w:rsid w:val="386E3E21"/>
    <w:rsid w:val="4B4E5A57"/>
    <w:rsid w:val="737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1619</Characters>
  <Lines>0</Lines>
  <Paragraphs>0</Paragraphs>
  <TotalTime>6</TotalTime>
  <ScaleCrop>false</ScaleCrop>
  <LinksUpToDate>false</LinksUpToDate>
  <CharactersWithSpaces>1631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2026-05-29T00:51:00Z</dcterms:created>
  <dc:creator>彭文华</dc:creator>
  <cp:lastModifiedBy>彭文华</cp:lastModifiedBy>
  <dcterms:modified xsi:type="dcterms:W3CDTF">2026-06-14T12:13:14Z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6499B8CD433946D99D7D89DCF2100B9D_13</vt:lpwstr>
  </property>
  <property fmtid="{D5CDD505-2E9C-101B-9397-08002B2CF9AE}" pid="4" name="KSOTemplateDocerSaveRecord">
    <vt:lpwstr>eyJoZGlkIjoiYTZmYWViZDY2Nzg5MWRjN2VmZDNjNTcxMjNkMWMzYzAiLCJ1c2VySWQiOiIxNjcxOTk3NTUzIn0=</vt:lpwstr>
  </property>
</Properties>
</file>