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JSZC-321012-JSZC-G2026-0016</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85"/>
        <w:ind w:left="0" w:firstLine="0"/>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江苏省江都中学新校区、实验室、功能室建设项目</w:t>
      </w:r>
      <w:r/>
    </w:p>
    <w:p>
      <w:pPr>
        <w:pStyle w:val="985"/>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3"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9"/>
                        <a:stretch/>
                      </pic:blipFill>
                      <pic:spPr bwMode="auto">
                        <a:xfrm>
                          <a:off x="0" y="0"/>
                          <a:ext cx="1922780" cy="327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4pt;height:258.2pt;mso-wrap-distance-left:0.0pt;mso-wrap-distance-top:0.0pt;mso-wrap-distance-right:0.0pt;mso-wrap-distance-bottom:0.0pt;" stroked="f">
                <v:path textboxrect="0,0,0,0"/>
                <v:imagedata r:id="rId19" o:title=""/>
              </v:shape>
            </w:pict>
          </mc:Fallback>
        </mc:AlternateContent>
      </w:r>
      <w:r/>
    </w:p>
    <w:p>
      <w:pPr>
        <w:pStyle w:val="994"/>
        <w:ind w:left="0" w:firstLine="0"/>
        <w:jc w:val="center"/>
        <w:rPr>
          <w:color w:val="auto"/>
          <w:sz w:val="52"/>
          <w:szCs w:val="52"/>
          <w:highlight w:val="none"/>
        </w:rPr>
      </w:pPr>
      <w:r>
        <w:rPr>
          <w:color w:val="auto"/>
          <w:sz w:val="52"/>
          <w:szCs w:val="52"/>
          <w:highlight w:val="none"/>
        </w:rPr>
      </w:r>
      <w:r/>
    </w:p>
    <w:p>
      <w:pPr>
        <w:pStyle w:val="994"/>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三</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821"/>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_Toc25878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p>
    <w:p>
      <w:pPr>
        <w:pStyle w:val="821"/>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30</w:t>
      </w:r>
      <w:r>
        <w:rPr>
          <w:rFonts w:hint="eastAsia" w:ascii="宋体" w:hAnsi="宋体" w:eastAsia="宋体" w:cs="宋体"/>
          <w:color w:val="auto"/>
          <w:sz w:val="28"/>
          <w:szCs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Times New Roman"/>
          <w:b/>
          <w:bCs/>
          <w:color w:val="auto"/>
          <w:sz w:val="28"/>
          <w:szCs w:val="28"/>
          <w:highlight w:val="none"/>
          <w:lang w:val="en-US" w:eastAsia="zh-CN"/>
        </w:rPr>
        <w:t xml:space="preserve">江苏省江都中学新校区、实验室、功能室建设项目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江苏省江苏省江都中学新校区、实验室、功能室建设项目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江苏省江苏省江都中学新校区、实验室、功能室建设项目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2026年4月15日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28359079"/>
      <w:r/>
      <w:bookmarkStart w:id="4" w:name="_Toc28359002"/>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JSZC-321012-JSZC-G2026-0016</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江苏省江苏省江都中学新校区、实验室、功能室建设项目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417.89万元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28359003"/>
      <w:r/>
      <w:bookmarkStart w:id="9" w:name="_Toc38985264"/>
      <w:r/>
      <w:bookmarkStart w:id="10" w:name="_Toc35393791"/>
      <w:r/>
      <w:bookmarkStart w:id="11" w:name="_Toc28359080"/>
      <w:r/>
      <w:bookmarkStart w:id="12" w:name="_Toc35393622"/>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417.89万元；包1（理化生实验室建设）：328.88万元，包2（史地数学功能室建设）：63.2万元，包3（通用技术教室）：25.81万元。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6.采购需求：项目分为3个包，包1：</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理化生实验室建设</w:t>
      </w:r>
      <w:r>
        <w:rPr>
          <w:rFonts w:hint="eastAsia" w:ascii="宋体" w:hAnsi="宋体" w:cs="宋体"/>
          <w:color w:val="auto"/>
          <w:highlight w:val="none"/>
          <w:lang w:val="en-US" w:eastAsia="zh-CN"/>
        </w:rPr>
        <w:t xml:space="preserve">，包2：</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史地数学功能室建设</w:t>
      </w:r>
      <w:r>
        <w:rPr>
          <w:rFonts w:hint="eastAsia" w:ascii="宋体" w:hAnsi="宋体" w:cs="宋体"/>
          <w:color w:val="auto"/>
          <w:highlight w:val="none"/>
          <w:lang w:val="en-US" w:eastAsia="zh-CN"/>
        </w:rPr>
        <w:t xml:space="preserve">，包3：</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通用技术教室</w:t>
      </w:r>
      <w:r>
        <w:rPr>
          <w:rFonts w:hint="eastAsia" w:ascii="宋体" w:hAnsi="宋体" w:cs="宋体"/>
          <w:color w:val="auto"/>
          <w:highlight w:val="none"/>
          <w:lang w:val="en-US" w:eastAsia="zh-CN"/>
        </w:rPr>
        <w:t xml:space="preserve">。供应商可参加三个个包的投标，但只可按开标顺序中其中一个包，若包1中标，则不参与包2、包3评审，若包2中标，则不参与包3评审，详见采购文件第四章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w:t>
      </w:r>
      <w:r>
        <w:rPr>
          <w:rFonts w:hint="eastAsia" w:ascii="宋体" w:hAnsi="宋体" w:cs="宋体"/>
          <w:color w:val="auto"/>
          <w:sz w:val="21"/>
          <w:szCs w:val="21"/>
          <w:highlight w:val="none"/>
          <w:lang w:val="en-US" w:eastAsia="zh-CN"/>
        </w:rPr>
        <w:t xml:space="preserve">60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 </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28359004"/>
      <w:r/>
      <w:bookmarkStart w:id="15" w:name="_Toc35393792"/>
      <w:r/>
      <w:bookmarkStart w:id="16" w:name="_Toc35393623"/>
      <w:r/>
      <w:bookmarkStart w:id="17"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815"/>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624"/>
      <w:r/>
      <w:bookmarkStart w:id="21" w:name="_Toc35393793"/>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815"/>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815"/>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815"/>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2026年4月15日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28359084"/>
      <w:r/>
      <w:bookmarkStart w:id="24" w:name="_Toc28359007"/>
      <w:r/>
      <w:bookmarkStart w:id="25" w:name="_Toc35393794"/>
      <w:r/>
      <w:bookmarkStart w:id="26" w:name="_Toc38985267"/>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795"/>
      <w:r/>
      <w:bookmarkStart w:id="30" w:name="_Toc35393626"/>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815"/>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796"/>
      <w:r/>
      <w:bookmarkStart w:id="32" w:name="_Toc28359085"/>
      <w:r/>
      <w:bookmarkStart w:id="33" w:name="_Toc28359008"/>
      <w:r/>
      <w:bookmarkStart w:id="34" w:name="_Toc35393627"/>
      <w:r/>
      <w:bookmarkStart w:id="35" w:name="_Toc38985269"/>
      <w:r>
        <w:rPr>
          <w:rFonts w:hint="eastAsia" w:ascii="宋体" w:hAnsi="宋体" w:eastAsia="宋体" w:cs="宋体"/>
          <w:b/>
          <w:color w:val="auto"/>
          <w:sz w:val="21"/>
          <w:szCs w:val="21"/>
          <w:highlight w:val="none"/>
          <w:lang w:val="en-US" w:eastAsia="zh-CN"/>
        </w:rPr>
        <w:t xml:space="preserve">（一）获取采购文件</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815"/>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815"/>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 </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815"/>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eastAsia="宋体" w:cs="宋体"/>
          <w:color w:val="auto"/>
          <w:highlight w:val="none"/>
          <w:u w:val="single"/>
          <w:lang w:val="en-US" w:eastAsia="zh-CN"/>
        </w:rPr>
        <w:t xml:space="preserve">13813157017 </w:t>
      </w:r>
      <w:r/>
    </w:p>
    <w:p>
      <w:pPr>
        <w:pStyle w:val="815"/>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815"/>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815"/>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815"/>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95"/>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513029225"/>
      <w:r/>
      <w:bookmarkStart w:id="39" w:name="_Toc20823297"/>
      <w:r/>
      <w:bookmarkStart w:id="40" w:name="_Toc16938541"/>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513029227"/>
      <w:r/>
      <w:bookmarkStart w:id="47" w:name="_Toc16938543"/>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513029228"/>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br w:type="page" w:clear="all"/>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55204179"/>
      <w:r/>
      <w:bookmarkStart w:id="52" w:name="_Toc16060"/>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99"/>
        <w:ind w:firstLine="422"/>
        <w:jc w:val="center"/>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99"/>
        <w:ind w:firstLine="420"/>
        <w:spacing w:before="120" w:after="120"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99"/>
        <w:ind w:firstLine="420"/>
        <w:spacing w:before="120" w:after="120"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99"/>
        <w:ind w:firstLine="211"/>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815"/>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815"/>
        <w:ind w:firstLine="420"/>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99"/>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815"/>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815"/>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15"/>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815"/>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815"/>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1000"/>
        <w:ind w:left="315" w:firstLine="105"/>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100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乙方应诚实信用，严格按照招标文件要求和投标承诺履行合同，不向甲方进行商业贿赂或者提供不正当利益。</w:t>
      </w:r>
      <w:r/>
    </w:p>
    <w:p>
      <w:pPr>
        <w:pStyle w:val="1000"/>
        <w:ind w:firstLine="420"/>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19.2 合同经双方法定代表人或授权代表签字并加盖单位公章后生效。</w:t>
      </w:r>
      <w:r/>
    </w:p>
    <w:p>
      <w:pPr>
        <w:pStyle w:val="1000"/>
        <w:ind w:firstLine="420"/>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19.3本合同未尽事宜，遵照《民法典》有关条文执行。</w:t>
      </w:r>
      <w:r/>
    </w:p>
    <w:p>
      <w:pPr>
        <w:pStyle w:val="99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19.4本合同正本一式</w:t>
      </w:r>
      <w:r>
        <w:rPr>
          <w:rFonts w:hint="eastAsia"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1000"/>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815"/>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bookmarkStart w:id="54" w:name="_Toc55204181"/>
      <w:r/>
      <w:bookmarkStart w:id="55" w:name="_Toc25878"/>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r/>
    </w:p>
    <w:p>
      <w:pPr>
        <w:ind w:firstLine="422"/>
        <w:spacing w:line="360" w:lineRule="auto"/>
        <w:rPr>
          <w:rFonts w:ascii="宋体" w:hAnsi="宋体"/>
          <w:b/>
          <w:i/>
          <w:color w:val="auto"/>
          <w:szCs w:val="21"/>
          <w:highlight w:val="none"/>
          <w:u w:val="single"/>
        </w:rPr>
      </w:pPr>
      <w:r>
        <w:rPr>
          <w:rFonts w:hint="eastAsia" w:ascii="宋体" w:hAnsi="宋体"/>
          <w:b/>
          <w:i/>
          <w:color w:val="auto"/>
          <w:szCs w:val="21"/>
          <w:highlight w:val="none"/>
          <w:u w:val="single"/>
        </w:rPr>
        <w:t xml:space="preserve">供应商在中标后合同签订前必须提供货物需求一览表</w:t>
      </w:r>
      <w:r>
        <w:rPr>
          <w:rFonts w:hint="eastAsia" w:ascii="宋体" w:hAnsi="宋体"/>
          <w:b/>
          <w:i/>
          <w:color w:val="auto"/>
          <w:szCs w:val="21"/>
          <w:highlight w:val="none"/>
          <w:u w:val="single"/>
          <w:lang w:val="en-US" w:eastAsia="zh-CN"/>
        </w:rPr>
        <w:t xml:space="preserve">内“▲”产品的所投</w:t>
      </w:r>
      <w:r>
        <w:rPr>
          <w:rFonts w:hint="eastAsia" w:ascii="宋体" w:hAnsi="宋体"/>
          <w:b/>
          <w:i/>
          <w:color w:val="auto"/>
          <w:szCs w:val="21"/>
          <w:highlight w:val="none"/>
          <w:u w:val="single"/>
        </w:rPr>
        <w:t xml:space="preserve">厂家((或授权代理商)出具的针对本项目（或投标产品）的授权函及质保函，授权代理商盖章的同时提供授权代理证书</w:t>
      </w:r>
      <w:r>
        <w:rPr>
          <w:rFonts w:hint="eastAsia" w:ascii="宋体" w:hAnsi="宋体"/>
          <w:b/>
          <w:i/>
          <w:color w:val="auto"/>
          <w:szCs w:val="21"/>
          <w:highlight w:val="none"/>
          <w:u w:val="single"/>
          <w:lang w:eastAsia="zh-CN"/>
        </w:rPr>
        <w:t xml:space="preserve">，</w:t>
      </w:r>
      <w:r>
        <w:rPr>
          <w:rFonts w:hint="eastAsia" w:ascii="宋体" w:hAnsi="宋体"/>
          <w:b/>
          <w:i/>
          <w:color w:val="auto"/>
          <w:szCs w:val="21"/>
          <w:highlight w:val="none"/>
          <w:u w:val="single"/>
          <w:lang w:val="en-US" w:eastAsia="zh-CN"/>
        </w:rPr>
        <w:t xml:space="preserve">以及能够证明货物参数的</w:t>
      </w:r>
      <w:r>
        <w:rPr>
          <w:rFonts w:hint="eastAsia" w:ascii="宋体" w:hAnsi="宋体" w:cs="Times New Roman"/>
          <w:b/>
          <w:bCs w:val="0"/>
          <w:i/>
          <w:color w:val="auto"/>
          <w:sz w:val="21"/>
          <w:szCs w:val="21"/>
          <w:highlight w:val="none"/>
          <w:u w:val="single"/>
          <w:lang w:val="en-US" w:eastAsia="zh-CN"/>
        </w:rPr>
        <w:t xml:space="preserve">“白皮书”或“制造商官网截图”或“技术证明文件”或“检测报告”等材料</w:t>
      </w:r>
      <w:r>
        <w:rPr>
          <w:rFonts w:hint="eastAsia" w:ascii="宋体" w:hAnsi="宋体"/>
          <w:b/>
          <w:i/>
          <w:color w:val="auto"/>
          <w:szCs w:val="21"/>
          <w:highlight w:val="none"/>
          <w:u w:val="single"/>
        </w:rPr>
        <w:t xml:space="preserve">。供应商在投标文件中须提供承诺书原件扫描件上传（承诺书格式自拟），未承诺的作无效投标处理。</w:t>
      </w:r>
      <w:r/>
    </w:p>
    <w:p>
      <w:pPr>
        <w:ind w:firstLine="480"/>
        <w:spacing w:line="360" w:lineRule="auto"/>
        <w:rPr>
          <w:rFonts w:hint="eastAsia" w:ascii="宋体" w:hAnsi="宋体" w:eastAsia="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包1：</w:t>
      </w:r>
      <w:r>
        <w:rPr>
          <w:rFonts w:hint="eastAsia" w:ascii="宋体" w:hAnsi="宋体" w:cs="宋体"/>
          <w:b/>
          <w:bCs w:val="0"/>
          <w:iCs/>
          <w:color w:val="auto"/>
          <w:szCs w:val="21"/>
          <w:highlight w:val="none"/>
          <w:lang w:val="en-US" w:eastAsia="zh-CN"/>
        </w:rPr>
        <w:t xml:space="preserve">理化生实验室建设</w:t>
      </w:r>
      <w:r/>
    </w:p>
    <w:tbl>
      <w:tblPr>
        <w:tblStyle w:val="805"/>
        <w:tblW w:w="6168" w:type="pct"/>
        <w:tblInd w:w="-9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1035"/>
        <w:gridCol w:w="6410"/>
        <w:gridCol w:w="1180"/>
        <w:gridCol w:w="1063"/>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物理光热实验室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整体尺寸≥3000*700*900mm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1、钢木结构；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6.教师端能源供给分配系统1套：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①配备总能源泄漏保护和分组保护，可分组控制学生端，确保教师及学生实验安全方便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采用耐磨、耐腐蚀、耐高温（≤140℃）的PC薄膜面板，对学生端的控制都采用具有高响应度、高亮度、高对比度的TFT彩色电阻触摸终端控制，高精度贴片元件生产技术，微控制，所有能源均在显示终端上操作，使操作更灵敏，更简便，更直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③本主控系统内自带密码开机，并附带使用说明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④通过数字键盘直接选取1～30V电压，最小调节单元可达1V,额定电流3A，具有过载保护智能检测功能（电流高于过载点则自动保护，电流低于过载点则自动恢复至设定值）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⑤也是通过数字键盘直接选取，调节范围为1.5～30V，分辨率可达0.1V,额定电流6A，具有过载保护智能检测功能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⑥低压大电流值为20A，输出电流大于10A时，10秒自动关断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⑦交流输出为两位带安全门的市电，带有过载保护和电源指示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⑧通过数字键盘直接选取1～30V电压，确认后分组输送至学生桌电源并锁定（锁定后学生自己无法操作，只有在老师解除锁定后才能单独操作），最小调节单元为1V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⑨通过数字键盘直接选取1.5～30V电压，确认后分组输送至学生桌能源并锁定，最小调节单元为0.1V</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物理学生实验桌套装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1.外形尺寸：1225*600*780mm（±10mm）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双面膜耐腐蚀实芯理化板制作，四角倒R15圆角。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3.台面挡条：①采用三节拼接组合方式，后挡条高出台面≥ 73mm 。②半包围式前、左、右各一段，降低器材掉落风险；侧挡条缓降高度设计，可以适配不同高度台面，两侧挡条底部与铝板外翻边贴合，支撑强度更高。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4.书包斗：内部存储区域宽度≥1000mm 内嵌两组挂凳扣。碳素结构钢管组合，坚固耐用。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5.支撑桌腿：采用铝合金经挤压成型工艺制造，尺寸为 125mm×35mm（误差 ±5mm），结构坚固且轻量化。底脚采用一体压铸工艺，规格为 542mm×49mm×69mm（误差 ±5mm），各部件通过高强度内六角螺丝连接，兼顾稳固性与便捷组装、拆卸需求。桌腿预留地面固定孔洞，底部可灵活适配高度调整脚或滚轮，满足不同使用场景下的高度调节与移动需求；金属表面经环氧树脂喷涂后高温固化处理，形成致密防护层，抗腐蚀性能优异，有效抵御实验室潮湿、化学气体等环境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6.学生能源供给设备1套：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尺寸规格：≥165*92mm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①材质：ABS嵌入式盒，可安装在实验台下中心位置。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②操作方式：采用液晶显示终端控制，全触控操作。定制化电路板，贴片元件生产技术，微电脑控制。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③交流输出范围：学生交流可调节电压范围1～24V，分辨率1V，额定电流2A，具有过载保护功能。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④直流输出范围：学生直流可调节电压范围1.5～24V，分辨率0.1V，额定电流2A，具有过载保护功能。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⑤控制：学生设备可受教师端控制。受控功能包含锁定/解除锁定、输出电压值控制。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⑥220V：2路220V五孔插座输出，受教师端控制通断电。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外形尺寸：≥330*170*735mm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1.整体：前后结构，采用厚度不低于1.0mm厚一级冷轧镀锌钢板，经激光切割、折弯成型、焊接处理等工艺处理后成型，四边均圆角处理。内部隐藏实验线管及通风管道，方便检修。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2.配件：内六角螺丝固定，便于拆装。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3.表面处理：经环氧树脂喷涂高温固化处理，具有较强抗腐蚀性。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1、钢木结构，整体尺寸≥4780*600*800mm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物理光热实验室环境改造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2"/>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能源控制箱改造+新增能源线布管布线、开槽修补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2.原有水点位封堵：现场原有水点位切割，堵头封堵以及不锈钢盖板美化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3.新增水点位管道开槽修补+布管布线+开孔+阀门等</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4.墙面开槽美化修复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5.地面美化处理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化学实验室五、六</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6.教师端能源供给分配系统1套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①配备总能源泄漏保护和分组保护，可分组控制学生端，确保教师及学生实验安全方便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采用耐磨、耐腐蚀、耐高温（≤140℃）的PC薄膜面板，对学生端的控制都采用具有高响应度、高亮度、高对比度的TFT彩色电阻触摸终端控制，高精度贴片元件生产技术，微控制，所有能源均在显示终端上操作，使操作更灵敏，更简便，更直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③本主控系统内自带密码开机，并附带使用说明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④通过数字键盘直接选取1～30V电压，最小调节单元可达1V,额定电流3A，具有过载保护智能检测功能（电流高于过载点则自动保护，电流低于过载点则自动恢复至设定值）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⑤也是通过数字键盘直接选取，调节范围为1.5～30V，分辨率可达0.1V,额定电流6A，具有过载保护智能检测功能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⑥低压大电流值为20A，输出电流大于10A时，10秒自动关断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⑦交流输出为两位带安全门的市电，带有过载保护和电源指示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⑧通过数字键盘直接选取1～30V电压，确认后分组输送至学生桌电源并锁定（锁定后学生自己无法操作，只有在老师解除锁定后才能单独操作），最小调节单元为1V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⑨通过数字键盘直接选取1.5～30V电压，确认后分组输送至学生桌能源并锁定，最小调节单元为0.1V</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1、紧急冲淋洗眼装置的关节采用插拔式的连接方式，既缩短整个产品的安装工时，又能彻底解决管件连接处的漏水问题，轻松满足360度任意定位安装的人性化需要，外观整洁大方，检修及部件更换更加便捷。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2、主体、底座、冲淋阀、洗眼阀、冲淋头、洗眼盆、拉手、推手和脚踏等部件均采用卫生级06Cr19Ni10不锈钢无缝钢管，镍含量超过8%，耐腐蚀性能出众。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3、采用冷轧工艺生产，不易变形，同时管壁光滑无油脂，经久耐用。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4、洗眼喷头内置减压装置，防止对眼睛二次伤害；配置水压调节系统来适应不同场所的水压。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5、冲淋球阀和洗眼球阀均采用双片式阀门结构，密封性和抗压性能更好，使用寿命更长。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6、阀门管道采用由任（即活接头）的管道连接设计，使维修保养费用极低，避免了由于阀门或部件损坏后无法更换而导致整个洗眼器报废的情况。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洗眼喷头：采用PC材质模铸一体成形制作，具有防尘功能，上面防尘盖平常可防尘，使用时可随时被水冲开，并降低突然打开时短暂的高水压，避免冲伤眼睛。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学生专用实验操作桌套装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3"/>
              </w:numPr>
              <w:ind w:firstLine="0"/>
              <w:jc w:val="left"/>
              <w:keepLines w:val="0"/>
              <w:keepNext w:val="0"/>
              <w:pageBreakBefore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学生专用实验操作桌1套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外形尺寸：1225mm×600mm×780mm（±10mm）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1.台面：陶瓷台面（陶瓷板）：采用≥20mm厚一体成型实芯黑色胚体实验室专用无甲醛新型环保陶瓷板，整个台面一体高温烧制成型，耐强腐蚀，耐高温。需符合以下技术参数指标：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①重金属含量要求：铅、镉溶出量为未检出。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②破坏强度：不低于13000N；有釉台面表面耐磨等级不低于4级/2100转。承载测试：台面承载720kg保压600h及以上，检测结果为：无破损。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③台面洛氏硬度≥120HRM；</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④台面抗冲击性（恢复系数）≥0.85，台面断裂模数（平均值）≥55MPa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⑤工艺性能要求：台面坯体五面黑色，表面为釉面烧制颜色非胚体颜色，表面无空洞、无气泡、无杂色、无断裂、无脱层、无釉面碎屑，黑色坯体不易染色。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⑥为保证台面耐化学腐蚀的稳定性，台面耐化学腐蚀性不低于GLA级；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3.台面挡条：①采用三节拼接组合方式，后挡条高出台面≥ 73mm 。②半包围式前、左、右各一段，降低器材掉落风险；侧挡条缓降高度设计，可以适配不同高度台面，两侧挡条底部与铝板外翻边贴合，支撑强度更高。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4.书包斗：内部存储区域宽度≥1000mm 内嵌两组挂凳扣。碳素结构钢管组合，坚固耐用。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5.支撑桌腿：采用铝合金经挤压成型工艺制造，尺寸为 125mm×35mm（误差 ±5mm），结构坚固且轻量化。底脚采用一体压铸工艺，规格为 542mm×49mm×69mm（误差 ±5mm），各部件通过高强度内六角螺丝连接，兼顾稳固性与便捷组装、拆卸需求。桌腿预留地面固定孔洞，底部可灵活适配高度调整脚或滚轮，满足不同使用场景下的高度调节与移动需求；金属表面经环氧树脂喷涂后高温固化处理，形成致密防护层，抗腐蚀性能优异，有效抵御实验室潮湿、化学气体等环境影响。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二、学生能源供给装置1套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尺寸规格：≥165*92mm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①材质：ABS嵌入式盒，可安装在实验台下中心位置。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②操作方式：采用液晶显示终端控制，全触控操作。定制化电路板，贴片元件生产技术，微电脑控制。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③交流输出范围：学生交流可调节电压范围1～24V，分辨率1V，额定电流2A，具有过载保护功能。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④直流输出范围：学生直流可调节电压范围1.5～24V，分辨率0.1V，额定电流2A，具有过载保护功能。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⑤控制：学生设备可受教师端控制。受控功能包含锁定/解除锁定、输出电压值控制。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⑥220V：2路220V五孔插座输出，受教师端控制通断电。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外形尺寸：≥330*170*735mm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1.整体：前后结构，采用厚度不低于1.0mm厚一级冷轧镀锌钢板，经激光切割、折弯成型、焊接处理等工艺处理后成型，四边均圆角处理。内部隐藏实验线管及通风管道，方便检修。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2.配件：内六角螺丝固定，便于拆装。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3.表面处理：经环氧树脂喷涂高温固化处理，具有较强抗腐蚀性。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多功能防溅水槽柜套装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一、多功能水槽柜：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1.外形尺寸：450*635*860mm（±10mm）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水槽：采用改性PP注塑成型,水槽内最大深度≥310mm，最小深度≥255mm，水槽内配有溢水口。四周带有挡水翻边，挡水边两侧高、前方低，便于用户站在水槽前方操作。水槽底部配有≥3°倾角，水流可沿水槽底部坡面流入过滤框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过滤：采用双层过滤形式，上层配有条形过滤篮，宽度≥350mm，两侧把手与过滤篮一体注塑成型，坚固耐用，可轻松拿取。过滤框底部配有二级过滤网，过滤更加彻底，不易堵塞下水管道。柜体：≥1.00mm镀锌钢板，表面环氧喷涂。柜体形态人体工程学设计，柜体下部内凹≥70mm，两侧半径≥50mm圆角处理，便于站在水槽前进行清洗操作。底部可以安装调节脚或者1寸定向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4.柜门：前后各一个带锁检修门，便于日后维修。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5.带防溅水嘴。配套S弯，防堵、防臭设备。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二、配套供水设备（二冲一防溅）：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1.主体材质：为加厚H65铜管，主体管径≥22mm。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2.涂层：环氧树脂涂层，耐腐蚀、耐热、防紫外线辐射。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3.整体高度≥550mm，鹅颈出水高度≥400mm，可360°旋转。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4.安装方式：采用平台固定方式，固定底座直径≥55mm，底座锁母与台面中间添加齿形止退垫，使连接后不易松动稳定性强，与台面安装更加牢固。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5.开关旋钮：材质PP，启闭方式为平面式，开关标识清晰醒目，装配好的开关旋钮应平稳轻便无卡阻，与阀杆连接后不易松动，稳定性强。</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1.关节：高密度PP材质表面磨砂，优化了视觉美感和手握触感可360°旋转调节方向。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2.关节密封圈：不易老化之高密度橡胶。在关节之间随着旋钮压力加大而产生阻尼效果。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3.关节连接杆：06Cr19Ni10不锈钢双头锁杆。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4.关节盖：高密度PP材质表面磨砂，一面嵌入铜质滚花螺母，四周采用自锁式倒扣拆装方便。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5.关节松紧选钮：高密度PP材质，内置微形平面推力不锈钢轴承，与关节连接杆锁合。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6.拱形集气罩：直径≥253mm，高密度铝合金制成。防止做实验时着火出现危险，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7.伸缩导管：4节直径≥60mm的6系专业抗氧化抗腐蚀的镁硅铝合金，表面做特氟龙表面处理，耐酸、耐碱、耐划痕。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8.旋转关节：6系专业抗氧化抗腐蚀的镁硅铝合金，在下部设计增加旋转功能，内部设计PVC离合结构。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9.扭簧：使用90度的≥4mm专用弹簧钢抗氧化处理，防止吸风罩整体滑下。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10.安装后可根据使用需要达到三维360度任意转停，集气罩吸气角度360度任意转停。整体美观大方，吻合高水准专业实验室</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钢制固定底座，抗氧化抗腐蚀的镁硅铝合金方管，根据不同的组合方式可选择丝口和挂口结构，拆装方便。</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化学实验室五风机及减震系统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系统能够快速排除实验过程中产生的有害气体，保护师生健康，营造安全、清新的实验环境。低噪音设计让教师授课不受干扰，学生能够清晰听取实验讲解。学生在安全的空气环境中操作，可以更专注于实验现象观察和操作技能训练，提升化学实验教学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1.PP风机1台：材质PP厚度≥10mm，功率≥4KW，风量6677-12700m³/h，全压1139-724pa，出风口侧吹能够耐受化学实验室常见酸碱气体的侵蚀。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2.软连接1个：PVC材质，两头法兰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3.减震垫4个：橡胶材质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4.风机槽钢基础：规格≥1500*1500mm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化学实验室五活性炭吸附箱及基础</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1.活性炭吸附箱：规格≥2500*1300*1300mm，含碳含碳0.78m³。高品质活性炭，利用活性炭丰富的微孔结构吸附废气中的有机物、异味及部分有害成分。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2.碳箱槽钢基础：规格≥2000*1500mm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化学实验室五风管及管件系统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管及管件系统构建了废气收集与输送的完整管网。采用米黄色普通PP板制作的风管、弯头、法兰片等部件，具有良好的耐腐蚀性和密封性，确保废气在负压状态下稳定输送，无泄漏风险。通过合理的管道布局使实验室空间整洁有序，多个实验点位可同时使用而不互相干扰。手动阀和电动阀则实现对各分支管路的独立控制。吊杆、护套、防火棉、喷漆等辅助措施，进一步提升了系统的安全性和美观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一、楼顶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1.风管：规格≥630*300mm，材质PP，长度≥3米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2.弯头：规格≥630*300mm，平弯90°，数量1个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3.弯头：规格≥630*300mm，平弯45°，数量2个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4.弯头：规格≥630*300mm，立弯45°，数量2个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二、风井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1.风管：规格≥630*300mm，材质PP，长度≥15米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2.弯头：规格≥630*300mm，立弯90°，数量2个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三、室内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1.风管：规格≥630*300mm，材质PP，长度≥27米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2.风管：规格≥160mm，材质PP，长度≥34米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3.风管：规格≥60mm，材质PP，长度≥10米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4.风管：规格≥200mm，材质PP，长度≥1.5米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5.风管：规格≥110mm，材质PP，长度≥9米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6.软管：规格≥60mm，材质PVC，长度≥29米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7.软管卡箍：规格≥60mm，材质不锈钢，数量58个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8.封板：规格≥160mm，材质PP，数量1块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9.弯头：规格≥630*300mm，平弯90°，数量1个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10.弯头：规格≥160mm，平弯90°，数量4个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11.弯头：规格≥60mm，平弯90°，数量1个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12.弯头：规格≥110mm，平弯90°，数量6个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13.弯头：规格≥630*300mm，立弯45°，数量8个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14.弯头：规格≥200mm，立弯45°，数量2个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15.三通：规格≥160mm，PP，数量1个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16.三通：规格≥110mm，PP，数量1个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17.变径：规格≥630*300/200mm，PP，数量1个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18.变径：规格≥200/110mm，PP，数量1个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19.变径：规格≥160/110mm，PP，数量2个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20.防火阀：规格≥630*300mm，镀锌，数量1个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21.手动阀：规格≥160mm，PP，数量15个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22.手动阀：规格≥60mm，PP，数量1个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23.手动阀：规格≥110mm，PP，数量1个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24.电动阀：规格≥160mm，PP，数量15个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25.电动阀：规格≥60mm，PP，数量1个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26.电动阀：规格≥110mm，PP，数量1个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27.天花板密封圈：规格≥160mm，PP，数量1个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28.天花板密封圈：规格≥110mm，PP，数量1个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29.室内主管包防火棉：长度≥2米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四、整体配套安装及修复。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化学实验室五电气控制系统及安装辅材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1.室内变频器：数量1台，规格4KW（17个点位+2个液晶面板）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2.液晶面板：数量2台，规格15个点位/2个点位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3.信号线：长度≥400米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4.屏蔽信号线 ：长度≥60米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5.能源传输线：规格≥2.5平方 4芯，数量≥100米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6.穿线管：材质PVC，长度≥360米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7.楼顶支架：材质镀锌，4副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8.支架水泥墩：8个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9.室外PP盖帽：材质PP，数量200个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10.室内墙洞：含修复，数量3个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11.穿墙套管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12.配套整体通风系统安装调试，现场调试过程中，技术人员会反复模拟各种工况，调整加减速时间、优化频率给定曲线，确保风机启停平稳、运行响应灵敏。</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化学实验室六风机及减震系统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系统能够快速排除实验过程中产生的有害气体，保护师生健康，营造安全、清新的实验环境。低噪音设计让教师授课不受干扰，学生能够清晰听取实验讲解。学生在安全的空气环境中操作，可以更专注于实验现象观察和操作技能训练，提升化学实验教学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1.PP风机1台：材质PP厚度≥10mm，功率≥4KW，风量6677-12700m³/h，全压1139-724pa，出风口侧吹能够耐受化学实验室常见酸碱气体的侵蚀。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2.软连接1个：PVC材质，两头法兰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3.减震垫4个：橡胶材质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4.风机槽钢基础：规格≥1500*1500mm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化学实验室六活性炭吸附箱及基础</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1.活性炭吸附箱：规格≥2000×1300×1300mm，含碳含碳0.58m³。高品质活性炭，利用活性炭丰富的微孔结构吸附废气中的有机物、异味及部分有害成分。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2.碳箱槽钢基础：规格≥1500×1500mm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化学实验室六风管及管件系统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管及管件系统构建了废气收集与输送的完整管网。采用米黄色普通PP板制作的风管、弯头、法兰片等部件，具有良好的耐腐蚀性和密封性，确保废气在负压状态下稳定输送，无泄漏风险。通过合理的管道布局使实验室空间整洁有序，多个实验点位可同时使用而不互相干扰。手动阀和电动阀则实现对各分支管路的独立控制。吊杆、护套、防火棉、喷漆等辅助措施，进一步提升了系统的安全性和美观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一、楼顶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1.风管：规格≥500×300mm，材质PP，长度≥12米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2.弯头：规格≥500×300mm，规格平弯90°，数量3个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3.弯头：规格≥500×300mm，规格立弯90°，数量2个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二、风井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1.风管：规格≥500×300mm，材质PP，长度≥15米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2.弯头：规格≥500×300mm，规格立弯90°，数量2个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三、室内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1.风管：规格≥500×300mm，材质PP，长度≥16米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2.风管：规格≥160mm，材质PP，长度≥28米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3.风管：规格≥60mm，材质PP，长度≥10米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4.软管：规格≥60mm，材质PVC，长度≥29米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5.软管卡箍：规格≥60mm，材质不锈钢，数量58个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6.封板：规格≥500*300mm，材质PP，数量1块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7.封板：规格≥160mm，材质PP，数量14块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8.弯头：规格≥500×300mm,平弯90°,数量1个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9.弯头：规格≥160mm，平弯90°,数量14个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10.弯头：规格≥60mm，平弯90°，数量1个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11.弯头：规格≥500×300mm，立弯45°，数量4个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12.防火阀：规格≥500×300mm，镀锌，数量1个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13.手动阀：规格≥150mm，材质PP，数量14个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12.手动阀：规格≥60mm，材质PP，数量1个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13.电动阀：规格≥160mm，材质PP，数量14个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14.电动阀：规格≥60mm，材质PP，数量1个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15.吊杆：规格≥500*300mm，数量10副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16.吊杆：规格≥160mm，数量21副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17.吊杆护套，材质PVC，长度≥80米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18.室内主管包防火棉，长度≥2米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四、整体配套安装及修复。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化学实验室六电气控制系统及安装辅材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1.室内变频器：数量1台，规格4KW（（15个点位+1个液晶面板）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2.液晶面板：数量1台，规格15个点位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3.信号线：长度≥320米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4.屏蔽信号线 ：长度≥20米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5.能源传输线：规格≥2.5平方 4芯，数量≥80米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6.穿线管：材质PVC，长度≥260米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7.楼顶支架：材质镀锌，8副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8.支架水泥墩：16个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9.室外PP盖帽：材质PP，数量500个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10.风井支架 ：材质镀锌，数量4副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11.室内墙洞：含修复，数量1个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12.穿墙套管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13.配套整体通风系统安装调试，现场调试过程中，技术人员会反复模拟各种工况，调整加减速时间、优化频率给定曲线，确保风机启停平稳、运行响应灵敏。</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化学实验室五环境改造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4"/>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能源控制箱改造+新增点位能源线布置、开槽修补等工程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2.通风变频器增加能源线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3.新增水点位管道开槽修补+布管布线+开孔+阀门</w:t>
            </w:r>
            <w:r/>
          </w:p>
          <w:p>
            <w:pPr>
              <w:numPr>
                <w:ilvl w:val="0"/>
                <w:numId w:val="5"/>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修复下一楼层原顶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5.墙面开孔及美化修复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6.配合药品柜液晶面板墙面开槽布管至准备室风井内及开槽美化或修复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7.前后墙美化及修复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8.风管美化处理</w:t>
            </w:r>
            <w:r/>
          </w:p>
          <w:p>
            <w:pPr>
              <w:numPr>
                <w:ilvl w:val="0"/>
                <w:numId w:val="6"/>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原有风扇拆除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10.墙面开槽部位美化修复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11.地面美化处理</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化学实验室六环境改造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4"/>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能源控制箱改造+新增点位能源线布置、开槽修补等工程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2.通风变频器增加能源线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3.新增水点位管道开槽修补+布管布线+开孔+阀门</w:t>
            </w:r>
            <w:r/>
          </w:p>
          <w:p>
            <w:pPr>
              <w:numPr>
                <w:ilvl w:val="0"/>
                <w:numId w:val="5"/>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修复下一楼层原顶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5.墙面开孔及美化修复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6.配合药品柜液晶面板墙面开槽布管至准备室风井内及开槽美化或修复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7.前后墙美化及修复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8.风管美化处理</w:t>
            </w:r>
            <w:r/>
          </w:p>
          <w:p>
            <w:pPr>
              <w:numPr>
                <w:ilvl w:val="0"/>
                <w:numId w:val="6"/>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原有风扇拆除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10.墙面开槽部位美化修复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11.地面美化处理</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化学竞赛实验室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综合实验台1</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1、钢木结构，整体尺寸≥2400*1500*900mm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综合实验台2</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1、钢木结构，整体尺寸≥3000*1500*900mm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实验室专用水台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1、钢木结构，整体尺寸≥1500*700*800mm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整体尺寸≥5300*300*450mm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1、铝合金结构，表面喷涂高温固化匀乳白环氧树脂喷涂理处理，具有较强的耐蚀性能，上下带塑胶模具堵头；</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2、试剂架立柱截面尺寸≥42mm*82mm,型材壁厚≥1.2mm；试剂架立柱双面升降槽，侧面双面镶嵌另色色条；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3、试剂架托架≥1.0mm高强度镀锌钢板，一次性冲压成型；试剂架护栏：护栏壁厚≥1.2mm，单面镶嵌另色色条。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PP材质，≥400*120*550mm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3、滴水棒卡扣与主板卡槽紧密契合，不易松动，极好地保护实验器具。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洗眼喷头：采用PC材质模铸一体成形制作，具有防尘功能，上面防尘盖平常可防尘，使用时可随时被水冲开，并降低突然打开时短暂的高水压，避免冲伤眼睛。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1、钢木结构，整体尺寸≥5000*700*800mm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1、钢木结构，整体尺寸≥2500*700*800mm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ascii="宋体" w:hAnsi="宋体" w:cs="宋体"/>
                <w:color w:val="auto"/>
                <w:sz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防护用品柜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1、PP材质，整体尺寸≥1000*500*1970mm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4、上柜视窗们：内框采用改性PP材质注塑模一次成型,外嵌≥4.6mm厚钢化烤漆玻璃，中间烤漆镂空制作。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8、螺丝：PP材质，可选不锈钢材质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9、备注：可以用于各种腐蚀性化学品的储存，如硫酸、盐酸、硝酸、乙酸、硫磺酸等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1、紧急冲淋洗眼装置的关节采用插拔式的连接方式，既缩短整个产品的安装工时，又能彻底解决管件连接处的漏水问题，轻松满足360度任意定位安装的人性化需要，外观整洁大方，检修及部件更换更加便捷。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2、主体、底座、冲淋阀、洗眼阀、冲淋头、洗眼盆、拉手、推手和脚踏等部件均采用卫生级06Cr19Ni10不锈钢无缝钢管，镍含量超过8%，耐腐蚀性能出众。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3、采用冷轧工艺生产，不易变形，同时管壁光滑无油脂，经久耐用。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4、洗眼喷头内置减压装置，防止对眼睛二次伤害；配置水压调节系统来适应不同场所的水压。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5、冲淋球阀和洗眼球阀均采用双片式阀门结构，密封性和抗压性能更好，使用寿命更长。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6、阀门管道采用由任（即活接头）的管道连接设计，使维修保养费用极低，避免了由于阀门或部件损坏后无法更换而导致整个洗眼器报废的情况。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智能自净式通风柜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top"/>
            <w:textDirection w:val="lrTb"/>
            <w:noWrap w:val="false"/>
          </w:tcPr>
          <w:p>
            <w:pPr>
              <w:ind w:firstLine="0"/>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1、前板及侧板：柜体采用大于等于1.2mm冷轧板设计环氧树脂静电喷涂而成，柜体转角采用一体成型60°R角设计，前门采用翻转门结构设计，主要材质≥6mm亚克力板。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2、控制系统采用≥5英寸显示终端，实时显示温湿度、VOC值以、压差值，风机转速，可设置报警参数，保障产品使用安全。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3、风机：风机风机系统失灵报警，在线可调风机转速，保证不同化学品操作要求风量，平均面风速设定在0.4-0.6m/s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4、过滤系统，产品配置双层过滤器，可根据实验室使用场景自由组合，并根据过滤器配置选择相应过滤器饱和监测系统实时显示在控制系统中，同时过滤器应符合如下要求：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5、过滤系统中原材料需包含分子筛，碘吸附值参照GB/T 7702.7-2023检测标准，碘值应达到≥216mg/g，比表面积参照GB/T 7702.20-</w:t>
            </w:r>
            <w:bookmarkStart w:id="89" w:name="_GoBack"/>
            <w:r>
              <w:rPr>
                <w:rFonts w:hint="eastAsia" w:ascii="宋体" w:hAnsi="宋体" w:eastAsia="宋体" w:cs="宋体"/>
                <w:i w:val="0"/>
                <w:iCs w:val="0"/>
                <w:color w:val="auto"/>
                <w:sz w:val="18"/>
                <w:szCs w:val="18"/>
                <w:highlight w:val="none"/>
                <w:u w:val="none"/>
                <w:lang w:val="en-US" w:eastAsia="zh-CN" w:bidi="ar"/>
              </w:rPr>
              <w:t xml:space="preserve">2025</w:t>
            </w:r>
            <w:bookmarkEnd w:id="89"/>
            <w:r>
              <w:rPr>
                <w:rFonts w:hint="eastAsia" w:ascii="宋体" w:hAnsi="宋体" w:eastAsia="宋体" w:cs="宋体"/>
                <w:i w:val="0"/>
                <w:iCs w:val="0"/>
                <w:color w:val="auto"/>
                <w:sz w:val="18"/>
                <w:szCs w:val="18"/>
                <w:highlight w:val="none"/>
                <w:u w:val="none"/>
                <w:lang w:val="en-US" w:eastAsia="zh-CN" w:bidi="ar"/>
              </w:rPr>
              <w:t xml:space="preserve">检测标准，比表面积应达到≥308㎡/g。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6、针对额定吸附量，其中包含硫酸吸附量≥1674g，硝酸吸附量≥1608g，正丁醇吸附量≥1400g，丙酮吸附量≥300g，三氯甲烷吸附量≥650g</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7、针对气体过滤器的吸附效能，应符合JG/T 385-2012规定的A级排风柜过滤器出风端污染物浓度达到其时间加权平均允许浓度（TWA）规定值的1%，其中包含过滤后的异丙醇吸附效能＜0.500mg/m³，环己烷吸附效能＜0.500mg/m³，苯吸附效能＜0.050mg/m³，甲苯吸附效能＜0.050mg/m³，盐酸吸附效能＜0.2mg/m³，硝酸吸附效能＜0.2mg/m³，硫酸吸附效能＜0.2mg/m³，丙酮吸附效能＜0.6mg/m³，氨吸附效能＜0.13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8、安全性：通过OEB5级防护标准要求，泄露量低于1μg/m3。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9、产品满足SF6六氟化硫示踪气体浓度控制试验结果，排风柜控制浓度小于0.5PPM。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10、产品配置可移动式支架，支架采用福马路设计，可移动或固定。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参数配置：外部尺寸不小于：1500*620*1100mm，空气处理量不小于：690m3/h；平均表面风速：0.4-0.6m/s；分子过滤器：6组；初效过滤器：3块；风机：3个；光源：光源系统1组；显示终端：≥5英寸液晶触摸终端；控制系统：1套；VOC报警系统：1个；温湿度报警系统：1套；下柜：1套。</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电子分析天平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1、最大称量值≥220g，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2、可读性：0.1mg，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3、重复性偏差：0.1mg，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4、线性误差：±0.0002g，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5、电源要求：适配器输入:100–240V~200mA，50–60Hz12-18VA适配器输出:12VDC0.5A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6、整机尺寸≥209*321*339mm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7、通讯接口：RS232USB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8、典型最小称量值：200mg</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电子精密天平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1、最大称量值≥2200g，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2、可读性：0.01g，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3、重复性偏差：0.01g，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4、线性误差：±0.02g，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5、电源要求：适配器输入:100–240V~200mA，50–60Hz12-18VA适配器输出:12VDC0.5A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6、整机尺寸：整机尺寸≥(W×D×H)209×321×98mm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7、通讯接口：RS232USB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8、典型最小称量值：20g</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封闭电炉</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1、双联≥2KW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2、控温范围;RT～500℃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高速离心机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主要技术性能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微机控制，直流无刷电机驱动，运行稳定、噪声低、转速精度高。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触控面板，可编程操作，主机运行参数可根据需求设置自动存储。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液晶屏显示，人性化界面，操作简单便捷。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实时RPM/RCF之间读数换算与设定，方便快捷。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配备电子门锁，设有门盖保护、超速等多种保护功能；故障自动报警功能，安全可靠。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采用食用级硅橡胶整体式密封圈。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具有9个程序升/降速率曲线，可根据需要设置升/降速时间。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最高转速≥16500r/min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最大相对离心力约23669×g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转速精度约±30r/min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时间设置范围1s～99min59s/1min～99min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最大容量≥100mlx4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整机噪音＜65dB(A)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电源AC220V50Hz10A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整机功率约750W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外形尺寸≥330×420×280mm(L×W×H)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外包装尺寸≥430×520×390mm(L×W×H)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转子1.5/2.2ml*12+50ml*6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1、搅拌转速：100~1500r/min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2、最大搅拌量≥5000ml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3、电机转距：20mNm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4、最长定时：250分钟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5、加热盘尺寸：≥φ145mm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6、定时精度：1分钟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7、液体控温精度：±1℃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8、外形尺寸：≥245*150*125mm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9、液体控温范围：室温~150℃（1000ml内）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电热恒温水浴锅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规格：单列四孔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功率(kW)≥1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温控范围及温度误差：RT+5-100℃±1℃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1、容积：≥80L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2、工作室尺寸≥：450×400×450mm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3、控温范围：RT+10～200℃/RT+10～250℃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4、分辨率：0.1℃波动度：±1.0℃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旋转蒸发仪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萃取液的浓缩和色谱分离时的接收液的蒸馏，可以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离和纯化反应产物主机:跷板式按键,快速自动升降,0-150毫米转速:转速数字显示20-200转/分,，加热锅:特氟隆复合锅,全封闭加热器；温度范围:温度自动控制,数字显示水温,室温-90度；电压:220V50赫兹（±10%）；冷却器:立式,耐高温玻璃精致双回流一体化球，磨口冷凝管配球磨口收集瓶达到快速装卸；加料器:阀门式加料管套接四氟乙烯管；密封圈:氟橡胶真空密封垫圈</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循环水真空泵</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1.功率W≥180；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2.工作电源V/HZ：220/50（±10%）；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3.流量L/min≥60；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4.扬程m≥8；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5.机体材质：防腐；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6.最大真空度Mpa：0.098；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7.单头抽气量L/min≥2；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8.抽气头数个≥2；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9.储水箱容积L：≥15；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微型高速粉碎机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电压：220v（±10%)，功率≥350w，转速：≥24000r/min，生产能力：10－100g，细度：10－250目。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玻璃仪器烘干器套装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1.不锈钢材质,具调温控制装置,可调温40-120℃,≥30孔,功率≥800W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2.加热装置1套：容量≥20L，额定频率50Hz，功率≥700W，额定电压220V（±10%），产品尺寸长≥440mm；宽≥340mm；高≥258mm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成套有机磨口玻璃仪器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1.含圆底烧瓶、斜三口烧瓶、蒸馏管等不少于45个有机制备玻璃仪器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油浴锅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样品前处理用、蒸馏、干燥、浓缩及浸渍化学药品或生物制品，加热功率≥2500W，室温～300℃,±1℃可以定做干烧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显微熔点仪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1.熔点测量范围：室温至320℃；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2.测量重复性：±1℃（在＜200℃时），±2℃（在20.0℃一320℃时）；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3.温度显示最小值：1℃；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4.熔点观察方式：单目显微镜；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5.光学放大倍数40×；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阿贝折射仪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测定透明、半透明液体或固体的折射率主要技术参数，折射率测量范围（nD):1.3000-1.7000，准确度（nD):±0.0002(估计读数)，蔗糖溶液质量分数（锤度Brix）读数范围：0~95%。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实验室电导率仪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1、测量范围：电导率：0.000μS/cm～199.9mS/cm分六档量程，可自动切换；TDS：0.000mg/L～99.9g/分五档量程，可自动转换；盐度：（0.00～8.00）%；温度：(-5.0～105.0)℃；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2、分辨率:电导率：0.001μS/cm、0.1ｍS/cmTDS：0.001mg/；盐度：0.01%；温度：0.1℃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3、基本误差：电导率：±0.5%FS；TDS：±0.5%FS盐度：0.1％；温度：±0.3℃±1个字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4、稳定性：（±0.3%FS）/3h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5、温度补偿范围：手动/自动(0.0～50.0)℃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6、温度补偿系数：可调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7、电源：通用电源器(9VDC，500mA，内正外负)</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1.测量范围pH：(0.00～14.00)pH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i.mV：(-1999～1999)mV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ii.温度：(-5.0～135.0)℃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2.仪器的基本误差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a)pH:±0.02pH;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b)温度：±0.4℃(0℃≤T≤60℃)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3.±1.0℃(其他范围)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4.分辨率pH：0.01pH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a)mV：1mV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b)温度：0.1℃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5.电子单元基本误差pH：±0.01pH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i.mV：±1mV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ii.温度：±0.3℃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6.自动温度补偿范围：(0.0～100.0)℃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7.标定方式：一点、二点或三点自动标定</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溶解氧测定仪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1、溶解氧浓度：（0.00～20.00）mg/L；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2、示值误差：±0.10mg/L；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3、溶解氧饱和度：（0.0～300.0）%；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4、温度：（-5.0～110.0）℃。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大屏幕点阵式液晶显示，直观清晰、内容全面（可显示测量值、温度值、测量模式、操作日期和时间）；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允许测量多个参数：溶解氧浓度值、溶解氧饱和度值、电流值和温度值。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支持零氧和满度标定，支持电极标定提醒功能；支持自动温度补偿；支持气压校准和盐度校准；</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旋光仪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1、测量模式：旋光度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2、仪器光源：钠光灯＋滤色片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3、测量范围：±180°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4、度盘格值：1°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5、度盘游标读数值：0.05°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6、放大镜放大倍数：4×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7、试管≥200mm、100mm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8、仪器电源：220V±22V,50Hz±1Hz</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多参数水质分析仪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测量范围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a）氨氮：（0.000~4.000）mg/L，可扩展至300mg/L；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b）低浓度COD：（0.0～150.0）mg/L；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c）高浓度COD：（150～1500）mg/L；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d）总磷：（0.000～1.000）mg/L,可扩展至25mg/L。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仪器基本误差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a）氨氮：±10％；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b）低浓度COD：±8％；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c）高浓度COD：±8％；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d）总磷：±10％；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仪器的重复性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a）氨氮：±3％；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b）低浓度COD：±3％；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c）高浓度COD：±3％；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d）总磷：±3％；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仪器集成了四种波长，包括420nm、470nm、620nm、700nm；允许测量不同浓度的化学需氧量COD值、氨氮、总磷等参数，对于其他具有相应吸收峰的参数也可以测量；</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紫外可见分光光度计套装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波长范围：195-1050nm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光谱带宽：4nm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波长准确度：±0.8nm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波长重复性：≤0.4nm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光度准确度：0.5%T(0-100%T)、±0.003A(0-0.5A)、±0.006A(0.5-1A)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光度重复性：≤0.2%T(0-100%T)、0.002A(0-0.5A)、0.003A(0.5-1A)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杂散光：≤0.2%T@220nm,360nm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稳定性：±0.001A/h@500nm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基线平直度：±0.002A（200-1000nm）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主机自带功能：光度测量，定量测量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显示：5英寸TFT彩色触摸终端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接口：RS232串口×1（打印机），USB-A×1（USB存储器），USB-B×1（电脑）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语言：支持6国语言切换—英，德，法，西，葡，中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1、全铝压铸底座和全模具化的塑壳，仪器更加坚固，耐用；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2、支持基于PCL3GUI协议的USB通用打印机和串口微型打印机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3、单、双波长法（双波长差，双波长比）测量样品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4、文件可删除，重命名，批量导入/导出，转换为TXT和CSV格式</w:t>
            </w:r>
            <w:r/>
          </w:p>
          <w:p>
            <w:pPr>
              <w:ind w:firstLine="0"/>
              <w:jc w:val="left"/>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5、恒温冷藏系统1套：总容积(升)≥258</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冷冻室(升)≥74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变温室(升)≥40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冷藏室(升)≥144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能效等级2级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运转音dB(A)≤39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化学竞赛实验室环境改造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1.能源控制箱改造+新增点位能源线布置、开槽修补等</w:t>
            </w:r>
            <w:r/>
          </w:p>
          <w:p>
            <w:pPr>
              <w:numPr>
                <w:ilvl w:val="0"/>
                <w:numId w:val="0"/>
              </w:numPr>
              <w:jc w:val="left"/>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2.现场原有给水点位切割，堵头封堵以及不锈钢盖板美化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3.紧急喷淋新增给排水点位管道开槽修补+线路布置+开孔+阀门等</w:t>
            </w:r>
            <w:r/>
          </w:p>
          <w:p>
            <w:pPr>
              <w:numPr>
                <w:ilvl w:val="0"/>
                <w:numId w:val="0"/>
              </w:numPr>
              <w:jc w:val="left"/>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4.对紧急喷淋给排水改造处修复美化</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5.墙面开槽部位美化修复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6.地面美化处理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1、钢木结构，整体尺寸≥2400*1200*900mm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1、钢木结构；整体尺寸≥1200*700*800mm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20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整体尺寸≥2380*300*450mm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1、铝合金结构，表面喷涂高温固化匀乳白环氧树脂喷涂理处理，具有较强的耐蚀性能，上下带塑胶模具堵头；</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2、试剂架立柱截面尺寸≥42mm*82mm,型材壁厚≥1.2mm；试剂架立柱双面升降槽，侧面双面镶嵌另色色条；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3、试剂架托架≥1.0mm高强度镀锌钢板，一次性冲压成型；试剂架护栏：护栏壁厚≥1.2mm，单面镶嵌另色色条。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PP材质，≥400*120*550mm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3、滴水棒卡扣与主板卡槽紧密契合，不易松动，极好地保护实验器具。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洗眼喷头：采用PC材质模铸一体成形制作，具有防尘功能，上面防尘盖平常可防尘，使用时可随时被水冲开，并降低突然打开时短暂的高水压，避免冲伤眼睛。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规格：约600*450*850mm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1、双层层板设计，板材厚度≥0.75mm06Cr19Ni10不锈钢，立柱采用厚度≥1.0mm圆管，每层加强横梁1根，单层载重不小于150GK。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3、配件：静音万向轮，360°全方位旋转，其中2只带刹车功能，移动方便，安全更耐用。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4、产品采用焊接连接方式、经打磨抛光处理，无毛刺不刮手。</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化学准备室环境改造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1.新增点位能源线布置、开槽修补等</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2.新增水点位开槽修补+布置+开孔+阀门等</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3.墙地面开槽部位美化修复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4.风井楼板开洞，包含二层及三层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5.风井洞口吊顶，包含二层及三层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6.三层风井新建防护装置、墙面处理+墙面美化+保护处理</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1.PP材质,尺寸≥1000*500*1970mm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4.上柜视窗们：内框采用改性PP材质注塑模一次成型,外嵌≥4.6mm厚钢化烤漆玻璃，中间烤漆镂空制作。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8.螺丝：PP材质，可选不锈钢材质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9.备注：可以用于各种腐蚀性化学品的储存，如硫酸、盐酸、硝酸、乙酸、硫磺酸等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化学药品室环境装饰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1.墙面开孔及修复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2.配合药品柜液晶面板墙面开槽布管至风井内及开槽美化或修复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物理准备室一</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1、钢木结构；整体尺寸≥3000*1200*800mm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规格：约600*450*850mm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1、双层层板设计，板材厚度≥0.75mm06Cr19Ni10不锈钢，立柱采用厚度≥1.0mm圆管，每层加强横梁1根，单层载重不小于150GK。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3、配件：静音万向轮，360°全方位旋转，其中2只带刹车功能，移动方便，安全更耐用。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4、产品采用焊接连接方式、经打磨抛光处理，无毛刺不刮手。</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物理准备室一环境改造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1.新增能源线布置、开槽修补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2.墙地面开槽部位美化修复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6.教师端能源供给分配系统1套：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①配备总能源泄漏保护和分组保护，可分组控制学生端，确保教师及学生实验安全方便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采用耐磨、耐腐蚀、耐高温（≤140℃）的PC薄膜面板，对学生端的控制都采用具有高响应度、高亮度、高对比度的TFT彩色电阻触摸终端控制，高精度贴片元件生产技术，微控制，所有能源均在显示终端上操作，使操作更灵敏，更简便，更直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③本主控系统内自带密码开机，并附带使用说明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④通过数字键盘直接选取1～30V电压，最小调节单元可达1V,额定电流3A，具有过载保护智能检测功能（电流高于过载点则自动保护，电流低于过载点则自动恢复至设定值）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⑤也是通过数字键盘直接选取，调节范围为1.5～30V，分辨率可达0.1V,额定电流6A，具有过载保护智能检测功能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⑥低压大电流值为20A，输出电流大于10A时，10秒自动关断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⑦交流输出为两位带安全门的市电，带有过载保护和电源指示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⑧通过数字键盘直接选取1～30V电压，确认后分组输送至学生桌电源并锁定（锁定后学生自己无法操作，只有在老师解除锁定后才能单独操作），最小调节单元为1V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⑨通过数字键盘直接选取1.5～30V电压，确认后分组输送至学生桌能源并锁定，最小调节单元为0.1V</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物理学生实验桌套装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1.外形尺寸：1225*600*780mm（±10mm）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双面膜耐腐蚀实芯理化板制作，四角倒R15圆角。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3.台面挡条：①采用三节拼接组合方式，后挡条高出台面≥ 73mm 。②半包围式前、左、右各一段，降低器材掉落风险；侧挡条缓降高度设计，可以适配不同高度台面，两侧挡条底部与铝板外翻边贴合，支撑强度更高。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4.书包斗：内部存储区域宽度≥1000mm 内嵌两组挂凳扣。碳素结构钢管组合，坚固耐用。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5.支撑桌腿：采用铝合金经挤压成型工艺制造，尺寸为 125mm×35mm（误差 ±5mm），结构坚固且轻量化。底脚采用一体压铸工艺，规格为 542mm×49mm×69mm（误差 ±5mm），各部件通过高强度内六角螺丝连接，兼顾稳固性与便捷组装、拆卸需求。桌腿预留地面固定孔洞，底部可灵活适配高度调整脚或滚轮，满足不同使用场景下的高度调节与移动需求；金属表面经环氧树脂喷涂后高温固化处理，形成致密防护层，抗腐蚀性能优异，有效抵御实验室潮湿、化学气体等环境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6.学生能源供给设备1套：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尺寸规格：≥165*92mm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①材质：ABS嵌入式盒，可安装在实验台下中心位置。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②操作方式：采用液晶显示终端控制，全触控操作。定制化电路板，贴片元件生产技术，微电脑控制。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③交流输出范围：学生交流可调节电压范围1～24V，分辨率1V，额定电流2A，具有过载保护功能。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④直流输出范围：学生直流可调节电压范围1.5～24V，分辨率0.1V，额定电流2A，具有过载保护功能。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⑤控制：学生设备可受教师端控制。受控功能包含锁定/解除锁定、输出电压值控制。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⑥220V：2路220V五孔插座输出，受教师端控制通断电。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外形尺寸：≥330*170*735mm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1.整体：前后结构，采用厚度不低于1.0mm厚一级冷轧镀锌钢板，经激光切割、折弯成型、焊接处理等工艺处理后成型，四边均圆角处理。内部隐藏实验线管及通风管道，方便检修。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2.配件：内六角螺丝固定，便于拆装。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3.表面处理：经环氧树脂喷涂高温固化处理，具有较强抗腐蚀性。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大仪器柜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全钢结构。整体尺寸≥1300*500*2000mm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物理电学实验室环境改造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7"/>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能源控制箱改造+新增能源线布置、开槽修补</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2.墙面开槽部位美化修复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3.新增水点位管道开槽修补+布管布线+开孔+阀门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4.拆除及修复下一楼层原顶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5.地面美化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物理准备室二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1、钢木结构；整体尺寸≥3000*1200*800mm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大仪器柜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全钢结构。整体尺寸≥1300*500*2000mm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规格：约600*450*850mm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1、双层层板设计，板材厚度≥0.75mm06Cr19Ni10不锈钢，立柱采用厚度≥1.0mm圆管，每层加强横梁1根，单层载重不小于150GK。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3、配件：静音万向轮，360°全方位旋转，其中2只带刹车功能，移动方便，安全更耐用。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4、产品采用焊接连接方式、经打磨抛光处理，无毛刺不刮手。</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物理准备室二环境改造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8"/>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新增点位能源线布置、开槽修补</w:t>
            </w:r>
            <w:r/>
          </w:p>
          <w:p>
            <w:pPr>
              <w:numPr>
                <w:ilvl w:val="0"/>
                <w:numId w:val="8"/>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2.墙地面开槽部位美化修复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物理竞赛实验室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1、钢木结构；整体尺寸≥3000*1500*800mm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1、钢木结构；整体尺寸≥5000*700*800mm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1、钢木结构；整体尺寸≥2500*700*800mm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大仪器柜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全钢结构。整体尺寸≥1300*500*2000mm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实验一：实验误差</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恒流源：0~2A连续可调，电流纹波＜0.1uA；自动量程+四位半数显，分辨率0.1uA~100uA（适配对应量程）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电压测量：自动量程+四位半数显，0~19.999V，分辨率1uV~1mV（适配对应量程）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智能控温表：室温～120℃无级设定，分辨率0.1℃，控温精度±0.5%Fs，PID控制（含ON/OFF位式+连续模式）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透明模块测量盒：≥6个四端电阻（标准0.01Ω±0.1%、0.1Ω±0.05%；模拟1Ω/10Ω/51Ω/510Ω±5%）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待测件：铜电阻（0.2Ω±10%，变温）、Pt100传感器（100Ω±0.1%，0℃，变温）、铜铝铁材料（≥Φ2mm×300mm，长度分辨率1mm）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直流电阻电桥（市电型）：惠斯登线路，1Ω~9.999MΩ，0.2级，内附稳压电源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直流电阻箱：0~99999.9Ω，0.1级，高稳定锰铜丝绕制（温漂＜5ppm）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四位半数字万用表：直流电压200mV~1000V、交流电压2V~750V；直流电流20mA~10A、交流电流200uA~10A；电阻200Ω~20MΩ、电容22nF~4000uF、频率2KHz~20KHz</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实验三：测定金属的杨氏模量</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主要技术指标：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1、带照明标尺；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2、采用大口径光杠杆ф≥50mm，带强磁保护；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3、望远镜放大率：30x，口径≥42mm；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4、带激光瞄准装置，视场角：1°26＇；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5、视距＞200cm，视距乘常数：100；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6、仪器高度≥1800MM测量架和尺读望远镜；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7、砝码7个，1000g/个；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8、螺旋测微计：1个，0-25mm；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9、杨氏模量测量相对不确定度：＜5％。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10、卷尺：1把。</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实验四：研究单摆的运动特性</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用于单摆和组合式单摆运动规律的研究，了解单摆振动周期与摆长的关系，掌握用单摆测定本地区的重力加速度，在光电计时条件下,研究单摆在大摆角状态时的运动规律。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1.钢质底座，不锈钢支架，摆线：0～1000cm；摆角范围：0～15°。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2.单片计时装置（配光电传感器）：周期数设1～99次；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计时范围：0.0000s～999.99s，分辨率：0.1ms；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3.设有组合式单摆阻挡棒，可做组合单摆特性研究实验。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4.游标卡尺：0-150mm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5.卷尺：2m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实验六：测量空气中的声速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本实验仪器由声速测量仪及声速测定专用信号源组成，声速测量仪主要由储液槽、传动机构、数显标尺、压电换能器等组成。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测定仪参数：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1、压电换能器谐振频率：f=35KHz±3KHz；可承受的连续电功率不小于15W；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2、测量介质：空气、液体；测量方法：驻波法、相位法、时差法；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3、测量距离：S=0～350mm，读数装置：数显表加游标尺，分辨率0.01mm（无螺距差）；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4、液槽与测试架可分离，方便液体存放；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信号源参数：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1、输出信号：正弦波，频率27～50KHz连续可调，5位LED数字显示；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2、脉冲调制频率：38.5KHz，脉冲宽度：0.2ms；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3、计时器：1μs～1s，分辨率1μs。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4、提供本实验远程实境数字物理实验平台服务，学生可不限时段、不限场地，通过互联网进行预约对实验进行预习和操作，也方便老师在课堂演示：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双踪示波器：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1、双通道20MHz，高亮度示波管，密闭式衰减开关持久耐用，扫描扩展×10功能TV同步、X-Y方式，ALT触发功能、可测量二路不相关信号。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2、频率范围：DC-20MHz，屏幕内格8×10div（1div=1cm），显示模式：Ch1，Ch2，DUAL，ADD，偏转因子5mV/divto5V/div±3%（1mV/div±5%），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3、灵敏度5mV～5V/DIV，按1-2-5顺序分10档，上升时间：约17.5ns，输入阻抗：约1MΩ/25pF，极性选择：±CH2，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4、最大输入电压：当探头设置在1:1时最大有效读出值为40Vp-p（14Vrms正弦波形），当探头设置在10:1时最大有效读出值为40Vp-p（14Vrms正弦波形），显示模式：1,10，X-Y，时基0.2μs/div～0.2s/div，扫频宽×10，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实验八：测定冰的熔解热</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实验原理与内容：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温度不同的物体混合后，热量将由高温物体传给低温物体，如果在混合过程中和外界没有热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交换，最后将达到均匀稳定的平衡的温度，在这过程中高温物体放出的热量等于低温物体所吸收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的热量，此称为热平衡原理。本实验即根据热平衡原理用混合法测定冰的熔化热。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1.外壳（不锈钢）直径≥¢132mm高≥145mm；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2.底座筒盖，有机玻璃，内筒（铜材）；直径≥¢75mm,高≥110mm，容积≥500ml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3.数显温度计：-20~100℃，精度0.1℃；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4.秒表：0.001秒，保温杯，烧杯各1只。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5.电子天平：1000g，0.01g。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6.配置物联网+软件服务系统：云服务器，程序兼容主流系统，须提供二维码识别，可进行信息采集、数据下载、售后服务线上报修等。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实验十：测定液体的比热容</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1.本仪器可以用于水的比汽化热的测量，实验测量的准确性和可靠性均很好。可以用于高校基础物理热学实验。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主要实验内容：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2.学习集成线性温度传感器的定标，熟悉用其精确测量温度的实验方法。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3.测量水的比汽化热。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主要技术指标：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4.加热功率≥300W。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5.炉温电压：加热器采用隔离变压器，0V～36V低压安全加热确保仪器和人员安全；连续可调。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6.数字电压表四位半数字电压表量程2V，分辨率0.1mV准确度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±0.03%。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7.集成温度传感器线性工作电压4.5V～20V，灵敏度：1uA/℃。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8.取样电阻1000Ω±1%(或1000±10Ω)。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9.电子物理天平：量程0～1Kg，最小分度0.01g。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10.水银温度计：测量范围0～50℃，最小分度0.1℃。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实验十四：磁电式直流电表的改装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1.把量程为0～100μA（内阻约为2kΩ）的表头改装为量程为0～1mA的直流电流表。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2.把量程为0～100μA（内阻约为2kΩ）的表头改装为量程为0～1V的直流电压表。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3.组装多量程的直流电流表和直流电压表。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4.数据处理。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实验名称型号名称数量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1.磁电式直流电表改装直流电阻箱1台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2.0-100uA表（连插座）1台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3.四位半数字万用表2台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4.6.8KΩ电位器（连插座、有中心插孔）1台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5.470Ω电位器（连插座）1台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6.10KΩ/0.5W电阻盒1个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7.6.2KΩ/2W电阻盒1个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8.1号电池盒1个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9.1号电池1节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10.九孔电路板1块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11.短路板4块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12.连接导线若干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13.配置物联网+软件服务系统：云服务器，程序兼容主流系统，须提供二维码识别，可进行信息采集、数据下载、售后服务线上报修等。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实验十六：测量非线性元件的伏安特性</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1.用数字万用电表测量二极管。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2.用伏安法测量稳压二极管的伏安特性。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3.参考上述实验步骤，测量二极管的伏安特性曲线。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4.数据处理。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5.测量小白炽灯泡的伏安特性曲线。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实验名称型号名称数量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1.测量非线性元件的伏安特性直流稳压电源1台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2.稳压二极管（9.1V）1只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3.普通二极管1只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4.灯泡盒（0.1A/12V）1只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5.滑线变阻器（20Ω）1台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6.100Ω×10电阻箱1台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7.九孔电路板1块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8.四位半数字万用表2台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9.短路板5块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10.单刀单掷1把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11.连接导线若干</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实验十七：直流平衡电桥</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把四个电阻R1、R2、Rx、R0连成一个四边形回路ABCD，每条边称做电桥的一个“桥臂”。调节电阻的大小，当B，D两点电位相等时，桥路中无电流通过，示零器示值为零，这时称电桥达到平衡。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1.自组电桥测电阻Rx2（几百欧姆）。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2.选取合适的条件，分别测量Rx1（几十欧姆）和Rx3（几千欧姆）。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3.了解影响直流电桥灵敏度的因素。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直流电阻箱:测量范围：0～9999Ω（胶木外壳）准确度：0.1级。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直流电阻箱：测量范围：0～99999.9Ω（胶木外壳）准确度：0.1级。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直流稳压电源:测量范围：0～15V三位半数字显示。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直流检流计:测量范围：灵敏度三档可调,准确度：最高档5×10-9/格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连接导线若干。</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实验十八：学习使用示波器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学习使用示波器模拟实验板1台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低频功率信号源1台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双踪示波器1台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连接导线若干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一、模拟实验板：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1、二极管：≥16*32，1个；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2、0.4uF电容：≥16*32，1个；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3、电阻：≥16*32，3KΩ/2W，2个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4、1头Q9，1头香蕉插示波器连接线：2根；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5、≥60cm双插：红黑各1根；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6、≥15cm双插：红黑各2根；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二、低频功率数显信号源：1台；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1、方波：50Hz～1KHz连续可调；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2、正弦波：50Hz～100KHz连续可调；稳压；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3、输出：1.5V～15V；电流输出：0～200mA。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三、双踪示波器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功能特点：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双通道20MHz，高亮度示波管，密闭式衰减开关持久耐用，扫描扩展×10功能TV同步、X-Y方式，ALT触发功能、可测量二路不相关信号。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范围：DC-20MHz，屏幕内格8×10div（1div=1cm），显示模式：Ch1，Ch2，DUAL，ADD，偏转因子5mV/divto5V/div±3%（1mV/div±5%），灵敏度5mV～5V/DIV，按1-2-5顺序分10档，上升时间：约17.5ns，输入阻抗：约1MΩ/25pF，极性选择：±CH2，最大输入电压：当探头设置在1:1时最大有效读出值为40V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（14Vrms正弦波形），当探头设置在10:1时最大有效读出值为40Vp-p（14Vrms正弦波形），显示模式：1,10，X-Y，时基0.2μs/div～0.2s/div，扫频宽×10，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精度±3%，校正波形：方波，频率1KHz20%电压：2Vp-p±2%。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实验十九：观测电容特性</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1.使用数字万用电表直流电压量程观察RC电路中电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2.容的充放电现象。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3.用示波器观察RC电路放电现象。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4.根据电容容抗和频率的关系，测定电容。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实验名称型号名称数量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1.观测电容特性四位半数字万用表2台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2.低频功率信号发生器1台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3.九孔电路板1块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4.10-100KΩ电阻箱1台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5.电容0.047uF2只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6.电解电容100uF/35V2只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7.单刀单掷开关1只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8.连接导线若干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9.秒表1块</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实验二十：黑盒子</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实验原理与内容：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黑盒子是判定电学元件实验中使用的密封元件盒，盒里的元件可能是：干电池、定值电阻、电容器、半导体二极管等。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实验名称型号名称数量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黑盒子暗盒实验箱1台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交流电源1台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连接导线若干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四位半数字万用表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直流电压：200mV--1000V，交流电压：200mV--1000V，直流电流：2000μA-20A，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交流电流：2000uA--20A，电导：0.1--100nS,电阻：200Ω--200MΩ，电容：20nF--2000μF，频率：0--2MHz.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双踪示波器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功能特点：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双通道20MHz，高亮度示波管，密闭式衰减开关持久耐用，扫描扩展×10功能TV同步、X-Y方式，ALT触发功能、可测量二路不相关信号。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范围：DC-20MHz，屏幕内格≥8×10div（1div=1cm），显示模式：Ch1，Ch2，DUAL，ADD，偏转因子5mV/divto5V/div±3%（1mV/div±5%），灵敏度5mV～5V/DIV，按1-2-5顺序分10档，上升时间：约17.5ns，输入阻抗：约1MΩ/25pF，极性选择：±CH2，最大输入电压：当探头设置在1:1时最大有效读出值为40V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（14Vrms正弦波形），当探头设置在10:1时最大有效读出值为40Vp-p（14Vrms正弦波形），显示模式：1,10，X-Y，时基0.2μs/div～0.2s/div，扫频宽×10，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精度±3%，校正波形：方波，频率1KHz20%电压：2Vp-p±2%。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实验二十三：用霍尔效应测量磁场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1.励磁电流源：27V，0~0.5A,三位半数显；铁芯截面≥32×16mm，气隙宽度≥3mm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2.霍尔灵敏度：190~230（mV/mAT)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3.二维移动支架：水平≥50mm,垂直≥30mm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4.三组换向开关：由继电器和按钮开关组成，位置由发光二极管指示；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5.霍尔元件工作电源（恒流）；12V，IS=0~5mA,连续可调，三位半数显。</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实验三十二：光衍射设计实验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spacing w:after="18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实验原理与内容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光在传播过程中遇到障碍物时，能够绕过障碍物的边缘前进，光的这种偏离直线传播的现象称为光的衍射。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1.远场接收光路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（1）实验光路；（2）光路调节；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（3）用远场接收光路观测各种衍射元件的夫琅禾费衍射。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2.焦面接收光路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（1）光路的共轴调节；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（2）单缝及光栅的刻痕取向与线光源取向平行。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3.白光的夫琅禾费衍射。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导轨长度≥1000mm；一维光强分布测量距离＞80mm；最小读数：0.02mm。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实验三十三：折射率测量设计实验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实验原理与内容：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掠入射法也称极限法，是测定透明液体或固体折射率的基本方法之一。根据掠入射法原理已设计出专门的测量仪器，如阿贝折射计等。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1.调节分光计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（1）粗调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（2）调节望远镜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①调节望远镜聚焦无穷远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②调节望远镜光轴垂直于仪器转轴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③调节平等光管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2.调节三棱镜的主截面与仪器转轴垂直；测顶角A；测极限角ψ；测定玻璃的折射率n。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分光计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1、仪器的测角精度为1′；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2、平行光管、望远镜系统的焦距≥170mm，通光口径≥φ22mm，视场≥3°22′，望远镜系统目镜焦距≥24.3mm；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3、照明灯组采用长寿命高亮度绿发光二极管；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4、刻度盘规格：采用照相刻划工艺制成刻度圆直径≥178mm，刻度范围0-360，刻度格值0.5，游标读数示值1；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5、平行光管、望远镜物镜间的最大距离120mm；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6、狭缝宽度调节范围0.02—2mm,8、目镜视度调节范围不小于土5屈光度．载物台直径≥70mm，旋转角度≥360，载物台升降范围≥20mm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三棱镜棱角为60°±1′，材料为ZF1（nD=1.6475，nF-nC=0.01912）；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毛玻璃≥80×60mm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平面反射镜≥Φ36×4，镀介质膜。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手持式放大镜。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钠灯：钠双线589.0nm、589.6nm谱线用于波长标定及仪器分辨率检验，功率≥20W。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电源电压：220v，工作电压：95v，工作电流：0.62A，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升降式低压汞灯：用做标准光源，对仪器的波长精度进行检验和调整，可对部分样品进行荧光分析。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电源电压：220v</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，工作电压：15v，工作电流：1.3A，</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表面张力系数测量</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仪器主要技术参数：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1、硅单晶电阻应变传感器：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①受力量程：0～0.098N（0～10g）；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②灵敏度：约30mV/g（用标准砝码定标）；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③非线性误差：≤0.2%；④供电电压：可调直流恒流源5～12V。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2、显示仪器：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①读数200mV四位半数显；②手动调零；③连接方式：专用多芯插头。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3、吊环、铝合金吊环。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4、玻璃器皿直径≥12.00cm。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5、砝码盘及0.5克砝码7只。</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物体冷却规律研究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实验装置对加热装置，金属样品室及金属样品的温度的测量和安放上进行改进和提高。可测量金属从室温至180℃温度时，各种温度时的比热容。实验时把待测金属样品放在隔热、保温装置中，对被测样品加热，然后在相同的条件下，测定其冷却速率，以铜材的比热容的理论值作为标准，求算其它金属材料的比热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1、用冰水混合物作为热电偶自由端零度基准；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2、三位半数字电压表量程：0～20mV；分辨率：0.01mV；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3、传感器采用铜、康铜热电偶；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4、测量金属在100℃时的比热容相对误差小于5%；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5、加热器采用隔离变压器，低压安全加热；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6、仪器由加热仪及实验支架组成，加热装置借助方形立柱定位，通过调节手轮自由升降；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7、加热温度：室温～180℃，带温度保护和断线保护功能；仪器红色指示灯亮已自动保护，表示连接线未连好或加热温度过高。</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RLC磁化率综合测试仪</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1.配套齐全，含数据采集终端及专用采集软件 1 套，可满足实验数据的实时采集、传输与处理需求。​同时配套基于 HTML5 技术的 RLC 仿真实验模块，可动态模拟 RLC 电路的工作过程与物理现象。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2.采样速率≥1000Hz ；电压、电流量程为0-20V、0-3A；其中电压分辨率≤1mV。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3.规格≥335×380×120mm。​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4.实现功能：RLC 磁化率综合测试仪以采集卡为核心硬件支撑，创新性地将动态电磁场环境下的多类实验整合于一体（RLC 电路实验、自感充放电实验、变压器电路实验​、互感电路实验），可实现多维度物理量的精准测量，为电磁学及材料磁特性研究提供集成化实验平台。​</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牛顿环</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1、显微镜放大倍率为30倍，工作距离≥54.06mm，视场直径≥4.8mm；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2、测量范围：纵向≥50mm，最小读数0.01mm,升降方向≥40mm，最小读数0.01mm；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3、测量精度：纵向测量精度为0.02mm；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4、观察方式：45°斜视。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5、器主要性能要求：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6、45°反射镜采用可调结构，方便实验；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7、棱镜室360°可调，方便观察；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8、传动部分采用斜齿啮合，减少因间隙产生的误差。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9、牛顿环：凸片曲率半径≥855mm。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测量地磁场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1、励磁工作台：罗盘精确度：优于1°；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2、励磁线圈匝数：10、20、30、50、100匝；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3、恒流源输出电流：0～200mA，工作电压：10V；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4、输出电流指示：3位半数显，分辨率0.1mA；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5、配置物联网+软件服务系统：云服务器，程序兼容主流系统，须提供二维码识别，可进行信息采集、数据下载、售后服务线上报修等。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耗材包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耗材包中包含：钢卷尺，游标卡尺，刀口角尺　，钢板尺，螺旋测微器，米尺，水准泡各一个</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物理竞赛实验室环境改造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1.能源控制箱改造+新增能源线布置、开槽修补等工程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2.墙面开槽美化修复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3.地面美化处理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光学实验室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1、钢木结构；整体尺寸≥3000*1200*800mm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大仪器柜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全钢结构。整体尺寸≥1300*500*2000mm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光学实验室环境改造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1.新增点位能源线、开槽修补等工程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2.地面开槽美化修复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生物竞赛创新实验室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移动式讲台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1.钢木结构，整体尺寸≥1200*600*900mm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1.1台面：≥12.7mm厚双面膜耐腐蚀实芯理化板制作，具有抗污染、耐酸碱、防水、防火特性。四周圆角处理，三边可嵌入到挡条缺口内，与桌体固定。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钢木结构：主框架采用≥40*40mm矩形管焊接而成，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柜身：柜身为悬柜，基材为≥16mm厚E0级实验室专用三聚氰胺板制作，柜身可任意移出，便捷、灵活性强。可见截面均经过PVC封边;贴面和封边部件应严密、平整，不允许脱胶、鼓泡、凹陷、压痕以及表面划伤、麻点、裂痕、崩角和刃口，外表的圆角、倒棱应均匀一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1.4正前方设置可移动置物架，放置教案和教具；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1.5桌脚：采用静音万向轮。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1、钢木结构；整体尺寸≥3000*1500*800mm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1、钢木结构；整体尺寸≥1500*700*800mm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2、市电交流输出为五孔装置2个。</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PP材质，≥400*120*550mm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3、滴水棒卡扣与主板卡槽紧密契合，不易松动，极好地保护实验器具。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洗眼喷头：采用PC材质模铸一体成形制作，具有防尘功能，上面防尘盖平常可防尘，使用时可随时被水冲开，并降低突然打开时短暂的高水压，避免冲伤眼睛。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整体尺寸≥2800*300*</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1、铝合金结构，表面喷涂高温固化匀乳白环氧树脂喷涂理处理，具有较强的耐蚀性能，上下带塑胶模具堵头；</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2、试剂架立柱截面尺寸≥42mm*82mm,型材壁厚≥1.2mm；试剂架立柱双面升降槽，侧面双面镶嵌另色色条；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3、试剂架托架≥1.0mm高强度镀锌钢板，一次性冲压成型；试剂架护栏：护栏壁厚≥1.2mm，单面镶嵌另色色条。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准备区学生凳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1、钢木结构；整体尺寸≥8000*700*800mm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边台2（培养区）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1、钢木结构；整体尺寸≥2800*600*800mm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边台3</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1、钢木结构；整体尺寸≥3500*600*800mm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边台4</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1、钢木结构；整体尺寸≥2150*600*800mm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1.关节：高密度PP材质表面磨砂，可360°旋转调节方向。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2.关节密封圈：不易老化之高密度橡胶。在关节之间随着旋钮压力加大而产生阻尼效果。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3.关节连接杆：06Cr19Ni10不锈钢双头锁杆。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4.关节盖：高密度PP材质表面磨砂，一面嵌入铜质滚花螺母，四周采用自锁式倒扣拆装方便。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5.关节松紧选钮：高密度PP材质，内置微形平面推力不锈钢轴承，与关节连接杆锁合。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6.拱形集气罩：直径≥253mm，高密度铝合金制成。防止做实验时着火出现危险，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7.伸缩导管：4节直径≥60mm的6系专业抗氧化抗腐蚀的镁硅铝合金，表面做特氟龙表面处理，耐酸、耐碱、耐划痕。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8.旋转关节：6系专业抗氧化抗腐蚀的镁硅铝合金，在下部设计增加旋转功能，内部设计PVC离合结构。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9.扭簧：使用90度的≥4mm专用弹簧钢抗氧化处理，防止吸风罩整体滑下。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10.安装后可根据使用需要达到三维360度任意转停，集气罩吸气角度360度任意转停。整体美观大方，吻合高水准专业实验室</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钢制固定底座，抗氧化抗腐蚀的镁硅铝合金方管，根据不同的组合方式可选择丝口和挂口结构，拆装方便。</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2、市电交流输出为五孔装置2个。</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尺寸≥640*400*900mm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1、面板：采用≥20mm厚无甲醛新型环保陶瓷台面，台面表面为实验室专业耐腐蚀、耐刻刮、耐污染釉面。坯体一体实芯黑色坯体，釉面和坯体经高温一体烧结而成。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需符合以下技术参数指标：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①重金属含量要求：铅、镉溶出量为未检出。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②破坏强度：不低于13000N；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③台面表面耐磨等级不低于4级/2100转。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④承载测试：台面承载720kg保压600h，检测结果为：无破损。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⑤工艺性能要求：台面坯体五面黑色，表面为釉面烧制颜色非胚体颜色，其产品表面无空洞、无气泡、无杂色、无断裂、无脱层、无釉面碎屑，黑色坯体不易染色。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⑥台面洛氏硬度≥120HRM；台面线性热膨胀系数≤5.0×10-6℃-1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⑦台面抗冲击性（恢复系数）≥0.85，台面断裂模数（平均值）≥55MPa。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2、全钢结构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1）柜身：柜体为落地式结构，可以单独或组合使用。所有底柜正面应为平装嵌入式结构设计，以避免勾住实验袍等造成意外。所有钣金的表面接缝均应满焊，焊接处均应打磨平整以保持为连续的平滑表面。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2）柜体：主框架采用裸板实际厚度大于1.20mm厚一级冷轧镀锌钢板（SPCCT）经CNC机压成形、焊接制作，表面经磷化处理、环氧树脂静电粉末涂装处理（涂装厚度为0.75mm）。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3）固定桌脚：ABS注塑专用桌垫;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包含不锈钢感应水槽套装。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培养区学生凳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双人超净工作台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1、双人单面（垂直送风）净化工作台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2、洁净度：100级@≥0.5um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3、菌落数：≤0.5个/皿.时(Φ90mm培养平皿)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4、平均风速：0．25--0．45m/s(快．慢双速)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5、振动/半峰值：≤5μm(*.Y.Z方向)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6、噪声：62dB(A)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7、照度：≥300L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8、电源：AC/50HZ/220V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9、功耗：250W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10、重量：&lt;150kg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11、高效过滤器规格及数量≥1135*455*50*1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12、荧光灯/紫外灯规格及数量≥30W*1/30W*1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13、适用人数：双人单面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14、外形尺寸(mm)：≥1300*580*160015、工作区尺寸(mm)：≥1150*500*500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接种器具灭菌器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1.电加热：数显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2.温度：0-320℃度无级可调；杀菌温度285℃-320℃；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3.供电系统：在220V±10%/50Hz±2%；功率不大于300W；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4.立式；（保护类型1型）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5.外形尺寸：≥170×100×170mm；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6.外壳采用纯不锈钢材质；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7.不锈钢器具搁置架；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8.防触电保护类型：I类</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电子分析天平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1、最大称量值：≥220g，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2、可读性：0.1mg，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3、重复性偏差：0.1mg，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4、线性误差：±0.0002g，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5、供电系统要求：适配器输入:100–240V~200mA，50–60Hz12-18VA适配器输出:12VDC0.5A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6、整机尺寸：≥209*321*339mm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7、通讯接口：RS232USB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8、典型最小称量值：200mg</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电子精密天平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1、量范围：0-2000g；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2、读取精度0.01g；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3、重复性：±0.02g；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4、线性误差：±0.02g；</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精密PH计</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1、仪器级别：0.01级；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2、pH：（-2.00～20.00）pH；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3、精度：±0.01pH；mV：（-1999～1999）mV；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4、温度：（-5.0～135.0）℃。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5、配套测量范围：(0.00～14.00)pH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6、自动识别23种缓冲溶液，自动3点校准，手动\自动温补；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7、3种读数模式：Smart-Read功能:“快、中、严，自定义”多种平衡条件可选；Timed-Read功能:定时终止测量和定时自动间隔测量2种定时读数模式可选；Cont-Read功能，清晰掌握样品的连续变化过程；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8、具有电极性能提醒和电极标定提醒功能；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9、最大储存量≥500套；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10、支持固件升级；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11、具有标准USB通讯接口以及REX数据采集软件。</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1、搅拌转速：100~1500r/min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2、最大搅拌量：≥5000ml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3、电机转距：20mNm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4、最长定时：≥250分钟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5、加热盘尺寸：≥φ145mm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6、定时精度：1分钟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7、液体控温精度：±1℃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8、外形尺寸：≥245*150*125mm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9、液体控温范围：室温~150℃（1000ml内）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智能湿热处理系统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1.容积：≥50L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2.功率≥3.2kW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3.供电系统：220V±10%50Hz±2%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4.极限工作/设计温度：135℃/139℃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5.极限工作/设计压力：0.22MPa/0.25MPa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6.定时范围（分钟）：4-120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7.内腔尺寸(mm)：≥Ф400x630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8.提篮尺寸(mm)：≥Ф360x230x2个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9.外形尺寸(mm)：≥485x485x1120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实验室超纯水器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1、进水水源：城市自来水，水温5—40℃，水压1—5㎏，TDS﹤200ppm；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2、一机两用：可同时制备取用两种水质的水，即RO水和超纯水；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3、RO水电导率≤1uS/cm@25℃；电阻率≥1ΜΩcm@25℃；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4、超纯水电导率≤0.055μS/cm@25℃；电阻率：18.25ΜΩcm@25℃；微粒子（大于0.01μm）</w:t>
            </w:r>
            <w:r>
              <w:rPr>
                <w:rFonts w:hint="eastAsia" w:ascii="宋体" w:hAnsi="宋体" w:eastAsia="宋体" w:cs="宋体"/>
                <w:i w:val="0"/>
                <w:iCs w:val="0"/>
                <w:color w:val="auto"/>
                <w:sz w:val="18"/>
                <w:szCs w:val="18"/>
                <w:highlight w:val="none"/>
                <w:u w:val="none"/>
                <w:lang w:val="en-US" w:eastAsia="zh-CN" w:bidi="ar"/>
              </w:rPr>
              <w:t xml:space="preserve">含量：﹤1/ml,热源含量：﹤0.001Eu/ml,微生物含量：﹤1cfu/ml；总有机碳量TOC：﹤1ppb，细菌：＜1CFU/ml，细菌内毒素：＜0.001EU/ml,金属阳离子含量：（单位ppb）：Fe(铁)﹤0.002Cu(铜)﹤0.002Al(铝)﹤0.002Ni(镍)﹤0.002Zn(锌)﹤0.01Cr(铬)﹤0.002Na(钠)﹤0.01K(钾)﹤0.01,阴离子含量：（单位ppb）:Clˉ(氯)﹤0.01NO2ˉ(亚硝酸根)﹤0.01NO3ˉ(硝酸根)﹤0.01SO4ˉ(硫酸根)﹤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5、制水量：≥20L/H，采用电磁感应“随意取水装置”；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微量可调移液器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1、整支可耐受高温高压消毒；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2、采用人体工程学设计；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3、量程范围广，0.1uL至5000uL；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4、轻松校准，维护简单方便；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5、采用新型材料和耐受高温高压结构；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6、精确的分液。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7、1-10μL，10-100μL，20-200μL，100-1000μL，500-5000μL，连续可调，一套五支。</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移液器架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平板式，亚克力材料，≥5个位置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1、容积：≥80L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2、工作室尺寸：≥450×400×450mm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3、控温范围：RT+10～200℃/RT+10～250℃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4、分辨率：0.1℃波动度：±1.0℃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控温摇床</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1、振荡频率：20~350转/分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2、振幅≥26mm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3、最大容量：1000ml×6或500ml×9或250ml×12（三角瓶）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4、标准配置：万能弹簧网架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5、托盘尺寸（mm）：约400×340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6、定时范围：0~999minutes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7、恒温范围：室温+5℃～60℃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8、恒温精度：±0.1℃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9、温度均匀度：±0.5℃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10、带数显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11、输入功率：≥350w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12、外形尺寸（mm）：≥650×500×480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13、重量：≥45kg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14、供电系统：220V50Hz（±10%）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15、采用的智能型温控仪，可根据需求自行设置。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电热恒温培养箱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9"/>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箱体由冷轧钢板冲制而成，表面喷涂处理，内胆采用不锈钢板制成；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2、≥4.3寸嵌入式液晶彩色触摸终端控制,可显示温度；具备传感器故障报警，参数记忆≥20组和长达9999分钟的定时功能，具有照明功能；具有紫外消毒一键启动功能和预约杀菌功能，可对箱体定时杀菌；</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3、工作室内搁架可随用户要求任意调节高度及搁架的数量。专业设计的工作室气流循环系统使底部加热器产生的热量以自然对流的方式进入工作室，从而提高工作室内温度的均匀性；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4、箱门具有大视角玻璃观察窗，便于用户观察。选用高性能的CPU处理芯片和高灵敏，高精度铂电阻传感器的温度控制系统使温度控制更精准，操作更方便；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5、容积：≥140L；</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6、控温范围：室温+5-99.9℃，恒温方式：自然对流，温度波动度：±0.5℃，为双层可视观察窗前门；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7、外形尺寸（长*宽*高）：655mm×640mm×810mm（±20mm）；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8、内胆尺寸（长*宽*高）：547mm×458mm×577mm（±20mm）。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台式数控超声波清洗器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1、容量：≥10L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2、超声频率：≥40KHz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3、超声功率：≥250W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4、超声功率可调范围：40-100%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5、水位显示：30-120mm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6、加热功率：≥400W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7、温度设定范围：室温-80℃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8、工作时间可调：1-480min</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电热恒温水浴锅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规格：单列四孔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外形尺寸(mm)：≥635×205×225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操作室尺寸(mm)：≥600×170×120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功率(kW)≥1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温控范围及温度误差：RT+5-100℃±1℃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控时器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额定工作电压(±10%）:10A,220-240VAC,50Hz（带一次性7号干电池）</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台式高速离心机</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1.最高转速≥16000rpm；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2.最大相对离心力≥17800xg；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3.定时范围：0~99min；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4.供电系统：220V50Hz10A（±10%）；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5、转子配置角转子：12x1.5ml和12x0.5ml适配器。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≥25mL,耐腐蚀复合材料，研磨过滤同步进行，带展层瓶。</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1、光源采用特制全透光率LED冷光源植物生长灯，富含植物所需的红蓝光成分（红光波长630~680nm蓝光波长430~480nm），以及大量有利于植物生长的其他色光；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2、外壳采用冷轧钢板喷塑制作工艺，整体聚氨酯发泡美观.坚固耐用.保温性良好，内胆采用不锈钢制作，全封闭聚氨酯发泡门，保温性好同时避免外界光干扰。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制器采用LCD微电脑全自动大屏液晶智能控制器，智能可编程控制温度，实现温度的阶梯式编程运行。温度控制器和湿度控制器联机运行，动态控制技术使温湿度达到最佳状态。是集温度、光照控制一体，最大限度模拟了自然环境的气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4、智能化低温制冷方式和高温PID加热技术，确保控温的精确性和用电节能性。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5、特制后背水平风道结构，水平送风0.1m/s-0.3m/s微风气流循环设计，风力柔和，箱内温度均匀。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6、可靠的安全性，仪表具有多种抗干扰措施，控温仪自带传感器故障报警、上下限温度偏差报警、超温报警、参数记忆；温度显示校正，自诊断动态控制技术。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7、采用由高低压力保护的压缩机组和环保制冷剂，智能无霜运行技术，具有自我检测的压缩机起闭控制程序，噪声小，寿命长，温度波动小。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8、容积：280L±1%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9、控温范围:无光照:0-50℃,控温精度:±1℃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10、控温波动度:±1℃（实验条件为空载，环境温度20℃、湿度50%RH）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11、光照度:两面光照，13000±100lux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12.供电系统：AC50Hz，220V±10%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13、外部冷轧钢板表面喷塑工艺,内部不锈钢材质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14、时间设定:定时0-99小时/连续运行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15、工作室尺寸mm:510*470*1230mm（±10mm）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16、外形尺寸mm::600*550*1830mm（±10mm）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高≥180cm，实用四层，每层实用面积≥125cm*40cm，每层配三根高效三基色自然光灯管，独立开关。最大功率≥480W。具可编程时间控制功能，20时段。</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组培瓶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实验用组培瓶（组培瓶(≥150mL)，可反复使用，无需更换封口膜）1箱（≥120瓶每箱）</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组培净化板隔断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一、天花隔断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1.数量≥30平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2.采用50型手工单玻岩棉夹芯板：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钢卷基板厚度：≥0.45mm（不含涂层）；镀锌层厚度：≥0.026mm；岩棉克重100kg/m³；手工板公母槽钢板厚度：≥0.7mm；钢带间隔：≥60cm;≥A1级防火（耐高温1000℃以上，耐火时间两个小时）；保温隔热（导热系数：0.043w/m.k）；吸音隔声（隔声效果RW=29-30dB）；采用M6自攻螺丝与檩条固定；表面粘贴聚乙烯不干胶保护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二、隔墙隔断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1.数量≥116.6平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2.采用50型手工岩棉夹芯板：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钢卷基板厚度：≥0.45mm（不含涂层）；镀锌层厚度：≥0.026mm；岩棉克重100kg/m³；手工板公母槽钢板厚度：≥0.7mm；钢带间隔≥60cm;≥A1级防火（耐高温1000℃以上，耐火时间两个小时）；保温隔热（导热系数：0.043w/m.k）；吸音隔声（隔声效果RW=29-30dB）；采用M6自攻螺丝与檩条固定；表面粘贴聚乙烯不干胶保护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三、配套铝合金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1.丝杆及吊顶配件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2.暗吊梁不少于6米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3.R=45铝合金圆弧不少于90米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4.底槽不少于60米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5.R50铝合金阴角三通30只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6.五金配件（铆钉、燕尾/钻尾螺丝螺帽等）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7.密封胶等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8.配套地面处理不少于30平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9.配套洁净窗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10.配套整体安装，调试。</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净化空间光源系统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一、光源系统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1.洁净光源（48W）3套：规格≥1200L*300W*12H(mm)额定电压220V（±10%）；色温6500K-7800K；铝合金材质，亚克力导光板；散热铝边框采用阳极氧化处理工艺。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2.洁净光源（28W）2套：规格≥600L*300W*12H(mm)额定电压220V（±10%）；色温6500K-7800K；铝合金材质，亚克力导光板；散热铝边框采用阳极氧化处理工艺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二、紫外灭菌系统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1.不锈钢斜边紫外灭菌装置（40W）3套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2.不锈钢斜边紫外灭菌装置（28W）2套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3.灭菌定时控制器1套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三、配套整体安装调试及相应辅材。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净化单元系统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10"/>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洁净单元：新回风单元（洁净等级十万级）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2.配套配件：超高效过滤器2只（≥1000m3/h)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3.净化单元安装托架2只，专用吊件2套，回风双层保温金属软管不少于9米，通风系统五金密封材料2套，方变圆带新风螺杆调节阀2套。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4.铝合金回风口：规格≥300*300（格栅百叶）</w:t>
            </w:r>
            <w:r/>
          </w:p>
          <w:p>
            <w:pPr>
              <w:numPr>
                <w:ilvl w:val="0"/>
                <w:numId w:val="0"/>
              </w:numPr>
              <w:jc w:val="left"/>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5.恒温控制系统：总容积≥200L，运转音≤40，1级能效，控温方式机械控温，电压：220v（±10%）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洁净系统单元</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1.洁净系统主机1套：制冷量≥7.2KW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2.配套安装附件：铜管含保温、信号线、 包扎带、支架、减震等。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3.配套洁净系统动力系统：铺设能源传输线材：3*4mm2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4.配套整体安装调试等。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传递窗</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规格：≥500*500mm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06CR19NI10不锈钢制作，双门联动拉手，带1组灭菌紫外灯。密封性能好。</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组培净化单开门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单开门，≥50MM厚夹心彩钢板，双面贴膜，表面喷塑密封，成套配件。900W*2100H(mm)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白色加厚涤棉纱卡</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风机及减震系统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系统能够快速排除实验过程中产生的有害气体，保护师生健康，营造安全、清新的实验环境。低噪音设计让教师授课不受干扰，学生能够清晰听取实验讲解。学生在安全的空气环境中操作，可以更专注于实验现象观察和操作技能训练，提升化学实验教学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1.PP风机1台：材质PP厚度≥10mm，功率≥1.5KW，风量2856-5281m³/h，全压634-416pa，出风口侧吹。能够耐受化学实验室常见酸碱气体的侵蚀。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2.软连接1个：PVC材质，两头法兰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3.减震垫4个：橡胶材质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4.风机槽钢基础：规格≥1500*1500mm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活性炭吸附箱及基础</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1.活性炭吸附箱：规格≥1000×750×750mm，含碳0.1m³。高品质活性炭，利用活性炭丰富的微孔结构吸附废气中的有机物、异味及部分有害成分。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2.碳箱槽钢基础：规格≥1000×1500mm</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风管及管件系统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管及管件系统构建了废气收集与输送的完整管网。采用米黄色普通PP板制作的风管、弯头、法兰片等部件，具有良好的耐腐蚀性和密封性，确保废气在负压状态下稳定输送，无泄漏风险。通过合理的管道布局使实验室空间整洁有序，多个实验点位可同时使用而不互相干扰。手动阀和电动阀则实现对各分支管路的独立控制。吊杆、护套、防火棉、喷漆等辅助措施，进一步提升了系统的安全性和美观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一、楼顶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1.风管：规格≥200mm，材质PP，长度≥3米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2.弯头：规格≥200mm，规格90°，数量3个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二、风井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1.风管：规格≥200mm，材质PP，长度≥3米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2.弯头：规格≥200mm，90°，数量2个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三、室内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1.风管：规格≥200mm，材质PP，长度≥9米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2.风管：规格≥60mm，材质PP，长度≥1.5米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3.软管：规格≥60mm，材质PVC，长度≥2米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4.软管卡箍：规格≥60mm，材质不锈钢，数量4个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5.封板：规格≥200mm，材质PP，数量1块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6.弯头：规格≥200mm，90°，数量8个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7.防火阀：规格≥200mm，镀锌，数量1个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8.法兰片：规格≥200mm，材质PP，数量2个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9.手动阀：规格≥200mm，材质PP，数量1个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10.电动阀：规格≥200mm,材质PP，数量1个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11.法兰片：材质PP，数量170片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12.吊杆：吊杆+PP吊环，数量6副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13.吊杆护套：长度≥15米，材质PVC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14.室内主管包防火棉：长度≥2米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15.室内风管喷漆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四、整体配套安装及修复。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电气控制系统及安装辅材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1.室内变频器：数量1台，规格1.5KW（1个点位+1个液晶面板）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2.液晶面板：数量1台，规格1个点位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3.信号线：长度≥40米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4.屏蔽信号线 ：长度≥20米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5.能源传输线：规格≥1.5平方 4芯，数量≥60米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6.穿线管：材质PVC，长度≥120米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7.楼顶支架：材质镀锌，3副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8.支架水泥墩：6个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9.室外PP盖帽：材质PP，数量160个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10.风井支架 ：材质镀锌，数量1副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11.室内墙洞：含修复，数量2个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12.穿墙套管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13.配套整体通风系统安装调试，现场调试过程中，技术人员会反复模拟各种工况，调整加减速时间、优化频率给定曲线，确保风机启停平稳、运行响应灵敏。</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生物竞赛创新实验室环境改造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numPr>
                <w:ilvl w:val="0"/>
                <w:numId w:val="11"/>
              </w:num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原地面保护性拆除及恢复安装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2.现场原有地台拆除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3.原有前墙黑板拆除+智能平板移位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4.原有室内门保护性拆除及恢复安装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5.包含门套基层重新安装"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6.墙体开门洞及封堵门洞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7.墙体开窗洞及周边修复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8.150mm高*200mm宽反梁+成品超白玻璃隔断，含门+钢骨架固定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9.新建保护面，配套美化处理</w:t>
            </w:r>
            <w:r/>
          </w:p>
          <w:p>
            <w:pPr>
              <w:numPr>
                <w:ilvl w:val="0"/>
                <w:numId w:val="6"/>
              </w:numPr>
              <w:ind w:left="0"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原有吊顶局部拆除及恢复安装，局部灯具调整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11.能源控制箱改造+新增能源线布置、开槽修补等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12.通风变频器增加能源线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13.拆除原有洗手台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14.堵头封堵以及不锈钢盖板美化原有给排水点位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15.新增水点位管道开槽修补+布管布线+开孔+阀门等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16.墙地面开槽部位美化修复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17.原有讲台能源线引入讲台内</w:t>
            </w:r>
            <w:r/>
          </w:p>
          <w:p>
            <w:pPr>
              <w:numPr>
                <w:ilvl w:val="0"/>
                <w:numId w:val="0"/>
              </w:num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18.配合液晶面板墙面开槽布管至准备室风井内及开槽美化或修复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19.原室内外机2台移位及增加铜管</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生物数码观察实验室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1、钢木结构；尺寸≥3000*700*900mm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洗眼喷头：采用PC材质模铸一体成形制作，具有防尘功能，上面防尘盖平常可防尘，使用时可随时被水冲开，并降低突然打开时短暂的高水压，避免冲伤眼睛。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尺寸≥1200*600*800mm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1、台面：采用≥12.7mm厚实芯理化板制作，四周圆角处理，光滑无毛刺；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2、横梁、桌腿:采用≥1.5mm镀锌钢板，经高温粉体环氧喷涂，长时间使用也不会产生表面漆剥落现象；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3、背板采用≥1.0mm镀锌钢板折弯焊接，表面经高温粉体环氧喷涂；上挡板采用铝合金型材一体成型设计，表面经高温粉体环氧喷涂。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4、固定桌脚：采用内置可调ABS调整脚，保证调整脚前后都可以调节高低。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5、含配套电源。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多功能防溅水槽柜套装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一、多功能水槽柜：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1.外形尺寸：450*635*860mm（±10mm）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水槽：采用改性PP注塑成型,水槽内最大深度≥310mm，最小深度≥255mm，水槽内配有溢水口。四周带有挡水翻边，挡水边两侧高、前方低，便于用户站在水槽前方操作。水槽底部配有≥3°倾角，水流可沿水槽底部坡面流入过滤框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过滤：采用双层过滤形式，上层配有条形过滤篮，宽度≥350mm，两侧把手与过滤篮一体注塑成型，坚固耐用，可轻松拿取。过滤框底部配有二级过滤网，过滤更加彻底，不易堵塞下水管道。柜体：≥1.00mm镀锌钢板，表面环氧喷涂。柜体形态人体工程学设计，柜体下部内凹≥70mm，两侧半径≥50mm圆角处理，便于站在水槽前进行清洗操作。底部可以安装调节脚或者1寸定向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4.柜门：前后各一个带锁检修门，便于日后维修。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5.带防溅水嘴。配套S弯，防堵、防臭设备。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二、配套供水设备（二冲一防溅）：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1.主体材质：为加厚H65铜管，主体管径≥22mm。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2.涂层：环氧树脂涂层，耐腐蚀、耐热、防紫外线辐射。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3.整体高度≥550mm，鹅颈出水高度≥400mm，可360°旋转。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4.安装方式：采用平台固定方式，固定底座直径≥55mm，底座锁母与台面中间添加齿形止退垫，使连接后不易松动稳定性强，与台面安装更加牢固。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5.开关旋钮：材质PP，启闭方式为平面式，开关标识清晰醒目，装配好的开关旋钮应平稳轻便无卡阻，与阀杆连接后不易松动，稳定性强。</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尺寸：Φ320*430-500mm（±10mm）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凳面直径320mm（±10mm），采用丙烯腈-丁二烯-苯乙烯共聚物混合注塑成型。根据人体坐姿曲线形态，进行鞍形弧度设计，前后高，两侧低，高度差为≥15mm，符合人体工程学结构，能有效分散臀部压力，提供更加舒适的坐姿。表面细磨砂纹理，防滑不反光；凳脚采用四根≥Φ25*1.5mm圆形碳钢管，49°定角折弯，全圆满焊接，表面经高温粉体烤漆处理。采用PP加纤维材质脚垫，防水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螺杆：螺杆直径≥20mm，托盘采用的碳钢板压筋成型，提高了整体结构的强度和稳定性，螺杆与托盘全圆满焊接，增加牢固度。升降距离不小于70mm，配有升降定位环，可任意高度固定。表面经防腐电泳处理，具有较强抗腐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3.凳面与凳脚之间的间隙经过优化设计，可适配挂凳扣，提升清洁效率，释放桌面空间。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生物数码观察实验室环境改造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1.能源控制箱改造+新增能源线布置、开槽修补等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2.墙地面开槽部位美化修复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3.现场原有水点位切割，堵头封堵以及不锈钢盖板美化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4.预留1个点位不封堵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5.新增给排水点位管道开槽修补+布管布线+开孔+阀门等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6.现场原有不锈钢水槽拆除及给排水管封堵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7.原有讲台能源线引入讲台内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教师数码显微镜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1.光学系统：采用无限远色差校正光学系统。</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 目镜：大视野，高眼点UC-WF10X/22mm ，视度可调节。</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 观察筒: 铰链式双目观察筒，瞳距48-75mm可调；目镜观察筒可360度任意旋转。</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4.物镜：无限远平场UC物镜：UC Plan 4X成像清晰圆直径≥17.5mm； UC Plan 10X成像清晰圆直径≥17.6mm；UC Plan 20X成像清晰圆直径≥17.8mm；UC Plan 40X成像清晰圆直径≥18.9mm；UCPlan100X成像清晰圆直径≥18.6mm；显微镜物镜放大率准确度≤0.87%</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5.齐焦性:物镜10→4倍≤0.030mm，10→20倍≤0.023mm，10→40倍≤0.008mm，40→100倍≤0.005mm。</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 物镜转换器：内倾式5孔转换器。转换器定位稳定性≤0.015mm。</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 调焦机构：粗微同轴调焦手轮，微调0.1mm/转，格值0.001mm。粗动松紧可调，工作台上限位置可用镜臂中的滚花螺钉调节；并通过锁紧手轮来限位。微调机构空回≤0.006mm</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8.载物台：防刮伤防脱落新镂空式切片夹； X、Y轴采用钢丝传动无突出式设计，矩形，面积：≥185 x 145mm；行程：≥76 x 50mm；X、Y向低位同轴调节手轮，且其扭矩（松紧）可调。表面石墨喷涂涂层，防腐、耐磨。整机采用顶级优选喷涂材料，防潮防腐蚀；载物台受5N水平方向作用力最大位移≤0.015mm；不重复性≤0.003mm。</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9.用机械使标本在5mm*5mm范围内移动时的离焦量≤0.005mm。</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10.柯拉照明系统：新型LED聚光镜：N.A. 0.9/0.13消色差聚光镜,三片式透镜设计，集成了集光镜和聚光镜功能。</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11.3WLED 、6V/30W卤素灯照明光源可选。采用抽屉式光源更换盒，光源更换方便。</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 数字内置一体化显微镜：1/2”逐行扫描数字图像传感器,400万纯物理像素,高分辨率实时显示,保证输出图象色彩不能失真，最大传输速率可达12帧/秒；拍照可达1600像素。自带二维码，手机或者平板扫描该二维码即无线可点对点连接显微镜。内置RJ45网络接口，可以直接连接交换机组建网络；也可以通过RJ45口连接计算机采集图像。</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显微镜机身自带≥2.8寸可触摸彩色LCD显示屏,分辨率：320×240；机身自带显示屏上具有一键拍照功能，可显示学生编号，实时时间，一键求助，教师信息弹窗等功能，通过屏幕显示光源亮度和色温，并可实时调节，可通过屏幕显示与设置休眠时长（0-4h）达到自动休眠，显微镜带计时模块，可显示开机使用时长。 </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14.物镜倍率倍率显示，亮度记忆：各物镜定义的光线强度会被自动记忆并在下次使用该物镜时自动调出，免除再次手动调整的繁琐。</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 操作系统：软件支持Android、苹果和windowscao操作系统</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 其他：整机防霉，滤色片，护眼罩，防尘罩，香柏油。</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教师数码体视显微镜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1.光学系统:greenough光学系统，防霉设计；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2.目镜：高眼点超广角目镜WF10X/23mm一对；双目倾斜30°,视度可调，调整范围：5°屈光度；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3.瞳距调节范围≥50mm~75mm；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4.变倍范围:7.5X~50X连续变倍；变倍比:1:6.7；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5.工作距离≥113mm；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6.升降机构：燕尾导轨与齿轮齿条组合构成调焦机构，保证调焦灵活舒适、稳定可靠；变倍手轮双侧水平设置，变倍灵活舒适；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7.照明：12V/10W光源、透射光源，可单独或同时使用；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8.底座：工作平台宽大舒适；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9.智能液晶平板：屏幕尺寸≥10.1英寸显示终端配置≥1600万色≥2560×1600可视角度上80°/下80°/左80°/右80°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CPU核数≥八核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运行内存≥4G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存储容量≥32G扩展支持256G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主摄像头≥1300万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副摄像头≥800万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护眼模式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网络wifiGPSGPS、GLONASS、北斗（BDS）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电池容量7500mAh，超高清成像装置，画面无拖尾延迟现象，1080PHDMI高清数字信号输出；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操作系统：支持Android操作系统，智能平板自带数字切片教学资源平台，配合新课标教材教学使用，可支持在局域网、互联网两种状态下Android系统的访问，可浏览、下载、上传教学资源，方便师生预习复习。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数码系统≥CPU:1.6GHz四核；内存：1G，硬盘：8G；屏幕分辨率：≥1280×800（16:10）；拍照像素：≥500万像素；录像分辨率1080P/30FPS，超高清成像装置，画面无拖尾延迟现象，1080PHDMI高清数字信号输出。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11.数据接口：HDMI/SD/Audio/Bluetooth/Wi-Fi，支持可扩充SD卡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12.电源适配器：DC5V2A11.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13.360°3D观察，可在不移动标本的情况下对标本表面进行360°范围全覆盖观察。</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（一）基础光学系统要求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总放大倍数：400X；（2）整机结构件：结构件大部分采用金属制作，镜架上配有初微调同轴低旋钮，调整工作台面到物镜间的焦距低重心底座。（3）目镜：带有指针定位的WF10X目镜并锁定于目镜筒，防止学生把目镜拔出使目镜遭到损坏，防止灰尘进入，目镜放大率大于6.3X准确度不超过±0.104%。（4）目镜视场角大于5</w:t>
            </w:r>
            <w:r>
              <w:rPr>
                <w:rFonts w:hint="eastAsia" w:ascii="宋体" w:hAnsi="宋体" w:eastAsia="宋体" w:cs="宋体"/>
                <w:i w:val="0"/>
                <w:iCs w:val="0"/>
                <w:color w:val="auto"/>
                <w:sz w:val="18"/>
                <w:szCs w:val="18"/>
                <w:highlight w:val="none"/>
                <w:u w:val="none"/>
                <w:lang w:val="en-US" w:eastAsia="zh-CN" w:bidi="ar"/>
              </w:rPr>
              <w:t xml:space="preserve">0°时，放大率差不大于0.22%。（5）物镜：标准消色差物镜，4X/0.10成像清晰圆直径≥7.35mm；10X/0.25成像清晰圆直径≥7.155mm，景深范围内像面的偏摆≤0.115mm；40X/0.65（弹簧），成像清晰圆直径≥6.863mm；所有物镜均保证齐焦，10倍－4倍不超过±0.0075mm；10倍－40倍不超过±0.0035mm；10倍－100倍不超过±0.0352mm；带有限位装置，可防止物镜压坏切片致使物镜损坏，物镜放大率准确度不超过±4%。（6）镜筒：双目斜筒，端面高低差≤0.112m</w:t>
            </w:r>
            <w:r>
              <w:rPr>
                <w:rFonts w:hint="eastAsia" w:ascii="宋体" w:hAnsi="宋体" w:eastAsia="宋体" w:cs="宋体"/>
                <w:i w:val="0"/>
                <w:iCs w:val="0"/>
                <w:color w:val="auto"/>
                <w:sz w:val="18"/>
                <w:szCs w:val="18"/>
                <w:highlight w:val="none"/>
                <w:u w:val="none"/>
                <w:lang w:val="en-US" w:eastAsia="zh-CN" w:bidi="ar"/>
              </w:rPr>
              <w:t xml:space="preserve">m，45°倾斜，可360°旋转便于同步观察，360°旋转时目镜焦平面上像中心的位移≤0.212mm。（7）双目两系统光谱明暗差不大于8%，像面图形方位差不大于30'。（8）转换器：四孔同心球轴转换器，定位准确，并带有限位装置，转换器稳定性≤0.00822mm。（9）粗微调:同轴调焦轴－初微调同轴，调节载物台，有限位打滑装置，并有内置防滑动离合器，延长因机械损耗的整机使用寿命，微调机构空回≤0.0075mm。（10）调焦范围：初调范围6.5mm，微调范围2mm。（11）视场光栏：制作精密的金属可变视场光栏。（</w:t>
            </w:r>
            <w:r>
              <w:rPr>
                <w:rFonts w:hint="eastAsia" w:ascii="宋体" w:hAnsi="宋体" w:eastAsia="宋体" w:cs="宋体"/>
                <w:i w:val="0"/>
                <w:iCs w:val="0"/>
                <w:color w:val="auto"/>
                <w:sz w:val="18"/>
                <w:szCs w:val="18"/>
                <w:highlight w:val="none"/>
                <w:u w:val="none"/>
                <w:lang w:val="en-US" w:eastAsia="zh-CN" w:bidi="ar"/>
              </w:rPr>
              <w:t xml:space="preserve">12）照明：电源调节旋钮和电压开关分开，亮度可调的LED冷光源，可以充电，充电后不接电源可连续使用≥50小时。灯泡使用寿命在10000小时以上，不产生温度，灯光色泽为无色，且不会产生热度。（13）聚光镜：NA1.25带可变光栏螺旋式升降聚光镜，聚光镜上升到最高位，顶端低于载物台表面的距离在0.03－0.15（mm）之间。（14）载物台≥120mmX120mm载物台受5N水平方向作用力最大位移≤0.0115mm；不重复性≤0.0012mm。（15）移动尺:沿X-Y轴平稳移动，行程≥60mmX40mm的移动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（二）系统输出设备要求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2.1、显示屏与显微镜一体化设计直接由显微镜内嵌供电及充电，无需外置适配器及电源线进行充电，整台数码显微镜用一根电源线提供电源。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2.2、显示屏可轻松拆卸，进行0°-90°翻折，便于搬运及存储。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2.3、操作系统：支持Android、IOS或Windows操作系统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2.4、显示系统：采用高清彩色芯片、WiFi无线传输，静态≥1600万像素，动态分辨率1080P。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2.5、显示设备：屏幕尺寸≥10.1英寸显示终端配置≥1600万色≥1920×1200可视角度上80°/下80°/左80°/右80°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CPU核数≥八核CPU主频4×A73@2.1GHz+4×A53@1.8GHz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运行内存≥3G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存储容量≥32G扩展支持256G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主摄像头≥1300万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副摄像头≥800万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护眼模式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网络wifiGPSGPS、GLONASS、北斗（BDS）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电池容量≥7500mAh，超高清成像装置，画面无拖尾延迟现象，≥1080PHDMI高清数字信号输出。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2.6、实时分享：可作为网络热点，实时共享显微镜下图像，支持安卓、苹果操作系统。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（三）系统部分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3.1、采用无线交互式连接，能实时显示在电脑。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3.2、带显微配套软件，可进行图像采集、图像分析、图像处理等。处理等。</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数码显微互动系统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全无线系统架构：整个系统采用全无线架构，简洁、高速、稳定；学生智能终端通过无线传输的方式获取显微图像及宏观实验图像，学生智能终端通过无线传输方式与教师端进行信息交互。系统可实现微观图像、宏观实验、实验报告等多维信息的互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2、跨平台解决方案：同时支持多种操作系统，通过手机、平板电脑等智能终端即可实现实验教学；学生智能终端不受品牌、操作系统、机型的限制。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教师端实现对学生端显微镜的镜下图像的监控。教师端可将教师显微镜下的微观图像或PPT课件“示范教学”到每一个学生的Pad或智能手机上，进行现场教学讲解；实时观测每个学生的上课状态及效果；教师可下发作业或实验报告，学生当堂完成后，当堂提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4、控制学生端功能：单独放大缩小任一学生图像，多屏2*2，3*3或者单屏及全部显示学生端镜下图像和屏幕图像，需要一键完成，一键恢复。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5、宏观实验记录功能：智能手机或Pad随时拍照记录实验过程。根据设定的实验步骤提交实验报告。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6、多语言版本：可以中英文一键切换。双语教学。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7、彩信功能：学生与教师之间可以互发彩信，彩信内容可以图片，文字，标注。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8、重力感应：横屏显示实时图像，竖屏显示双画面，可加载静态图片与实时图像进行对比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9、一键扫码:可一键扫描显微镜机身上的二维码，快速登录访问显微图像，省去一系列操作（连接WiFi，输入登录名和设备ID）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10、激光笔：可以在屏幕上随时标记，方便教学指导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11、实验报告批改功能，对学生提交的作业和实验报告批改评分，导出EXCEL格式的学生评测成绩。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配套数字切片教学系统化平台：教材教学使用，数字切片均为高倍物镜下全片扫描而成，非局部拍摄再进行多图拼接。支持多点触摸对切片进行放大，缩小，用word，excel可列出新课标下初、高中不同模块下的种类名称。每张切片都有初、高中生物教学的标注和注解，提供初、高中教学常用数字切片，所能下载切片数量不少于100张；数字切片支持在互联网状态下系统访问数字切片资料库，可浏览、下载，方便师生预习复习。提供在线浏览使用地址；</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教师端专业图像分析软件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jc w:val="lef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1.图像采集：可对实时图像进行捕捉、间隔捕捉、录像。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2.图像管理：对图像文件进行新建、打开、编辑、保存、打印报告及相册管理(含图像合并)等。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3.图像处理：调整、镜像、反转、白平衡、改变图像尺寸、三维化显示、放大镜、平滑、低通滤波、高通滤波、灰度形态学、其它过滤器、直方图均衡、发现边缘、自定义滤波器。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4.校准与测量：校准尺度后对图像进行直线、矩形、圆、圆(3点)、椭圆、多边形、不规则多边形、角度、折线等的测量。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5.图像分割处理：对图像进行分割和分割设置及对分割结果进行自动计算、选取目标、目标腐蚀、目标扩展、填充孔洞、去除噪声、目标内轮廓、目标外轮廓、目标梯度和八种颜色分割等。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6.专业自动拼图模块：支持多种图像输入格式，可支持20×20张图像的拼接，拼接速度快，准确。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7.去模糊多层聚焦模块：去模糊多焦面合成:将不同焦面的图像合成得到清晰完整的整幅图像，增加高倍物镜的景深；支持多种图像输入格式。</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8、病毒传播与防控探究课件</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本数值仿真实验针对病毒传播与防控进行在高度抽象物理视角下的解读。基础算法采用理想气体分子热运动的弹性碰撞模型模拟个体在一定社交范围内的运动轨迹。用户可以调节传播率、潜伏期、初始患者人数等理解病毒传染和动态清零的过程。本仿真选取四个大城区，不少于16个居民小区，不少于320个居民的两周活动来模拟病毒传播的过程。</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①可以通过调节传播率、潜伏期，观察病毒传染和动态清零的过程。</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②可以通过调节潜伏期，观察病毒传染和动态清零的过程。</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③可以通过调节初始患者人数，观察病毒传染和动态清零的过程。</w:t>
            </w:r>
            <w:r/>
          </w:p>
          <w:p>
            <w:pPr>
              <w:ind w:firstLine="0"/>
              <w:jc w:val="left"/>
              <w:keepLines w:val="0"/>
              <w:keepNext w:val="0"/>
              <w:pageBreakBefore w:val="0"/>
              <w:spacing w:after="18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color w:val="auto"/>
                <w:sz w:val="18"/>
                <w:szCs w:val="18"/>
                <w:highlight w:val="none"/>
              </w:rPr>
              <w:t xml:space="preserve">④可以通过调节疫情防控策，观察解读病毒传染和动态清零的过程。</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学生端图像分析软件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1.学生端用户可通过APP下载、安装软件应用程序，并实时进行最新软件程序更新。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2.软件系统具备：微观实验、宏观实验、教学示范、师生交流等功能模块。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3.用户可通过系统进行微观实验和宏观实验，并进行实时交流。</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数字切片浏览系统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依据人民教育出版社普通高中生物学教材的教学要求，收集并整理的典型切片35张。（必修一:分子与细胞共18张，分别为：迎春叶片横切、鱼的红细胞、草履虫装片、颤藻、酵母菌、水绵、菜豆种子纵切示脂肪颗粒、胞间连丝、细胞骨架、口腔上皮示线粒体、黑藻叶片临时装片示叶缘体</w:t>
            </w:r>
            <w:r>
              <w:rPr>
                <w:rFonts w:hint="eastAsia" w:ascii="宋体" w:hAnsi="宋体" w:eastAsia="宋体" w:cs="宋体"/>
                <w:i w:val="0"/>
                <w:iCs w:val="0"/>
                <w:color w:val="auto"/>
                <w:sz w:val="18"/>
                <w:szCs w:val="18"/>
                <w:highlight w:val="none"/>
                <w:u w:val="none"/>
                <w:lang w:val="en-US" w:eastAsia="zh-CN" w:bidi="ar"/>
              </w:rPr>
              <w:t xml:space="preserve">、质壁分离（放糖）、马蛔虫受精卵有丝分裂、植物有丝分裂、肾血管注射切片示肾小体、心肌细胞、人血、鳞状细胞癌。必修二:遗传与进化共14张，分别为：百合花药减数分裂1-前期、百合花药减数分裂1-后期、植物减数（1前2后）、植物减数（2中期侧）、植物减数（1中侧1）、植物减数（1中侧2）、植物减数（1中侧3）、植物减数（1末2核）、植物减数（2末4核）、植物减数（形成8核）、植物减数（1后2末4核）、蝗虫精母细胞减数分裂、果蝇染色体、正常红细胞.镰刀红细胞。必修三:稳态与环境共3张，分别为：神经细胞、突触、胰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2.配套数字切片平台：数字切片均为高倍物镜下全片扫描而成，非局部拍摄再进行多图拼接。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3.数字切片支持在局域网、互联网两种状态下Windows、iOS及Android系统访问数字切片资料库，可浏览、下载、上传教学资源，方便师生预习复习。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4.切片平台必须是用于中学生物教学。每张切片都有生物教学的标注和注解。</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信号传输器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G速率：600Mbps；5G速率：1734Mbps；Wi-Fi接入数：256个；天线：超材料天线；PoE模式：802.3atPoE+&amp;12VDC；端口：(1)千兆PoE+(1)千兆LAN；网络标准：IEEE802.11a/b/g/n/ac，IEEE802.3、IEEE802.3u；工作频段：802.11b/g/n:2.412GHz~2.483Hz(中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802.11a/n/ac:5.15GHz~5.35GHz,5.725GHz~5.85GHz(中国）；调试方法：OFDM:BPSK@6/9Mbps,QPSK@12/18Mbps,16QAM@24Mbps,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64QAM@48/54Mbps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DSSS:DBPSK@1Mbps,DQPSK@2Mbps,CCK@5.5/11Mbps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MIMO-OFDM(11n):MCS0~15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MIMO-OFDM(11ac):MCS0~9；无线安全：MAC地址过滤，安全开关，支持WPA-PSK/WPA2-PSK安全机制；环境参数：工作温湿度：-10~45°C10%~90%RH(不凝结)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存储温湿度：-40~70°C5%~90%RH(不凝结)</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1、CPU：≥2核心2线程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2、端口：6*10/100/1000/2500Mbps自适应电口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3、Flash≥32G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4、DDR3≥4GB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5、基于DPI七层流控的专业网关设备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6、支持3200+应用协议识别，全新智能流控，提高宽带利用率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7、多种认证方式，满足不同用户，不同场景需求。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8、支持硬件看门狗功能，异常设备自动恢复，免维护。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9、采用了专用的TVS防护器件，提高了产品在恶劣环境下的稳定性。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数字图像采集终端管理系统学生用</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1、平板端支持显示学生归属信息，学校、年班级、姓名、学号信息，且可以在后台单独设置任何一项显示或者隐藏。背景图片可根据用户要求随意定制；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板端同时拥有常规安卓系统和管控双系统，在管控系统模式内设有退出系统按钮，可用后台设置的密码退出管控系统，回到常规安卓系统，退出系统按钮可在后台设置显示或者隐藏，以防密码泄露。在安卓系统里可一键回到管控系统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控系统自带自研浏览器，浏览器支持独立的黑名单、白名单控制模块，浏览器可在后台设置禁用网络、完全开放、策略上网。禁用网络时所有网页不可访问。完全开放时除了黑名单以外的网址全部可以访问，策略上网时可用时段等同完全开放，不可用时段只支持访问白名单网址。浏览器主页可在后台远程设定，还可以将白名单网址一键添加到平板端的收藏夹里，屏幕显示支持横屏、竖屏、跟随系统、全屏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4、学生平板端支持一键毕业功能，后台支持将任意平板移动到毕业班级，毕业班平板自动退出管控系统，且无法主动回到管控系统，后台将平板移出毕业班后，平板可一键回到管控系统。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5、支持统计学校/班级总注册数、在线数量、离线7天、离线90天的设备数量，显示7/15/30日的设备活跃度，平台内设备型号占比，应用安装百分比；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6、远程控制USB、蓝牙、TF卡、摄像头、通话、短信、GPS的开关功能，可以向任意或全班平板发送文字消息，锁定或查看平板的屏幕，可设定时间平板自动关机，后台可远程对平板进行恢复出厂设置；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后台支持远程推送应用到平板，可设置平板手动安装或者静默安装，支持查看已推送应用已安装设备和未安装设备情况，推送应用可设置版本固定，保证整个班级都是统一版本。可将某个应用设置为自启动，开机就默认打开该应用。已推送的应用支持设置每天使用的时长以及使用的时段。应用支持网络白名单功能，白名单可针对不同应用进行开关的不同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8、管控内置纯净版输入法，无广告无外链，后台可远程设置平板端输入法的手写、五笔、笔画、语音、剪切板、翻译、联想模块的开关功能。</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学生创意活动室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1.尺寸：D2200*W1000*H750mm±10mm；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2.面板：采用≥25mm厚三聚氰胺板；挡板：≥15mm厚三聚氰胺板，四周全自动机器近色封边，台面板颜色、规格按实际需要多选定做，所有面板前后材质、颜色均匀一致。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3.横杆尺寸：≥20*40mm*厚度1.5mm，桌脚采用直径38±2mm*厚度1.8mm钢管，表面采用高温粉体烤漆，耐腐蚀，不易生锈。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1.背+座：一体注塑成型，PP+GF材质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2.座内板：PP塑料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4.脚架：≥12MM实心钢管，表面喷涂白色处理</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书写白板</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整体尺寸≥4200*1500mm,钢化烤漆玻璃，背加底板，方便写字。带磁性贴吸功能。厚度≥6mm，含安装配套。</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储物间</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1、钢木结构；整体尺寸≥2400*1200*800mm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水台</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1、钢木结构；整体尺寸≥1200*700*800mm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实验室专用PP水槽套装</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一、采用实验室专用高密度PP一体化成型水槽（尺寸≥550*450*300mm），易清洁，耐腐蚀，且利于台面残水自然回流，美观实用；具耐酸碱、耐有机溶剂、耐紫外线等特点。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防溅三联高低位（尺寸整高≥300mm）：要求防酸碱、防锈、防虹吸、防阻塞，表面环氧树脂喷涂。出水口为铜质瓷芯，高头，便于多用途使用，可拆卸清洗阻塞。出水嘴可拆卸，内有成型螺纹，可方便连接循环等特殊用水水管。配套防溅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整体尺寸≥2300*300*450mm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1、铝合金结构，表面喷涂高温固化匀乳白环氧树脂喷涂理处理，具有较强的耐蚀性能，上下带塑胶模具堵头；</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2、试剂架立柱截面尺寸≥42mm*82mm,型材壁厚≥1.2mm；试剂架立柱双面升降槽，侧面双面镶嵌另色色条；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3、试剂架托架≥1.0mm高强度镀锌钢板，一次性冲压成型；试剂架护栏：护栏壁厚≥1.2mm，单面镶嵌另色色条。</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2、滴水架主体与集水盘由模具注塑一体成型（非PP板焊接而成），配置与滴水架同品牌的钢制背板。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3、滴水棒卡扣与主板卡槽紧密契合，不易松动，极好地保护实验器具。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1、钢制线盒，主框架采用裸板实际厚度大于1.0mm厚钢材产一级高强度镀锌钢板经CNC机压成形、焊接制作，表面经磷化处理、环氧树脂静电粉末涂装处理。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2.220V交流输出为五孔插座</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生物准备室环境改造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1.新增能源线布管布线、开槽修补等工程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2.新增水点位管道开槽修补+布管布线+开孔+阀门等工程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4.原有风井墙体拆除及修复+墙面修复，含4层同位置拆除修复</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bl>
    <w:p>
      <w:pPr>
        <w:rPr>
          <w:rFonts w:hint="eastAsia"/>
          <w:color w:val="auto"/>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ind w:firstLine="480"/>
        <w:spacing w:line="360" w:lineRule="auto"/>
        <w:rPr>
          <w:rFonts w:hint="eastAsia" w:ascii="宋体" w:hAnsi="宋体" w:eastAsia="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包2：</w:t>
      </w:r>
      <w:r>
        <w:rPr>
          <w:rFonts w:hint="eastAsia" w:ascii="宋体" w:hAnsi="宋体" w:eastAsia="宋体" w:cs="宋体"/>
          <w:b/>
          <w:bCs w:val="0"/>
          <w:iCs/>
          <w:color w:val="auto"/>
          <w:szCs w:val="21"/>
          <w:highlight w:val="none"/>
          <w:lang w:val="en-US" w:eastAsia="zh-CN"/>
        </w:rPr>
        <w:t xml:space="preserve">史地数学功能室建设</w:t>
      </w:r>
      <w:r/>
    </w:p>
    <w:tbl>
      <w:tblPr>
        <w:tblStyle w:val="805"/>
        <w:tblW w:w="6185" w:type="pct"/>
        <w:tblInd w:w="-9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755"/>
        <w:gridCol w:w="5294"/>
        <w:gridCol w:w="1380"/>
        <w:gridCol w:w="1153"/>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数学专用教室</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1、贴面板材：可弯曲防火板，厚度为≥0.8mm。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5、钢脚：静电粉沫喷涂烤漆工艺，经酸洗打磨处理，永不脱皮掉皮，烤漆工艺，光滑亮泽好，壁厚度≥1.2mm。</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尺寸≥750*550*750mm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1、贴面板材：可弯曲防火板，厚度为≥0.8mm。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5、钢脚：静电粉沫喷涂烤漆工艺，经酸洗打磨处理，永不脱皮掉皮，烤漆工艺，光滑亮泽好，壁厚度≥1.2mm。</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1.尺寸：W375xD390xH550-座高440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2.材质：坐垫、脚垫材质为PP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3.工艺：钢管直径≥22mm，壁厚≥1.8mm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脚垫：材质：采用PA塑料，底部有防滑防刮伤地板软垫。</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展示储存柜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尺寸≥7150*350*2000mm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1、贴面板材：可弯曲防火板，厚度为≥0.8mm,。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数学建模软件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一、数学功能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1.数学函数：内置100多个函数包，超过5,000个计算函数，能够完成各种科学计算，包括代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数、微分方程、线性代数、积分和离散变换、概率论和数理统计、图论、群论、数论、分形几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何、优化，统计过程控制，张量分析、组合数学、复分析和实分析、特殊函数、微分几何、三角几何、物理、金融、信号处理、图像处理、单位计算等。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2.互动式电子书：内容包括可编辑的图形动画、理论原理、示例和实践。内容包括：求解不等式、笛卡尔坐标下的画图、多项式函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数画图、有理函数画图、算术、组合函数、反函数、根和有理次幂、超越函数、分段函数、隐函数；极限、微分、微分应用、积分、积分应用、无限序列和级数等；向量、线、平面、空间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曲线、多变量函数、偏微分、二重积分、三重积分、向量微积分等。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方程求解：支持求解各种类型的方程（组）的数值解和解析解，包括符号方法求解解析解，数值方法求解近似解，包括集成来自于NAG的数值算法库；符号-数值混合算法，推展纯数值算法的能力和速度；其他求解器：微分方程、微分代数方程、递归方程、级数解、q-差分方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4.线性代数计算：提供不少于100个命令用于构建、求解、编程和查询等操作，大量的符号和数值计算算法。二维数学格式输入和显示矩阵和向量。经典和广义特征值和特征向量。有限域上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的线性代数算法。高级数值方法处理稠密和稀疏矩。支持硬件浮点数和任意精度的软件浮点数。内置数值算法库。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5.优化计算：数值求解优化问题，求解可能包含约束条件的目标函数的最小值或最大值。线性规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划（LP）、二次规划（QP）、非线性规划（NLP）以及线性和非线性最小二乘问题。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统计计算：统计功能包括支持精确和任意精度的计算；预置不少于38种概率分布或者定义自义统计模型；回归和方差分析；规则和不规则间隔数据的曲线拟合和插值；降维技术；不少于11个不同的自动假设测试程序进行假设检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7.信号处理工具：提供一系列工具实现频域分析、加窗、信号生成和分析、生成信号、滤波处理、采样频率等。信号处理函数包可应用于不同的方面，例如创建语言频谱、过滤音频、通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信、滤波器设计、振动和噪音衰减、数字信号处理等应用。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8.单位和量纲：支持超过500个单位和量纲。单位系统包括Atomic,CGS,电磁,静电单位,FPS,MKS,MTS,和SI。</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9.公差：使用包含公差的量进行精确计算。公差可以被所有的标准算法操作符识别。公差支持许多内置的函数，包括平方根、指数、三角函数、和特殊函数。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10.数据分析：使用DataSeries和DataFrames组织和查询异构数据；二维或三维可视化或者动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画；计算数据样本或者时间序列的自相关性和互相关性；Excel宏；导入和导出Excel数据文件；互联网连接获取数据；MATLAB连接；代码转化，包括R、Python、MATLAB、C等；可以使用内置的Python内核运行Python代码；使用TensorFlow的深度学习算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二、使用环境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1.安装和运行环境：持主流的操作系统。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件用户界面：具有类似于Word的用户界面，兼具文字处理和数学计算功能，能够在单个文件中能组合数学运算、图形动画、文字、视频等，可以使用手写识别器输入数学符号，对输入的数学公式能够使用智能关联菜单完成常规数学运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3.数学方程编辑器：提供数学符号和命令自动补全功能；提供数学面板，提供至少1000个数学符号，以及填充式模板轻松输入微分、积分和函数定义等。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4.变量管理器：支持访问定义在文件中的所有变量，更好地管理文件，快速评估计算状态和检查变量值，无需浏览整个文件。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5.项目文件管理：提供工作簿管理面板，支持将项目所需的各类文件放在同一个项目文件中，包括PDF、Word、Excel、图片等格式文件，数据导入时支持相对文件路径和绝对路径。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1.绘图：支持200多种图形类型，包括隐式、等高图、复数、极、向量场、密度、保角变换、常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微分方程、偏微分方程、统计图、时域和频域响应图、根轨迹图、和根轮廓图。支持三维图像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格式BYU、JVX、OBJ、OFF、PLY、STL、VTK等，支持表格式数据DIF、ODS、SXC、LATEX的图像导出等。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2.数据文件导入：支持多种格式数据文件的导入，包括：ASCII、CSV、MATLAB、Excel、JAVA、Python、Perl、R语言、JavaScript、Julia、数据库SQLite等，支持通过网络上传、下载数据。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3.AI人工智能数学助手：可通过软件内置的人工智能工具搜索关键词，将获得结果插入到文件中；提供自然语言函数包，用于探索大语言模型。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4.编程功能：要求能够提供完整的数学编程语言、代码编辑器、调试和跟踪工具，能够开发复杂的模型和算法。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5.MathApp开发：提供工具创建具有图形化用户界面的MathApp，可使用免费的阅读器打开，输入公式或数值，计算得到结果和图形。可以创建用于测试和评分的App，App可以集成到在线作业与测评系统中。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6.连接手机：支持通过手机APP，用手机相机扫入数学问题，利用AI技术智能识别数学公式，解决代数问题、计算函数的导数或积分、矩阵计算、探索2-D和3-D图形等，可自动获得数学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问题的分步详细解题过程。</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图形计算器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硬件指标：显示屏幕：彩色背光，尺寸≥3.2寸，像素≥320x240，分辨率≥125DPI；电池：二次锂离子电池；储存内存≥90MB；运行内存≥64MB；数据传输端口≥3，其中具有单独的充电和数据传输接口、MINIUSB接口和安全数字输入输出接口(SDIO)；独立的英文字母按键；主要功能按键有中文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二、系统与功能：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1.全中文菜单显示，全中文输入，学生机可直接输入中文（拥有中文智能联想输入法)，含中文帮助。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2.单独公式编辑器快捷键，常用公式不低于20。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拥有CAS（计算机符号代数系统）功能；可进行常规计算、图象/表格、概率/统计、矩阵计算、数列/递归、方程（组）求解、程序编制、二次方程作图，函数及二次曲线作图分析等；还包含：几何、电子表格、统计分析、记事本、数据采集等功能。可进行对函数值、根、最大值、最小值、整数和导数的交互式分析；可对反函数、行列式、移项、扩充、简化行阶梯形式和初等运算等矩阵运算；能够将矩阵转换为列表，或将列表转化为矩阵，计算特征值和特征向量</w:t>
            </w:r>
            <w:r>
              <w:rPr>
                <w:rFonts w:hint="eastAsia" w:ascii="宋体" w:hAnsi="宋体" w:eastAsia="宋体" w:cs="宋体"/>
                <w:i w:val="0"/>
                <w:iCs w:val="0"/>
                <w:color w:val="auto"/>
                <w:sz w:val="18"/>
                <w:szCs w:val="18"/>
                <w:highlight w:val="none"/>
                <w:u w:val="none"/>
                <w:lang w:val="en-US" w:eastAsia="zh-CN" w:bidi="ar"/>
              </w:rPr>
              <w:t xml:space="preserve">；可进行基于列表的一元和二元变量统计分析，包括逻辑斯蒂、正弦曲线、中值中位数、线性、对数、指数、幂、二次多项式、三次多项式和四次多项式回归模型；含不少于3个统计图定义，用于散点图、XY析线图、柱状图、正规和改良箱须图以及正态概率图；可进行高级统计分析，包括不少于10个假设检验函数、不少于7个置信区间函数和单因素方差分析；含不少于18个概率分布函数，包括用于正态分布、卡方分布、t-和F-分布的累积分布函数(CDF)、概述密度函数(PDF)和逆概率分布函数；用于二项分布、几何分布和泊松分布的CDF和PDF函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三、其它要求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1.可通过USB端口连接传感器进行数据采集。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2.可通过专用接口连接外置无线收发模块，进行无线数据传输。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3.可通过USB端口连接并编程控制嵌入式开发板。</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智能管理平台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1.充电：每个平台一次可以为10台图形计算器进行充电；串联：平台之间可以用数据线串联，同时为多个平台上的所有图形计算器进行操作系统升级或文件传输等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2.串联后可同时执行数据传输的图形计算器数目≥50台，实现集中管理；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3.具有电池状态指示</w:t>
            </w:r>
            <w:r>
              <w:rPr>
                <w:rFonts w:hint="eastAsia" w:ascii="宋体" w:hAnsi="宋体" w:cs="宋体"/>
                <w:i w:val="0"/>
                <w:iCs w:val="0"/>
                <w:color w:val="auto"/>
                <w:sz w:val="18"/>
                <w:szCs w:val="18"/>
                <w:highlight w:val="none"/>
                <w:u w:val="none"/>
                <w:lang w:val="en-US" w:eastAsia="zh-CN" w:bidi="ar"/>
              </w:rPr>
              <w:t xml:space="preserve">提醒</w:t>
            </w:r>
            <w:r>
              <w:rPr>
                <w:rFonts w:hint="eastAsia" w:ascii="宋体" w:hAnsi="宋体" w:eastAsia="宋体" w:cs="宋体"/>
                <w:i w:val="0"/>
                <w:iCs w:val="0"/>
                <w:color w:val="auto"/>
                <w:sz w:val="18"/>
                <w:szCs w:val="18"/>
                <w:highlight w:val="none"/>
                <w:u w:val="none"/>
                <w:lang w:val="en-US" w:eastAsia="zh-CN" w:bidi="ar"/>
              </w:rPr>
              <w:t xml:space="preserve">，可通过红、黄、绿三色展现出电池不同电量情况；具有数据传送状态指示，可通过指示灯闪烁方式展现出设备是否处于数据传送状态。</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环境改造</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原有讲台</w:t>
            </w:r>
            <w:r>
              <w:rPr>
                <w:rFonts w:hint="eastAsia" w:ascii="宋体" w:hAnsi="宋体" w:cs="宋体"/>
                <w:i w:val="0"/>
                <w:iCs w:val="0"/>
                <w:color w:val="auto"/>
                <w:sz w:val="18"/>
                <w:szCs w:val="18"/>
                <w:highlight w:val="none"/>
                <w:u w:val="none"/>
                <w:lang w:val="en-US" w:eastAsia="zh-CN" w:bidi="ar"/>
              </w:rPr>
              <w:t xml:space="preserve">能源线</w:t>
            </w:r>
            <w:r>
              <w:rPr>
                <w:rFonts w:hint="eastAsia" w:ascii="宋体" w:hAnsi="宋体" w:eastAsia="宋体" w:cs="宋体"/>
                <w:i w:val="0"/>
                <w:iCs w:val="0"/>
                <w:color w:val="auto"/>
                <w:sz w:val="18"/>
                <w:szCs w:val="18"/>
                <w:highlight w:val="none"/>
                <w:u w:val="none"/>
                <w:lang w:val="en-US" w:eastAsia="zh-CN" w:bidi="ar"/>
              </w:rPr>
              <w:t xml:space="preserve">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数字地理专用教室</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地理教师讲台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1、贴面板材：可弯曲防火板，厚度为≥0.8mm。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5、钢脚：静电粉沫喷涂烤漆工艺，经酸洗打磨处理，永不脱皮掉皮，烤漆工艺，光滑亮泽好，壁厚度≥1.2mm。</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学生探究桌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整体尺寸≥1370*1210*750mm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三聚氰胺或同等级饰面刨花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3、PVC封边条：选用优质PVC封边条，耐开裂性（耐龟裂性）≥2级，耐光色牢度（灰色样卡）≥4级，甲醛释放量：≤1.5mg/L，氯乙烯单体≤0.2mg/kg。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W375xD390xH550-座高440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2.材质：坐垫、脚垫材质为PP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3.工艺：钢管直径≥22mm，壁厚≥1.8mm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脚垫：材质：采用PA塑料，底部有防滑防刮伤地板软垫。</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地形地貌展示台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尺寸≥6900*600*750mm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1.基材：采用E0级实木多层板，柜体侧板（除与地面接触边）、柜体顶板、门板、抽面板等可见处采用约2mm厚封边条，其余部位封约1mm封边条。板件之间采用三合一连接和木梢的方式连接固定。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2.封边：采用封边条厚度≥2.5mm的同色PVC封边条，无起花，异色边缘修饰平整、光滑。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3.带玻璃罩</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整体尺寸≥5500*400*2000mm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不低于E0级板材，采用≥2mm厚封边条、柜体侧板（除与地面接触边）、柜体顶板、门板、抽面板等可见处采用≥2mm厚封边条，其余部位封≥1mm封边条。板件之间采用三合一连接和木梢的方式连接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2.封边：采用封边条厚度≥2.5MM的同色PVC封边条，无起花，异色边缘修饰平整、光滑。</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数字星球系统学习套装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数字星球系统1套：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硬件规格要求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1.设备组成：设备硬件应包含数字视像圆球体屏幕、鱼眼镜头组、便携式底座、投影系统、遥控器、工具包。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投影技术要求：数字星球系统应采用反射投影技术，要求实现单体360度内投，最长像距和最短像距比不小于1.75，视场角不低于240度，投影机光线应通过可调节反射镜片反射进入鱼眼镜头，确保进行调节时能够有效保护使用者的眼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3.接口要求：应提供与计算机连接的标准VGA输入接口。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4.球幕要求：球幕直径应不小于60CM；内有特殊涂层，保证亮度均匀，防眩光、辐射。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5.投影机要求：定制投影机，亮度不低于3800流明。应具备便携式底座,合金钢材质。底座内具备微调旋钮，可以对图像进行水平和垂直两个方向进行调节。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6.附件要求：要求配备遥控器，可以开关数字星球系统的电源，并进行亮度、对比度等进行设置。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二、软件功能要求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功能要求：数字星球系统应具备一套支撑其运行的控制软件，通过该软件和硬件系统的配合，将二维图像显示为球形屏幕上的三维图像，逼真模拟各种天体、星体和球体。软件应支持选择演示内容、控制动画播放、控制球面图像及动画的旋转功能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2.接口要求：数字星球系统应该分别为动画文件和PPT文件提供软件接口，使这些格式的文件可以实现通过软件接口调用和控制数字星球系统的显示内容和显示方式。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三、配套课程资源要求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要求提供配套科学课程包、初中地理课程包、高中地理课程包各一套,课程总量应不少于40个。配套课程应符合课程标准,应满足教师教学、学生自主学习与探究性学习的双重需要,并支持学科教研及科普拓展应用。课程包应该具有开放性，应支持教师根据自己的教学需要对课程包进行必要的修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课程必须包括PPT格式课件，要求符合教学规律，满足教学各过程的需要，应包含教学导入、教学演示、知识点、教学评价和反思等环节，融文本、声音、图像、图形、动画、视频、平面、立体资源于一体，能够辅助教师营造能认知、能体验、能感悟的新型教学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配套高中课程资源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应包含“01-地球在宇宙中的位置,02-地表形态变化的内力作用,03-气压带风带,04-气压带风带对气候的影响,05-海陆分布对大气环流的影响06-常见的天气系统,07-全球气候变化,08-海水运动,09-传统工业与新工业,10-现代技术在国土整治中的应用,11-天气系统与气象灾害,12-世界农业地域类型，13-自然环境对城市的影响,14-同一自然灾害的地域差异”课程内容。</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专题资源库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数字星球系统应提供大量关于地球以及太阳系八大行星及其卫星、银河系及宇宙空间、四季代表星座的三维、立体、动态影像资源，可演示地球运动所引起的变化（天气、气候变化、昼夜变化、地表形态变化、火山、地震、海啸等等），支持教师带领学生探索地球上多样的生物与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万有引力仿真实验软件1套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本仿真软件展示物理场时空演化过程、展示极限参数的探索过程，展示物理知识转化为应用的学科交叉过程。此系统可以拖动人、小卫星、月球在页面上看到距离地球的远近影响着它们与地球之间的万有引力大小，为学生深入理解万有引力定律打下基础。</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电动升降展示台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top"/>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不小于：900mm（台面）*700mm（底部）*950mm（高），装有可遥控电动升降机。高度行程不小于1000mm。装有滑轮，可移动教学。不小于1.5mm冷轧钢板，升降机构支架不小于30#*20#方钢管，展示台台面为烤漆高密度板，一个万向双刹制动轮，2个定向轮。激光切割，机滚成型，点焊，原子灰抛光，外面金属烤漆，内壁防锈喷涂。</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地理AR沙盘系统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应为数字化投影沙盘设备，系统应通过对传感器技术、增强现实技术、投影技术的深度融合，结合沙盘虚拟互动投影区与平面屏幕显示区的实时联动，为用户提供良好的人机交互体验。系统应支持学生在地理实验动手探究的过程中，通过对现象变化的观察产生直观认知、得出科学结论，从而培养学生的地理实践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1.硬件要求：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1）配套主机性能不低于：8g内存、1TB硬盘、独立显卡；无线键盘、无线鼠标；23寸显示</w:t>
            </w:r>
            <w:r>
              <w:rPr>
                <w:rFonts w:hint="eastAsia" w:ascii="宋体" w:hAnsi="宋体" w:cs="宋体"/>
                <w:i w:val="0"/>
                <w:iCs w:val="0"/>
                <w:color w:val="auto"/>
                <w:sz w:val="18"/>
                <w:szCs w:val="18"/>
                <w:highlight w:val="none"/>
                <w:u w:val="none"/>
                <w:lang w:val="en-US" w:eastAsia="zh-CN" w:bidi="ar"/>
              </w:rPr>
              <w:t xml:space="preserve">终端</w:t>
            </w:r>
            <w:r>
              <w:rPr>
                <w:rFonts w:hint="eastAsia" w:ascii="宋体" w:hAnsi="宋体" w:eastAsia="宋体" w:cs="宋体"/>
                <w:i w:val="0"/>
                <w:iCs w:val="0"/>
                <w:color w:val="auto"/>
                <w:sz w:val="18"/>
                <w:szCs w:val="18"/>
                <w:highlight w:val="none"/>
                <w:u w:val="none"/>
                <w:lang w:val="en-US" w:eastAsia="zh-CN" w:bidi="ar"/>
              </w:rPr>
              <w:t xml:space="preserve">，屏幕比例16:9分辨率1920×1080；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2）投影机：分辨率不低于800×600，亮度不低于3000流明，对比度1300：1；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3）附件应包含：移动展示架（不小于1300mm*1000mm*2200mm）、防触电插座、海沙不少于120kg、实验工具箱。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当用户在沙盘中堆砌沙子呈任意相态时，距离传感器应实现对下方沙子的高度进行实时测量，投影机应依据模型高度投射分层设色图，进而演示不同地形地貌。随着沙盘内沙子的变动，追踪器应捕捉其形态变化，投射的色彩和等高线也应发生相应的变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2）当用户将手掌悬浮在沙盘上方，系统应实现虚拟积雨云的生成并产生雨水，沙盘区应显示流水效果。依据地形地势和流体的运动规律，虚拟雨水落到沙子上之后，应汇集到山谷再流向洼地。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3）系统软件应支持火山喷发模拟，并能够进行火山活动地表和地下剖面的同步动态演示。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4）系统应配置平面显示器，用于虚拟呈现沙盘中的3D场景。要求支持山体垂直自然带的显示，支持虚拟仿真开车从山下到山顶，自然带应随着高度变化而变化。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要求提供至少3节基于新课标的活动课。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4.实验活动要求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产品应配备用于探究土壤和地下水被污染过程的实验活动套装，应提供不少于四个活动设计，至少应包含：土壤污染模拟实验、地下潜水污染模拟试验、地下水污染实验、对比承压水井和自流井主题实验，以及实验报告、实验指导</w:t>
            </w:r>
            <w:r>
              <w:rPr>
                <w:rFonts w:hint="eastAsia" w:ascii="宋体" w:hAnsi="宋体" w:cs="宋体"/>
                <w:i w:val="0"/>
                <w:iCs w:val="0"/>
                <w:color w:val="auto"/>
                <w:sz w:val="18"/>
                <w:szCs w:val="18"/>
                <w:highlight w:val="none"/>
                <w:u w:val="none"/>
                <w:lang w:val="en-US" w:eastAsia="zh-CN" w:bidi="ar"/>
              </w:rPr>
              <w:t xml:space="preserve">手册</w:t>
            </w:r>
            <w:r>
              <w:rPr>
                <w:rFonts w:hint="eastAsia" w:ascii="宋体" w:hAnsi="宋体" w:eastAsia="宋体" w:cs="宋体"/>
                <w:i w:val="0"/>
                <w:iCs w:val="0"/>
                <w:color w:val="auto"/>
                <w:sz w:val="18"/>
                <w:szCs w:val="18"/>
                <w:highlight w:val="none"/>
                <w:u w:val="none"/>
                <w:lang w:val="en-US" w:eastAsia="zh-CN" w:bidi="ar"/>
              </w:rPr>
              <w:t xml:space="preserve">。实验活动应引导学生梳理出人类活动对环境污染的影响，如说出人类哪些活动可以直接导致土壤和地下水水质的污染。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5.配套指导资料</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等高线绘制探究活动套装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1.教学功能：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学生通过操作学具参与等高线的绘制过程，学习等高线地形图知识，能够在等高线地形图上判读地形的不同部位，能够在等高线地形图上读出海拔高度和计算相对高度。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食品级透明PC箱体不小于200mm×150mm×150mm×1个、超轻粘土100g不少于10袋、手持量杯500ml不少于1个；幻灯片不少于10张、激光定位笔不少于1支、白板笔不少于3支（3色）、高通透度蓝色食用色素不少于1瓶、软布不少于1块、实验指导手册不少于2份、实验报告不少于8份。</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验证温室气体实验套装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1.教学功能：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学生通过操作学具验证CO2是温室气体，学习温室效应的原理，解释全球变暖现象。举例说出温室效应的利与弊。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锥形烧瓶500ml不少于2个，实验专用高纯度苏打粉8g不少于10袋、实验专用高纯度醋酸12ml不少于10瓶、数显温度探头不少于2个、活芯瓶塞不少于2个、秒表计时器不少于1个、特制60w白炽灯不少于1个、清理棒不少于1根、实验指导手册不少于2份、实验报告不少于8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3.附加要求：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有电源，可连接热灯。</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探究热力环流实验活动套装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1.教学功能：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学生通过操作学具探究热力环流基本原理，学习由于冷热不均而导致的流体空气水平运动的地理知识；通过模拟热力环流现象，培养观察、动手实践能力。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食品级透明PC粗管（L=350mmD=40mm）不少于2根、手持量杯1L不少于1个、量杯500ml不少于2个、数显温度探头不少于1个、食品级透明PC细管（L=220mmD=20mm）不少于2根、食用色素不少于2瓶（红蓝各一瓶）、实验指导手册不少于2份、实验报告不少于8份。</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探究锋面实验活动套装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1.教学功能：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实验可同时应用于气候专题、水文专题学习内容：学生通过操作学具了解不同密度流体如何相互渗透，探究冷暖气团运动性质；学习密度流的成因，理解洋流运动成因、分布规律等地理知识。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食品级透明PC水槽不小于300mm×100mm×140mm×1个、食品级透明PC挡板不小于100mm×140mm×6mm×1个、手持量杯500ml不少于2个、数显温度探头不少于1个、高通透度食用色素不少于2瓶（红蓝各一瓶）、实验专用速溶食用盐20g不少于10袋、实验指导手册不少于2份、实验报告不少于8份。</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保护装置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PC聚碳酸脂强化镜片，强抗冲击力，高透光率边框采用ABS；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眉棱及侧翼防护设计，阻挡上面及侧面飞来的颗粒、液体，为眼部提供全面的保护。镜腿可伸缩长短能够适合各种脸型人群使用；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3.适用范围：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适用所有交互实验，在实验过程中保护学生眼睛。</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冰川地貌模型</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1.规格:600*400mm，允许实测尺寸±20mm，采用高分子材料精制而成，仿真微缩内容完整充实、紧扣教材。仿真微缩内容包括:U形谷、冰碛、冰碛湖、冰碛垅、冰斗、角峰、刃脊、漂砾、悬谷。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火山地貌模型</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600*400mm，允许实测尺寸±20mm，采用高分子材料精制而成、仿真微缩内容完整充实、紧扣教材。包括:两类火山口（盾形，锥形）典型火山的剖面（火山口、火山通道、岩浆）的两大熔岩流，熔岩丘、堰寒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丹霞地貌模型</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600*400mm，允许实测尺寸±20mm，采用高分子材料精制而成、仿真微缩内容完整充实、紧扣教材。包括:巨红色的几乎呈水平状的砂砾岩层、垂直节理发育形成丹崖、齐峰，有直立状、堡状、宝塔状，形成巨大陡崖、石墙、石窗、石桥、巷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流水地貌模型</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600*400mm，允许实测尺寸±20mm，采用高分子材料精制而成、仿真微缩内容完整充实、紧扣教材。包括:上游的“V”形谷地及树枝。状水系，出山口的冲积扇，中游的泛滥平原、牛轭湖、下游的滨海平原、三角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产品规格≥Φ32cm，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1.产品由球体和支架等组成。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产品规格≥Φ32cm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1.产品由球体和支架等组成。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定制，在窗帘上印制相关知识内容，集教学、观赏为一体；含窗帘图文设计与安装，不含窗帘盒。不少于26平。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1、材质30%聚酯纤维、70%PVC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2、厚度：0.50mm±5%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3、抗拉强度：经向1500N/5cm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4、防火等级：B1级及以上</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环境改造</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1.前墙安装地</w:t>
            </w:r>
            <w:r>
              <w:rPr>
                <w:rFonts w:hint="eastAsia" w:ascii="宋体" w:hAnsi="宋体" w:cs="宋体"/>
                <w:i w:val="0"/>
                <w:iCs w:val="0"/>
                <w:color w:val="auto"/>
                <w:sz w:val="18"/>
                <w:szCs w:val="18"/>
                <w:highlight w:val="none"/>
                <w:u w:val="none"/>
                <w:lang w:val="en-US" w:eastAsia="zh-CN" w:bidi="ar"/>
              </w:rPr>
              <w:t xml:space="preserve">面接口</w:t>
            </w:r>
            <w:r>
              <w:rPr>
                <w:rFonts w:hint="eastAsia" w:ascii="宋体" w:hAnsi="宋体" w:eastAsia="宋体" w:cs="宋体"/>
                <w:i w:val="0"/>
                <w:iCs w:val="0"/>
                <w:color w:val="auto"/>
                <w:sz w:val="18"/>
                <w:szCs w:val="18"/>
                <w:highlight w:val="none"/>
                <w:u w:val="none"/>
                <w:lang w:val="en-US" w:eastAsia="zh-CN" w:bidi="ar"/>
              </w:rPr>
              <w:t xml:space="preserve">，网络</w:t>
            </w:r>
            <w:r>
              <w:rPr>
                <w:rFonts w:hint="eastAsia" w:ascii="宋体" w:hAnsi="宋体" w:cs="宋体"/>
                <w:i w:val="0"/>
                <w:iCs w:val="0"/>
                <w:color w:val="auto"/>
                <w:sz w:val="18"/>
                <w:szCs w:val="18"/>
                <w:highlight w:val="none"/>
                <w:u w:val="none"/>
                <w:lang w:val="en-US" w:eastAsia="zh-CN" w:bidi="ar"/>
              </w:rPr>
              <w:t xml:space="preserve">接口</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配套</w:t>
            </w:r>
            <w:r>
              <w:rPr>
                <w:rFonts w:hint="eastAsia" w:ascii="宋体" w:hAnsi="宋体" w:eastAsia="宋体" w:cs="宋体"/>
                <w:i w:val="0"/>
                <w:iCs w:val="0"/>
                <w:color w:val="auto"/>
                <w:sz w:val="18"/>
                <w:szCs w:val="18"/>
                <w:highlight w:val="none"/>
                <w:u w:val="none"/>
                <w:lang w:val="en-US" w:eastAsia="zh-CN" w:bidi="ar"/>
              </w:rPr>
              <w:t xml:space="preserve">管线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2.墙地面开槽修复+美化修复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3.后墙增加2组线排，2个</w:t>
            </w:r>
            <w:r>
              <w:rPr>
                <w:rFonts w:hint="eastAsia" w:ascii="宋体" w:hAnsi="宋体" w:cs="宋体"/>
                <w:i w:val="0"/>
                <w:iCs w:val="0"/>
                <w:color w:val="auto"/>
                <w:sz w:val="18"/>
                <w:szCs w:val="18"/>
                <w:highlight w:val="none"/>
                <w:u w:val="none"/>
                <w:lang w:val="en-US" w:eastAsia="zh-CN" w:bidi="ar"/>
              </w:rPr>
              <w:t xml:space="preserve">能源</w:t>
            </w:r>
            <w:r>
              <w:rPr>
                <w:rFonts w:hint="eastAsia" w:ascii="宋体" w:hAnsi="宋体" w:eastAsia="宋体" w:cs="宋体"/>
                <w:i w:val="0"/>
                <w:iCs w:val="0"/>
                <w:color w:val="auto"/>
                <w:sz w:val="18"/>
                <w:szCs w:val="18"/>
                <w:highlight w:val="none"/>
                <w:u w:val="none"/>
                <w:lang w:val="en-US" w:eastAsia="zh-CN" w:bidi="ar"/>
              </w:rPr>
              <w:t xml:space="preserve">点位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4.原有讲台</w:t>
            </w:r>
            <w:r>
              <w:rPr>
                <w:rFonts w:hint="eastAsia" w:ascii="宋体" w:hAnsi="宋体" w:cs="宋体"/>
                <w:i w:val="0"/>
                <w:iCs w:val="0"/>
                <w:color w:val="auto"/>
                <w:sz w:val="18"/>
                <w:szCs w:val="18"/>
                <w:highlight w:val="none"/>
                <w:u w:val="none"/>
                <w:lang w:val="en-US" w:eastAsia="zh-CN" w:bidi="ar"/>
              </w:rPr>
              <w:t xml:space="preserve">能源线</w:t>
            </w:r>
            <w:r>
              <w:rPr>
                <w:rFonts w:hint="eastAsia" w:ascii="宋体" w:hAnsi="宋体" w:eastAsia="宋体" w:cs="宋体"/>
                <w:i w:val="0"/>
                <w:iCs w:val="0"/>
                <w:color w:val="auto"/>
                <w:sz w:val="18"/>
                <w:szCs w:val="18"/>
                <w:highlight w:val="none"/>
                <w:u w:val="none"/>
                <w:lang w:val="en-US" w:eastAsia="zh-CN" w:bidi="ar"/>
              </w:rPr>
              <w:t xml:space="preserve">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数字历史专用教室</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历史教师讲台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1、规格≥1800*800*800mm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2、材质：檫榆木实木，油漆五底三面工艺制作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教师椅≥445*420*450mm（坐高）檫榆木实木，油漆五底三面工艺制作</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学生探究桌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规格：约1200×500×780mm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2、美术桌采用仿明代家具风格，主体材质采用老榆木材质，桌体两侧桌腿采用4条立柱，立柱经变形工艺制作，流畅的弧度彰显大气，风格独特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3、所有木材表面经两底一面环保型油漆处理，表面光泽度好，甲醛排放不超标</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木制，规格≥Φ290×440mm。</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历史模型展示台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尺寸≥6900*600*750mm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1.基材：采用E0级实木多层板，柜体侧板（除与地面接触边）、柜体顶板、门板、抽面板等可见处采用约2mm厚封边条，其余部位封约1mm封边条。板件之间采用三合一连接和木梢的方式连接固定。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2.封边：采用封边条厚度≥2.5mm的同色PVC封边条，无起花，异色边缘修饰平整、光滑。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3.带玻璃罩</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博古架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1.尺寸：≥980*300*1950mm；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主梁采用35*25mm±2mm方形脚柱，抽屉尺寸：750*110*280mm±2mm，柜门尺寸：350*250mm±2mm,层板厚度10mm;运用现代工艺和传统工艺相结合，结构严谨，做工细腻；使用天然植物精炼木蜡油经反复打磨、浸润、擦拭、上光制成，不含甲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4.功能：书法教室、茶艺教室等使用。</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定制，在窗帘上印制相关知识内容，集教学、观赏为一体；含窗帘图文设计与安装，不含窗帘盒。不少于26平。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1、材质30%聚酯纤维、70%PVC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2、厚度：0.50mm±5%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3、抗拉强度：经向1500N/5cm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4、防火等级：B1级及以上</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数字历史沿革系统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数字历史沿革系统以时间轴为主线，内容涵盖从父系</w:t>
            </w:r>
            <w:r>
              <w:rPr>
                <w:rFonts w:hint="eastAsia" w:ascii="宋体" w:hAnsi="宋体" w:eastAsia="宋体" w:cs="宋体"/>
                <w:i w:val="0"/>
                <w:iCs w:val="0"/>
                <w:color w:val="auto"/>
                <w:sz w:val="18"/>
                <w:szCs w:val="18"/>
                <w:highlight w:val="none"/>
                <w:u w:val="none"/>
                <w:lang w:val="en-US" w:eastAsia="zh-CN" w:bidi="ar"/>
              </w:rPr>
              <w:t xml:space="preserve">社会到近现代的典型中国历史和世界历史朝代沿革、包含历史变迁、历史文物、历史上的今天、历史专题、历史事件、历史人物、历史文化、历史小故事等模块，历史沿革包含地图模式、文字模式两种不同浏览模式，系统硬件部分采用了新型的激光投影技术、红外集成触控技术以及独具创新的硬件和软件应用设计，以人类社会发展的趋势为导向、以重大历史事件、过程、意义等为主线，具有图、文、声、视功能，四位一体地展示中外历发展的文明，既能满足初高中课程标准中的教学中普及性、基础性和发展性的需要，也能实现初高中课程标准中的拓展性和加强型的课程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一、软件资源：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1、中国历史：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国历史主要包括：远古时代、夏朝、商朝、西周、春秋、战国、秦朝、西汉、东汉、三国、魏晋南北朝、隋朝、唐朝、五代十国、北宋、南宋、元朝、明朝、清朝、民国、中华人民共和国不同朝代时期的历史事件、历史人物、历史文化及历史小故事；历史事件内容不少于200个，历史人物内容不少于150个，历史文化内容不少于100个，历史小故事不少于100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事件：元谋人、北京人、山顶洞人、母系氏族社会、父系氏族社会、氏族公社的解体、阪泉大战、涿鹿之战、大禹治水、夏启继位、太康失国、少康中兴、鸣条之战、夏桀亡国、商汤灭夏、伊尹放逐太甲、盘庚迁殷、武丁中兴、商纣暴政、武王灭商、周公摄政、成康之治、周召共和、宣王中兴、犬戎灭周、繻葛之战、齐桓称霸、晋文称霸、秦霸西戎、问鼎中原、弭兵会盟、吴越争霸、三家分晋、田氏代齐、桂陵之战、马陵之战、秦灭巴蜀、胡服骑射、济西、即墨之战、阏与之战、长平之战、秦灭六国、郡县制度的推行、焚书坑儒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人物：伏羲、颛顼、黄帝、炎帝、蚩尤、禹、启、姒太康、姒少康、姒孔甲、桀、寒浞、商汤、伊尹、武丁、妇好、比干、商纣王、周文王姬昌、周武王姬发、周公旦、周成王、周幽王、齐桓公、管仲、晋文公、秦穆公、楚庄王、勾践、夫差、伍子胥、孙武、范蠡、孔子、商鞅、燕昭王、孙膑、赵武灵王、廉颇、乐毅、吕不韦、屈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文化：半坡遗址、河姆渡遗址、大汶口遗址、良渚文化、二里头文化、龙山文化、甲骨文、金文、三星堆、分封制、井田制、礼乐制、宗法制、青铜铭文、周易、老子及其思想、孔子及其思想、墨子与墨家思想、孙子及《孙子兵法》、曾侯乙墓、山海经、禹贡、封禅大典、统一文字、史记、丝绸之路、太初历、周髀算经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小故事：盘古开天、女娲造人、女娲补天、精卫填海、嫦娥奔月、夸父逐日、禹娶涂山女、伯成子高、五子之歌、孔甲养龙、迷恋妹喜、武乙射天而戏、酒池肉林、比干剖心、箕子装疯、武王克殷、周公吐哺、桐叶封弟、周穆王西游昆仑山、烽火戏诸侯、唇亡齿寒、多行不义必自毙、尔虞我诈、风马牛不相及、居安思危、厉兵秣马、数典忘祖、退避三舍、卧薪尝胆、一鼓作气、黄金台招贤、鲁仲连义不帝秦、田忌赛马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2、世界历史：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世界历史主要包括：史前时期、萌芽时代、古典时代、中东时代、殖民时代、帝国时代、战争时代、冷战时期、多元时代等不同时代时期的历史事件、历史人物、历史文化、历史小故事。历史事件内容不少于140个，历史人物内容不少于140个，历史小故事不少于50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事件：能人、尼安德特人、金字塔、拉美西斯大帝、亚述帝国、巴比伦城、印度河文明、腓尼基人、阿育王、波斯帝国、斯巴达、亚历山大帝国、罗马城、布匿战争、罗马共和国到帝国、耶稣受难、古罗马的衰落、西罗马的灭亡、纳巴泰人、攻占耶路撒泠、征服君士坦丁堡、西欧封建国家、十字军、诺曼人、征服者威廉、查理一世命丧法国、路易八世入侵英国的失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人物：荷马、伯利克里、梭伦、苏格拉底、普罗泰格拉、亚里士多德、柏拉图、凯撒、屋大维、乔达摩悉达多、哈德良、查士丁尼、克里斯提尼、梭伦、耶稣、阿基米德、孝德天皇、中臣镰足、默罕默德、王建、李成桂、查理马特、丕平、亚历山大、威克里夫、彼特拉克、薄伽丘、马可波罗、但丁、拉斐尔、约翰·加尔文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文化：古埃及艺术、汉莫拉比法典、古罗马文化艺术、佛教的起源、基督教、基督教的传播、伊德里西与《罗杰之书》、伊斯兰教的传播、阿拉伯医学的发展、求知的热情、阿拉伯的黄金时代、文艺复兴、思想启蒙、爱因斯坦与相对论、钢铁是怎样炼成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历史小故事：蝎子王美尼斯、苏美尔神话、巴比伦神话、罗马的前身、国王和金字塔的故事、希腊神话---俄狄浦斯弑父、汉莫拉比与古巴比伦王、苏格拉底的故事三则、凯撒故事一则、希腊神话一则、斯巴达克斯的故事、柏拉图的故事、阿基米德的故事、法兰克国王克洛维、“医中之王”阿维森纳、阿维农之囚、英法百年战争、圣女贞德、一千零一夜、查理大帝故事三则、玫瑰战争、马木路克大战蒙古兵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3、3D历史模型：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远古时代：骨针、元谋人的牙齿、山顶洞人头骨、骨鱼镖、肿骨鹿下颌骨、骨梭、北京人头部复原图、卷龙、虎头、镂空陶器座、玉凤、点眉纹双耳彩陶罐、陶鹰鼎、舞蹈彩纹陶、石耘田器、八角星纹彩陶豆、交叉三角纹彩陶瓶、破土石器、石镰、黑陶高柄杯、陶纺轮、人面鱼纹彩陶、玉龙、鹳鱼石斧图彩陶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夏：陶鼎、陶盉、铜爵。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商：玉熊、四羊方尊、三星堆铜人头、铃首铜刀、后母戊鼎、虎纹石磬。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西周：潶伯卣、青铜钟、原始瓷豆、鸭尊。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春秋：铜剑、嵌铜兽纹豆、孔子石像。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战国：龙首纹璜、“齐造邦长大刀”刀币、武士斗兽纹铜镜。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秦：半两、铁秤锤、陶俑、大瓦当、阳陵虎符。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汉：玻璃杯、漏壶、国宝金匾值万、牛形铜饰、击鼓说唱陶俑、长信宫灯、马踏飞燕、陶鹤、双羊铜饰、陶仓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三国：青瓷羊形烛台、大泉五千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晋：青瓷猪圈、黒釉鸡首瓷壶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南北朝：太夏真兴、贴金石雕佛头像、陶镇墓兽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隋朝：金扣玉杯、白瓷双腹龙柄传瓶、青瓷八系刻花罐、白瓷鸡首壶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唐：三彩“腾”字陶盘、花釉瓷壶、白瓷砚、开元通宝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五代十国：渣斗、青瓷六系罐、白瓷枕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宋：钧窑玫瑰紫大花盆、鱼莲巾环、官窑粉青釉三足瓷炉、司南、浑天仪、景德镇窑青白釉注子温碗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元：溪山雨意图、忽必烈像、龙泉窑粉青釉划莲花撇口碗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明：象牙算盘、青花夔龙纹罐、阿拉伯文带座铜炉、北京天坛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清：白玉诗句佩、黄地素三彩双龙戏珠纹折沿盘、清政府颁赐的金瓶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近代：袁世凯头像洪宪纪元金币、谭嗣同楷书酬宋燕生七言律诗扇面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现当代：国民党广州大本营特别出入证、中华人民共和国中央人民政府之印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4、历史专题：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中国历史的农民起义、古代中国的科学技术和发明创造、两次世界大战、三次工业革命、儒家思想的演变、中国历史上的改革、中国古代的经济、中国历史上的太平盛世</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帘床纸模古法造纸术实验套装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造纸术是中国古代四大发明之一：在东汉时期蔡伦把这项技术作了改进，诞生了更加便于制造和书写的纸，因此，中国造纸术发明史至少超过2000年。 现代造纸技术高度发达，古法造纸的工艺过程及历史知识仅存在 一些小型手工坊内，本实验套装可以完整的体现古代造纸术的工艺活成及相关的历史知识学习。                                                   </w:t>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帘床纸模古法造纸术以古法竹帘抄纸工艺造纸成型，以互动实验的操作方式展现古代手工造纸的成型工艺过程，重点还原造纸工艺中的配浆——抄纸——烘晒工艺。将纸的生产到成型在一个模型中进行统一的、连续的体验，高效的整合历史知识</w:t>
            </w:r>
            <w:r>
              <w:rPr>
                <w:rFonts w:hint="eastAsia" w:ascii="宋体" w:hAnsi="宋体" w:cs="宋体"/>
                <w:i w:val="0"/>
                <w:iCs w:val="0"/>
                <w:color w:val="auto"/>
                <w:sz w:val="18"/>
                <w:szCs w:val="18"/>
                <w:highlight w:val="none"/>
                <w:u w:val="none"/>
                <w:lang w:val="en-US" w:eastAsia="zh-CN" w:bidi="ar"/>
              </w:rPr>
              <w:t xml:space="preserve">。</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模型功能主要在于学生可以亲手体验造纸过程，交互分为配浆、抄纸、烘晒成型3个部分。</w:t>
            </w:r>
            <w:r/>
          </w:p>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配备要求：古法造纸术产品一套（包括造纸产品外形尺寸：≥39*35*18cm及烘纸产品外形尺寸：≥34*23*27cm各一个，纸浆包3个，植物胶1瓶，搅拌器1个，量杯1件）</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编木拱桥演示模型</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编木拱桥是一种特殊的历史桥梁，在整个世界文明史中都非常普遍，它有丰厚的底蕴，他包含着古代建造者的聪明才智，把复杂的构造转化成一种真正的视觉艺术，它是中国匠人的一个技术高峰。其中最著名的就是《清明上河图》中的编木拱桥，画中的编木拱桥是北宋东京汴梁城外汴水河上的一座拱形桥梁，又称汴水虹桥。它是用巨大的方木或原木通过交织关系结合在一起，互相支撑，互相制约，化直为曲，形成了桥梁。</w:t>
            </w:r>
            <w:r/>
          </w:p>
          <w:p>
            <w:pPr>
              <w:ind w:firstLine="0"/>
              <w:jc w:val="left"/>
              <w:keepLines w:val="0"/>
              <w:keepNext w:val="0"/>
              <w:pageBreakBefore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中国南方多山区，从古到今建造该地区的编木拱桥又与汴水虹桥结构不同，结构更为复杂，是木构桥梁的发展更广泛应用，在桥身基础上，通过立柱加盖廊顶，适应了南方多雨的环境，又称为木拱廊桥。</w:t>
            </w:r>
            <w:r/>
          </w:p>
          <w:p>
            <w:pPr>
              <w:ind w:firstLine="0"/>
              <w:jc w:val="left"/>
              <w:keepLines w:val="0"/>
              <w:keepNext w:val="0"/>
              <w:pageBreakBefore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1.编木拱桥产品外形尺寸：≥65*31.5*32cm;</w:t>
            </w:r>
            <w:r/>
          </w:p>
          <w:p>
            <w:pPr>
              <w:ind w:firstLine="0"/>
              <w:jc w:val="left"/>
              <w:keepLines w:val="0"/>
              <w:keepNext w:val="0"/>
              <w:pageBreakBefore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本产品将古代编木拱桥两种形式：虹桥和廊桥桥体结构都呈现出来，两款桥体都实现了可互动组装的结构，其中虹桥桥体参考清明上河图中的编木拱桥虹桥结构成型，廊桥桥体参考闽浙一带现存廊桥结构设计成型，将其设计成可反复拆装结构可用于教学的演示模型；通过互动组装教学，使学生可以直观的了解古代造桥过程及工艺知识。</w:t>
            </w:r>
            <w:r/>
          </w:p>
          <w:p>
            <w:pPr>
              <w:ind w:firstLine="0"/>
              <w:jc w:val="left"/>
              <w:keepLines w:val="0"/>
              <w:keepNext w:val="0"/>
              <w:pageBreakBefore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3.配备要求：编木拱桥（虹桥和廊桥）演示模型套装一套，外包装一套</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环境改造</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原有讲台</w:t>
            </w:r>
            <w:r>
              <w:rPr>
                <w:rFonts w:hint="eastAsia" w:ascii="宋体" w:hAnsi="宋体" w:cs="宋体"/>
                <w:i w:val="0"/>
                <w:iCs w:val="0"/>
                <w:color w:val="auto"/>
                <w:sz w:val="18"/>
                <w:szCs w:val="18"/>
                <w:highlight w:val="none"/>
                <w:u w:val="none"/>
                <w:lang w:val="en-US" w:eastAsia="zh-CN" w:bidi="ar"/>
              </w:rPr>
              <w:t xml:space="preserve">能源线</w:t>
            </w:r>
            <w:r>
              <w:rPr>
                <w:rFonts w:hint="eastAsia" w:ascii="宋体" w:hAnsi="宋体" w:eastAsia="宋体" w:cs="宋体"/>
                <w:i w:val="0"/>
                <w:iCs w:val="0"/>
                <w:color w:val="auto"/>
                <w:sz w:val="18"/>
                <w:szCs w:val="18"/>
                <w:highlight w:val="none"/>
                <w:u w:val="none"/>
                <w:lang w:val="en-US" w:eastAsia="zh-CN" w:bidi="ar"/>
              </w:rPr>
              <w:t xml:space="preserve">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储物间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全钢结构。整体尺寸≥1000*500*2000mm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2.柜体：侧板、背板采用采用≥1.0mm厚镀锌钢板裁剪折弯后满焊点焊接，表面经EPOXY喷涂处理，连接件采用不锈钢连接件。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3.柜门：采用≥1.0mm厚镀锌钢板裁剪折弯后满焊点焊接，表面经EPOXY喷涂处理，对开门式设计。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4.拉手：人体工学设计，造型独特美观；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5.铰链：采用定位铰链或2mm不锈钢合页。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6.调整脚：采用ABS新料模具一体成型的承重型可调节地脚，螺丝不锈钢材质。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bl>
    <w:p>
      <w:pPr>
        <w:pStyle w:val="797"/>
        <w:rPr>
          <w:rFonts w:hint="eastAsia"/>
          <w:color w:val="auto"/>
          <w:highlight w:val="none"/>
          <w:lang w:eastAsia="zh-CN"/>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ind w:firstLine="480"/>
        <w:spacing w:line="360" w:lineRule="auto"/>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包3：</w:t>
      </w:r>
      <w:r>
        <w:rPr>
          <w:rFonts w:hint="eastAsia" w:ascii="宋体" w:hAnsi="宋体" w:cs="宋体"/>
          <w:b/>
          <w:bCs w:val="0"/>
          <w:iCs/>
          <w:color w:val="auto"/>
          <w:szCs w:val="21"/>
          <w:highlight w:val="none"/>
          <w:lang w:val="en-US" w:eastAsia="zh-CN"/>
        </w:rPr>
        <w:t xml:space="preserve">通用技术教室</w:t>
      </w:r>
      <w:r/>
    </w:p>
    <w:tbl>
      <w:tblPr>
        <w:tblStyle w:val="805"/>
        <w:tblW w:w="58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1135"/>
        <w:gridCol w:w="5850"/>
        <w:gridCol w:w="1125"/>
        <w:gridCol w:w="986"/>
      </w:tblGrid>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教师演示讲台套装</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1、钢木结构；尺寸≥2400*700*900mm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6.教师能源控制终端1套：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①配备总能源泄漏保护和分组保护，可分组控制学生端，确保教师及学生实验安全方便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采用耐磨、耐腐蚀、耐高温（≤140℃）的PC薄膜面板，对学生端的控制都采用具有高响应度、高亮度、高对比度的TFT彩色电阻触摸屏控制，高精度贴片元件生产技术，微控制，所有能源均在TFT液晶显示屏上操作，使操作更灵敏，更简便，更直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③本主控系统内自带密码开机，并附带使用说明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④通过数字键盘直接选取1～30V电压，最小调节单元可达1V,额定电流3A，具有过载保护智能检测功能（电流高于过载点则自动保护，电流低于过载点则自动恢复至设定值）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⑤也是通过数字键盘直接选取，调节范围为1.5～30V，分辨率可达0.1V,额定电流6A，具有过载保护智能检测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⑥低压大电流值为20A，输出电流大于10A时，10秒自动关断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⑦交流输出为两位带安全门的市电，带有过载保护和电源指示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⑧通过数字键盘直接选取1～30V电压，确认后分组输送至学生桌电源并锁定（锁定后学生自己无法操作，只有在老师解除锁定后才能单独操作），最小调节单元为1V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⑨通过数字键盘直接选取1.5～30V电压，确认后分组输送至学生桌能源并锁定，最小调节单元为0.1V</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学生操作台套装</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1、钢木结构；尺寸≥1200*600*800mm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6.配套能源共给设备</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1、规格≥￠330*500mm；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2、凳面：一次成型PU圆凳面，厚度≥3cm；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3、360度可旋转气压棒升降；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4、五星电镀钢脚设计，固定可更换脚钉。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 </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尺寸≥1000*500*2000mm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1、贴面板材：可弯曲防火板，厚度为≥0.8mm,。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工具挂板</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top"/>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采用≥1.5mm厚冷轧钢板，表面采用高温粉体烤漆，耐腐蚀，不易生锈。挂钩样式及数量可以选择调整。安装方式墙上打孔后，用螺丝固定。（含配套挂钩）</w:t>
            </w:r>
            <w:r>
              <w:rPr>
                <w:rFonts w:hint="eastAsia" w:ascii="宋体" w:hAnsi="宋体" w:cs="宋体"/>
                <w:i w:val="0"/>
                <w:iCs w:val="0"/>
                <w:color w:val="auto"/>
                <w:sz w:val="18"/>
                <w:szCs w:val="18"/>
                <w:highlight w:val="none"/>
                <w:u w:val="none"/>
                <w:lang w:val="en-US" w:eastAsia="zh-CN" w:bidi="ar"/>
              </w:rPr>
              <w:t xml:space="preserve">尺寸≥3300*600mm</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设备边台</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1、钢木结构；尺寸≥3300*600*800mm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2、台面：采用≥12.7mm厚实芯理化板制作，切割处正反面去毛刺切口打磨平整。表面有良好的耐腐蚀性及具有良好的承重性能。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4.封板：板材采用≥18mm厚三聚氰胺板,截面均采用全自动热溶封边机以≥2mm厚PVC封边条热溶封边。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5.可调脚：采用ABS工程塑料模具成型制作而成。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测量范围：1-200000lux，180度可旋转探头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晶体管特性图示仪</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不需要外接示波器，就可以直接图示测量半导体器件的各种特性曲线和半导体器件的静态参数；2.能在不损坏器件的情况下，测量电压为500V以上的半导体器件的极限参数；3.有晶体管双簇显示，可以同时对两个晶体管进行对比测量。4,阶梯电压有每级2V，阶梯电流有每级100ma。</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功率函数信号发生器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1.数字频率计和计数器功能：内置线性／对数扫频功能：所有端口具有短路和抗输入电压保护功能：输出波形：正弦波、方波、三角波等任一波纹显示。                                                                                                                                    2.采用DDS直接数字合成技术，产生精确、稳定、低失真的输出信号；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3.采用ABS塑料外壳的台式设计， 交流100 ~ 240V （AC）宽电压供电；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4.采用≥2.4英寸（320*240）彩色显示屏，同时显示双通道的波形参数；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6.采样率250MSa/s(80M、100M型号采样率300MSa/s)，14bits垂直分辨率；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7.使用过程中长按OK键，可快速保存仪器当前输出的参数信息，下次开机可自动加载保存的参数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8.完全独立的双通道输出（相当于两个独立信号源），能够同步工作，相位差精确可调；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9.标配通道跟踪功能，跟踪打开时，两个通道所有参数均可同时根据用户的配置更新；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10.两台或多台机器能够通过SYNC 端口实现多机同步；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11.可输出多达98组函数/任意波形，包含34组预置波形和64组用户自定义波形（可通过仪器配套的任意波形编辑软件编辑任意波形并下载到仪器输出）。 预置波形包含：正弦波、方波、矩形波（占空比可调）、梯形波（上升沿时间和下降沿时间均可精确设定）、三角波、脉冲波（脉冲宽度和频率可精确设定）、升锯齿波、降锯齿波、阶梯波、梯形脉冲波、辛克脉冲、窄脉冲波、噪声波、指数上升、指数下降、心电图、洛仑兹脉冲波、多音频波、CMOS(0~12V)、四通道TTL电平和DC电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12.具有64组任意波存储位，每组存储深度为8192*14bits（波形存储深度越长，保存波形细节越多，可高精度的还原信号细节）；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13.频率精度高：频率精度可达到10-6数量级；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14.频率分辨率高：全范围频率分辩率1uHz（0.000001Hz）；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15.输出幅度最高可达24Vpp（80M和100M两个型号最高输出幅度可达25VPP），幅度分辨率最小可达1mV（0.001V）；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16.具有-12V~+12V的直流偏置功能（&lt;20MHz），分辨率可达1mV；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17.两个通道的占空比均可独立调节，调节精度可达0.01%；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18.脉冲波脉冲宽度和脉冲频率连续可调，调节范围20ns-1S。脉冲幅度可在0-12V之间连续调节，调节精度0.001V；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19.两个通道的相位调节范围为0~359.99°，调节精度0.01°；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20.无量程限制：全范围频率不分档，直接数字设置；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21.具有数字信号输出功能，可实现幅度0~12V的任意CMOS电平；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22.扫描功能：可对信号的四个属性：频率、幅度、偏置、占空比分别进行扫描，具有线性扫描和对数扫描两种扫描模式，扫描时间可达999.99S,扫描起止点可任意设置；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23.脉冲串猝发输出功能：可选手动触发、内部CH2触发与外部触发三种触发模式,可以使本机输出1~1048575任意个脉冲串；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24.VCO功能：支持VCO电压控制信号各参数输出功能(例如压控振荡器)。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25.丰富的调制类型：AM、FM、PM、ASK、FSK和PSK调制；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26.存储特性：可以存储20组用户设置的仪器状态参数，可随时调出重现；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27.100M频率计功能：具有频率测量、周期测量、正负脉宽测量、占空比测量四种测量方式。仪器最大测量频率可达100MHz，最低测量频率为0.01Hz；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28.计数器功能：具有直流和交流两种耦合测量方式，有效解决交流耦合计数不准的情况。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29.所有参量均可以由内部程序完成校准；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30.标配任意波形编辑功能，能够在PC机上编辑任意波形后下载到仪器输出波形；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31.通讯功能，可使用PC机控制该仪器。通讯协议公开，使二次开发变得非常简单；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32.高可靠性：大规模集成电路，表面贴装工艺，可靠性高，使用寿命长；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33.输出短路保护：所有信号输出端都可在负载短路情况下工作60S以上；</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学生示波器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频率响应为DC~3MHz，垂直偏转因素50mVp-p／格，能对波形幅度进行定量测试，误差不大于10%； 仪器具有体积小、重量轻、操作简单、携带方便、省电、价廉等特点，是中学物理教学、劳技课教学及职工教学课程中理想的学生分组实验用示波器。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主要技术指标：J2459垂直系统频率响应：直流DC~3MHz≤3dB，交流10Hz~3MHz≤3dB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1.偏转因素：50mVp-p／格，误差±10%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2.输入电容：1M∥40PF</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3.衰减倍率：1、10、100、1000，误差±10%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4.输入耐压：400V（DC+ACpk）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5.扫描系统扫描频率： 10Hz~100kHz，分四挡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6.同步：内正同步，内负同步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7.水平系统频率响应：10Hz~500kHz≤3dB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8.偏转因素：100mVp-p／格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9.输入电容：1M∥60PF</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10.波形：正弦波 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11.幅度：250mVp-p±10%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12.余辉：中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13.工作环境：温度0℃~+40℃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14.相对湿度：≤90%（40℃）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尺寸重量: 300×130×190（高×宽×深） 3kg</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15L清洗大容量。额定电压：220v</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，额定频率：50hz。超声波功率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240w，加热功率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450w，外形尺寸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355x325x275mm。工作尺寸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330x300x150mm。功能介绍：全波段清洗全波超声波全波段全功率工作，清洗力度较柔和，精洗精密，清洗波纹小，可以有效清洗物件的微小缝隙颗粒；半波段清洗利用一半的的功耗让超声波上半波段工作，清洗力度强，波幅度大，可以有效的清洗物品表面大分子污垢；脱气清洗机器启动6秒暂停3秒循环启停操作，有利于排出水液体中的空气，防止物品氧化。提升清洗效率，提高清洗效果。6震头清洗工作，消音降噪柔和不刺耳等优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LCR测试仪</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1.可以用100hz—10Khz四档频率测量电阻、电感、电容品质因素和损耗角，以比较不同频率下参数的区别；2.量程：电感2mH—1H,电容2000pF—10mF,电阻20-10M,频率000-999自动,电容品质000-999自动,损耗角±90。</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直流稳压供电系统</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1.输入电压 180V/220V±10%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2.输入频率 50Hz/60Hz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3.输出电压 恒压值范围：0额定值连续可调输出电流 恒流值范围：0-A额定值连续可调工作方式 稳压稳流状态自动切换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4.恒压指示 CV，绿色LED灯指示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5.恒流指示 CC，红色LED灯指示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6.显示分辨率 四位显示：电压0.01V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7.电流0.001A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8.显示精度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9.CV&lt;0.05%+1mV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10.供电系统效应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CC&lt;0.05%+1mA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CV&lt;0.1%+5mV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11.负载效应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CC&lt;0.1%+10mA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CV&lt;10mVRN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12.纹波噪声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CC&lt;20mARM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13.保护功能 过压、过温、短路限流保护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14.冷却方式 智能温控风扇强制风冷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15.工作环境 -10-40℃相对湿度&lt;80%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16.储存环境 25℃c相对湿度&lt;80%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17.外观尺寸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270 X 125 X 150mm(长X宽X高mm)重量 2.5Kg  。0-30V/5A</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学生供电系统</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交流：2V～16V/3A，每2V一档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直流稳压：2V～16V/2A，每2V一档</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开关电路，也可适用于高中通用技术里技术与设计和电子控制技术的教学实验，用于初中、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放大电路的特性，可以用于高中通用技术里技术与设计和电子控制技术的教学实验，也可以用于初中、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实验装置,可以用于技术与设计和电子控制技术的教学实验，电路板上集成了蜂鸣器、LED灯、按键开关等多种电子元件，学生可通过实验了解数字电路中基本的门电路设计和应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实现功能：可实验干簧管（磁敏传感器）、拾音头（声音传感器）、光敏电阻（光电传感器）、热敏电阻（热敏传感器）四种常见传感器的控制原理及应用电路。实践台底板为环氧线路板，配备专用电池盒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实现功能：可实验酒精传感器和烟雾传感器，传感器的检测反馈至发光二极管和蜂鸣器。通过二极管和蜂鸣器的提醒，认识了解气敏传感器的工作原理。实践台底板为环氧线路板，配备专用电池盒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实现功能：通过按压量程开关受力，检测实时压力数据传输至数码显示管中。了认识了解力敏的工作原理。实践台底板为环氧线路板，配备专用电池盒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收纳箱尺寸：≥420*300*140mm;工业级塑料收纳盒材质可叠加组合摆放，无需另外配备仪器柜</w:t>
            </w:r>
            <w:r>
              <w:rPr>
                <w:rFonts w:hint="eastAsia" w:ascii="宋体" w:hAnsi="宋体" w:eastAsia="宋体" w:cs="宋体"/>
                <w:i w:val="0"/>
                <w:iCs w:val="0"/>
                <w:color w:val="auto"/>
                <w:sz w:val="18"/>
                <w:szCs w:val="18"/>
                <w:highlight w:val="none"/>
                <w:u w:val="none"/>
                <w:lang w:val="en-US" w:eastAsia="zh-CN" w:bidi="ar"/>
              </w:rPr>
              <w:t xml:space="preserve">或货架。 外箱体采用注塑成型,材料:WSYABS/PP。各种器材有序镶嵌在黑色发泡珍珠棉内衬里（定点定位），便于运输和管理。每个实验电路均采用环氧树脂板台面独立操作模块；模块规格：140*80*25mm，ABS塑料底盒封装，电路板插件式结构、可反复使用，无需焊接，带安全供电系统或电池盒（不允许采用220V）。提高学生动手能力。可以由学生自己动手组合完成光控、声控等多种模拟电路开闭环电路控制系统实验。                                                       </w:t>
            </w:r>
            <w:r>
              <w:rPr>
                <w:rFonts w:hint="eastAsia" w:ascii="宋体" w:hAnsi="宋体" w:eastAsia="宋体" w:cs="宋体"/>
                <w:i w:val="0"/>
                <w:iCs w:val="0"/>
                <w:color w:val="auto"/>
                <w:sz w:val="18"/>
                <w:szCs w:val="18"/>
                <w:highlight w:val="none"/>
                <w:u w:val="none"/>
                <w:lang w:val="en-US" w:eastAsia="zh-CN" w:bidi="ar"/>
              </w:rPr>
              <w:t xml:space="preserve">            实现10项独立实验项目，内含电子套件：1、半导体开关特性认知与应用套件*1；2、常见继电器认知与应用套件*1；3、红外发射接收电路模型*1；4、磁敏传感器应用套件*1；5、三人表决器电路套件*1；6、三人抢答器实验套件*1；7、追捕恐怖分子实验套件*1；8、视力保护提醒器实验套件*1；9、光敏报警电路套件*1；10、声光控楼梯灯实验套件*1等。                                                                       </w:t>
            </w:r>
            <w:r>
              <w:rPr>
                <w:rFonts w:hint="eastAsia" w:ascii="宋体" w:hAnsi="宋体" w:eastAsia="宋体" w:cs="宋体"/>
                <w:i w:val="0"/>
                <w:iCs w:val="0"/>
                <w:color w:val="auto"/>
                <w:sz w:val="18"/>
                <w:szCs w:val="18"/>
                <w:highlight w:val="none"/>
                <w:u w:val="none"/>
                <w:lang w:val="en-US" w:eastAsia="zh-CN" w:bidi="ar"/>
              </w:rPr>
              <w:t xml:space="preserve">                                         供电方式采用供电模块系统，可直接连接电脑端或是DC供电系统输入接口。                                                                       模块介绍：1.底座规格≥ 81mm*57mm*28mm；壁厚：≥2mm；模块底座采用ABS材质注塑一体开模制成，四周采用圆弧角曲面工艺，圆弧角曲面设计表面光滑质感舒适，确保使用过程中不割手划伤等风险。          </w:t>
            </w:r>
            <w:r>
              <w:rPr>
                <w:rFonts w:hint="eastAsia" w:ascii="宋体" w:hAnsi="宋体" w:eastAsia="宋体" w:cs="宋体"/>
                <w:i w:val="0"/>
                <w:iCs w:val="0"/>
                <w:color w:val="auto"/>
                <w:sz w:val="18"/>
                <w:szCs w:val="18"/>
                <w:highlight w:val="none"/>
                <w:u w:val="none"/>
                <w:lang w:val="en-US" w:eastAsia="zh-CN" w:bidi="ar"/>
              </w:rPr>
              <w:t xml:space="preserve">                                                               2.下底座配有多种颜色可选（红色、绿色、橙色、黄色、蓝色、黑色、果绿色、淡蓝色等等）。底座兼容乐高孔位不低于40个，适合不同乐高板的兼容。底部采用标准乐高孔位，可与其他乐高结构件或电子件兼容，拓展更多活动实验。                                                          3. 下底座的前后左右四周，采用勾勒纹路条纹，层次分明。激发</w:t>
            </w:r>
            <w:r>
              <w:rPr>
                <w:rFonts w:hint="eastAsia" w:ascii="宋体" w:hAnsi="宋体" w:eastAsia="宋体" w:cs="宋体"/>
                <w:i w:val="0"/>
                <w:iCs w:val="0"/>
                <w:color w:val="auto"/>
                <w:sz w:val="18"/>
                <w:szCs w:val="18"/>
                <w:highlight w:val="none"/>
                <w:u w:val="none"/>
                <w:lang w:val="en-US" w:eastAsia="zh-CN" w:bidi="ar"/>
              </w:rPr>
              <w:t xml:space="preserve">学生电路实验的兴趣和乐趣。 并留有专用标准孔位，配有专用ABS材质注塑成型的链接导杆。可在没有乐高板的情况下在任意桌面通过连接导杆环环相扣，摆搭不同形状或是不规则的形状，方便随意拆卸适应不同环境场合。                                                                                           4.电路表面：哑光色；充放电接口：Micro USB；DC供电系统输入接口 ；信号测试接口：1、香蕉线插口:2、2.54mm ;单</w:t>
            </w:r>
            <w:r>
              <w:rPr>
                <w:rFonts w:hint="eastAsia" w:ascii="宋体" w:hAnsi="宋体" w:eastAsia="宋体" w:cs="宋体"/>
                <w:i w:val="0"/>
                <w:iCs w:val="0"/>
                <w:color w:val="auto"/>
                <w:sz w:val="18"/>
                <w:szCs w:val="18"/>
                <w:highlight w:val="none"/>
                <w:u w:val="none"/>
                <w:lang w:val="en-US" w:eastAsia="zh-CN" w:bidi="ar"/>
              </w:rPr>
              <w:t xml:space="preserve">排针插口；电路板板载全面积信号隔离，全板进行电脑飞针性能测试。装置无尘焊接 PCB 电路板上，电路板固定在盒体上；可供电也可检测电路中电压电流值的大小，并且可以调节供电电压值，以适应不同电路对电压的实验需求特征；外形圆弧角一体式设计，握感舒适；PCB 焊接数显电子表，精确显示电路中的电流值电压值变化及具体值；使用配套的供电系统适配器即可进行充电。                                                                                  </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1.收纳箱尺寸：≥420*300*140mm;工业级塑料收纳盒材质可叠加组合摆放 ，无需另外配备仪器柜或货架。外箱体采用注塑成型,材料:WSYABS/PP。各种器材有序镶嵌在黑色发泡珍珠棉</w:t>
            </w:r>
            <w:r>
              <w:rPr>
                <w:rFonts w:hint="eastAsia" w:ascii="宋体" w:hAnsi="宋体" w:eastAsia="宋体" w:cs="宋体"/>
                <w:i w:val="0"/>
                <w:iCs w:val="0"/>
                <w:color w:val="auto"/>
                <w:sz w:val="18"/>
                <w:szCs w:val="18"/>
                <w:highlight w:val="none"/>
                <w:u w:val="none"/>
                <w:lang w:val="en-US" w:eastAsia="zh-CN" w:bidi="ar"/>
              </w:rPr>
              <w:t xml:space="preserve">内衬里（定点定位），便于运输和管理。每个实验电路均采用环氧树脂板台面独立操作模块；电路板插件式结构、可反复使用，无需焊接，带安全供电系统或电池盒（不允许采用220V）。提高学生动手能力。可以由学生自己动手组合完成多种模拟电路开闭环电路控制系统实验。                                                                                                                          2.电子元件底座尺寸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长65mm*宽41mm*高26mm，ABS材质注塑一体开模制成，四周采用圆弧角曲面工艺，圆弧角曲面设计表面光滑质感舒适，确保使用过程中不割手划伤等风险。                                                                                          </w:t>
            </w:r>
            <w:r>
              <w:rPr>
                <w:rFonts w:hint="eastAsia" w:ascii="宋体" w:hAnsi="宋体" w:eastAsia="宋体" w:cs="宋体"/>
                <w:i w:val="0"/>
                <w:iCs w:val="0"/>
                <w:color w:val="auto"/>
                <w:sz w:val="18"/>
                <w:szCs w:val="18"/>
                <w:highlight w:val="none"/>
                <w:u w:val="none"/>
                <w:lang w:val="en-US" w:eastAsia="zh-CN" w:bidi="ar"/>
              </w:rPr>
              <w:t xml:space="preserve">                 3.底座采用分段式结构兼容乐高组件，可以和乐高组件任意拼搭，下底座配有多种颜色可选（红色、绿色、橙色、黄色、蓝色、黑色、果绿色、淡蓝色等等）。下底座兼容乐高孔位不低于18个，适合不同乐高板的兼容。                                                                      4.上盖为透明颜色采用圆弧角曲面设计，从外部可以清晰看到电子元器件的内部构造，上盖预留观察调试矩形孔位，可在不拆卸的情况下和实验过程中调节电路</w:t>
            </w:r>
            <w:r>
              <w:rPr>
                <w:rFonts w:hint="eastAsia" w:ascii="宋体" w:hAnsi="宋体" w:eastAsia="宋体" w:cs="宋体"/>
                <w:i w:val="0"/>
                <w:iCs w:val="0"/>
                <w:color w:val="auto"/>
                <w:sz w:val="18"/>
                <w:szCs w:val="18"/>
                <w:highlight w:val="none"/>
                <w:u w:val="none"/>
                <w:lang w:val="en-US" w:eastAsia="zh-CN" w:bidi="ar"/>
              </w:rPr>
              <w:t xml:space="preserve">实验，上盖表面有电路装饰图，激发学生电路实验的兴趣和乐趣。                                                              本实验箱包含四大模块：1、常用电子元器件特性认知套件；2、半导体开关热性认知与应用套件；3、常见继电器认知与应用套件；4、基本数字电路认知／设计套件；其中第1部分可以完成：晶体三极管开关放大、霓虹灯、磁敏传感器应用、光敏报警电路、常见传感器实验； 第2部分可以完成：晶体三极管开关电路、恒温控制系统设计、声光控制楼道灯实验；第3部</w:t>
            </w:r>
            <w:r>
              <w:rPr>
                <w:rFonts w:hint="eastAsia" w:ascii="宋体" w:hAnsi="宋体" w:eastAsia="宋体" w:cs="宋体"/>
                <w:i w:val="0"/>
                <w:iCs w:val="0"/>
                <w:color w:val="auto"/>
                <w:sz w:val="18"/>
                <w:szCs w:val="18"/>
                <w:highlight w:val="none"/>
                <w:u w:val="none"/>
                <w:lang w:val="en-US" w:eastAsia="zh-CN" w:bidi="ar"/>
              </w:rPr>
              <w:t xml:space="preserve">分可以完成：直流电磁继电器控制电路、晶闸管控制电路实验；第4部分可以完成：单稳态延时电路、智力竞赛抢答器、电子门铃、三人表决器、基本逻辑门电路、红外遥控风扇、红绿灯控制设计实验；电子方面：均采用拼插式模块化结构，易于组装和拆卸，可重复使用；ABS材质，由各种电子元器件、导线、供电系统、开关、电路板组成；。可搭建各种电子控制技术模型或装置。                                                                                      </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140x80x20mm彩盒包装；pcb台面：台面印有清晰的电路原理图，使其功能一目了然，板上设有各种元器件，自锁紧插座，导线连接线等。可使用万用表测量工具测量实时数据；易于组装电路实验，可重复循环使用。 实现功能：模拟声敏控制发光二极管的控制，认识声敏传感器的工作原理及在日常生活中广泛的作用。实践台底板为环氧线路板，配备专用电池盒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w:t>
            </w:r>
            <w:r>
              <w:rPr>
                <w:rFonts w:hint="eastAsia" w:ascii="宋体" w:hAnsi="宋体" w:eastAsia="宋体" w:cs="宋体"/>
                <w:i w:val="0"/>
                <w:iCs w:val="0"/>
                <w:color w:val="auto"/>
                <w:sz w:val="18"/>
                <w:szCs w:val="18"/>
                <w:highlight w:val="none"/>
                <w:u w:val="none"/>
                <w:lang w:val="en-US" w:eastAsia="zh-CN" w:bidi="ar"/>
              </w:rPr>
              <w:t xml:space="preserve">规格≥140x80x20mm彩盒包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装置,可以用于技术与设计和电子控制技术的教学，电路板上集成了继电器、电阻、电容、数码管、二极管、三极管、八位拨码开关等多种常见的电子元器件。学生可以直观的了解电子元器件的特性和使用范畴。是电子技术初学者最好的学习工具。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单片机主板-拓展实验套件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收纳盒包装；盒体尺寸：≥300*200*60mm；电子散件,学生可以通过这个套件的练习，简单认识电路板原理及设计，识别电子元器件的封装特性，练习使用电烙铁的方法，初步了解掌握焊接技术。1、光控开关实验,2、触摸延时灯实验,3、触摸开关实验, 4、门窗报警实验,5、光控感应开关实验，6、视力保护提醒器实验, 7、音乐门铃；电阻包；电容包；三级管包；传感器焊线排针等。配套DVD光盘视频教程内容，使学生更易学习入门。内含光盘1张、单片机1片、减速步进电机1个、红外接收头1个、红外遥控器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（送纽扣电池）1个、全新18B20温度检测1个、精美折叠箱子1个、8*8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（红+绿）双色点阵模块1片、USB数据线1条、直流电机1个、单P杜邦 线8条/1排、1.0592晶振1个、红色短路帽19个（另含4个备用冒）、 八位排线4条、光敏、热敏模块1个（已集成板子上）、12MHZ晶振1个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（已插在板子上）。</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电子散件,学生可以通过这个套件的练习，简单认识电路板原理及设计，识别电子元器件的封装特性，练习使用电烙铁的方法，初步了解掌握焊接技术。</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电子散件,学生可以通过这个套件的练习，简单认识电路板原理及设计，识别电子元器件的封装特性，练习使用电烙铁的方法，初步了解掌握焊接技术。</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常用执行器试验套件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本套件为插针式实验板，易于组装和拆卸，可重复使用，由各种电子元器 件、导线、供电系统、底板等模块组成。 电路连接采用插针式导线，各种元器件</w:t>
            </w:r>
            <w:r>
              <w:rPr>
                <w:rFonts w:hint="eastAsia" w:ascii="宋体" w:hAnsi="宋体" w:eastAsia="宋体" w:cs="宋体"/>
                <w:i w:val="0"/>
                <w:iCs w:val="0"/>
                <w:color w:val="auto"/>
                <w:sz w:val="18"/>
                <w:szCs w:val="18"/>
                <w:highlight w:val="none"/>
                <w:u w:val="none"/>
                <w:lang w:val="en-US" w:eastAsia="zh-CN" w:bidi="ar"/>
              </w:rPr>
              <w:t xml:space="preserve">为PBC接插件，连接可靠，使用方 便，使用6V电池盒供电。提供多种按钮开关、电阻、电位器、三极管、发光 二极管、二极管、电容、可控硅、干簧管、继电器、光敏电阻、拾音头、热 敏电阻、蜂鸣器、红外发射管、红外接收管等。通过这些实验电路，学生将 掌握各种常见电子元器件的基本特性，并能用它来设计和制作一些简单的实 用电路装置，、标注清晰，能完 成技术与设计选修课程【电子控制技术】中的部分实验，根据教学需要还可 以进行更多的拓展试验。                                          </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该套件是由若干零件装配而成，装配效果逼真，可模拟演示机械手的动作原 理。，使用内六角不锈钢螺丝和尼龙嵌件锁紧螺母组 装。三自由度，电机采用五线制步进减速电机，可实现上下、左右、夹紧、 松开。主控器上设有三组电位器，分别调节三组步进电机的转速。供电系统使用 6V电池盒供电，可也使用供电系统适配器供电。</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收纳盒包装；盒体尺寸：≥220*150*60mm；电子散件,学生可以通过这个套件的练习，简单认识电路板原理及设计，识别电子元器件的封装特性，练习使用电烙铁的方法，初步了解掌握焊接技术。1、光控开关实验,2、触摸延时灯实验,3、触摸开关实验, 4、门窗报警实验,5、光控感应开关实验，6、视力保护提醒器实验, 7、音乐门铃；电阻包；电容包；三级管包；传感器焊线排针等。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塑料收纳盒包装，盒体尺寸：≥220*150*60mm；电子散件,学生可以通过这个套件的练习，简单认识电路板原理及设计，识别电子元器件的封装特性，练习使用电烙铁的方法，初步了解掌握焊接技术。1、十进制计时器, 2、无线调频话筒 ,3、电子门铃实验 ,4、定时振荡器实验,5、多谐振荡器实验,6、水位控制器套件：7、三极管放大电路套件。电阻包；电容包；三级管包；传感器焊线排针等。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收纳盒包装，盒体尺寸：≥220*150*60mm；电子散件,学生可以通过这个套件的练习，简单认识电路板原理及设计，识别电子元器件的封装特性，练习使用电烙铁的方法，初步了解掌握焊接技术。1、简易密码锁试验套件, 2三极管振荡器套件，3、多级放大电路套件,4、断电报警器电路套件,5、单管放大电路套件，6、脉宽调速控制器套件；7、多路波形发生器套件；电阻包；电容包；三级管包；传感器焊线排针等。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LED台灯组装套件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该LED台灯使用直流4.5V供电系统，所有元件均为散件，可由学生自行焊接、组 装，体验设计过程。包括底座、灯罩、LED灯组、开关、弹簧立杆、电线、电 池盒、电池弹簧片、螺丝等。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提供</w:t>
            </w:r>
            <w:r>
              <w:rPr>
                <w:rFonts w:hint="eastAsia" w:ascii="宋体" w:hAnsi="宋体" w:cs="宋体"/>
                <w:i w:val="0"/>
                <w:iCs w:val="0"/>
                <w:color w:val="auto"/>
                <w:sz w:val="18"/>
                <w:szCs w:val="18"/>
                <w:highlight w:val="none"/>
                <w:u w:val="none"/>
                <w:lang w:val="en-US" w:eastAsia="zh-CN" w:bidi="ar"/>
              </w:rPr>
              <w:t xml:space="preserve">微型</w:t>
            </w:r>
            <w:r>
              <w:rPr>
                <w:rFonts w:hint="eastAsia" w:ascii="宋体" w:hAnsi="宋体" w:eastAsia="宋体" w:cs="宋体"/>
                <w:i w:val="0"/>
                <w:iCs w:val="0"/>
                <w:color w:val="auto"/>
                <w:sz w:val="18"/>
                <w:szCs w:val="18"/>
                <w:highlight w:val="none"/>
                <w:u w:val="none"/>
                <w:lang w:val="en-US" w:eastAsia="zh-CN" w:bidi="ar"/>
              </w:rPr>
              <w:t xml:space="preserve">台灯的所需的基本材料，具体包括台灯底座、电池座、DC-DC稳 压模块、5灯高亮度LED模块、钮子开关、金属定型软。功能：方便老师和 学生开展台灯设计教学，其中台灯的外观设计和制作材料需要老师和学生自 已设计制作，使学生体验设计的重要性，上述的材料可重复使用。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该套材由控制电路、水泵、水位传感器、上、下水箱、支架、乳胶水管、电 池盒等组成。水箱透明有机玻璃材质，配有水嘴，可让学生动手焊接 线路板元件，搭建自动供水系统，了解水箱水位控制的工作过程和原理，能 实现对上下双水位的闭环控制。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4.太阳能小车：材料为木工板、电机、太阳能 电路板等，连接方式：拼插、胶合。实现功能：在太阳光照射下自动前进。</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外壳为手提式翻盖塑料盒，尺寸不小于230*170*43 mm,台面为一整</w:t>
            </w:r>
            <w:r>
              <w:rPr>
                <w:rFonts w:hint="eastAsia" w:ascii="宋体" w:hAnsi="宋体" w:eastAsia="宋体" w:cs="宋体"/>
                <w:i w:val="0"/>
                <w:iCs w:val="0"/>
                <w:color w:val="auto"/>
                <w:sz w:val="18"/>
                <w:szCs w:val="18"/>
                <w:highlight w:val="none"/>
                <w:u w:val="none"/>
                <w:lang w:val="en-US" w:eastAsia="zh-CN" w:bidi="ar"/>
              </w:rPr>
              <w:t xml:space="preserve">块黑底白 字PCB板。使用6V电池盒供电或者6-12V供电系统适配器均可。面板上设有18 路指示，8路功能按钮；模拟全自动洗衣机基本的运行程序，具备显示运行的状态（比如：当前状态、计秒数），具有“标准”、“经 济”、“漂洗+脱水”、“脱水”四种模式；可设置强洗、弱洗；水量可设置 高、中、低；任一过程中均能实现暂停、继续、停止。面板上有清晰的原理 示意图，可显示普通进水、洗涤剂进水、排水、水位显示；设有5V电机驱动 波轮旋转；具有蜂鸣器提醒功能；具有MINI-USB接口，可连接电脑，支持在 线编程或下载程序。</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升旗定时控制装置设计与制作套件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规格尺寸：≥250x250x550mm，旗杆：不锈钢材质，高度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520mm；提供全套自制升旗台自动控制的元器件和材料，含有升旗传动系统和机械定时器材、电机、控制器，便于学生在亲手制作亲身参与的过程中了解自动升旗开环控制系统的基本组成与工作过程。理解控制器和执行器的作用。</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芯片加工中心</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numPr>
                <w:ilvl w:val="0"/>
                <w:numId w:val="12"/>
              </w:numPr>
              <w:rPr>
                <w:rFonts w:hint="default"/>
                <w:b w:val="0"/>
                <w:bCs w:val="0"/>
                <w:color w:val="auto"/>
                <w:sz w:val="20"/>
                <w:szCs w:val="22"/>
                <w:highlight w:val="none"/>
                <w:lang w:val="en-US" w:eastAsia="zh-CN"/>
              </w:rPr>
            </w:pPr>
            <w:r>
              <w:rPr>
                <w:rFonts w:hint="eastAsia"/>
                <w:b w:val="0"/>
                <w:bCs w:val="0"/>
                <w:color w:val="auto"/>
                <w:sz w:val="20"/>
                <w:szCs w:val="22"/>
                <w:highlight w:val="none"/>
                <w:lang w:val="en-US" w:eastAsia="zh-CN"/>
              </w:rPr>
              <w:t xml:space="preserve">桌面式智能数控铣削中心参数</w:t>
            </w:r>
            <w:r/>
          </w:p>
          <w:p>
            <w:pPr>
              <w:numPr>
                <w:ilvl w:val="0"/>
                <w:numId w:val="12"/>
              </w:numPr>
              <w:rPr>
                <w:rFonts w:hint="default"/>
                <w:color w:val="auto"/>
                <w:highlight w:val="none"/>
                <w:lang w:val="en-US" w:eastAsia="zh-CN"/>
              </w:rPr>
            </w:pPr>
            <w:r>
              <w:rPr>
                <w:rFonts w:hint="default"/>
                <w:color w:val="auto"/>
                <w:highlight w:val="none"/>
                <w:lang w:val="en-US" w:eastAsia="zh-CN"/>
              </w:rPr>
              <w:t xml:space="preserve">额定电压：2</w:t>
            </w:r>
            <w:r>
              <w:rPr>
                <w:rFonts w:hint="eastAsia"/>
                <w:color w:val="auto"/>
                <w:highlight w:val="none"/>
                <w:lang w:val="en-US" w:eastAsia="zh-CN"/>
              </w:rPr>
              <w:t xml:space="preserve">2</w:t>
            </w:r>
            <w:r>
              <w:rPr>
                <w:rFonts w:hint="default"/>
                <w:color w:val="auto"/>
                <w:highlight w:val="none"/>
                <w:lang w:val="en-US" w:eastAsia="zh-CN"/>
              </w:rPr>
              <w:t xml:space="preserve">0V</w:t>
            </w:r>
            <w:r>
              <w:rPr>
                <w:rFonts w:hint="eastAsia"/>
                <w:color w:val="auto"/>
                <w:highlight w:val="none"/>
                <w:lang w:val="en-US" w:eastAsia="zh-CN"/>
              </w:rPr>
              <w:t xml:space="preserve">（±10%）</w:t>
            </w:r>
            <w:r>
              <w:rPr>
                <w:rFonts w:hint="default"/>
                <w:color w:val="auto"/>
                <w:highlight w:val="none"/>
                <w:lang w:val="en-US" w:eastAsia="zh-CN"/>
              </w:rPr>
              <w:t xml:space="preserve">；</w:t>
            </w:r>
            <w:r/>
          </w:p>
          <w:p>
            <w:pPr>
              <w:numPr>
                <w:ilvl w:val="0"/>
                <w:numId w:val="12"/>
              </w:numPr>
              <w:rPr>
                <w:rFonts w:hint="default"/>
                <w:color w:val="auto"/>
                <w:highlight w:val="none"/>
                <w:lang w:val="en-US" w:eastAsia="zh-CN"/>
              </w:rPr>
            </w:pPr>
            <w:r>
              <w:rPr>
                <w:rFonts w:hint="default"/>
                <w:color w:val="auto"/>
                <w:highlight w:val="none"/>
                <w:lang w:val="en-US" w:eastAsia="zh-CN"/>
              </w:rPr>
              <w:t xml:space="preserve">额定功率</w:t>
            </w:r>
            <w:r>
              <w:rPr>
                <w:rFonts w:hint="eastAsia"/>
                <w:color w:val="auto"/>
                <w:highlight w:val="none"/>
                <w:lang w:val="en-US" w:eastAsia="zh-CN"/>
              </w:rPr>
              <w:t xml:space="preserve">≥</w:t>
            </w:r>
            <w:r>
              <w:rPr>
                <w:rFonts w:hint="default"/>
                <w:color w:val="auto"/>
                <w:highlight w:val="none"/>
                <w:lang w:val="en-US" w:eastAsia="zh-CN"/>
              </w:rPr>
              <w:t xml:space="preserve">100W ；</w:t>
            </w:r>
            <w:r/>
          </w:p>
          <w:p>
            <w:pPr>
              <w:numPr>
                <w:ilvl w:val="0"/>
                <w:numId w:val="12"/>
              </w:numPr>
              <w:rPr>
                <w:rFonts w:hint="default"/>
                <w:color w:val="auto"/>
                <w:highlight w:val="none"/>
                <w:lang w:val="en-US" w:eastAsia="zh-CN"/>
              </w:rPr>
            </w:pPr>
            <w:r>
              <w:rPr>
                <w:rFonts w:hint="default"/>
                <w:color w:val="auto"/>
                <w:highlight w:val="none"/>
                <w:lang w:val="en-US" w:eastAsia="zh-CN"/>
              </w:rPr>
              <w:t xml:space="preserve">主轴转速5000-20000rpm； </w:t>
            </w:r>
            <w:r/>
          </w:p>
          <w:p>
            <w:pPr>
              <w:numPr>
                <w:ilvl w:val="0"/>
                <w:numId w:val="12"/>
              </w:numPr>
              <w:rPr>
                <w:rFonts w:hint="default"/>
                <w:color w:val="auto"/>
                <w:highlight w:val="none"/>
                <w:lang w:val="en-US" w:eastAsia="zh-CN"/>
              </w:rPr>
            </w:pPr>
            <w:r>
              <w:rPr>
                <w:rFonts w:hint="default"/>
                <w:color w:val="auto"/>
                <w:highlight w:val="none"/>
                <w:lang w:val="en-US" w:eastAsia="zh-CN"/>
              </w:rPr>
              <w:t xml:space="preserve">工作台</w:t>
            </w:r>
            <w:r>
              <w:rPr>
                <w:rFonts w:hint="eastAsia"/>
                <w:color w:val="auto"/>
                <w:highlight w:val="none"/>
                <w:lang w:val="en-US" w:eastAsia="zh-CN"/>
              </w:rPr>
              <w:t xml:space="preserve">≥</w:t>
            </w:r>
            <w:r>
              <w:rPr>
                <w:rFonts w:hint="default"/>
                <w:color w:val="auto"/>
                <w:highlight w:val="none"/>
                <w:lang w:val="en-US" w:eastAsia="zh-CN"/>
              </w:rPr>
              <w:t xml:space="preserve">250×70mm；</w:t>
            </w:r>
            <w:r/>
          </w:p>
          <w:p>
            <w:pPr>
              <w:numPr>
                <w:ilvl w:val="0"/>
                <w:numId w:val="12"/>
              </w:numPr>
              <w:rPr>
                <w:rFonts w:hint="default"/>
                <w:color w:val="auto"/>
                <w:highlight w:val="none"/>
                <w:lang w:val="en-US" w:eastAsia="zh-CN"/>
              </w:rPr>
            </w:pPr>
            <w:r>
              <w:rPr>
                <w:rFonts w:hint="default"/>
                <w:color w:val="auto"/>
                <w:highlight w:val="none"/>
                <w:lang w:val="en-US" w:eastAsia="zh-CN"/>
              </w:rPr>
              <w:t xml:space="preserve">X轴行程</w:t>
            </w:r>
            <w:r>
              <w:rPr>
                <w:rFonts w:hint="eastAsia"/>
                <w:color w:val="auto"/>
                <w:highlight w:val="none"/>
                <w:lang w:val="en-US" w:eastAsia="zh-CN"/>
              </w:rPr>
              <w:t xml:space="preserve">≥</w:t>
            </w:r>
            <w:r>
              <w:rPr>
                <w:rFonts w:hint="default"/>
                <w:color w:val="auto"/>
                <w:highlight w:val="none"/>
                <w:lang w:val="en-US" w:eastAsia="zh-CN"/>
              </w:rPr>
              <w:t xml:space="preserve">150mm；</w:t>
            </w:r>
            <w:r/>
          </w:p>
          <w:p>
            <w:pPr>
              <w:numPr>
                <w:ilvl w:val="0"/>
                <w:numId w:val="12"/>
              </w:numPr>
              <w:rPr>
                <w:rFonts w:hint="default"/>
                <w:color w:val="auto"/>
                <w:highlight w:val="none"/>
                <w:lang w:val="en-US" w:eastAsia="zh-CN"/>
              </w:rPr>
            </w:pPr>
            <w:r>
              <w:rPr>
                <w:rFonts w:hint="default"/>
                <w:color w:val="auto"/>
                <w:highlight w:val="none"/>
                <w:lang w:val="en-US" w:eastAsia="zh-CN"/>
              </w:rPr>
              <w:t xml:space="preserve"> Y轴行程</w:t>
            </w:r>
            <w:r>
              <w:rPr>
                <w:rFonts w:hint="eastAsia"/>
                <w:color w:val="auto"/>
                <w:highlight w:val="none"/>
                <w:lang w:val="en-US" w:eastAsia="zh-CN"/>
              </w:rPr>
              <w:t xml:space="preserve">≥</w:t>
            </w:r>
            <w:r>
              <w:rPr>
                <w:rFonts w:hint="default"/>
                <w:color w:val="auto"/>
                <w:highlight w:val="none"/>
                <w:lang w:val="en-US" w:eastAsia="zh-CN"/>
              </w:rPr>
              <w:t xml:space="preserve">70mm；</w:t>
            </w:r>
            <w:r/>
          </w:p>
          <w:p>
            <w:pPr>
              <w:numPr>
                <w:ilvl w:val="0"/>
                <w:numId w:val="12"/>
              </w:numPr>
              <w:rPr>
                <w:rFonts w:hint="default"/>
                <w:color w:val="auto"/>
                <w:highlight w:val="none"/>
                <w:lang w:val="en-US" w:eastAsia="zh-CN"/>
              </w:rPr>
            </w:pPr>
            <w:r>
              <w:rPr>
                <w:rFonts w:hint="default"/>
                <w:color w:val="auto"/>
                <w:highlight w:val="none"/>
                <w:lang w:val="en-US" w:eastAsia="zh-CN"/>
              </w:rPr>
              <w:t xml:space="preserve">Z轴行程</w:t>
            </w:r>
            <w:r>
              <w:rPr>
                <w:rFonts w:hint="eastAsia"/>
                <w:color w:val="auto"/>
                <w:highlight w:val="none"/>
                <w:lang w:val="en-US" w:eastAsia="zh-CN"/>
              </w:rPr>
              <w:t xml:space="preserve">≥</w:t>
            </w:r>
            <w:r>
              <w:rPr>
                <w:rFonts w:hint="default"/>
                <w:color w:val="auto"/>
                <w:highlight w:val="none"/>
                <w:lang w:val="en-US" w:eastAsia="zh-CN"/>
              </w:rPr>
              <w:t xml:space="preserve">70mm；</w:t>
            </w:r>
            <w:r/>
          </w:p>
          <w:p>
            <w:pPr>
              <w:numPr>
                <w:ilvl w:val="0"/>
                <w:numId w:val="12"/>
              </w:numPr>
              <w:rPr>
                <w:rFonts w:hint="default"/>
                <w:color w:val="auto"/>
                <w:highlight w:val="none"/>
                <w:lang w:val="en-US" w:eastAsia="zh-CN"/>
              </w:rPr>
            </w:pPr>
            <w:r>
              <w:rPr>
                <w:rFonts w:hint="default"/>
                <w:color w:val="auto"/>
                <w:highlight w:val="none"/>
                <w:lang w:val="en-US" w:eastAsia="zh-CN"/>
              </w:rPr>
              <w:t xml:space="preserve">8.步进电机分度值：0.005mm；</w:t>
            </w:r>
            <w:r/>
          </w:p>
          <w:p>
            <w:pPr>
              <w:numPr>
                <w:ilvl w:val="0"/>
                <w:numId w:val="12"/>
              </w:numPr>
              <w:rPr>
                <w:rFonts w:hint="default"/>
                <w:color w:val="auto"/>
                <w:highlight w:val="none"/>
                <w:lang w:val="en-US" w:eastAsia="zh-CN"/>
              </w:rPr>
            </w:pPr>
            <w:r>
              <w:rPr>
                <w:rFonts w:hint="default"/>
                <w:color w:val="auto"/>
                <w:highlight w:val="none"/>
                <w:lang w:val="en-US" w:eastAsia="zh-CN"/>
              </w:rPr>
              <w:t xml:space="preserve">9.机身高度</w:t>
            </w:r>
            <w:r>
              <w:rPr>
                <w:rFonts w:hint="eastAsia"/>
                <w:color w:val="auto"/>
                <w:highlight w:val="none"/>
                <w:lang w:val="en-US" w:eastAsia="zh-CN"/>
              </w:rPr>
              <w:t xml:space="preserve">≥</w:t>
            </w:r>
            <w:r>
              <w:rPr>
                <w:rFonts w:hint="default"/>
                <w:color w:val="auto"/>
                <w:highlight w:val="none"/>
                <w:lang w:val="en-US" w:eastAsia="zh-CN"/>
              </w:rPr>
              <w:t xml:space="preserve">370mm </w:t>
            </w:r>
            <w:r/>
          </w:p>
          <w:p>
            <w:pPr>
              <w:numPr>
                <w:ilvl w:val="0"/>
                <w:numId w:val="12"/>
              </w:numPr>
              <w:rPr>
                <w:rFonts w:hint="default"/>
                <w:color w:val="auto"/>
                <w:highlight w:val="none"/>
                <w:lang w:val="en-US" w:eastAsia="zh-CN"/>
              </w:rPr>
            </w:pPr>
            <w:r>
              <w:rPr>
                <w:rFonts w:hint="default"/>
                <w:color w:val="auto"/>
                <w:highlight w:val="none"/>
                <w:lang w:val="en-US" w:eastAsia="zh-CN"/>
              </w:rPr>
              <w:t xml:space="preserve">10.重量</w:t>
            </w:r>
            <w:r>
              <w:rPr>
                <w:rFonts w:hint="eastAsia"/>
                <w:color w:val="auto"/>
                <w:highlight w:val="none"/>
                <w:lang w:val="en-US" w:eastAsia="zh-CN"/>
              </w:rPr>
              <w:t xml:space="preserve">≥</w:t>
            </w:r>
            <w:r>
              <w:rPr>
                <w:rFonts w:hint="default"/>
                <w:color w:val="auto"/>
                <w:highlight w:val="none"/>
                <w:lang w:val="en-US" w:eastAsia="zh-CN"/>
              </w:rPr>
              <w:t xml:space="preserve">7kg。</w:t>
            </w:r>
            <w:r/>
          </w:p>
          <w:p>
            <w:pPr>
              <w:numPr>
                <w:ilvl w:val="0"/>
                <w:numId w:val="12"/>
              </w:numPr>
              <w:rPr>
                <w:rFonts w:hint="default"/>
                <w:color w:val="auto"/>
                <w:highlight w:val="none"/>
                <w:lang w:val="en-US" w:eastAsia="zh-CN"/>
              </w:rPr>
            </w:pPr>
            <w:r>
              <w:rPr>
                <w:rFonts w:hint="default"/>
                <w:color w:val="auto"/>
                <w:highlight w:val="none"/>
                <w:lang w:val="en-US" w:eastAsia="zh-CN"/>
              </w:rPr>
              <w:t xml:space="preserve">11.体积</w:t>
            </w:r>
            <w:r>
              <w:rPr>
                <w:rFonts w:hint="eastAsia"/>
                <w:color w:val="auto"/>
                <w:highlight w:val="none"/>
                <w:lang w:val="en-US" w:eastAsia="zh-CN"/>
              </w:rPr>
              <w:t xml:space="preserve">≥</w:t>
            </w:r>
            <w:r>
              <w:rPr>
                <w:rFonts w:hint="default"/>
                <w:color w:val="auto"/>
                <w:highlight w:val="none"/>
                <w:lang w:val="en-US" w:eastAsia="zh-CN"/>
              </w:rPr>
              <w:t xml:space="preserve">130*225*370mm</w:t>
            </w:r>
            <w:r/>
          </w:p>
          <w:p>
            <w:pPr>
              <w:numPr>
                <w:ilvl w:val="0"/>
                <w:numId w:val="12"/>
              </w:numPr>
              <w:rPr>
                <w:rFonts w:hint="default"/>
                <w:color w:val="auto"/>
                <w:highlight w:val="none"/>
                <w:lang w:val="en-US" w:eastAsia="zh-CN"/>
              </w:rPr>
            </w:pPr>
            <w:r>
              <w:rPr>
                <w:rFonts w:hint="eastAsia"/>
                <w:color w:val="auto"/>
                <w:highlight w:val="none"/>
                <w:lang w:val="en-US" w:eastAsia="zh-CN"/>
              </w:rPr>
              <w:t xml:space="preserve">底座采用铸铁基材，工作台采用压铸铝。</w:t>
            </w:r>
            <w:r/>
          </w:p>
          <w:p>
            <w:pPr>
              <w:numPr>
                <w:ilvl w:val="0"/>
                <w:numId w:val="12"/>
              </w:numPr>
              <w:rPr>
                <w:rFonts w:hint="eastAsia"/>
                <w:color w:val="auto"/>
                <w:highlight w:val="none"/>
                <w:lang w:val="en-US" w:eastAsia="zh-CN"/>
              </w:rPr>
            </w:pPr>
            <w:r>
              <w:rPr>
                <w:rFonts w:hint="eastAsia"/>
                <w:color w:val="auto"/>
                <w:highlight w:val="none"/>
                <w:lang w:val="en-US" w:eastAsia="zh-CN"/>
              </w:rPr>
              <w:t xml:space="preserve">CNC控制系统参数</w:t>
            </w:r>
            <w:r/>
          </w:p>
          <w:p>
            <w:pPr>
              <w:numPr>
                <w:ilvl w:val="0"/>
                <w:numId w:val="12"/>
              </w:numPr>
              <w:rPr>
                <w:rFonts w:hint="eastAsia"/>
                <w:color w:val="auto"/>
                <w:highlight w:val="none"/>
                <w:lang w:val="en-US" w:eastAsia="zh-CN"/>
              </w:rPr>
            </w:pPr>
            <w:r>
              <w:rPr>
                <w:rFonts w:hint="eastAsia"/>
                <w:color w:val="auto"/>
                <w:highlight w:val="none"/>
                <w:lang w:val="en-US" w:eastAsia="zh-CN"/>
              </w:rPr>
              <w:t xml:space="preserve">手轮可单独控制机床三轴移动，最小移动刻度为0.01mm，手轮带有紧急停止功能，背面带有磁吸功能。</w:t>
            </w:r>
            <w:r/>
          </w:p>
          <w:p>
            <w:pPr>
              <w:numPr>
                <w:ilvl w:val="0"/>
                <w:numId w:val="12"/>
              </w:numPr>
              <w:rPr>
                <w:rFonts w:hint="default"/>
                <w:color w:val="auto"/>
                <w:highlight w:val="none"/>
                <w:lang w:val="en-US" w:eastAsia="zh-CN"/>
              </w:rPr>
            </w:pPr>
            <w:r>
              <w:rPr>
                <w:rFonts w:hint="eastAsia"/>
                <w:color w:val="auto"/>
                <w:highlight w:val="none"/>
                <w:lang w:val="en-US" w:eastAsia="zh-CN"/>
              </w:rPr>
              <w:t xml:space="preserve">软件附带圆形加工，矩形加工，钻孔加工等编辑功能，并可显示模拟刀具路径加工功能。</w:t>
            </w:r>
            <w:r/>
          </w:p>
          <w:p>
            <w:pPr>
              <w:numPr>
                <w:ilvl w:val="0"/>
                <w:numId w:val="12"/>
              </w:numPr>
              <w:rPr>
                <w:rFonts w:hint="default"/>
                <w:color w:val="auto"/>
                <w:highlight w:val="none"/>
                <w:lang w:val="en-US" w:eastAsia="zh-CN"/>
              </w:rPr>
            </w:pPr>
            <w:r>
              <w:rPr>
                <w:rFonts w:hint="eastAsia"/>
                <w:color w:val="auto"/>
                <w:highlight w:val="none"/>
                <w:lang w:val="en-US" w:eastAsia="zh-CN"/>
              </w:rPr>
              <w:t xml:space="preserve">控制盒附带暂停、继续加工、紧急停止功能等。</w:t>
            </w:r>
            <w:r/>
          </w:p>
          <w:p>
            <w:pPr>
              <w:numPr>
                <w:ilvl w:val="0"/>
                <w:numId w:val="12"/>
              </w:numPr>
              <w:rPr>
                <w:rFonts w:hint="default"/>
                <w:color w:val="auto"/>
                <w:highlight w:val="none"/>
                <w:lang w:val="en-US" w:eastAsia="zh-CN"/>
              </w:rPr>
            </w:pPr>
            <w:r>
              <w:rPr>
                <w:rFonts w:hint="eastAsia"/>
                <w:color w:val="auto"/>
                <w:highlight w:val="none"/>
                <w:lang w:val="en-US" w:eastAsia="zh-CN"/>
              </w:rPr>
              <w:t xml:space="preserve">设备可运用SD卡来运行加工程序。</w:t>
            </w:r>
            <w:r/>
          </w:p>
          <w:p>
            <w:pPr>
              <w:numPr>
                <w:ilvl w:val="0"/>
                <w:numId w:val="12"/>
              </w:numPr>
              <w:ind w:left="0" w:firstLine="0"/>
              <w:rPr>
                <w:rFonts w:hint="default"/>
                <w:color w:val="auto"/>
                <w:highlight w:val="none"/>
                <w:lang w:val="en-US" w:eastAsia="zh-CN"/>
              </w:rPr>
            </w:pPr>
            <w:r>
              <w:rPr>
                <w:rFonts w:hint="eastAsia"/>
                <w:color w:val="auto"/>
                <w:highlight w:val="none"/>
                <w:lang w:val="en-US" w:eastAsia="zh-CN"/>
              </w:rPr>
              <w:t xml:space="preserve">软件支持设备移动、启停、等控制；支持加工文件打开、编辑、预览等；</w:t>
            </w:r>
            <w:r/>
          </w:p>
          <w:p>
            <w:pPr>
              <w:numPr>
                <w:ilvl w:val="0"/>
                <w:numId w:val="12"/>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default"/>
                <w:color w:val="auto"/>
                <w:highlight w:val="none"/>
                <w:lang w:val="en-US" w:eastAsia="zh-CN"/>
              </w:rPr>
              <w:t xml:space="preserve">配套兼容solidworks、MasterCAM、Artcam等市面上主流CAM软件；支持大多数加工代码及相应格式文件。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环境改造</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能源控制</w:t>
            </w:r>
            <w:r>
              <w:rPr>
                <w:rFonts w:hint="eastAsia" w:ascii="宋体" w:hAnsi="宋体" w:eastAsia="宋体" w:cs="宋体"/>
                <w:i w:val="0"/>
                <w:iCs w:val="0"/>
                <w:color w:val="auto"/>
                <w:sz w:val="18"/>
                <w:szCs w:val="18"/>
                <w:highlight w:val="none"/>
                <w:u w:val="none"/>
                <w:lang w:val="en-US" w:eastAsia="zh-CN" w:bidi="ar"/>
              </w:rPr>
              <w:t xml:space="preserve">箱改造+新增</w:t>
            </w:r>
            <w:r>
              <w:rPr>
                <w:rFonts w:hint="eastAsia" w:ascii="宋体" w:hAnsi="宋体" w:cs="宋体"/>
                <w:i w:val="0"/>
                <w:iCs w:val="0"/>
                <w:color w:val="auto"/>
                <w:sz w:val="18"/>
                <w:szCs w:val="18"/>
                <w:highlight w:val="none"/>
                <w:u w:val="none"/>
                <w:lang w:val="en-US" w:eastAsia="zh-CN" w:bidi="ar"/>
              </w:rPr>
              <w:t xml:space="preserve">能源线布置</w:t>
            </w:r>
            <w:r>
              <w:rPr>
                <w:rFonts w:hint="eastAsia" w:ascii="宋体" w:hAnsi="宋体" w:eastAsia="宋体" w:cs="宋体"/>
                <w:i w:val="0"/>
                <w:iCs w:val="0"/>
                <w:color w:val="auto"/>
                <w:sz w:val="18"/>
                <w:szCs w:val="18"/>
                <w:highlight w:val="none"/>
                <w:u w:val="none"/>
                <w:lang w:val="en-US" w:eastAsia="zh-CN" w:bidi="ar"/>
              </w:rPr>
              <w:t xml:space="preserve">、开槽修补等工程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2.墙面开槽部位美化修复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3.地面</w:t>
            </w:r>
            <w:r>
              <w:rPr>
                <w:rFonts w:hint="eastAsia" w:ascii="宋体" w:hAnsi="宋体" w:cs="宋体"/>
                <w:i w:val="0"/>
                <w:iCs w:val="0"/>
                <w:color w:val="auto"/>
                <w:sz w:val="18"/>
                <w:szCs w:val="18"/>
                <w:highlight w:val="none"/>
                <w:u w:val="none"/>
                <w:lang w:val="en-US" w:eastAsia="zh-CN" w:bidi="ar"/>
              </w:rPr>
              <w:t xml:space="preserve">美化处理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4.后墙拆除一组黑板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5.原有</w:t>
            </w:r>
            <w:r>
              <w:rPr>
                <w:rFonts w:hint="eastAsia" w:ascii="宋体" w:hAnsi="宋体" w:cs="宋体"/>
                <w:i w:val="0"/>
                <w:iCs w:val="0"/>
                <w:color w:val="auto"/>
                <w:sz w:val="18"/>
                <w:szCs w:val="18"/>
                <w:highlight w:val="none"/>
                <w:u w:val="none"/>
                <w:lang w:val="en-US" w:eastAsia="zh-CN" w:bidi="ar"/>
              </w:rPr>
              <w:t xml:space="preserve">能源线</w:t>
            </w:r>
            <w:r>
              <w:rPr>
                <w:rFonts w:hint="eastAsia" w:ascii="宋体" w:hAnsi="宋体" w:eastAsia="宋体" w:cs="宋体"/>
                <w:i w:val="0"/>
                <w:iCs w:val="0"/>
                <w:color w:val="auto"/>
                <w:sz w:val="18"/>
                <w:szCs w:val="18"/>
                <w:highlight w:val="none"/>
                <w:u w:val="none"/>
                <w:lang w:val="en-US" w:eastAsia="zh-CN" w:bidi="ar"/>
              </w:rPr>
              <w:t xml:space="preserve">引入讲台内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bl>
    <w:p>
      <w:pPr>
        <w:rPr>
          <w:rFonts w:hint="eastAsia"/>
          <w:color w:val="auto"/>
          <w:highlight w:val="none"/>
          <w:lang w:eastAsia="zh-CN"/>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合同签订之日起60日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sectPr>
          <w:footerReference w:type="default" r:id="rId16"/>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keepLines w:val="0"/>
        <w:keepNext w:val="0"/>
        <w:pageBreakBefore w:val="0"/>
        <w:spacing w:line="360" w:lineRule="auto"/>
        <w:widowControl w:val="off"/>
        <w:rPr>
          <w:rFonts w:hint="default"/>
          <w:b/>
          <w:bCs/>
          <w:color w:val="auto"/>
          <w:highlight w:val="none"/>
          <w:lang w:val="en-US" w:eastAsia="zh-CN"/>
        </w:rPr>
      </w:pPr>
      <w:r>
        <w:rPr>
          <w:rFonts w:hint="eastAsia"/>
          <w:b/>
          <w:bCs/>
          <w:color w:val="auto"/>
          <w:highlight w:val="none"/>
          <w:lang w:val="en-US" w:eastAsia="zh-CN"/>
        </w:rPr>
        <w:t xml:space="preserve">三、深化设计要求及相关基础资料</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lang w:val="en-US" w:eastAsia="zh-CN"/>
        </w:rPr>
        <w:t xml:space="preserve">1.包1：</w:t>
      </w:r>
      <w:r>
        <w:rPr>
          <w:rFonts w:hint="eastAsia" w:ascii="宋体" w:hAnsi="宋体" w:cs="宋体"/>
          <w:b/>
          <w:bCs/>
          <w:color w:val="auto"/>
          <w:highlight w:val="none"/>
        </w:rPr>
        <w:t xml:space="preserve">对物理、化学、生物实验室及对应辅房进行专业化改造，每间实验室满足5</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名学生同时上课及实验操作需求。</w:t>
      </w:r>
      <w:r/>
    </w:p>
    <w:p>
      <w:pPr>
        <w:ind w:firstLine="422"/>
        <w:jc w:val="left"/>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lang w:val="en-US" w:eastAsia="zh-CN"/>
        </w:rPr>
        <w:t xml:space="preserve">1.1</w:t>
      </w:r>
      <w:r>
        <w:rPr>
          <w:rFonts w:hint="eastAsia" w:ascii="宋体" w:hAnsi="宋体"/>
          <w:b/>
          <w:color w:val="auto"/>
          <w:szCs w:val="21"/>
          <w:highlight w:val="none"/>
        </w:rPr>
        <w:t xml:space="preserve">总体设计要求</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严格遵循中小学实验室建设规范、环保、安全等标准。</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布局科学、动线清晰，实验区、准备区、储物区功能分区明确。</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材料环保耐用，符合学科实验安全要求，经济实用、便于维护。</w:t>
      </w:r>
      <w:r/>
    </w:p>
    <w:p>
      <w:pPr>
        <w:ind w:firstLine="422"/>
        <w:jc w:val="left"/>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lang w:val="en-US" w:eastAsia="zh-CN"/>
        </w:rPr>
        <w:t xml:space="preserve">1.2</w:t>
      </w:r>
      <w:r>
        <w:rPr>
          <w:rFonts w:hint="eastAsia" w:ascii="宋体" w:hAnsi="宋体"/>
          <w:b/>
          <w:color w:val="auto"/>
          <w:szCs w:val="21"/>
          <w:highlight w:val="none"/>
        </w:rPr>
        <w:t xml:space="preserve">各实验室及辅房设计要点</w:t>
      </w:r>
      <w:r/>
    </w:p>
    <w:p>
      <w:pPr>
        <w:ind w:firstLine="422"/>
        <w:jc w:val="left"/>
        <w:keepLines w:val="0"/>
        <w:keepNext w:val="0"/>
        <w:pageBreakBefore w:val="0"/>
        <w:spacing w:line="360" w:lineRule="auto"/>
        <w:widowControl w:val="off"/>
        <w:rPr>
          <w:color w:val="auto"/>
          <w:szCs w:val="21"/>
          <w:highlight w:val="none"/>
        </w:rPr>
      </w:pPr>
      <w:r>
        <w:rPr>
          <w:rFonts w:hint="eastAsia" w:ascii="宋体" w:hAnsi="宋体"/>
          <w:b/>
          <w:color w:val="auto"/>
          <w:szCs w:val="21"/>
          <w:highlight w:val="none"/>
          <w:lang w:val="en-US" w:eastAsia="zh-CN"/>
        </w:rPr>
        <w:t xml:space="preserve">1.2.1</w:t>
      </w:r>
      <w:r>
        <w:rPr>
          <w:rFonts w:hint="eastAsia" w:ascii="宋体" w:hAnsi="宋体"/>
          <w:b/>
          <w:color w:val="auto"/>
          <w:szCs w:val="21"/>
          <w:highlight w:val="none"/>
        </w:rPr>
        <w:t xml:space="preserve">物理实验室</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设置标准实验操作台、水电接口、多媒体教学区；</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满足力学、电学、光学等实验需求，安全规范、操作便捷。</w:t>
      </w:r>
      <w:r/>
    </w:p>
    <w:p>
      <w:pPr>
        <w:ind w:firstLine="422"/>
        <w:jc w:val="left"/>
        <w:keepLines w:val="0"/>
        <w:keepNext w:val="0"/>
        <w:pageBreakBefore w:val="0"/>
        <w:spacing w:line="360" w:lineRule="auto"/>
        <w:widowControl w:val="off"/>
        <w:rPr>
          <w:color w:val="auto"/>
          <w:szCs w:val="21"/>
          <w:highlight w:val="none"/>
        </w:rPr>
      </w:pPr>
      <w:r>
        <w:rPr>
          <w:rFonts w:hint="eastAsia" w:ascii="宋体" w:hAnsi="宋体"/>
          <w:b/>
          <w:color w:val="auto"/>
          <w:szCs w:val="21"/>
          <w:highlight w:val="none"/>
          <w:lang w:val="en-US" w:eastAsia="zh-CN"/>
        </w:rPr>
        <w:t xml:space="preserve">1.2.2</w:t>
      </w:r>
      <w:r>
        <w:rPr>
          <w:rFonts w:hint="eastAsia" w:ascii="宋体" w:hAnsi="宋体"/>
          <w:b/>
          <w:color w:val="auto"/>
          <w:szCs w:val="21"/>
          <w:highlight w:val="none"/>
        </w:rPr>
        <w:t xml:space="preserve">化学实验室</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配置通风系统、防腐操作台、给排水、应急冲洗装置；</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划分实验操作区、药品存放区，确保通风、防爆、防腐蚀。</w:t>
      </w:r>
      <w:r/>
    </w:p>
    <w:p>
      <w:pPr>
        <w:ind w:firstLine="422"/>
        <w:jc w:val="left"/>
        <w:keepLines w:val="0"/>
        <w:keepNext w:val="0"/>
        <w:pageBreakBefore w:val="0"/>
        <w:spacing w:line="360" w:lineRule="auto"/>
        <w:widowControl w:val="off"/>
        <w:rPr>
          <w:color w:val="auto"/>
          <w:szCs w:val="21"/>
          <w:highlight w:val="none"/>
        </w:rPr>
      </w:pPr>
      <w:r>
        <w:rPr>
          <w:rFonts w:hint="eastAsia" w:ascii="宋体" w:hAnsi="宋体"/>
          <w:b/>
          <w:color w:val="auto"/>
          <w:szCs w:val="21"/>
          <w:highlight w:val="none"/>
          <w:lang w:val="en-US" w:eastAsia="zh-CN"/>
        </w:rPr>
        <w:t xml:space="preserve">1.2.3</w:t>
      </w:r>
      <w:r>
        <w:rPr>
          <w:rFonts w:hint="eastAsia" w:ascii="宋体" w:hAnsi="宋体"/>
          <w:b/>
          <w:color w:val="auto"/>
          <w:szCs w:val="21"/>
          <w:highlight w:val="none"/>
        </w:rPr>
        <w:t xml:space="preserve">生物实验室</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配备实验操作台、光源及水电设施；</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满足观察、解剖、培养等生物实验，环境整洁卫生。</w:t>
      </w:r>
      <w:r/>
    </w:p>
    <w:p>
      <w:pPr>
        <w:ind w:firstLine="422"/>
        <w:jc w:val="left"/>
        <w:keepLines w:val="0"/>
        <w:keepNext w:val="0"/>
        <w:pageBreakBefore w:val="0"/>
        <w:spacing w:line="360" w:lineRule="auto"/>
        <w:widowControl w:val="off"/>
        <w:rPr>
          <w:color w:val="auto"/>
          <w:szCs w:val="21"/>
          <w:highlight w:val="none"/>
        </w:rPr>
      </w:pPr>
      <w:r>
        <w:rPr>
          <w:rFonts w:hint="eastAsia" w:ascii="宋体" w:hAnsi="宋体"/>
          <w:b/>
          <w:color w:val="auto"/>
          <w:szCs w:val="21"/>
          <w:highlight w:val="none"/>
          <w:lang w:val="en-US" w:eastAsia="zh-CN"/>
        </w:rPr>
        <w:t xml:space="preserve">1.2.4</w:t>
      </w:r>
      <w:r>
        <w:rPr>
          <w:rFonts w:hint="eastAsia" w:ascii="宋体" w:hAnsi="宋体"/>
          <w:b/>
          <w:color w:val="auto"/>
          <w:szCs w:val="21"/>
          <w:highlight w:val="none"/>
        </w:rPr>
        <w:t xml:space="preserve">辅房（准备室</w:t>
      </w:r>
      <w:r>
        <w:rPr>
          <w:rFonts w:ascii="宋体" w:hAnsi="宋体"/>
          <w:b/>
          <w:color w:val="auto"/>
          <w:szCs w:val="21"/>
          <w:highlight w:val="none"/>
        </w:rPr>
        <w:t xml:space="preserve"> / </w:t>
      </w:r>
      <w:r>
        <w:rPr>
          <w:rFonts w:hint="eastAsia" w:ascii="宋体" w:hAnsi="宋体"/>
          <w:b/>
          <w:color w:val="auto"/>
          <w:szCs w:val="21"/>
          <w:highlight w:val="none"/>
        </w:rPr>
        <w:t xml:space="preserve">仪器室）</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配套设置仪器存放、药品保管、实验准备功能，做到分类存放、取用方便、安全管理。</w:t>
      </w:r>
      <w:r/>
    </w:p>
    <w:p>
      <w:pPr>
        <w:ind w:firstLine="422"/>
        <w:jc w:val="left"/>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lang w:val="en-US" w:eastAsia="zh-CN"/>
        </w:rPr>
        <w:t xml:space="preserve">1.3</w:t>
      </w:r>
      <w:r>
        <w:rPr>
          <w:rFonts w:hint="eastAsia" w:ascii="宋体" w:hAnsi="宋体"/>
          <w:b/>
          <w:color w:val="auto"/>
          <w:szCs w:val="21"/>
          <w:highlight w:val="none"/>
        </w:rPr>
        <w:t xml:space="preserve">成果要求</w:t>
      </w:r>
      <w:r/>
    </w:p>
    <w:p>
      <w:pPr>
        <w:numPr>
          <w:ilvl w:val="255"/>
          <w:numId w:val="0"/>
        </w:numPr>
        <w:ind w:left="420" w:firstLine="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提供平面布局、效果图、主要材料、设备配置及施工说明，</w:t>
      </w:r>
      <w:r/>
    </w:p>
    <w:p>
      <w:pPr>
        <w:numPr>
          <w:ilvl w:val="255"/>
          <w:numId w:val="0"/>
        </w:numPr>
        <w:ind w:left="420" w:firstLine="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方案安全合规、可落地实施。</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1.4</w:t>
      </w:r>
      <w:r>
        <w:rPr>
          <w:rFonts w:hint="eastAsia" w:ascii="宋体" w:hAnsi="宋体" w:cs="宋体"/>
          <w:b/>
          <w:bCs/>
          <w:color w:val="auto"/>
          <w:highlight w:val="none"/>
        </w:rPr>
        <w:t xml:space="preserve">现场框架图</w:t>
      </w:r>
      <w:r/>
    </w:p>
    <w:p>
      <w:pPr>
        <w:rPr>
          <w:rFonts w:hint="eastAsia"/>
          <w:color w:val="auto"/>
          <w:highlight w:val="none"/>
          <w:lang w:val="en-US" w:eastAsia="zh-CN"/>
        </w:rPr>
      </w:pPr>
      <w:r>
        <w:rPr>
          <w:rFonts w:hint="eastAsia"/>
          <w:color w:val="auto"/>
          <w:highlight w:val="none"/>
          <w:lang w:val="en-US" w:eastAsia="zh-CN"/>
        </w:rPr>
        <w:br w:type="page" w:clear="all"/>
      </w:r>
      <w:r/>
    </w:p>
    <w:p>
      <w:pPr>
        <w:numPr>
          <w:ilvl w:val="0"/>
          <w:numId w:val="0"/>
        </w:numPr>
        <w:ind w:firstLine="420"/>
        <w:rPr>
          <w:rFonts w:hint="eastAsia"/>
          <w:color w:val="auto"/>
          <w:highlight w:val="none"/>
          <w:lang w:val="en-US" w:eastAsia="zh-CN"/>
        </w:rPr>
      </w:pPr>
      <w:r>
        <w:rPr>
          <w:rFonts w:hint="eastAsia"/>
          <w:color w:val="auto"/>
          <w:highlight w:val="none"/>
          <w:lang w:val="en-US" w:eastAsia="zh-CN"/>
        </w:rPr>
        <w:t xml:space="preserve">物理光热实验室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000625" cy="364807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0"/>
                        <a:stretch/>
                      </pic:blipFill>
                      <pic:spPr bwMode="auto">
                        <a:xfrm>
                          <a:off x="0" y="0"/>
                          <a:ext cx="5000625" cy="3648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3.8pt;height:287.2pt;mso-wrap-distance-left:0.0pt;mso-wrap-distance-top:0.0pt;mso-wrap-distance-right:0.0pt;mso-wrap-distance-bottom:0.0pt;" stroked="f">
                <v:path textboxrect="0,0,0,0"/>
                <v:imagedata r:id="rId20"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化学实验室五</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181600" cy="378142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5181600"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8.0pt;height:297.8pt;mso-wrap-distance-left:0.0pt;mso-wrap-distance-top:0.0pt;mso-wrap-distance-right:0.0pt;mso-wrap-distance-bottom:0.0pt;" stroked="f">
                <v:path textboxrect="0,0,0,0"/>
                <v:imagedata r:id="rId21"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rPr>
          <w:rFonts w:hint="eastAsia"/>
          <w:color w:val="auto"/>
          <w:highlight w:val="none"/>
          <w:lang w:val="en-US" w:eastAsia="zh-CN"/>
        </w:rPr>
      </w:pPr>
      <w:r>
        <w:rPr>
          <w:rFonts w:hint="eastAsia"/>
          <w:color w:val="auto"/>
          <w:highlight w:val="none"/>
          <w:lang w:val="en-US" w:eastAsia="zh-CN"/>
        </w:rPr>
        <w:br w:type="page" w:clear="all"/>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化学实验室六</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4981575" cy="3962400"/>
                <wp:effectExtent l="0" t="0" r="9525"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r/>
                      </pic:nvPicPr>
                      <pic:blipFill>
                        <a:blip r:embed="rId22"/>
                        <a:stretch/>
                      </pic:blipFill>
                      <pic:spPr bwMode="auto">
                        <a:xfrm>
                          <a:off x="0" y="0"/>
                          <a:ext cx="4981575" cy="396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2.2pt;height:312.0pt;mso-wrap-distance-left:0.0pt;mso-wrap-distance-top:0.0pt;mso-wrap-distance-right:0.0pt;mso-wrap-distance-bottom:0.0pt;" stroked="f">
                <v:path textboxrect="0,0,0,0"/>
                <v:imagedata r:id="rId22"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化学竞赛实验室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268595" cy="3150235"/>
                <wp:effectExtent l="0" t="0" r="825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r/>
                      </pic:nvPicPr>
                      <pic:blipFill>
                        <a:blip r:embed="rId23"/>
                        <a:stretch/>
                      </pic:blipFill>
                      <pic:spPr bwMode="auto">
                        <a:xfrm>
                          <a:off x="0" y="0"/>
                          <a:ext cx="5268595" cy="315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248.0pt;mso-wrap-distance-left:0.0pt;mso-wrap-distance-top:0.0pt;mso-wrap-distance-right:0.0pt;mso-wrap-distance-bottom:0.0pt;" stroked="f">
                <v:path textboxrect="0,0,0,0"/>
                <v:imagedata r:id="rId23"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rPr>
          <w:rFonts w:hint="eastAsia"/>
          <w:color w:val="auto"/>
          <w:highlight w:val="none"/>
          <w:lang w:val="en-US" w:eastAsia="zh-CN"/>
        </w:rPr>
      </w:pPr>
      <w:r>
        <w:rPr>
          <w:rFonts w:hint="eastAsia"/>
          <w:color w:val="auto"/>
          <w:highlight w:val="none"/>
          <w:lang w:val="en-US" w:eastAsia="zh-CN"/>
        </w:rPr>
        <w:br w:type="page" w:clear="all"/>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化学准备室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2352675" cy="3829050"/>
                <wp:effectExtent l="0" t="0" r="9525"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r/>
                      </pic:nvPicPr>
                      <pic:blipFill>
                        <a:blip r:embed="rId24"/>
                        <a:stretch/>
                      </pic:blipFill>
                      <pic:spPr bwMode="auto">
                        <a:xfrm>
                          <a:off x="0" y="0"/>
                          <a:ext cx="2352675" cy="382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5.2pt;height:301.5pt;mso-wrap-distance-left:0.0pt;mso-wrap-distance-top:0.0pt;mso-wrap-distance-right:0.0pt;mso-wrap-distance-bottom:0.0pt;" stroked="f">
                <v:path textboxrect="0,0,0,0"/>
                <v:imagedata r:id="rId24"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化学药品室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1847850" cy="37909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r/>
                      </pic:nvPicPr>
                      <pic:blipFill>
                        <a:blip r:embed="rId25"/>
                        <a:stretch/>
                      </pic:blipFill>
                      <pic:spPr bwMode="auto">
                        <a:xfrm>
                          <a:off x="0" y="0"/>
                          <a:ext cx="1847850"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5.5pt;height:298.5pt;mso-wrap-distance-left:0.0pt;mso-wrap-distance-top:0.0pt;mso-wrap-distance-right:0.0pt;mso-wrap-distance-bottom:0.0pt;" stroked="f">
                <v:path textboxrect="0,0,0,0"/>
                <v:imagedata r:id="rId25"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物理准备室一</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2990850" cy="414337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r/>
                      </pic:nvPicPr>
                      <pic:blipFill>
                        <a:blip r:embed="rId26"/>
                        <a:stretch/>
                      </pic:blipFill>
                      <pic:spPr bwMode="auto">
                        <a:xfrm>
                          <a:off x="0" y="0"/>
                          <a:ext cx="2990850" cy="414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5.5pt;height:326.2pt;mso-wrap-distance-left:0.0pt;mso-wrap-distance-top:0.0pt;mso-wrap-distance-right:0.0pt;mso-wrap-distance-bottom:0.0pt;" stroked="f">
                <v:path textboxrect="0,0,0,0"/>
                <v:imagedata r:id="rId26"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物理电学实验室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273675" cy="3758565"/>
                <wp:effectExtent l="0" t="0" r="3175"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r/>
                      </pic:nvPicPr>
                      <pic:blipFill>
                        <a:blip r:embed="rId27"/>
                        <a:stretch/>
                      </pic:blipFill>
                      <pic:spPr bwMode="auto">
                        <a:xfrm>
                          <a:off x="0" y="0"/>
                          <a:ext cx="5273675" cy="375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2pt;height:295.9pt;mso-wrap-distance-left:0.0pt;mso-wrap-distance-top:0.0pt;mso-wrap-distance-right:0.0pt;mso-wrap-distance-bottom:0.0pt;" stroked="f">
                <v:path textboxrect="0,0,0,0"/>
                <v:imagedata r:id="rId27"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物理准备室二</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2057400" cy="368617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pic:cNvPicPr>
                          <a:picLocks noChangeAspect="1"/>
                        </pic:cNvPicPr>
                        <pic:nvPr/>
                      </pic:nvPicPr>
                      <pic:blipFill>
                        <a:blip r:embed="rId28"/>
                        <a:stretch/>
                      </pic:blipFill>
                      <pic:spPr bwMode="auto">
                        <a:xfrm>
                          <a:off x="0" y="0"/>
                          <a:ext cx="20574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2.0pt;height:290.2pt;mso-wrap-distance-left:0.0pt;mso-wrap-distance-top:0.0pt;mso-wrap-distance-right:0.0pt;mso-wrap-distance-bottom:0.0pt;" stroked="f">
                <v:path textboxrect="0,0,0,0"/>
                <v:imagedata r:id="rId28"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物理竞赛创新实验室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162550" cy="397192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pic:cNvPicPr>
                          <a:picLocks noChangeAspect="1"/>
                        </pic:cNvPicPr>
                        <pic:nvPr/>
                      </pic:nvPicPr>
                      <pic:blipFill>
                        <a:blip r:embed="rId29"/>
                        <a:stretch/>
                      </pic:blipFill>
                      <pic:spPr bwMode="auto">
                        <a:xfrm>
                          <a:off x="0" y="0"/>
                          <a:ext cx="5162550" cy="3971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6.5pt;height:312.8pt;mso-wrap-distance-left:0.0pt;mso-wrap-distance-top:0.0pt;mso-wrap-distance-right:0.0pt;mso-wrap-distance-bottom:0.0pt;" stroked="f">
                <v:path textboxrect="0,0,0,0"/>
                <v:imagedata r:id="rId29"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光学实验室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2305050" cy="39814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4"/>
                        <pic:cNvPicPr>
                          <a:picLocks noChangeAspect="1"/>
                        </pic:cNvPicPr>
                        <pic:nvPr/>
                      </pic:nvPicPr>
                      <pic:blipFill>
                        <a:blip r:embed="rId30"/>
                        <a:stretch/>
                      </pic:blipFill>
                      <pic:spPr bwMode="auto">
                        <a:xfrm>
                          <a:off x="0" y="0"/>
                          <a:ext cx="2305050" cy="3981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1.5pt;height:313.5pt;mso-wrap-distance-left:0.0pt;mso-wrap-distance-top:0.0pt;mso-wrap-distance-right:0.0pt;mso-wrap-distance-bottom:0.0pt;" stroked="f">
                <v:path textboxrect="0,0,0,0"/>
                <v:imagedata r:id="rId30"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生物竞赛创新实验室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5268595" cy="3126105"/>
                <wp:effectExtent l="0" t="0" r="8255" b="171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5"/>
                        <pic:cNvPicPr>
                          <a:picLocks noChangeAspect="1"/>
                        </pic:cNvPicPr>
                        <pic:nvPr/>
                      </pic:nvPicPr>
                      <pic:blipFill>
                        <a:blip r:embed="rId31"/>
                        <a:stretch/>
                      </pic:blipFill>
                      <pic:spPr bwMode="auto">
                        <a:xfrm>
                          <a:off x="0" y="0"/>
                          <a:ext cx="5268595" cy="312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246.1pt;mso-wrap-distance-left:0.0pt;mso-wrap-distance-top:0.0pt;mso-wrap-distance-right:0.0pt;mso-wrap-distance-bottom:0.0pt;" stroked="f">
                <v:path textboxrect="0,0,0,0"/>
                <v:imagedata r:id="rId31"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生物数码观察实验室</w:t>
      </w:r>
      <w:r/>
    </w:p>
    <w:p>
      <w:pPr>
        <w:numPr>
          <w:ilvl w:val="-1"/>
          <w:numId w:val="0"/>
        </w:numPr>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105400" cy="3933825"/>
                <wp:effectExtent l="0" t="0" r="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pic:cNvPicPr>
                          <a:picLocks noChangeAspect="1"/>
                        </pic:cNvPicPr>
                        <pic:nvPr/>
                      </pic:nvPicPr>
                      <pic:blipFill>
                        <a:blip r:embed="rId32"/>
                        <a:stretch/>
                      </pic:blipFill>
                      <pic:spPr bwMode="auto">
                        <a:xfrm>
                          <a:off x="0" y="0"/>
                          <a:ext cx="510540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02.0pt;height:309.8pt;mso-wrap-distance-left:0.0pt;mso-wrap-distance-top:0.0pt;mso-wrap-distance-right:0.0pt;mso-wrap-distance-bottom:0.0pt;" stroked="f">
                <v:path textboxrect="0,0,0,0"/>
                <v:imagedata r:id="rId32"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学生创意活动室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1857375" cy="3819525"/>
                <wp:effectExtent l="0" t="0" r="9525"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pic:cNvPicPr>
                          <a:picLocks noChangeAspect="1"/>
                        </pic:cNvPicPr>
                        <pic:nvPr/>
                      </pic:nvPicPr>
                      <pic:blipFill>
                        <a:blip r:embed="rId33"/>
                        <a:stretch/>
                      </pic:blipFill>
                      <pic:spPr bwMode="auto">
                        <a:xfrm>
                          <a:off x="0" y="0"/>
                          <a:ext cx="1857375" cy="3819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6.2pt;height:300.8pt;mso-wrap-distance-left:0.0pt;mso-wrap-distance-top:0.0pt;mso-wrap-distance-right:0.0pt;mso-wrap-distance-bottom:0.0pt;" stroked="f">
                <v:path textboxrect="0,0,0,0"/>
                <v:imagedata r:id="rId33" o:title=""/>
              </v:shape>
            </w:pict>
          </mc:Fallback>
        </mc:AlternateContent>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1"/>
          <w:numId w:val="0"/>
        </w:numPr>
        <w:rPr>
          <w:color w:val="auto"/>
          <w:highlight w:val="none"/>
        </w:rPr>
      </w:pPr>
      <w:r>
        <w:rPr>
          <w:color w:val="auto"/>
          <w:highlight w:val="none"/>
        </w:rPr>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生物准备室</w:t>
      </w:r>
      <w:r/>
    </w:p>
    <w:p>
      <w:pPr>
        <w:numPr>
          <w:ilvl w:val="-1"/>
          <w:numId w:val="0"/>
        </w:numPr>
        <w:rPr>
          <w:color w:val="auto"/>
          <w:highlight w:val="none"/>
        </w:rPr>
      </w:pPr>
      <w:r>
        <w:rPr>
          <w:color w:val="auto"/>
          <w:highlight w:val="none"/>
        </w:rPr>
        <mc:AlternateContent>
          <mc:Choice Requires="wpg">
            <w:drawing>
              <wp:inline xmlns:wp="http://schemas.openxmlformats.org/drawingml/2006/wordprocessingDrawing" distT="0" distB="0" distL="0" distR="0">
                <wp:extent cx="2705100" cy="4010025"/>
                <wp:effectExtent l="0" t="0" r="0"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pic:cNvPicPr>
                          <a:picLocks noChangeAspect="1"/>
                        </pic:cNvPicPr>
                        <pic:nvPr/>
                      </pic:nvPicPr>
                      <pic:blipFill>
                        <a:blip r:embed="rId34"/>
                        <a:stretch/>
                      </pic:blipFill>
                      <pic:spPr bwMode="auto">
                        <a:xfrm>
                          <a:off x="0" y="0"/>
                          <a:ext cx="2705100" cy="401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13.0pt;height:315.8pt;mso-wrap-distance-left:0.0pt;mso-wrap-distance-top:0.0pt;mso-wrap-distance-right:0.0pt;mso-wrap-distance-bottom:0.0pt;" stroked="f">
                <v:path textboxrect="0,0,0,0"/>
                <v:imagedata r:id="rId34" o:title=""/>
              </v:shape>
            </w:pict>
          </mc:Fallback>
        </mc:AlternateContent>
      </w:r>
      <w:r/>
    </w:p>
    <w:p>
      <w:pPr>
        <w:numPr>
          <w:ilvl w:val="0"/>
          <w:numId w:val="0"/>
        </w:numPr>
        <w:ind w:firstLine="210"/>
        <w:rPr>
          <w:rFonts w:hint="eastAsia"/>
          <w:color w:val="auto"/>
          <w:highlight w:val="none"/>
          <w:lang w:val="en-US" w:eastAsia="zh-CN"/>
        </w:rPr>
      </w:pPr>
      <w:r>
        <w:rPr>
          <w:rFonts w:hint="eastAsia"/>
          <w:color w:val="auto"/>
          <w:highlight w:val="none"/>
          <w:lang w:val="en-US" w:eastAsia="zh-CN"/>
        </w:rPr>
        <w:t xml:space="preserve">储物间</w:t>
      </w:r>
      <w:r/>
    </w:p>
    <w:p>
      <w:pPr>
        <w:numPr>
          <w:ilvl w:val="0"/>
          <w:numId w:val="0"/>
        </w:numPr>
        <w:ind w:left="0" w:firstLine="0"/>
        <w:jc w:val="left"/>
        <w:spacing w:before="120" w:after="120"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105025" cy="3848100"/>
                <wp:effectExtent l="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pic:cNvPicPr>
                          <a:picLocks noChangeAspect="1"/>
                        </pic:cNvPicPr>
                        <pic:nvPr/>
                      </pic:nvPicPr>
                      <pic:blipFill>
                        <a:blip r:embed="rId35"/>
                        <a:stretch/>
                      </pic:blipFill>
                      <pic:spPr bwMode="auto">
                        <a:xfrm>
                          <a:off x="0" y="0"/>
                          <a:ext cx="2105025" cy="384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5.8pt;height:303.0pt;mso-wrap-distance-left:0.0pt;mso-wrap-distance-top:0.0pt;mso-wrap-distance-right:0.0pt;mso-wrap-distance-bottom:0.0pt;" stroked="f">
                <v:path textboxrect="0,0,0,0"/>
                <v:imagedata r:id="rId35" o:title=""/>
              </v:shape>
            </w:pict>
          </mc:Fallback>
        </mc:AlternateContent>
      </w:r>
      <w:r/>
    </w:p>
    <w:p>
      <w:pPr>
        <w:rPr>
          <w:rFonts w:hint="default"/>
          <w:color w:val="auto"/>
          <w:highlight w:val="none"/>
          <w:lang w:val="en-US" w:eastAsia="zh-CN"/>
        </w:rPr>
      </w:pPr>
      <w:r>
        <w:rPr>
          <w:rFonts w:hint="default"/>
          <w:color w:val="auto"/>
          <w:highlight w:val="none"/>
          <w:lang w:val="en-US" w:eastAsia="zh-CN"/>
        </w:rPr>
        <w:br w:type="page" w:clear="all"/>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2.包2：本项目对校内数学教室、数字地理教室、数字历史教室共3间空教室进行改造，每间教室按56名学生同时上课的标准进行设计，满足日常教学、互动实训、展示演示等多功能使用需求。</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2.1</w:t>
      </w:r>
      <w:r>
        <w:rPr>
          <w:rFonts w:hint="eastAsia" w:ascii="宋体" w:hAnsi="宋体"/>
          <w:b/>
          <w:color w:val="auto"/>
          <w:szCs w:val="21"/>
          <w:highlight w:val="none"/>
        </w:rPr>
        <w:t xml:space="preserve">总体规划原则</w:t>
      </w:r>
      <w:r/>
    </w:p>
    <w:p>
      <w:pPr>
        <w:numPr>
          <w:ilvl w:val="0"/>
          <w:numId w:val="0"/>
        </w:numPr>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（1）</w:t>
      </w:r>
      <w:r>
        <w:rPr>
          <w:rFonts w:hint="eastAsia" w:ascii="宋体" w:hAnsi="宋体"/>
          <w:color w:val="auto"/>
          <w:szCs w:val="21"/>
          <w:highlight w:val="none"/>
        </w:rPr>
        <w:t xml:space="preserve">功能优先：布局科学合理，符合教学流程与师生动线，满足5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人标准班教学要求。</w:t>
      </w:r>
      <w:r/>
    </w:p>
    <w:p>
      <w:pPr>
        <w:numPr>
          <w:ilvl w:val="0"/>
          <w:numId w:val="0"/>
        </w:numPr>
        <w:ind w:left="480" w:hanging="48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（2）</w:t>
      </w:r>
      <w:r>
        <w:rPr>
          <w:rFonts w:hint="eastAsia" w:ascii="宋体" w:hAnsi="宋体"/>
          <w:color w:val="auto"/>
          <w:szCs w:val="21"/>
          <w:highlight w:val="none"/>
        </w:rPr>
        <w:t xml:space="preserve">安全环保：严格执行用电等规范，选用环保达标材料，无异味、无污染。</w:t>
      </w:r>
      <w:r/>
    </w:p>
    <w:p>
      <w:pPr>
        <w:numPr>
          <w:ilvl w:val="0"/>
          <w:numId w:val="0"/>
        </w:numPr>
        <w:ind w:left="480" w:hanging="48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（3）</w:t>
      </w:r>
      <w:r>
        <w:rPr>
          <w:rFonts w:hint="eastAsia" w:ascii="宋体" w:hAnsi="宋体"/>
          <w:color w:val="auto"/>
          <w:szCs w:val="21"/>
          <w:highlight w:val="none"/>
        </w:rPr>
        <w:t xml:space="preserve">学科特色：分别突出数学、地理、历史学科特点，做到氛围与功能统一。</w:t>
      </w:r>
      <w:r/>
    </w:p>
    <w:p>
      <w:pPr>
        <w:numPr>
          <w:ilvl w:val="0"/>
          <w:numId w:val="0"/>
        </w:numPr>
        <w:ind w:left="480" w:hanging="48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（4）</w:t>
      </w:r>
      <w:r>
        <w:rPr>
          <w:rFonts w:hint="eastAsia" w:ascii="宋体" w:hAnsi="宋体"/>
          <w:color w:val="auto"/>
          <w:szCs w:val="21"/>
          <w:highlight w:val="none"/>
        </w:rPr>
        <w:t xml:space="preserve">经济实用：方案简洁易施工，兼顾耐用性与维护便利性，与校园整体环境协调。</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2.2</w:t>
      </w:r>
      <w:r>
        <w:rPr>
          <w:rFonts w:hint="eastAsia" w:ascii="宋体" w:hAnsi="宋体"/>
          <w:b/>
          <w:color w:val="auto"/>
          <w:szCs w:val="21"/>
          <w:highlight w:val="none"/>
        </w:rPr>
        <w:t xml:space="preserve">各教室设计内容及要求</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2.2.1</w:t>
      </w:r>
      <w:r>
        <w:rPr>
          <w:rFonts w:hint="eastAsia" w:ascii="宋体" w:hAnsi="宋体"/>
          <w:b/>
          <w:color w:val="auto"/>
          <w:szCs w:val="21"/>
          <w:highlight w:val="none"/>
        </w:rPr>
        <w:t xml:space="preserve">数学教室</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满足5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名学生标准上课需求，桌椅排布规整，预留充足通行与活动空间。</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设置主黑板/白板区、多媒体教学区、板书演算区，便于公式推导、例题讲解。</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2.2.2</w:t>
      </w:r>
      <w:r>
        <w:rPr>
          <w:rFonts w:hint="eastAsia" w:ascii="宋体" w:hAnsi="宋体"/>
          <w:b/>
          <w:color w:val="auto"/>
          <w:szCs w:val="21"/>
          <w:highlight w:val="none"/>
        </w:rPr>
        <w:t xml:space="preserve">地理教室</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满足 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名学生同时上课与观察学习，布局开阔，便于观看地图与演示内容。</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配备模型展示区域，支持地形、气候等静态教学。</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整体氛围直观、清晰，突出空间、方位、地形、资源等地理学科特征。</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2.2.3</w:t>
      </w:r>
      <w:r>
        <w:rPr>
          <w:rFonts w:hint="eastAsia" w:ascii="宋体" w:hAnsi="宋体"/>
          <w:b/>
          <w:color w:val="auto"/>
          <w:szCs w:val="21"/>
          <w:highlight w:val="none"/>
        </w:rPr>
        <w:t xml:space="preserve">历史教室</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满足 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名学生标准班授课与课堂互动，空间庄重简洁、氛围沉稳舒适。</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设置历史时间线展示区、主题文化墙，可展示历史朝代、重要事件、文物图片等内容。</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配备多媒体教学系统，支持历史纪录片、史料图片、课件播放。</w:t>
      </w:r>
      <w:r/>
    </w:p>
    <w:p>
      <w:pPr>
        <w:numPr>
          <w:ilvl w:val="0"/>
          <w:numId w:val="0"/>
        </w:numPr>
        <w:ind w:firstLine="42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色调素雅大方，营造严谨、厚重、沉浸式历史学习环境。</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2.3</w:t>
      </w:r>
      <w:r>
        <w:rPr>
          <w:rFonts w:hint="eastAsia" w:ascii="宋体" w:hAnsi="宋体"/>
          <w:b/>
          <w:color w:val="auto"/>
          <w:szCs w:val="21"/>
          <w:highlight w:val="none"/>
        </w:rPr>
        <w:t xml:space="preserve">成果要求</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需提供各教室平面布置图、效果图及规划说明。</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确保方案符合教学规范、安全规范及实际使用需求，具备可实施性。</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b/>
          <w:bCs/>
          <w:color w:val="auto"/>
          <w:szCs w:val="21"/>
          <w:highlight w:val="none"/>
          <w:lang w:val="en-US" w:eastAsia="zh-CN"/>
        </w:rPr>
        <w:t xml:space="preserve">2.4</w:t>
      </w:r>
      <w:r>
        <w:rPr>
          <w:rFonts w:hint="eastAsia" w:ascii="宋体" w:hAnsi="宋体"/>
          <w:b/>
          <w:bCs/>
          <w:color w:val="auto"/>
          <w:szCs w:val="21"/>
          <w:highlight w:val="none"/>
        </w:rPr>
        <w:t xml:space="preserve">现场框架图</w:t>
      </w:r>
      <w:r/>
    </w:p>
    <w:p>
      <w:pPr>
        <w:rPr>
          <w:rFonts w:hint="eastAsia"/>
          <w:color w:val="auto"/>
          <w:highlight w:val="none"/>
          <w:lang w:val="en-US" w:eastAsia="zh-CN"/>
        </w:rPr>
      </w:pPr>
      <w:r>
        <w:rPr>
          <w:rFonts w:hint="eastAsia"/>
          <w:color w:val="auto"/>
          <w:highlight w:val="none"/>
          <w:lang w:val="en-US" w:eastAsia="zh-CN"/>
        </w:rPr>
        <w:br w:type="page" w:clear="all"/>
      </w:r>
      <w:r/>
    </w:p>
    <w:p>
      <w:pPr>
        <w:ind w:firstLine="420"/>
        <w:rPr>
          <w:rFonts w:hint="eastAsia"/>
          <w:color w:val="auto"/>
          <w:highlight w:val="none"/>
          <w:lang w:val="en-US" w:eastAsia="zh-CN"/>
        </w:rPr>
      </w:pPr>
      <w:r>
        <w:rPr>
          <w:rFonts w:hint="eastAsia"/>
          <w:color w:val="auto"/>
          <w:highlight w:val="none"/>
          <w:lang w:val="en-US" w:eastAsia="zh-CN"/>
        </w:rPr>
        <w:t xml:space="preserve">数学专用教室</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5274310" cy="3825240"/>
                <wp:effectExtent l="0" t="0" r="2540" b="381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36"/>
                        <a:stretch/>
                      </pic:blipFill>
                      <pic:spPr bwMode="auto">
                        <a:xfrm>
                          <a:off x="0" y="0"/>
                          <a:ext cx="5274310" cy="382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5.3pt;height:301.2pt;mso-wrap-distance-left:0.0pt;mso-wrap-distance-top:0.0pt;mso-wrap-distance-right:0.0pt;mso-wrap-distance-bottom:0.0pt;" stroked="f">
                <v:path textboxrect="0,0,0,0"/>
                <v:imagedata r:id="rId36" o:title=""/>
              </v:shape>
            </w:pict>
          </mc:Fallback>
        </mc:AlternateContent>
      </w:r>
      <w:r/>
    </w:p>
    <w:p>
      <w:pPr>
        <w:rPr>
          <w:rFonts w:hint="eastAsia"/>
          <w:color w:val="auto"/>
          <w:highlight w:val="none"/>
          <w:lang w:val="en-US" w:eastAsia="zh-CN"/>
        </w:rPr>
      </w:pPr>
      <w:r>
        <w:rPr>
          <w:rFonts w:hint="eastAsia"/>
          <w:color w:val="auto"/>
          <w:highlight w:val="none"/>
          <w:lang w:val="en-US" w:eastAsia="zh-CN"/>
        </w:rPr>
        <w:br w:type="page" w:clear="all"/>
      </w:r>
      <w:r/>
    </w:p>
    <w:p>
      <w:pPr>
        <w:numPr>
          <w:ilvl w:val="-1"/>
          <w:numId w:val="0"/>
        </w:numPr>
        <w:ind w:left="-420" w:firstLine="630"/>
        <w:rPr>
          <w:rFonts w:hint="eastAsia"/>
          <w:color w:val="auto"/>
          <w:highlight w:val="none"/>
          <w:lang w:val="en-US" w:eastAsia="zh-CN"/>
        </w:rPr>
      </w:pPr>
      <w:r>
        <w:rPr>
          <w:rFonts w:hint="eastAsia"/>
          <w:color w:val="auto"/>
          <w:highlight w:val="none"/>
          <w:lang w:val="en-US" w:eastAsia="zh-CN"/>
        </w:rPr>
        <w:t xml:space="preserve">数字地理专用教室</w:t>
      </w:r>
      <w:r/>
    </w:p>
    <w:p>
      <w:pPr>
        <w:numPr>
          <w:ilvl w:val="-1"/>
          <w:numId w:val="0"/>
        </w:numPr>
        <w:ind w:left="-420" w:firstLine="0"/>
        <w:rPr>
          <w:color w:val="auto"/>
          <w:highlight w:val="none"/>
        </w:rPr>
      </w:pPr>
      <w:r>
        <w:rPr>
          <w:color w:val="auto"/>
          <w:highlight w:val="none"/>
        </w:rPr>
        <mc:AlternateContent>
          <mc:Choice Requires="wpg">
            <w:drawing>
              <wp:inline xmlns:wp="http://schemas.openxmlformats.org/drawingml/2006/wordprocessingDrawing" distT="0" distB="0" distL="0" distR="0">
                <wp:extent cx="3442970" cy="4012565"/>
                <wp:effectExtent l="0" t="0" r="5080" b="6985"/>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37"/>
                        <a:stretch/>
                      </pic:blipFill>
                      <pic:spPr bwMode="auto">
                        <a:xfrm>
                          <a:off x="0" y="0"/>
                          <a:ext cx="3442970" cy="4012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71.1pt;height:315.9pt;mso-wrap-distance-left:0.0pt;mso-wrap-distance-top:0.0pt;mso-wrap-distance-right:0.0pt;mso-wrap-distance-bottom:0.0pt;" stroked="f">
                <v:path textboxrect="0,0,0,0"/>
                <v:imagedata r:id="rId37" o:title=""/>
              </v:shape>
            </w:pict>
          </mc:Fallback>
        </mc:AlternateContent>
      </w:r>
      <w:r/>
    </w:p>
    <w:p>
      <w:pPr>
        <w:numPr>
          <w:ilvl w:val="-1"/>
          <w:numId w:val="0"/>
        </w:numPr>
        <w:ind w:left="0" w:firstLine="420"/>
        <w:rPr>
          <w:rFonts w:hint="eastAsia"/>
          <w:color w:val="auto"/>
          <w:highlight w:val="none"/>
          <w:lang w:val="en-US" w:eastAsia="zh-CN"/>
        </w:rPr>
      </w:pPr>
      <w:r>
        <w:rPr>
          <w:rFonts w:hint="eastAsia"/>
          <w:color w:val="auto"/>
          <w:highlight w:val="none"/>
          <w:lang w:val="en-US" w:eastAsia="zh-CN"/>
        </w:rPr>
        <w:t xml:space="preserve">数字历史专用教室</w:t>
      </w:r>
      <w:r/>
    </w:p>
    <w:p>
      <w:pPr>
        <w:numPr>
          <w:ilvl w:val="-1"/>
          <w:numId w:val="0"/>
        </w:numPr>
        <w:ind w:left="-420" w:firstLine="0"/>
        <w:rPr>
          <w:color w:val="auto"/>
          <w:highlight w:val="none"/>
        </w:rPr>
      </w:pPr>
      <w:r>
        <w:rPr>
          <w:color w:val="auto"/>
          <w:highlight w:val="none"/>
        </w:rPr>
        <mc:AlternateContent>
          <mc:Choice Requires="wpg">
            <w:drawing>
              <wp:inline xmlns:wp="http://schemas.openxmlformats.org/drawingml/2006/wordprocessingDrawing" distT="0" distB="0" distL="0" distR="0">
                <wp:extent cx="3576320" cy="3757295"/>
                <wp:effectExtent l="0" t="0" r="5080" b="14604"/>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38"/>
                        <a:stretch/>
                      </pic:blipFill>
                      <pic:spPr bwMode="auto">
                        <a:xfrm>
                          <a:off x="0" y="0"/>
                          <a:ext cx="3576320" cy="375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1.6pt;height:295.8pt;mso-wrap-distance-left:0.0pt;mso-wrap-distance-top:0.0pt;mso-wrap-distance-right:0.0pt;mso-wrap-distance-bottom:0.0pt;" stroked="f">
                <v:path textboxrect="0,0,0,0"/>
                <v:imagedata r:id="rId38" o:title=""/>
              </v:shape>
            </w:pict>
          </mc:Fallback>
        </mc:AlternateContent>
      </w:r>
      <w:r/>
    </w:p>
    <w:p>
      <w:pPr>
        <w:numPr>
          <w:ilvl w:val="-1"/>
          <w:numId w:val="0"/>
        </w:numPr>
        <w:ind w:left="-420" w:firstLine="0"/>
        <w:rPr>
          <w:color w:val="auto"/>
          <w:highlight w:val="none"/>
        </w:rPr>
      </w:pPr>
      <w:r>
        <w:rPr>
          <w:color w:val="auto"/>
          <w:highlight w:val="none"/>
        </w:rPr>
      </w:r>
      <w:r/>
    </w:p>
    <w:p>
      <w:pPr>
        <w:numPr>
          <w:ilvl w:val="-1"/>
          <w:numId w:val="0"/>
        </w:numPr>
        <w:ind w:left="-420" w:firstLine="0"/>
        <w:rPr>
          <w:color w:val="auto"/>
          <w:highlight w:val="none"/>
        </w:rPr>
      </w:pPr>
      <w:r>
        <w:rPr>
          <w:color w:val="auto"/>
          <w:highlight w:val="none"/>
        </w:rPr>
      </w:r>
      <w:r/>
    </w:p>
    <w:p>
      <w:pPr>
        <w:numPr>
          <w:ilvl w:val="-1"/>
          <w:numId w:val="0"/>
        </w:numPr>
        <w:ind w:left="-420" w:firstLine="0"/>
        <w:rPr>
          <w:color w:val="auto"/>
          <w:highlight w:val="none"/>
        </w:rPr>
      </w:pPr>
      <w:r>
        <w:rPr>
          <w:color w:val="auto"/>
          <w:highlight w:val="none"/>
        </w:rPr>
      </w:r>
      <w:r/>
    </w:p>
    <w:p>
      <w:pPr>
        <w:numPr>
          <w:ilvl w:val="-1"/>
          <w:numId w:val="0"/>
        </w:numPr>
        <w:ind w:left="-420" w:firstLine="0"/>
        <w:rPr>
          <w:color w:val="auto"/>
          <w:highlight w:val="none"/>
        </w:rPr>
      </w:pPr>
      <w:r>
        <w:rPr>
          <w:color w:val="auto"/>
          <w:highlight w:val="none"/>
        </w:rPr>
      </w:r>
      <w:r/>
    </w:p>
    <w:p>
      <w:pPr>
        <w:numPr>
          <w:ilvl w:val="-1"/>
          <w:numId w:val="0"/>
        </w:numPr>
        <w:ind w:left="-420" w:firstLine="210"/>
        <w:rPr>
          <w:rFonts w:hint="eastAsia"/>
          <w:color w:val="auto"/>
          <w:highlight w:val="none"/>
          <w:lang w:val="en-US" w:eastAsia="zh-CN"/>
        </w:rPr>
      </w:pPr>
      <w:r>
        <w:rPr>
          <w:rFonts w:hint="eastAsia"/>
          <w:color w:val="auto"/>
          <w:highlight w:val="none"/>
          <w:lang w:val="en-US" w:eastAsia="zh-CN"/>
        </w:rPr>
        <w:t xml:space="preserve">储物间</w:t>
      </w:r>
      <w:r/>
    </w:p>
    <w:p>
      <w:pPr>
        <w:ind w:firstLine="422"/>
        <w:jc w:val="left"/>
        <w:spacing w:before="120" w:after="120"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1953895" cy="3130550"/>
                <wp:effectExtent l="0" t="0" r="8255" b="1270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39"/>
                        <a:stretch/>
                      </pic:blipFill>
                      <pic:spPr bwMode="auto">
                        <a:xfrm>
                          <a:off x="0" y="0"/>
                          <a:ext cx="1953895" cy="313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3.8pt;height:246.5pt;mso-wrap-distance-left:0.0pt;mso-wrap-distance-top:0.0pt;mso-wrap-distance-right:0.0pt;mso-wrap-distance-bottom:0.0pt;" stroked="f">
                <v:path textboxrect="0,0,0,0"/>
                <v:imagedata r:id="rId39" o:title=""/>
              </v:shape>
            </w:pict>
          </mc:Fallback>
        </mc:AlternateContent>
      </w:r>
      <w:r/>
    </w:p>
    <w:p>
      <w:pP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br w:type="page" w:clear="all"/>
      </w:r>
      <w:r/>
    </w:p>
    <w:p>
      <w:pPr>
        <w:ind w:firstLine="422"/>
        <w:jc w:val="left"/>
        <w:keepLines w:val="0"/>
        <w:keepNext w:val="0"/>
        <w:pageBreakBefore w:val="0"/>
        <w:spacing w:line="360" w:lineRule="auto"/>
        <w:widowControl w:val="off"/>
        <w:rPr>
          <w:rFonts w:ascii="宋体" w:hAnsi="宋体" w:cs="宋体"/>
          <w:color w:val="auto"/>
          <w:highlight w:val="none"/>
        </w:rPr>
      </w:pPr>
      <w:r>
        <w:rPr>
          <w:rFonts w:hint="eastAsia" w:ascii="宋体" w:hAnsi="宋体"/>
          <w:b/>
          <w:color w:val="auto"/>
          <w:szCs w:val="21"/>
          <w:highlight w:val="none"/>
          <w:lang w:val="en-US" w:eastAsia="zh-CN"/>
        </w:rPr>
        <w:t xml:space="preserve">3.包3：本项目对校内通用技术教室共1间空教室进行改造，每间教室按56名学生同时上课的标准进行设计，满足日常教学、互动实训、展示演示等多功能使用需求。</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3.1</w:t>
      </w:r>
      <w:r>
        <w:rPr>
          <w:rFonts w:hint="eastAsia" w:ascii="宋体" w:hAnsi="宋体"/>
          <w:b/>
          <w:color w:val="auto"/>
          <w:szCs w:val="21"/>
          <w:highlight w:val="none"/>
        </w:rPr>
        <w:t xml:space="preserve">总体规划原则</w:t>
      </w:r>
      <w:r/>
    </w:p>
    <w:p>
      <w:pPr>
        <w:numPr>
          <w:ilvl w:val="0"/>
          <w:numId w:val="0"/>
        </w:numPr>
        <w:ind w:left="479" w:hanging="24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（1）</w:t>
      </w:r>
      <w:r>
        <w:rPr>
          <w:rFonts w:hint="eastAsia" w:ascii="宋体" w:hAnsi="宋体"/>
          <w:color w:val="auto"/>
          <w:szCs w:val="21"/>
          <w:highlight w:val="none"/>
        </w:rPr>
        <w:t xml:space="preserve">功能优先：布局科学合理，符合教学流程与师生动线，满足5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人标准班教学要求。</w:t>
      </w:r>
      <w:r/>
    </w:p>
    <w:p>
      <w:pPr>
        <w:numPr>
          <w:ilvl w:val="0"/>
          <w:numId w:val="0"/>
        </w:numPr>
        <w:ind w:left="479" w:hanging="24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（2）</w:t>
      </w:r>
      <w:r>
        <w:rPr>
          <w:rFonts w:hint="eastAsia" w:ascii="宋体" w:hAnsi="宋体"/>
          <w:color w:val="auto"/>
          <w:szCs w:val="21"/>
          <w:highlight w:val="none"/>
        </w:rPr>
        <w:t xml:space="preserve">安全环保：严格执行用电等规范，选用环保达标材料，无异味、无污染。</w:t>
      </w:r>
      <w:r/>
    </w:p>
    <w:p>
      <w:pPr>
        <w:numPr>
          <w:ilvl w:val="0"/>
          <w:numId w:val="0"/>
        </w:numPr>
        <w:ind w:left="479" w:hanging="24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（3）</w:t>
      </w:r>
      <w:r>
        <w:rPr>
          <w:rFonts w:hint="eastAsia" w:ascii="宋体" w:hAnsi="宋体"/>
          <w:color w:val="auto"/>
          <w:szCs w:val="21"/>
          <w:highlight w:val="none"/>
        </w:rPr>
        <w:t xml:space="preserve">学科特色：突出</w:t>
      </w:r>
      <w:r>
        <w:rPr>
          <w:rFonts w:hint="eastAsia" w:ascii="宋体" w:hAnsi="宋体"/>
          <w:color w:val="auto"/>
          <w:szCs w:val="21"/>
          <w:highlight w:val="none"/>
          <w:lang w:val="en-US" w:eastAsia="zh-CN"/>
        </w:rPr>
        <w:t xml:space="preserve">通用技术</w:t>
      </w:r>
      <w:r>
        <w:rPr>
          <w:rFonts w:hint="eastAsia" w:ascii="宋体" w:hAnsi="宋体"/>
          <w:color w:val="auto"/>
          <w:szCs w:val="21"/>
          <w:highlight w:val="none"/>
        </w:rPr>
        <w:t xml:space="preserve">学科特点，做到氛围与功能统一。</w:t>
      </w:r>
      <w:r/>
    </w:p>
    <w:p>
      <w:pPr>
        <w:numPr>
          <w:ilvl w:val="0"/>
          <w:numId w:val="0"/>
        </w:numPr>
        <w:ind w:left="479" w:hanging="24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（4）</w:t>
      </w:r>
      <w:r>
        <w:rPr>
          <w:rFonts w:hint="eastAsia" w:ascii="宋体" w:hAnsi="宋体"/>
          <w:color w:val="auto"/>
          <w:szCs w:val="21"/>
          <w:highlight w:val="none"/>
        </w:rPr>
        <w:t xml:space="preserve">经济实用：方案简洁易施工，兼顾耐用性与维护便利性，与校园整体环境协调。</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3.2</w:t>
      </w:r>
      <w:r>
        <w:rPr>
          <w:rFonts w:hint="eastAsia" w:ascii="宋体" w:hAnsi="宋体"/>
          <w:b/>
          <w:color w:val="auto"/>
          <w:szCs w:val="21"/>
          <w:highlight w:val="none"/>
        </w:rPr>
        <w:t xml:space="preserve">设计内容及要求</w:t>
      </w:r>
      <w:r/>
    </w:p>
    <w:p>
      <w:pPr>
        <w:numPr>
          <w:ilvl w:val="0"/>
          <w:numId w:val="0"/>
        </w:numPr>
        <w:ind w:left="480" w:hanging="48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    </w:t>
      </w:r>
      <w:r>
        <w:rPr>
          <w:rFonts w:hint="eastAsia" w:ascii="宋体" w:hAnsi="宋体"/>
          <w:color w:val="auto"/>
          <w:szCs w:val="21"/>
          <w:highlight w:val="none"/>
        </w:rPr>
        <w:t xml:space="preserve">满足5</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名学生标准上课需求，桌椅排布规整，预留充足通行与活动空间。</w:t>
      </w:r>
      <w:r/>
    </w:p>
    <w:p>
      <w:pPr>
        <w:numPr>
          <w:ilvl w:val="0"/>
          <w:numId w:val="0"/>
        </w:numPr>
        <w:ind w:firstLine="42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设置主黑板/白板区、多媒体教学区、板书演算区，便于公式推导、例题讲解。</w:t>
      </w:r>
      <w:r/>
    </w:p>
    <w:p>
      <w:pPr>
        <w:numPr>
          <w:ilvl w:val="0"/>
          <w:numId w:val="0"/>
        </w:numPr>
        <w:ind w:left="480" w:hanging="48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s="Times New Roman"/>
          <w:color w:val="auto"/>
          <w:sz w:val="24"/>
          <w:szCs w:val="24"/>
          <w:highlight w:val="none"/>
          <w:lang w:val="en-US" w:eastAsia="zh-CN" w:bidi="ar-SA"/>
        </w:rPr>
        <w:t xml:space="preserve">    </w:t>
      </w:r>
      <w:r>
        <w:rPr>
          <w:rFonts w:hint="eastAsia" w:ascii="宋体" w:hAnsi="宋体"/>
          <w:color w:val="auto"/>
          <w:szCs w:val="21"/>
          <w:highlight w:val="none"/>
          <w:lang w:val="en-US" w:eastAsia="zh-CN"/>
        </w:rPr>
        <w:t xml:space="preserve">满足56名学生动手实操需求。</w:t>
      </w:r>
      <w:r/>
    </w:p>
    <w:p>
      <w:pPr>
        <w:ind w:firstLine="422"/>
        <w:jc w:val="left"/>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3.3</w:t>
      </w:r>
      <w:r>
        <w:rPr>
          <w:rFonts w:hint="eastAsia" w:ascii="宋体" w:hAnsi="宋体"/>
          <w:b/>
          <w:color w:val="auto"/>
          <w:szCs w:val="21"/>
          <w:highlight w:val="none"/>
        </w:rPr>
        <w:t xml:space="preserve">成果要求</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需提供各教室平面布置图、效果图及规划说明。</w:t>
      </w:r>
      <w:r/>
    </w:p>
    <w:p>
      <w:pPr>
        <w:numPr>
          <w:ilvl w:val="0"/>
          <w:numId w:val="0"/>
        </w:numPr>
        <w:ind w:left="420" w:firstLine="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确保方案符合教学规范、安全规范及实际使用需求，具备可实施性。</w:t>
      </w:r>
      <w:r/>
    </w:p>
    <w:p>
      <w:pPr>
        <w:numPr>
          <w:ilvl w:val="0"/>
          <w:numId w:val="0"/>
        </w:numPr>
        <w:ind w:firstLine="843"/>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b/>
          <w:bCs/>
          <w:color w:val="auto"/>
          <w:szCs w:val="21"/>
          <w:highlight w:val="none"/>
          <w:lang w:val="en-US" w:eastAsia="zh-CN"/>
        </w:rPr>
        <w:t xml:space="preserve">3.4现场框架图：</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2745105" cy="1934210"/>
                <wp:effectExtent l="0" t="0" r="17145" b="889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40"/>
                        <a:stretch/>
                      </pic:blipFill>
                      <pic:spPr bwMode="auto">
                        <a:xfrm>
                          <a:off x="0" y="0"/>
                          <a:ext cx="2745105" cy="193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16.1pt;height:152.3pt;mso-wrap-distance-left:0.0pt;mso-wrap-distance-top:0.0pt;mso-wrap-distance-right:0.0pt;mso-wrap-distance-bottom:0.0pt;" stroked="f">
                <v:path textboxrect="0,0,0,0"/>
                <v:imagedata r:id="rId40" o:title=""/>
              </v:shape>
            </w:pict>
          </mc:Fallback>
        </mc:AlternateContent>
      </w:r>
      <w:r/>
    </w:p>
    <w:p>
      <w:pPr>
        <w:numPr>
          <w:ilvl w:val="-1"/>
          <w:numId w:val="0"/>
        </w:numPr>
        <w:ind w:left="-420" w:firstLine="0"/>
        <w:rPr>
          <w:rFonts w:hint="default"/>
          <w:color w:val="auto"/>
          <w:highlight w:val="none"/>
          <w:lang w:val="en-US" w:eastAsia="zh-CN"/>
        </w:rPr>
      </w:pPr>
      <w:r>
        <w:rPr>
          <w:rFonts w:hint="default"/>
          <w:color w:val="auto"/>
          <w:highlight w:val="none"/>
          <w:lang w:val="en-US" w:eastAsia="zh-CN"/>
        </w:rPr>
      </w:r>
      <w:r/>
    </w:p>
    <w:p>
      <w:pPr>
        <w:numPr>
          <w:ilvl w:val="0"/>
          <w:numId w:val="0"/>
        </w:numPr>
        <w:ind w:left="0" w:firstLine="0"/>
        <w:jc w:val="left"/>
        <w:spacing w:before="120" w:after="120" w:line="360" w:lineRule="auto"/>
        <w:rPr>
          <w:rFonts w:hint="eastAsia"/>
          <w:b/>
          <w:bCs/>
          <w:color w:val="auto"/>
          <w:highlight w:val="none"/>
          <w:lang w:val="en-US" w:eastAsia="zh-CN"/>
        </w:rPr>
      </w:pPr>
      <w:r>
        <w:rPr>
          <w:rFonts w:hint="eastAsia"/>
          <w:b/>
          <w:bCs/>
          <w:color w:val="auto"/>
          <w:highlight w:val="none"/>
          <w:lang w:val="en-US" w:eastAsia="zh-CN"/>
        </w:rPr>
      </w:r>
      <w:r/>
    </w:p>
    <w:p>
      <w:pPr>
        <w:rPr>
          <w:rFonts w:hint="default"/>
          <w:color w:val="auto"/>
          <w:highlight w:val="none"/>
          <w:lang w:val="en-US" w:eastAsia="zh-CN"/>
        </w:rPr>
        <w:sectPr>
          <w:footerReference w:type="default" r:id="rId17"/>
          <w:footnotePr/>
          <w:endnotePr/>
          <w:type w:val="nextPage"/>
          <w:pgSz w:w="11906" w:h="16838" w:orient="portrait"/>
          <w:pgMar w:top="1440" w:right="1800" w:bottom="1440" w:left="1800" w:header="851" w:footer="850" w:gutter="0"/>
          <w:pgNumType w:start="1"/>
          <w:cols w:num="1" w:sep="0" w:space="720" w:equalWidth="1"/>
          <w:docGrid w:linePitch="360"/>
        </w:sectPr>
      </w:pPr>
      <w:r>
        <w:rPr>
          <w:rFonts w:hint="default"/>
          <w:color w:val="auto"/>
          <w:highlight w:val="none"/>
          <w:lang w:val="en-US" w:eastAsia="zh-CN"/>
        </w:rPr>
      </w:r>
      <w:r/>
    </w:p>
    <w:p>
      <w:pPr>
        <w:pStyle w:val="795"/>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86"/>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6" w:name="_Toc449017024"/>
      <w:r/>
      <w:bookmarkStart w:id="57"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6"/>
      <w:r/>
      <w:bookmarkEnd w:id="57"/>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1008"/>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pStyle w:val="1008"/>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采购需求所列需提供证明文件的产品，中标人需在收到中标通知后的 5 个工作日内，向采购人提交相关证明文件原件及对应产品，配合完成核查工作。经核查，若产品功能不符合采购要求或证明文件存在虚假情形，将按提供虚假材料处理，取消其中标资格，由此产生的一切损失由中标人承担。</w:t>
      </w:r>
      <w:r/>
    </w:p>
    <w:p>
      <w:pPr>
        <w:pStyle w:val="1008"/>
        <w:ind w:firstLine="420"/>
        <w:spacing w:line="360" w:lineRule="auto"/>
        <w:rPr>
          <w:rStyle w:val="833"/>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本次招标产品（含核心组件、配套设备）</w:t>
      </w:r>
      <w:r>
        <w:rPr>
          <w:rStyle w:val="833"/>
          <w:rFonts w:hint="eastAsia" w:ascii="宋体" w:hAnsi="宋体" w:eastAsia="宋体" w:cs="宋体"/>
          <w:b w:val="0"/>
          <w:bCs w:val="0"/>
          <w:color w:val="auto"/>
          <w:sz w:val="21"/>
          <w:szCs w:val="21"/>
          <w:highlight w:val="none"/>
        </w:rPr>
        <w:t xml:space="preserve">禁止贴牌</w:t>
      </w:r>
      <w:r>
        <w:rPr>
          <w:rStyle w:val="833"/>
          <w:rFonts w:hint="eastAsia" w:ascii="宋体" w:hAnsi="宋体" w:eastAsia="宋体" w:cs="宋体"/>
          <w:b w:val="0"/>
          <w:bCs w:val="0"/>
          <w:color w:val="auto"/>
          <w:sz w:val="21"/>
          <w:szCs w:val="21"/>
          <w:highlight w:val="none"/>
          <w:lang w:val="en-US" w:eastAsia="zh-CN"/>
        </w:rPr>
        <w:t xml:space="preserve">供应。</w:t>
      </w:r>
      <w:r/>
    </w:p>
    <w:p>
      <w:pPr>
        <w:ind w:firstLine="420"/>
        <w:rPr>
          <w:color w:val="auto"/>
          <w:highlight w:val="none"/>
        </w:rPr>
      </w:pPr>
      <w:r>
        <w:rPr>
          <w:color w:val="auto"/>
          <w:highlight w:val="none"/>
        </w:rPr>
      </w:r>
      <w:r/>
    </w:p>
    <w:p>
      <w:pPr>
        <w:pStyle w:val="986"/>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numPr>
          <w:ilvl w:val="0"/>
          <w:numId w:val="0"/>
        </w:numPr>
        <w:ind w:firstLine="63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四、评分标准</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包1理化生实验室建设评标标准</w:t>
      </w:r>
      <w:r/>
    </w:p>
    <w:tbl>
      <w:tblPr>
        <w:tblStyle w:val="805"/>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000000" w:fill="ffffff"/>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000000" w:fill="ffffff"/>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项目人员配置</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拟</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rPr>
              <w:t xml:space="preserve">本项目的项目经理具有智能化系统集成项目经理高级证书</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得2分，</w:t>
            </w: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中级证书的得1分，其他不得分（提供证书</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及</w:t>
            </w:r>
            <w:r>
              <w:rPr>
                <w:rFonts w:hint="eastAsia" w:ascii="宋体" w:hAnsi="宋体" w:cs="宋体"/>
                <w:color w:val="auto"/>
                <w:sz w:val="21"/>
                <w:szCs w:val="21"/>
                <w:highlight w:val="none"/>
                <w:lang w:val="en-US" w:eastAsia="zh-CN"/>
              </w:rPr>
              <w:t xml:space="preserve">投标人为拟投入项目经理缴纳</w:t>
            </w:r>
            <w:r>
              <w:rPr>
                <w:rFonts w:hint="eastAsia" w:ascii="宋体" w:hAnsi="宋体" w:cs="宋体"/>
                <w:color w:val="auto"/>
                <w:sz w:val="21"/>
                <w:szCs w:val="21"/>
                <w:highlight w:val="none"/>
              </w:rPr>
              <w:t xml:space="preserve">的近3个月任意一个月社保证明材料扫描件，未提供或提供不全不得分）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bidi="ar"/>
              </w:rPr>
              <w:t xml:space="preserve">、投标人根据项目现场实际情况与“项目采购需求”进行整体规划设计，根据投标人对招标范围内的空间所提供的平面布置图及布置说明方案与现场条件的匹配性、实用性、科学性，进行综合评分</w:t>
            </w:r>
            <w:r>
              <w:rPr>
                <w:rFonts w:hint="eastAsia" w:ascii="宋体" w:hAnsi="宋体" w:cs="宋体"/>
                <w:color w:val="auto"/>
                <w:sz w:val="21"/>
                <w:szCs w:val="21"/>
                <w:highlight w:val="none"/>
              </w:rPr>
              <w:t xml:space="preserve">（平面布置图及布置说明方案每个空间不少于1张）</w:t>
            </w:r>
            <w:r>
              <w:rPr>
                <w:rFonts w:hint="eastAsia" w:ascii="宋体" w:hAnsi="宋体" w:cs="宋体"/>
                <w:color w:val="auto"/>
                <w:sz w:val="21"/>
                <w:szCs w:val="21"/>
                <w:highlight w:val="none"/>
                <w:lang w:bidi="ar"/>
              </w:rPr>
              <w:t xml:space="preserve">；图纸和说明方案规范，完整，准确性强，结构合理的，完全符合业主需求得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分；图纸和说明方案较规范，相对完整，准确性较强，结构较合理的，相对符合业主需求的得2分。图纸和说明方案基本规范，基本完整，准确性较弱，结构基本合理的，基本符合业主需求的得1分。不提供不得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2、投标人根据项目情况提供深化专项设计图纸（提供本项目水、强弱电、通风等的点位图纸与效果图），充分考虑项目实施过程中的重点难点并提供解决方案；根据投标人的响应情况，进行综合评分</w:t>
            </w:r>
            <w:r>
              <w:rPr>
                <w:rFonts w:hint="eastAsia" w:ascii="宋体" w:hAnsi="宋体" w:cs="宋体"/>
                <w:color w:val="auto"/>
                <w:sz w:val="21"/>
                <w:szCs w:val="21"/>
                <w:highlight w:val="none"/>
              </w:rPr>
              <w:t xml:space="preserve">（每个空间不同角度效果图不少于2张，每个空间水、强弱电不少于1张，涉及到通风要求的实验室通风图纸不少于2张）</w:t>
            </w:r>
            <w:r>
              <w:rPr>
                <w:rFonts w:hint="eastAsia" w:ascii="宋体" w:hAnsi="宋体" w:cs="宋体"/>
                <w:color w:val="auto"/>
                <w:sz w:val="21"/>
                <w:szCs w:val="21"/>
                <w:highlight w:val="none"/>
                <w:lang w:bidi="ar"/>
              </w:rPr>
              <w:t xml:space="preserve">，图纸规范，完整，准确性强，结构合理的，完全符合业主需求得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分；图纸较规范，相对完整，准确性较强，结构较合理的，相对符合业主需求的得2分。图纸基本规范，基本完整，准确性较弱，结构基本合理的，基本符合业主需求的得1分。不提供不得分。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 </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分，实施方案较全面详细，各方面措施较完备可操作性较强，人员、材料、机械设备计划较可行性较强得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分；售后服务方案较完整，针对性较强，可操作性较强的得2分；售后服务方案基本完整，针对性较弱，可操作性较弱的得1分。不提供不得分。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样品展示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一、评委根据投标人提供“化学实验室五、六”的序号5“</w:t>
            </w:r>
            <w:r>
              <w:rPr>
                <w:rFonts w:hint="eastAsia" w:ascii="宋体" w:hAnsi="宋体" w:eastAsia="宋体" w:cs="宋体"/>
                <w:i w:val="0"/>
                <w:iCs w:val="0"/>
                <w:color w:val="auto"/>
                <w:sz w:val="21"/>
                <w:szCs w:val="21"/>
                <w:highlight w:val="none"/>
                <w:u w:val="none"/>
                <w:lang w:val="en-US" w:eastAsia="zh-CN" w:bidi="ar"/>
              </w:rPr>
              <w:t xml:space="preserve">学生专用实验操作桌套装</w:t>
            </w:r>
            <w:r>
              <w:rPr>
                <w:rFonts w:hint="eastAsia" w:ascii="宋体" w:hAnsi="宋体" w:cs="宋体"/>
                <w:color w:val="auto"/>
                <w:sz w:val="21"/>
                <w:szCs w:val="21"/>
                <w:highlight w:val="none"/>
              </w:rPr>
              <w:t xml:space="preserve">”样品进行评分： </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①产品主要尺寸、形状：样品的整体尺寸、台面厚度、书包斗储存区域宽度、挡条的高度、支撑桌腿尺寸以及及样品的整体样式。</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②材料要求：样品所选用台面材质、书包斗材质、支撑桌腿材质等原辅材料、配件与采购需求一致。</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台面表面有无空洞、有无杂色、有无气泡、有无釉面碎屑、有无断裂、有无脱层；产品表面漆膜是否有皱皮、发粘和流挂现象；金属管件有无脱焊、喷涂有无剥落、返锈；喷涂部分光滑度，板材的平整。</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④结构稳定及安全：样品整体稳定性、牢固性，台面与支撑桌腿的紧密度，挡条底部与铝板外翻边贴合度。</w:t>
            </w:r>
            <w:r/>
          </w:p>
          <w:p>
            <w:pPr>
              <w:numPr>
                <w:ilvl w:val="0"/>
                <w:numId w:val="13"/>
              </w:num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评委根据投标人提供“化学实验室五、六”的序号</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“多功能防溅水槽柜套装”样品进行评分： </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①产品主要尺寸、形状：样品的整体尺寸、水槽的深度、柜体下部内凹深度以及样品的整体样式。</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②材料要求：样品所选用水槽材质、柜体材质、供水终端材质等原辅材料、配件与采购需求一致。</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水槽四周是否带有挡水翻边；是否采用双层过滤形式，产品表面漆膜是否有皱皮、发粘和流挂现象；金属柜体有无脱焊、喷涂有无剥落、返锈；喷涂部分光滑度，柜体两侧采用圆角处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④结构稳定及安全：样品整体稳定性、牢固性，水槽与柜体的紧密度，柜门应开关灵活，无卡顿、异响现象，关闭后应严密无缝隙。</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br/>
            </w:r>
            <w:r>
              <w:rPr>
                <w:rFonts w:hint="eastAsia" w:ascii="宋体" w:hAnsi="宋体" w:cs="宋体"/>
                <w:b/>
                <w:bCs/>
                <w:color w:val="auto"/>
                <w:sz w:val="21"/>
                <w:szCs w:val="21"/>
                <w:highlight w:val="none"/>
              </w:rPr>
              <w:t xml:space="preserve">一、“实验六：测量空气中的声速”功能演示，要求如下: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1、实验过程中可进行远程设备操作；实验操作过程可进行录屏，自动记录实验者的全实验操作过程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2、自动处理实验数据和生成实验数据报告、软件平台内实验数据可在线记录,实验指导书可在线查看；</w:t>
            </w:r>
            <w:r/>
          </w:p>
          <w:p>
            <w:pPr>
              <w:ind w:left="0" w:firstLine="0"/>
              <w:jc w:val="lef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二、“实验三十二：光衍射设计实验”功能演示：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1、演示在衍射画板中，可以选择矩形、三角形、圆形、六边形等，观察接收屏的衍射图案变化。</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2、演示可以调整衍射屏尺寸、接收屏尺寸、光波波长、透镜焦距等几何参数，观察衍射图案变化。</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3、演示可画出任意形状的衍射图案，进行仿真。</w:t>
            </w:r>
            <w:r/>
          </w:p>
          <w:p>
            <w:pPr>
              <w:ind w:left="0" w:firstLine="0"/>
              <w:jc w:val="lef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w:t>
            </w:r>
            <w:r>
              <w:rPr>
                <w:rFonts w:hint="eastAsia" w:ascii="宋体" w:hAnsi="宋体" w:eastAsia="宋体" w:cs="宋体"/>
                <w:b/>
                <w:bCs/>
                <w:i w:val="0"/>
                <w:iCs w:val="0"/>
                <w:color w:val="auto"/>
                <w:sz w:val="21"/>
                <w:szCs w:val="21"/>
                <w:highlight w:val="none"/>
                <w:u w:val="none"/>
                <w:lang w:val="en-US" w:eastAsia="zh-CN" w:bidi="ar"/>
              </w:rPr>
              <w:t xml:space="preserve">教师数码显微镜</w:t>
            </w:r>
            <w:r>
              <w:rPr>
                <w:rFonts w:hint="eastAsia" w:ascii="宋体" w:hAnsi="宋体" w:cs="宋体"/>
                <w:b/>
                <w:bCs/>
                <w:color w:val="auto"/>
                <w:sz w:val="21"/>
                <w:szCs w:val="21"/>
                <w:highlight w:val="none"/>
              </w:rPr>
              <w:t xml:space="preserve">”功能演示：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演示机身自带显示屏具有一键拍照功能，通过屏幕显示光源亮度和色温，并可实时调节</w:t>
            </w:r>
            <w:r>
              <w:rPr>
                <w:rFonts w:hint="eastAsia" w:ascii="宋体" w:hAnsi="宋体" w:cs="宋体"/>
                <w:color w:val="auto"/>
                <w:sz w:val="21"/>
                <w:szCs w:val="21"/>
                <w:highlight w:val="none"/>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2、显微镜带计时模块，可显示开机使用时长。</w:t>
            </w:r>
            <w:r/>
          </w:p>
          <w:p>
            <w:pPr>
              <w:ind w:left="0" w:firstLine="0"/>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四、“教师端专业图像分析软件”功能演示：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1、演示通过调节传播率、潜伏期，观察病毒传染和动态清零的过程。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2、演示通过调节初始患者人数，观察病毒传染和动态清零的过程。</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3、演示通过调节防控政策，观察解读病毒传染和动态清零的过程。</w:t>
            </w:r>
            <w:r/>
          </w:p>
          <w:p>
            <w:pPr>
              <w:ind w:left="0" w:firstLine="0"/>
              <w:jc w:val="left"/>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RLC磁化率综合测试仪</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功能演示：</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1、演示RLC电路实验；</w:t>
            </w:r>
            <w:r/>
          </w:p>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演示RLC仿真实验，模拟RLC电路过程。</w:t>
            </w:r>
            <w:r/>
          </w:p>
        </w:tc>
      </w:tr>
    </w:tbl>
    <w:p>
      <w:pPr>
        <w:pStyle w:val="1008"/>
        <w:numPr>
          <w:ilvl w:val="0"/>
          <w:numId w:val="0"/>
        </w:num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keepLines w:val="0"/>
        <w:keepNext w:val="0"/>
        <w:pageBreakBefore w:val="0"/>
        <w:spacing w:line="40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 xml:space="preserve">须</w:t>
      </w:r>
      <w:r>
        <w:rPr>
          <w:rFonts w:hint="eastAsia" w:ascii="宋体" w:hAnsi="宋体" w:cs="宋体"/>
          <w:color w:val="auto"/>
          <w:highlight w:val="none"/>
        </w:rPr>
        <w:t xml:space="preserve">以原件扫描件形式上传</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否则不得分。</w:t>
      </w:r>
      <w:r/>
    </w:p>
    <w:p>
      <w:pPr>
        <w:numPr>
          <w:ilvl w:val="0"/>
          <w:numId w:val="0"/>
        </w:numPr>
        <w:ind w:left="0" w:firstLine="0"/>
        <w:jc w:val="left"/>
        <w:spacing w:before="120" w:after="120" w:line="360" w:lineRule="auto"/>
        <w:rPr>
          <w:color w:val="auto"/>
          <w:highlight w:val="none"/>
        </w:rPr>
      </w:pPr>
      <w:r>
        <w:rPr>
          <w:color w:val="auto"/>
          <w:highlight w:val="none"/>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numPr>
          <w:ilvl w:val="0"/>
          <w:numId w:val="0"/>
        </w:numPr>
        <w:ind w:firstLine="632"/>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w:t>
      </w:r>
      <w:r>
        <w:rPr>
          <w:rFonts w:hint="eastAsia" w:ascii="宋体" w:hAnsi="宋体" w:cs="宋体"/>
          <w:b/>
          <w:bCs/>
          <w:color w:val="auto"/>
          <w:sz w:val="21"/>
          <w:szCs w:val="21"/>
          <w:highlight w:val="none"/>
          <w:lang w:val="en-US" w:eastAsia="zh-CN" w:bidi="ar-SA"/>
        </w:rPr>
        <w:t xml:space="preserve">2史地数学功能室建设</w:t>
      </w:r>
      <w:r>
        <w:rPr>
          <w:rFonts w:hint="eastAsia" w:ascii="宋体" w:hAnsi="宋体" w:eastAsia="宋体" w:cs="宋体"/>
          <w:b/>
          <w:bCs/>
          <w:color w:val="auto"/>
          <w:sz w:val="21"/>
          <w:szCs w:val="21"/>
          <w:highlight w:val="none"/>
          <w:lang w:val="en-US" w:eastAsia="zh-CN" w:bidi="ar-SA"/>
        </w:rPr>
        <w:t xml:space="preserve">评标标准</w:t>
      </w:r>
      <w:r/>
    </w:p>
    <w:tbl>
      <w:tblPr>
        <w:tblStyle w:val="805"/>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000000" w:fill="ffffff"/>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000000" w:fill="ffffff"/>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17</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17</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ind w:left="0" w:firstLine="0"/>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项目人员配置</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拟</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rPr>
              <w:t xml:space="preserve">本项目的项目经理具有智能化系统集成项目经理高级证书</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得2分，</w:t>
            </w: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中级证书的得1分，其他不得分（提供证书</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及</w:t>
            </w:r>
            <w:r>
              <w:rPr>
                <w:rFonts w:hint="eastAsia" w:ascii="宋体" w:hAnsi="宋体" w:cs="宋体"/>
                <w:color w:val="auto"/>
                <w:sz w:val="21"/>
                <w:szCs w:val="21"/>
                <w:highlight w:val="none"/>
                <w:lang w:val="en-US" w:eastAsia="zh-CN"/>
              </w:rPr>
              <w:t xml:space="preserve">投标人为拟投入项目经理缴纳</w:t>
            </w:r>
            <w:r>
              <w:rPr>
                <w:rFonts w:hint="eastAsia" w:ascii="宋体" w:hAnsi="宋体" w:cs="宋体"/>
                <w:color w:val="auto"/>
                <w:sz w:val="21"/>
                <w:szCs w:val="21"/>
                <w:highlight w:val="none"/>
              </w:rPr>
              <w:t xml:space="preserve">的近3个月任意一个月社保证明材料扫描件，未提供或提供不全不得分）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根据项目现场实际情况与“项目采购需求”进行整体规划设计，根据投标人对招标范围内的空间所提供的平面布置图及布置说明方案、效果图与现场条件的匹配性、实用性、科学性，进行综合评分（平面布置图及布置说明方案每个空间不少于1张，不同角度效果图不少于2张）；图纸和说明方案规范，完整，准确性强，结构合理的，完全符合业主需求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分；图纸和说明方案较规范，相对完整，准确性较强，结构较合理的，相对符合业主需求的得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分。图纸和说明方案基本规范，基本完整，准确性较弱，结构基本合理的，基本符合业主需求的得1分。不提供不得分。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 </w:t>
            </w:r>
            <w:r/>
          </w:p>
        </w:tc>
        <w:tc>
          <w:tcPr>
            <w:shd w:val="clear" w:color="auto" w:fill="auto"/>
            <w:tcW w:w="4009" w:type="pct"/>
            <w:vAlign w:val="center"/>
            <w:textDirection w:val="lrTb"/>
            <w:noWrap w:val="false"/>
          </w:tcPr>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安装方案完整、合理可行，实施流程清晰明确，安全文明措施保障有力，得8分；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安装方案较完整、合理，实施流程较清晰，安全文明措施有保障，得6分；</w:t>
            </w:r>
            <w:r/>
          </w:p>
          <w:p>
            <w:p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安装方案概括、实施可行性一般，安全文明措施一般，得4分</w:t>
            </w:r>
            <w:r>
              <w:rPr>
                <w:rFonts w:hint="eastAsia" w:ascii="宋体" w:hAnsi="宋体" w:eastAsia="宋体" w:cs="宋体"/>
                <w:color w:val="auto"/>
                <w:sz w:val="21"/>
                <w:szCs w:val="21"/>
                <w:highlight w:val="none"/>
                <w:lang w:eastAsia="zh-CN"/>
              </w:rPr>
              <w:t xml:space="preserve">；</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安装方案不全，可行性低，得2分；</w:t>
            </w:r>
            <w:r/>
          </w:p>
          <w:p>
            <w:pPr>
              <w:ind w:left="0" w:firstLine="0"/>
              <w:jc w:val="left"/>
              <w:widowControl/>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方案紊乱或</w:t>
            </w:r>
            <w:r>
              <w:rPr>
                <w:rFonts w:hint="eastAsia" w:ascii="宋体" w:hAnsi="宋体" w:eastAsia="宋体" w:cs="宋体"/>
                <w:color w:val="auto"/>
                <w:sz w:val="21"/>
                <w:szCs w:val="21"/>
                <w:highlight w:val="none"/>
                <w:lang w:eastAsia="zh-CN"/>
              </w:rPr>
              <w:t xml:space="preserve">未</w:t>
            </w:r>
            <w:r>
              <w:rPr>
                <w:rFonts w:hint="eastAsia" w:ascii="宋体" w:hAnsi="宋体" w:eastAsia="宋体" w:cs="宋体"/>
                <w:color w:val="auto"/>
                <w:sz w:val="21"/>
                <w:szCs w:val="21"/>
                <w:highlight w:val="none"/>
              </w:rPr>
              <w:t xml:space="preserve">提供的不得分。</w:t>
            </w:r>
            <w:r/>
          </w:p>
        </w:tc>
      </w:tr>
      <w:tr>
        <w:trPr>
          <w:jc w:val="center"/>
          <w:trHeight w:val="20"/>
        </w:trPr>
        <w:tc>
          <w:tcPr>
            <w:shd w:val="clear" w:color="auto" w:fill="auto"/>
            <w:tcW w:w="990" w:type="pct"/>
            <w:vAlign w:val="center"/>
            <w:textDirection w:val="lrTb"/>
            <w:noWrap w:val="false"/>
          </w:tcPr>
          <w:p>
            <w:pPr>
              <w:jc w:val="center"/>
              <w:rPr>
                <w:color w:val="auto"/>
                <w:szCs w:val="21"/>
                <w:highlight w:val="none"/>
              </w:rPr>
            </w:pPr>
            <w:r>
              <w:rPr>
                <w:rFonts w:hint="eastAsia" w:ascii="宋体" w:hAnsi="宋体" w:cs="宋体"/>
                <w:color w:val="auto"/>
                <w:sz w:val="21"/>
                <w:szCs w:val="21"/>
                <w:highlight w:val="none"/>
              </w:rPr>
              <w:t xml:space="preserve">质量保证体系及安装安全保障方案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vMerge w:val="restart"/>
            <w:textDirection w:val="lrTb"/>
            <w:noWrap w:val="false"/>
          </w:tcPr>
          <w:p>
            <w:pPr>
              <w:jc w:val="center"/>
              <w:rPr>
                <w:color w:val="auto"/>
                <w:szCs w:val="21"/>
                <w:highlight w:val="none"/>
              </w:rPr>
            </w:pPr>
            <w:r>
              <w:rPr>
                <w:rFonts w:hint="eastAsia" w:ascii="宋体" w:hAnsi="宋体" w:cs="宋体"/>
                <w:color w:val="auto"/>
                <w:sz w:val="21"/>
                <w:szCs w:val="21"/>
                <w:highlight w:val="none"/>
              </w:rPr>
              <w:t xml:space="preserve">售后服务方案情况</w:t>
            </w:r>
            <w:r/>
          </w:p>
          <w:p>
            <w:pPr>
              <w:ind w:firstLine="0"/>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firstLine="42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分；售后服务方案较完整，针对性较强，可操作性较强的得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分；售后服务方案基本完整，针对性较弱，可操作性较弱的得1分。不提供不得分。</w:t>
            </w:r>
            <w:r/>
          </w:p>
        </w:tc>
      </w:tr>
      <w:tr>
        <w:trPr>
          <w:jc w:val="center"/>
          <w:trHeight w:val="20"/>
        </w:trPr>
        <w:tc>
          <w:tcPr>
            <w:shd w:val="clear" w:color="auto" w:fill="auto"/>
            <w:tcW w:w="990" w:type="pct"/>
            <w:vAlign w:val="center"/>
            <w:vMerge w:val="continue"/>
            <w:textDirection w:val="lrTb"/>
            <w:noWrap w:val="false"/>
          </w:tcPr>
          <w:p>
            <w:pPr>
              <w:ind w:firstLine="420"/>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W w:w="4009" w:type="pct"/>
            <w:vAlign w:val="center"/>
            <w:textDirection w:val="lrTb"/>
            <w:noWrap w:val="false"/>
          </w:tcPr>
          <w:p>
            <w:pPr>
              <w:ind w:firstLine="42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提供24小时售后服务电话，接到使用单位维修通知后2小时内到达现场的得3分；2小时后3小时内到达现场的，得2分；3小时后4小时内到达现场的，得1分，超过4小时到达的不得分。注：提供承诺书扫描上传，</w:t>
            </w:r>
            <w:r>
              <w:rPr>
                <w:rFonts w:hint="eastAsia" w:ascii="宋体" w:hAnsi="宋体" w:eastAsia="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lang w:eastAsia="zh-CN"/>
              </w:rPr>
              <w:t xml:space="preserve">未</w:t>
            </w:r>
            <w:r>
              <w:rPr>
                <w:rFonts w:hint="eastAsia" w:ascii="宋体" w:hAnsi="宋体" w:eastAsia="宋体" w:cs="宋体"/>
                <w:color w:val="auto"/>
                <w:sz w:val="21"/>
                <w:szCs w:val="21"/>
                <w:highlight w:val="none"/>
              </w:rPr>
              <w:t xml:space="preserve">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br/>
            </w:r>
            <w:r>
              <w:rPr>
                <w:rFonts w:hint="eastAsia" w:ascii="宋体" w:hAnsi="宋体" w:cs="宋体"/>
                <w:b/>
                <w:bCs/>
                <w:color w:val="auto"/>
                <w:sz w:val="21"/>
                <w:szCs w:val="21"/>
                <w:highlight w:val="none"/>
              </w:rPr>
              <w:t xml:space="preserve">一、“数学建模软件”功能演示，要求如下: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1.软件用户界面兼具文字处理和数学计算功能，能够在单个文件中能组合数学运算、图形动画、文字、视频等，可以使用手写识别器输入数学符号，对输入的数学公式能够使用智能关联菜单完成常规数学运算。</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2.数学函数：能够完成各种科学计算，包括代数、微分方程、线性代数、积分和离散变换、概率论和数理统计等。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3.连接手机：支持通过手机APP，用手机相机扫入数学问题。</w:t>
            </w:r>
            <w:r/>
          </w:p>
          <w:p>
            <w:pPr>
              <w:ind w:left="0" w:firstLine="0"/>
              <w:jc w:val="lef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w:t>
            </w:r>
            <w:r>
              <w:rPr>
                <w:rFonts w:hint="eastAsia" w:ascii="宋体" w:hAnsi="宋体" w:cs="宋体"/>
                <w:b/>
                <w:bCs/>
                <w:color w:val="auto"/>
                <w:sz w:val="21"/>
                <w:szCs w:val="21"/>
                <w:highlight w:val="none"/>
                <w:lang w:bidi="ar"/>
              </w:rPr>
              <w:t xml:space="preserve">数字星球系统学习套装</w:t>
            </w:r>
            <w:r>
              <w:rPr>
                <w:rFonts w:hint="eastAsia" w:ascii="宋体" w:hAnsi="宋体" w:cs="宋体"/>
                <w:b/>
                <w:bCs/>
                <w:color w:val="auto"/>
                <w:sz w:val="21"/>
                <w:szCs w:val="21"/>
                <w:highlight w:val="none"/>
              </w:rPr>
              <w:t xml:space="preserve">”中“万有引力仿真实验软件”功能演示：</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1.可以通过拖拽卫星靠近地球，可查看当前框中显示的万有引力大小，调节参数栏的卫星轨道参数查看不同高度下的卫星受到引力如何变化</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2.可以通过拖拽月球靠近地球，通过改变地月距离与地球质量、半径等参数观察地月的引力变化。</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3.可以利用山峰简图，拖拽人体改变人在山上的不同高度，展示人体受到的不同重力。</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4.可以通过调整山的高度、山的斜坡角度、山的密度等参数，展示人体受到的不同重力。</w:t>
            </w:r>
            <w:r/>
          </w:p>
          <w:p>
            <w:pPr>
              <w:ind w:left="0" w:firstLine="0"/>
              <w:jc w:val="lef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三、“数字历史沿革系统”功能演示：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1、拖动时间轴，演示公元前3000年到公元2008年的全球地图变化；演示历史变迁模块中历史事件不少于5个、人物不少于5个、文化、历史小故事相关内容</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2、演示历史变迁、历史人物地图模式与列表文字模式可以来回切换，并演示公元1600-1980年的列表内容；</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3、点击地图模式的光标，能同时出现历史变迁事件、历史人物、历史文物的列表清单，并将列表清单显示在对应区域的位置，进行对比演示，点触列表清单演示具体事件、人物的详情内容。</w:t>
            </w:r>
            <w:r/>
          </w:p>
          <w:p>
            <w:pPr>
              <w:ind w:left="0" w:firstLine="0"/>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编木拱桥演示模型</w:t>
            </w:r>
            <w:r>
              <w:rPr>
                <w:rFonts w:hint="eastAsia" w:ascii="宋体" w:hAnsi="宋体" w:cs="宋体"/>
                <w:b/>
                <w:bCs/>
                <w:color w:val="auto"/>
                <w:sz w:val="21"/>
                <w:szCs w:val="21"/>
                <w:highlight w:val="none"/>
              </w:rPr>
              <w:t xml:space="preserve">”功能演示：</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1、两款桥体精准还原原型结构，搭建好的虹桥复刻《清明上河图》中宋代编木拱桥的榫卯编织、拱架受力结构，搭建好的廊桥精准还原闽浙传统古廊桥的梁柱构架、桥体造型等核心构造</w:t>
            </w:r>
            <w:r>
              <w:rPr>
                <w:rFonts w:hint="eastAsia" w:ascii="宋体" w:hAnsi="宋体" w:cs="宋体"/>
                <w:color w:val="auto"/>
                <w:sz w:val="21"/>
                <w:szCs w:val="21"/>
                <w:highlight w:val="none"/>
                <w:lang w:eastAsia="zh-CN"/>
              </w:rPr>
              <w:t xml:space="preserve">。</w:t>
            </w:r>
            <w:r/>
          </w:p>
          <w:p>
            <w:pPr>
              <w:ind w:left="0" w:firstLine="0"/>
              <w:jc w:val="left"/>
              <w:widowControl/>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t xml:space="preserve">2、现场拆装实操演示，两款桥体均搭载适配教学的模块化互动结构，支持全程顺畅拆装、反复循环使用，操作流程简便无卡顿、拼接牢固不松垮</w:t>
            </w:r>
            <w:r>
              <w:rPr>
                <w:rFonts w:hint="eastAsia" w:ascii="宋体" w:hAnsi="宋体" w:cs="宋体"/>
                <w:color w:val="auto"/>
                <w:sz w:val="21"/>
                <w:szCs w:val="21"/>
                <w:highlight w:val="none"/>
                <w:lang w:eastAsia="zh-CN"/>
              </w:rPr>
              <w:t xml:space="preserve">。</w:t>
            </w:r>
            <w:r/>
          </w:p>
        </w:tc>
      </w:tr>
    </w:tbl>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spacing w:line="400" w:lineRule="exact"/>
        <w:rPr>
          <w:color w:val="auto"/>
          <w:highlight w:val="none"/>
        </w:rPr>
      </w:pPr>
      <w:r>
        <w:rPr>
          <w:rFonts w:hint="eastAsia" w:ascii="宋体" w:hAnsi="宋体" w:cs="宋体"/>
          <w:color w:val="auto"/>
          <w:highlight w:val="none"/>
        </w:rPr>
        <w:t xml:space="preserve">2、以上参与评分的相关证书、合同等其他证明材料，均须以原件扫描件形式上传，否则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rPr>
          <w:color w:val="auto"/>
          <w:highlight w:val="none"/>
        </w:rPr>
      </w:pPr>
      <w:r>
        <w:rPr>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w:t>
      </w:r>
      <w:r>
        <w:rPr>
          <w:rFonts w:hint="eastAsia" w:ascii="宋体" w:hAnsi="宋体" w:cs="宋体"/>
          <w:b/>
          <w:bCs/>
          <w:color w:val="auto"/>
          <w:sz w:val="21"/>
          <w:szCs w:val="21"/>
          <w:highlight w:val="none"/>
          <w:lang w:val="en-US" w:eastAsia="zh-CN" w:bidi="ar-SA"/>
        </w:rPr>
        <w:t xml:space="preserve">3通用技术教室</w:t>
      </w:r>
      <w:r>
        <w:rPr>
          <w:rFonts w:hint="eastAsia" w:ascii="宋体" w:hAnsi="宋体" w:eastAsia="宋体" w:cs="宋体"/>
          <w:b/>
          <w:bCs/>
          <w:color w:val="auto"/>
          <w:sz w:val="21"/>
          <w:szCs w:val="21"/>
          <w:highlight w:val="none"/>
          <w:lang w:val="en-US" w:eastAsia="zh-CN" w:bidi="ar-SA"/>
        </w:rPr>
        <w:t xml:space="preserve">评标标准</w:t>
      </w:r>
      <w:r/>
    </w:p>
    <w:tbl>
      <w:tblPr>
        <w:tblStyle w:val="805"/>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7185"/>
      </w:tblGrid>
      <w:tr>
        <w:trPr>
          <w:jc w:val="center"/>
          <w:trHeight w:val="20"/>
        </w:trPr>
        <w:tc>
          <w:tcPr>
            <w:shd w:val="clear" w:color="000000" w:fill="ffffff"/>
            <w:tcW w:w="98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000000" w:fill="ffffff"/>
            <w:tcW w:w="401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分）</w:t>
            </w:r>
            <w:r/>
          </w:p>
        </w:tc>
        <w:tc>
          <w:tcPr>
            <w:shd w:val="clear" w:color="auto" w:fill="auto"/>
            <w:tcW w:w="4010"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（6分）</w:t>
            </w:r>
            <w:r/>
          </w:p>
        </w:tc>
        <w:tc>
          <w:tcPr>
            <w:shd w:val="clear" w:color="auto" w:fill="auto"/>
            <w:tcW w:w="4010"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根据项目现场实际情况与“项目采购需求”进行整体规划设计，根据投标人对招标范围内的空间所提供的平面布置图及布置说明方案、效果图与现场条件的匹配性、实用性、科学性，进行综合评分（平面布置图及布置说明方案每个空间不少于1张，不同角度效果图不少于2张）；图纸和说明方案规范，完整，准确性强，结构合理的，完全符合业主需求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分；图纸和说明方案较规范，相对完整，准确性较强，结构较合理的，相对符合业主需求的得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分。图纸和说明方案基本规范，基本完整，准确性较弱，结构基本合理的，基本符合业主需求的得1分。不提供不得分。</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 </w:t>
            </w:r>
            <w:r/>
          </w:p>
        </w:tc>
        <w:tc>
          <w:tcPr>
            <w:shd w:val="clear" w:color="auto" w:fill="auto"/>
            <w:tcW w:w="4010" w:type="pct"/>
            <w:vAlign w:val="center"/>
            <w:textDirection w:val="lrTb"/>
            <w:noWrap w:val="false"/>
          </w:tcPr>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安装方案完整、合理可行，实施流程清晰明确，安全文明措施保障有力，得8分；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安装方案较完整、合理，实施流程较清晰，安全文明措施有保障，得6分；</w:t>
            </w:r>
            <w:r/>
          </w:p>
          <w:p>
            <w:p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安装方案概括、实施可行性一般，安全文明措施一般，得4分</w:t>
            </w:r>
            <w:r>
              <w:rPr>
                <w:rFonts w:hint="eastAsia" w:ascii="宋体" w:hAnsi="宋体" w:eastAsia="宋体" w:cs="宋体"/>
                <w:color w:val="auto"/>
                <w:sz w:val="21"/>
                <w:szCs w:val="21"/>
                <w:highlight w:val="none"/>
                <w:lang w:eastAsia="zh-CN"/>
              </w:rPr>
              <w:t xml:space="preserve">；</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安装方案不全，可行性低，得2分；</w:t>
            </w:r>
            <w:r/>
          </w:p>
          <w:p>
            <w:pPr>
              <w:ind w:left="0" w:firstLine="0"/>
              <w:jc w:val="left"/>
              <w:widowControl/>
              <w:rPr>
                <w:color w:val="auto"/>
                <w:szCs w:val="21"/>
                <w:highlight w:val="none"/>
              </w:rPr>
            </w:pPr>
            <w:r>
              <w:rPr>
                <w:rFonts w:hint="eastAsia" w:ascii="宋体" w:hAnsi="宋体" w:eastAsia="宋体" w:cs="宋体"/>
                <w:color w:val="auto"/>
                <w:sz w:val="21"/>
                <w:szCs w:val="21"/>
                <w:highlight w:val="none"/>
              </w:rPr>
              <w:t xml:space="preserve">方案紊乱或</w:t>
            </w:r>
            <w:r>
              <w:rPr>
                <w:rFonts w:hint="eastAsia" w:ascii="宋体" w:hAnsi="宋体" w:eastAsia="宋体" w:cs="宋体"/>
                <w:color w:val="auto"/>
                <w:sz w:val="21"/>
                <w:szCs w:val="21"/>
                <w:highlight w:val="none"/>
                <w:lang w:eastAsia="zh-CN"/>
              </w:rPr>
              <w:t xml:space="preserve">未</w:t>
            </w:r>
            <w:r>
              <w:rPr>
                <w:rFonts w:hint="eastAsia" w:ascii="宋体" w:hAnsi="宋体" w:eastAsia="宋体" w:cs="宋体"/>
                <w:color w:val="auto"/>
                <w:sz w:val="21"/>
                <w:szCs w:val="21"/>
                <w:highlight w:val="none"/>
              </w:rPr>
              <w:t xml:space="preserve">提供的不得分。</w:t>
            </w:r>
            <w:r/>
          </w:p>
        </w:tc>
      </w:tr>
      <w:tr>
        <w:trPr>
          <w:jc w:val="center"/>
          <w:trHeight w:val="20"/>
        </w:trPr>
        <w:tc>
          <w:tcPr>
            <w:shd w:val="clear" w:color="auto" w:fill="auto"/>
            <w:tcW w:w="989" w:type="pct"/>
            <w:vAlign w:val="center"/>
            <w:textDirection w:val="lrTb"/>
            <w:noWrap w:val="false"/>
          </w:tcPr>
          <w:p>
            <w:pPr>
              <w:ind w:lef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项目应急方案、验收方案</w:t>
            </w:r>
            <w:r/>
          </w:p>
          <w:p>
            <w:pPr>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4010" w:type="pct"/>
            <w:vAlign w:val="center"/>
            <w:textDirection w:val="lrTb"/>
            <w:noWrap w:val="false"/>
          </w:tcPr>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针对本项目制定的质量问题应急处理方案：</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应急方案考虑周全，处理方式合理得当得5分；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应急方案有一定欠缺，处理方式基本合理得3分；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应急方案不可行或者处理方式不得当的得1分；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未提供应急处理方案的不得分。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针对本项目制定的验收方案：</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验收方案完整，标准合理，程序可行的得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验收方案较完整、标准较合理，程序较可行的得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验收方案不全或者标准不明确、程序不清晰的得1分；</w:t>
            </w:r>
            <w:r/>
          </w:p>
          <w:p>
            <w:pPr>
              <w:ind w:left="0" w:firstLine="0"/>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未提供验收方案的不得分。</w:t>
            </w:r>
            <w:r/>
          </w:p>
        </w:tc>
      </w:tr>
      <w:tr>
        <w:trPr>
          <w:jc w:val="center"/>
          <w:trHeight w:val="20"/>
        </w:trPr>
        <w:tc>
          <w:tcPr>
            <w:shd w:val="clear" w:color="auto" w:fill="auto"/>
            <w:tcW w:w="989" w:type="pct"/>
            <w:vAlign w:val="center"/>
            <w:vMerge w:val="restart"/>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分；售后服务方案较完整，针对性较强，可操作性较强的得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分；售后服务方案基本完整，针对性较弱，可操作性较弱的得1分。不提供不得分。</w:t>
            </w:r>
            <w:r/>
          </w:p>
        </w:tc>
      </w:tr>
      <w:tr>
        <w:trPr>
          <w:jc w:val="center"/>
          <w:trHeight w:val="20"/>
        </w:trPr>
        <w:tc>
          <w:tcPr>
            <w:shd w:val="clear" w:color="auto" w:fill="auto"/>
            <w:tcW w:w="989" w:type="pct"/>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W w:w="4010"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提供24小时售后服务电话，接到使用单位维修通知后2小时内到达现场的得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分；2小时后3小时内到达现场的，得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分；3小时后4小时内到达现场的，得1分，超过4小时到达的不得分。注：提供承诺书扫描上传，</w:t>
            </w:r>
            <w:r>
              <w:rPr>
                <w:rFonts w:hint="eastAsia" w:ascii="宋体" w:hAnsi="宋体" w:eastAsia="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lang w:eastAsia="zh-CN"/>
              </w:rPr>
              <w:t xml:space="preserve">未</w:t>
            </w:r>
            <w:r>
              <w:rPr>
                <w:rFonts w:hint="eastAsia" w:ascii="宋体" w:hAnsi="宋体" w:eastAsia="宋体" w:cs="宋体"/>
                <w:color w:val="auto"/>
                <w:sz w:val="21"/>
                <w:szCs w:val="21"/>
                <w:highlight w:val="none"/>
              </w:rPr>
              <w:t xml:space="preserve">提供不得分。</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样品展示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shd w:val="clear" w:color="auto" w:fill="auto"/>
            <w:tcW w:w="4010" w:type="pct"/>
            <w:textDirection w:val="lrTb"/>
            <w:noWrap w:val="false"/>
          </w:tcPr>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一、评委根据投标人提供“</w:t>
            </w:r>
            <w:r>
              <w:rPr>
                <w:rFonts w:hint="eastAsia" w:ascii="宋体" w:hAnsi="宋体" w:eastAsia="宋体" w:cs="宋体"/>
                <w:i w:val="0"/>
                <w:iCs w:val="0"/>
                <w:color w:val="auto"/>
                <w:sz w:val="21"/>
                <w:szCs w:val="21"/>
                <w:highlight w:val="none"/>
                <w:u w:val="none"/>
                <w:lang w:val="en-US" w:eastAsia="zh-CN" w:bidi="ar"/>
              </w:rPr>
              <w:t xml:space="preserve">芯片加工中心</w:t>
            </w:r>
            <w:r>
              <w:rPr>
                <w:rFonts w:hint="eastAsia" w:ascii="宋体" w:hAnsi="宋体" w:cs="宋体"/>
                <w:color w:val="auto"/>
                <w:sz w:val="21"/>
                <w:szCs w:val="21"/>
                <w:highlight w:val="none"/>
              </w:rPr>
              <w:t xml:space="preserve">”样品进行评分： </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①产品主要尺寸、形状：样品的整体尺寸</w:t>
            </w:r>
            <w:r>
              <w:rPr>
                <w:rFonts w:hint="eastAsia" w:ascii="宋体" w:hAnsi="宋体" w:cs="宋体"/>
                <w:color w:val="auto"/>
                <w:sz w:val="21"/>
                <w:szCs w:val="21"/>
                <w:highlight w:val="none"/>
                <w:lang w:val="en-US" w:eastAsia="zh-CN"/>
              </w:rPr>
              <w:t xml:space="preserve">及工作台尺寸等。</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w:t>
            </w:r>
            <w:r>
              <w:rPr>
                <w:rFonts w:hint="eastAsia" w:ascii="宋体" w:hAnsi="宋体" w:cs="宋体"/>
                <w:color w:val="auto"/>
                <w:sz w:val="21"/>
                <w:szCs w:val="21"/>
                <w:highlight w:val="none"/>
                <w:lang w:val="en-US" w:eastAsia="zh-CN"/>
              </w:rPr>
              <w:t xml:space="preserve">底座、工作台</w:t>
            </w:r>
            <w:r>
              <w:rPr>
                <w:rFonts w:hint="eastAsia" w:ascii="宋体" w:hAnsi="宋体" w:cs="宋体"/>
                <w:color w:val="auto"/>
                <w:sz w:val="21"/>
                <w:szCs w:val="21"/>
                <w:highlight w:val="none"/>
              </w:rPr>
              <w:t xml:space="preserve">与采购需求一致。</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w:t>
            </w:r>
            <w:r>
              <w:rPr>
                <w:rFonts w:hint="eastAsia" w:ascii="宋体" w:hAnsi="宋体" w:cs="宋体"/>
                <w:color w:val="auto"/>
                <w:sz w:val="21"/>
                <w:szCs w:val="21"/>
                <w:highlight w:val="none"/>
                <w:lang w:val="en-US" w:eastAsia="zh-CN"/>
              </w:rPr>
              <w:t xml:space="preserve">底座</w:t>
            </w:r>
            <w:r>
              <w:rPr>
                <w:rFonts w:hint="eastAsia" w:ascii="宋体" w:hAnsi="宋体" w:cs="宋体"/>
                <w:color w:val="auto"/>
                <w:sz w:val="21"/>
                <w:szCs w:val="21"/>
                <w:highlight w:val="none"/>
              </w:rPr>
              <w:t xml:space="preserve">表面有无空洞、有无杂色、有无气泡</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整体美观性</w:t>
            </w:r>
            <w:r>
              <w:rPr>
                <w:rFonts w:hint="eastAsia" w:ascii="宋体" w:hAnsi="宋体" w:cs="宋体"/>
                <w:color w:val="auto"/>
                <w:sz w:val="21"/>
                <w:szCs w:val="21"/>
                <w:highlight w:val="none"/>
              </w:rPr>
              <w:t xml:space="preserve">。</w:t>
            </w:r>
            <w:r/>
          </w:p>
          <w:p>
            <w:pPr>
              <w:ind w:left="0" w:firstLine="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tc>
      </w:tr>
      <w:tr>
        <w:trPr>
          <w:jc w:val="center"/>
          <w:trHeight w:val="20"/>
        </w:trPr>
        <w:tc>
          <w:tcPr>
            <w:shd w:val="clear" w:color="auto" w:fill="auto"/>
            <w:tcW w:w="9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10" w:type="pct"/>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br/>
            </w:r>
            <w:r>
              <w:rPr>
                <w:rFonts w:hint="eastAsia" w:ascii="宋体" w:hAnsi="宋体" w:cs="宋体"/>
                <w:b/>
                <w:bCs/>
                <w:color w:val="auto"/>
                <w:sz w:val="21"/>
                <w:szCs w:val="21"/>
                <w:highlight w:val="none"/>
              </w:rPr>
              <w:t xml:space="preserve">一、“</w:t>
            </w:r>
            <w:r>
              <w:rPr>
                <w:rFonts w:hint="eastAsia" w:ascii="宋体" w:hAnsi="宋体" w:eastAsia="宋体" w:cs="宋体"/>
                <w:b/>
                <w:bCs/>
                <w:i w:val="0"/>
                <w:iCs w:val="0"/>
                <w:color w:val="auto"/>
                <w:sz w:val="21"/>
                <w:szCs w:val="21"/>
                <w:highlight w:val="none"/>
                <w:u w:val="none"/>
                <w:lang w:val="en-US" w:eastAsia="zh-CN" w:bidi="ar"/>
              </w:rPr>
              <w:t xml:space="preserve">芯片加工中心</w:t>
            </w:r>
            <w:r>
              <w:rPr>
                <w:rFonts w:hint="eastAsia" w:ascii="宋体" w:hAnsi="宋体" w:cs="宋体"/>
                <w:b/>
                <w:bCs/>
                <w:color w:val="auto"/>
                <w:sz w:val="21"/>
                <w:szCs w:val="21"/>
                <w:highlight w:val="none"/>
              </w:rPr>
              <w:t xml:space="preserve">”功能演示，要求如下:</w:t>
            </w:r>
            <w:r/>
          </w:p>
          <w:p>
            <w:pPr>
              <w:numPr>
                <w:ilvl w:val="0"/>
                <w:numId w:val="14"/>
              </w:numPr>
              <w:widowControl/>
              <w:rPr>
                <w:color w:val="auto"/>
                <w:szCs w:val="21"/>
                <w:highlight w:val="none"/>
              </w:rPr>
            </w:pPr>
            <w:r>
              <w:rPr>
                <w:rFonts w:hint="eastAsia" w:ascii="宋体" w:hAnsi="宋体" w:eastAsia="宋体" w:cs="宋体"/>
                <w:color w:val="auto"/>
                <w:sz w:val="21"/>
                <w:szCs w:val="21"/>
                <w:highlight w:val="none"/>
                <w:lang w:val="en-US" w:eastAsia="zh-CN"/>
              </w:rPr>
              <w:t xml:space="preserve">演示手轮控制机床X,Y,Z三轴移动，分别演示单次移动距离为0.01mm，0.1mm，1mm，并在电脑上显示相应移动距离。</w:t>
            </w:r>
            <w:r/>
          </w:p>
          <w:p>
            <w:pP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2、软件上自带圆形图形，矩形图形等编辑功能，可自动产生刀具路径，并可模拟演示该刀具路径运行。</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3、演示机器运行过程中，控制盒和软件上都可手动控制机床暂停、继续加工、紧急停止功能。</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4、演示通过手机控制设备X、Y、Z三轴移动，且手机控制界面与软件界面坐标实时同步。</w:t>
            </w:r>
            <w:r/>
          </w:p>
          <w:p>
            <w:pPr>
              <w:widowControl/>
              <w:rPr>
                <w:rFonts w:hint="default"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5、演示设备运行程序，可进行X、Y、Z三轴联动功能演示。</w:t>
            </w:r>
            <w:r/>
          </w:p>
        </w:tc>
      </w:tr>
    </w:tbl>
    <w:p>
      <w:pPr>
        <w:keepLines w:val="0"/>
        <w:keepNext w:val="0"/>
        <w:pageBreakBefore w:val="0"/>
        <w:spacing w:line="360" w:lineRule="auto"/>
        <w:rPr>
          <w:color w:val="auto"/>
          <w:highlight w:val="none"/>
        </w:rPr>
      </w:pPr>
      <w:r>
        <w:rPr>
          <w:color w:val="auto"/>
          <w:highlight w:val="none"/>
        </w:rPr>
      </w:r>
      <w:r/>
    </w:p>
    <w:p>
      <w:pPr>
        <w:keepLines w:val="0"/>
        <w:keepNext w:val="0"/>
        <w:pageBreakBefore w:val="0"/>
        <w:spacing w:line="40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 xml:space="preserve">须</w:t>
      </w:r>
      <w:r>
        <w:rPr>
          <w:rFonts w:hint="eastAsia" w:ascii="宋体" w:hAnsi="宋体" w:cs="宋体"/>
          <w:color w:val="auto"/>
          <w:highlight w:val="none"/>
        </w:rPr>
        <w:t xml:space="preserve">以原件扫描件形式上传</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否则不得分。</w:t>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clear="all"/>
      </w:r>
      <w:r/>
    </w:p>
    <w:p>
      <w:pPr>
        <w:pStyle w:val="795"/>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821"/>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821"/>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821"/>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96"/>
        <w:numPr>
          <w:ilvl w:val="0"/>
          <w:numId w:val="15"/>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7159"/>
      <w:r/>
      <w:bookmarkStart w:id="60" w:name="_Toc9167"/>
      <w:r>
        <w:rPr>
          <w:rFonts w:hint="eastAsia" w:asciiTheme="minorEastAsia" w:hAnsiTheme="minorEastAsia" w:eastAsiaTheme="minorEastAsia"/>
          <w:color w:val="auto"/>
          <w:sz w:val="32"/>
          <w:highlight w:val="none"/>
        </w:rPr>
        <w:t xml:space="preserve">资格审查响应对照表</w:t>
      </w:r>
      <w:bookmarkEnd w:id="59"/>
      <w:r/>
      <w:bookmarkEnd w:id="60"/>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21"/>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86"/>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8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8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8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8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8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8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8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8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87"/>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8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8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8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87"/>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8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8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8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87"/>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Cs/>
          <w:color w:val="auto"/>
          <w:highlight w:val="none"/>
        </w:rPr>
        <w:t xml:space="preserve">被授权人身份证复印件</w:t>
      </w:r>
      <w:r/>
    </w:p>
    <w:p>
      <w:pPr>
        <w:pStyle w:val="796"/>
        <w:spacing w:line="360" w:lineRule="auto"/>
        <w:rPr>
          <w:rFonts w:asciiTheme="minorEastAsia" w:hAnsiTheme="minorEastAsia" w:eastAsiaTheme="minorEastAsia"/>
          <w:color w:val="auto"/>
          <w:sz w:val="32"/>
          <w:highlight w:val="none"/>
        </w:rPr>
      </w:pPr>
      <w:r/>
      <w:bookmarkStart w:id="61" w:name="_Toc27055"/>
      <w:r/>
      <w:bookmarkStart w:id="62" w:name="_Toc13313"/>
      <w:r>
        <w:rPr>
          <w:rFonts w:hint="eastAsia" w:asciiTheme="minorEastAsia" w:hAnsiTheme="minorEastAsia" w:eastAsiaTheme="minorEastAsia"/>
          <w:color w:val="auto"/>
          <w:sz w:val="32"/>
          <w:highlight w:val="none"/>
        </w:rPr>
        <w:t xml:space="preserve">二、符合性审查响应对照表</w:t>
      </w:r>
      <w:bookmarkEnd w:id="61"/>
      <w:r/>
      <w:bookmarkEnd w:id="62"/>
      <w:r/>
      <w:r/>
    </w:p>
    <w:tbl>
      <w:tblPr>
        <w:tblStyle w:val="805"/>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96"/>
        <w:spacing w:line="360" w:lineRule="auto"/>
        <w:rPr>
          <w:rFonts w:hint="eastAsia" w:asciiTheme="minorEastAsia" w:hAnsiTheme="minorEastAsia" w:eastAsiaTheme="minorEastAsia"/>
          <w:color w:val="auto"/>
          <w:sz w:val="32"/>
          <w:highlight w:val="none"/>
        </w:rPr>
      </w:pPr>
      <w:r/>
      <w:bookmarkStart w:id="63" w:name="_Toc17600"/>
      <w:r/>
      <w:bookmarkStart w:id="64" w:name="_Toc30257"/>
      <w:r/>
      <w:r/>
    </w:p>
    <w:p>
      <w:pPr>
        <w:pStyle w:val="796"/>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3"/>
      <w:r/>
      <w:bookmarkEnd w:id="64"/>
      <w:r/>
      <w:r/>
    </w:p>
    <w:tbl>
      <w:tblPr>
        <w:tblStyle w:val="805"/>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96"/>
        <w:jc w:val="center"/>
        <w:spacing w:before="300" w:after="300" w:line="360" w:lineRule="auto"/>
        <w:widowControl/>
        <w:rPr>
          <w:rFonts w:ascii="宋体" w:hAnsi="宋体"/>
          <w:color w:val="auto"/>
          <w:sz w:val="21"/>
          <w:szCs w:val="21"/>
          <w:highlight w:val="none"/>
        </w:rPr>
      </w:pPr>
      <w:r/>
      <w:bookmarkStart w:id="65" w:name="_Toc14516"/>
      <w:r/>
      <w:bookmarkStart w:id="66" w:name="_Toc20920"/>
      <w:r/>
      <w:bookmarkStart w:id="67" w:name="_Toc29667"/>
      <w:r>
        <w:rPr>
          <w:rFonts w:hint="eastAsia" w:ascii="宋体" w:hAnsi="宋体" w:cs="微软雅黑"/>
          <w:bCs w:val="0"/>
          <w:color w:val="auto"/>
          <w:sz w:val="21"/>
          <w:szCs w:val="21"/>
          <w:highlight w:val="none"/>
        </w:rPr>
        <w:t xml:space="preserve">中小微企业划型标准 </w:t>
      </w:r>
      <w:bookmarkEnd w:id="65"/>
      <w:r/>
      <w:bookmarkEnd w:id="66"/>
      <w:r/>
      <w:bookmarkEnd w:id="67"/>
      <w:r/>
      <w:r/>
    </w:p>
    <w:p>
      <w:pPr>
        <w:pStyle w:val="829"/>
        <w:ind w:firstLine="420"/>
        <w:keepLines w:val="0"/>
        <w:keepNext w:val="0"/>
        <w:pageBreakBefore w:val="0"/>
        <w:spacing w:before="300" w:after="212" w:line="360" w:lineRule="auto"/>
        <w:widowControl/>
        <w:rPr>
          <w:rStyle w:val="833"/>
          <w:rFonts w:hint="eastAsia" w:ascii="宋体" w:hAnsi="宋体" w:cs="仿宋"/>
          <w:color w:val="auto"/>
          <w:sz w:val="21"/>
          <w:szCs w:val="21"/>
          <w:highlight w:val="none"/>
        </w:rPr>
      </w:pPr>
      <w:r>
        <w:rPr>
          <w:rStyle w:val="833"/>
          <w:rFonts w:hint="eastAsia" w:ascii="宋体" w:hAnsi="宋体" w:cs="仿宋"/>
          <w:color w:val="auto"/>
          <w:sz w:val="21"/>
          <w:szCs w:val="21"/>
          <w:highlight w:val="none"/>
        </w:rPr>
        <w:t xml:space="preserve">中小微企业划型标准如下：</w:t>
      </w:r>
      <w:r/>
    </w:p>
    <w:tbl>
      <w:tblPr>
        <w:tblStyle w:val="805"/>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829"/>
        <w:ind w:firstLine="420"/>
        <w:spacing w:before="300" w:after="452" w:line="360" w:lineRule="auto"/>
        <w:widowControl/>
        <w:rPr>
          <w:rStyle w:val="833"/>
          <w:rFonts w:cs="仿宋"/>
          <w:b w:val="0"/>
          <w:color w:val="auto"/>
          <w:sz w:val="21"/>
          <w:szCs w:val="21"/>
          <w:highlight w:val="none"/>
        </w:rPr>
      </w:pPr>
      <w:r>
        <w:rPr>
          <w:rStyle w:val="83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33"/>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96"/>
        <w:spacing w:line="360" w:lineRule="auto"/>
        <w:rPr>
          <w:rFonts w:asciiTheme="minorEastAsia" w:hAnsiTheme="minorEastAsia" w:eastAsiaTheme="minorEastAsia"/>
          <w:color w:val="auto"/>
          <w:sz w:val="32"/>
          <w:highlight w:val="none"/>
        </w:rPr>
      </w:pPr>
      <w:r/>
      <w:bookmarkStart w:id="68" w:name="_Toc27571"/>
      <w:r/>
      <w:bookmarkStart w:id="69" w:name="_Toc26139"/>
      <w:r>
        <w:rPr>
          <w:rFonts w:hint="eastAsia" w:asciiTheme="minorEastAsia" w:hAnsiTheme="minorEastAsia" w:eastAsiaTheme="minorEastAsia"/>
          <w:color w:val="auto"/>
          <w:sz w:val="32"/>
          <w:highlight w:val="none"/>
        </w:rPr>
        <w:t xml:space="preserve">四、开标一览表</w:t>
      </w:r>
      <w:bookmarkEnd w:id="68"/>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80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81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8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8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86"/>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06"/>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806"/>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96"/>
        <w:spacing w:line="360" w:lineRule="auto"/>
        <w:rPr>
          <w:rFonts w:asciiTheme="minorEastAsia" w:hAnsiTheme="minorEastAsia" w:eastAsiaTheme="minorEastAsia"/>
          <w:color w:val="auto"/>
          <w:sz w:val="32"/>
          <w:highlight w:val="none"/>
        </w:rPr>
      </w:pPr>
      <w:r/>
      <w:bookmarkStart w:id="70" w:name="_Toc25042"/>
      <w:r/>
      <w:bookmarkStart w:id="71" w:name="_Toc12991"/>
      <w:r>
        <w:rPr>
          <w:rFonts w:hint="eastAsia" w:asciiTheme="minorEastAsia" w:hAnsiTheme="minorEastAsia" w:eastAsiaTheme="minorEastAsia"/>
          <w:color w:val="auto"/>
          <w:sz w:val="32"/>
          <w:highlight w:val="none"/>
        </w:rPr>
        <w:t xml:space="preserve">五、投标产品配置及分项报价表</w:t>
      </w:r>
      <w:bookmarkEnd w:id="70"/>
      <w:r/>
      <w:bookmarkEnd w:id="71"/>
      <w:r/>
      <w:r/>
    </w:p>
    <w:tbl>
      <w:tblPr>
        <w:tblStyle w:val="805"/>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r>
            <w:r/>
          </w:p>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p>
            <w:pPr>
              <w:jc w:val="left"/>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default" w:ascii="微软雅黑" w:hAnsi="微软雅黑" w:eastAsia="微软雅黑" w:cs="微软雅黑"/>
                <w:b/>
                <w:bCs/>
                <w:i w:val="0"/>
                <w:iCs w:val="0"/>
                <w:color w:val="auto"/>
                <w:sz w:val="20"/>
                <w:szCs w:val="20"/>
                <w:highlight w:val="none"/>
                <w:u w:val="none"/>
                <w:lang w:val="en-US" w:eastAsia="zh-CN" w:bidi="ar"/>
              </w:rPr>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96"/>
        <w:spacing w:line="360" w:lineRule="auto"/>
        <w:rPr>
          <w:rFonts w:asciiTheme="minorEastAsia" w:hAnsiTheme="minorEastAsia" w:eastAsiaTheme="minorEastAsia"/>
          <w:color w:val="auto"/>
          <w:highlight w:val="none"/>
        </w:rPr>
      </w:pPr>
      <w:r/>
      <w:bookmarkStart w:id="72" w:name="_Toc8605"/>
      <w:r/>
      <w:bookmarkStart w:id="73" w:name="_Toc24330"/>
      <w:r>
        <w:rPr>
          <w:rFonts w:hint="eastAsia" w:asciiTheme="minorEastAsia" w:hAnsiTheme="minorEastAsia" w:eastAsiaTheme="minorEastAsia"/>
          <w:color w:val="auto"/>
          <w:sz w:val="32"/>
          <w:highlight w:val="none"/>
        </w:rPr>
        <w:t xml:space="preserve">六、技术参数响应及偏离表</w:t>
      </w:r>
      <w:bookmarkEnd w:id="72"/>
      <w:r/>
      <w:bookmarkEnd w:id="73"/>
      <w:r/>
      <w:r/>
    </w:p>
    <w:tbl>
      <w:tblPr>
        <w:tblStyle w:val="80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4" w:name="_Hlt26955054"/>
      <w:r/>
      <w:bookmarkEnd w:id="74"/>
      <w:r/>
      <w:bookmarkStart w:id="75" w:name="_Toc6354"/>
      <w:r>
        <w:rPr>
          <w:rFonts w:hint="eastAsia" w:asciiTheme="minorEastAsia" w:hAnsiTheme="minorEastAsia" w:eastAsiaTheme="minorEastAsia"/>
          <w:color w:val="auto"/>
          <w:sz w:val="32"/>
          <w:highlight w:val="none"/>
        </w:rPr>
        <w:br w:type="page" w:clear="all"/>
      </w:r>
      <w:r/>
    </w:p>
    <w:p>
      <w:pPr>
        <w:pStyle w:val="796"/>
        <w:spacing w:line="360" w:lineRule="auto"/>
        <w:rPr>
          <w:rFonts w:asciiTheme="minorEastAsia" w:hAnsiTheme="minorEastAsia" w:eastAsiaTheme="minorEastAsia"/>
          <w:color w:val="auto"/>
          <w:sz w:val="32"/>
          <w:highlight w:val="none"/>
        </w:rPr>
      </w:pPr>
      <w:r/>
      <w:bookmarkStart w:id="76" w:name="_Toc25045"/>
      <w:r>
        <w:rPr>
          <w:rFonts w:hint="eastAsia" w:asciiTheme="minorEastAsia" w:hAnsiTheme="minorEastAsia" w:eastAsiaTheme="minorEastAsia"/>
          <w:color w:val="auto"/>
          <w:sz w:val="32"/>
          <w:highlight w:val="none"/>
        </w:rPr>
        <w:t xml:space="preserve">七、商务条款响应及偏离表</w:t>
      </w:r>
      <w:bookmarkEnd w:id="75"/>
      <w:r/>
      <w:bookmarkEnd w:id="76"/>
      <w:r/>
      <w:r/>
    </w:p>
    <w:tbl>
      <w:tblPr>
        <w:tblStyle w:val="805"/>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7" w:name="_Hlt26955064"/>
            <w:r/>
            <w:bookmarkEnd w:id="77"/>
            <w:r/>
            <w:bookmarkStart w:id="78" w:name="_Hlt26955056"/>
            <w:r/>
            <w:bookmarkEnd w:id="78"/>
            <w:r/>
            <w:bookmarkStart w:id="79" w:name="_Hlt26782999"/>
            <w:r/>
            <w:bookmarkEnd w:id="79"/>
            <w:r/>
            <w:bookmarkStart w:id="80" w:name="_Hlt24879081"/>
            <w:r/>
            <w:bookmarkEnd w:id="80"/>
            <w:r/>
            <w:bookmarkStart w:id="81" w:name="_Hlt26609391"/>
            <w:r/>
            <w:bookmarkEnd w:id="81"/>
            <w:r/>
            <w:bookmarkStart w:id="82" w:name="_Hlt26580838"/>
            <w:r/>
            <w:bookmarkEnd w:id="82"/>
            <w:r/>
            <w:bookmarkStart w:id="83" w:name="_Hlt26671372"/>
            <w:r/>
            <w:bookmarkEnd w:id="83"/>
            <w:r/>
            <w:bookmarkStart w:id="84" w:name="_Hlt26671343"/>
            <w:r/>
            <w:bookmarkEnd w:id="8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806"/>
        <w:ind w:firstLine="480"/>
        <w:spacing w:line="360" w:lineRule="auto"/>
        <w:rPr>
          <w:rFonts w:ascii="宋体" w:hAnsi="宋体"/>
          <w:color w:val="auto"/>
          <w:sz w:val="24"/>
          <w:highlight w:val="none"/>
        </w:rPr>
      </w:pPr>
      <w:r/>
      <w:bookmarkStart w:id="85" w:name="_Hlt26609389"/>
      <w:r/>
      <w:bookmarkEnd w:id="85"/>
      <w:r/>
      <w:bookmarkStart w:id="86" w:name="_Hlt26955066"/>
      <w:r/>
      <w:bookmarkEnd w:id="86"/>
      <w:r/>
      <w:bookmarkStart w:id="87" w:name="_Hlt26671374"/>
      <w:r/>
      <w:bookmarkEnd w:id="87"/>
      <w:r/>
      <w:bookmarkStart w:id="88" w:name="_Toc462564146"/>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pStyle w:val="806"/>
        <w:ind w:firstLine="480"/>
        <w:spacing w:line="360" w:lineRule="auto"/>
        <w:rPr>
          <w:rFonts w:ascii="宋体" w:hAnsi="宋体"/>
          <w:color w:val="auto"/>
          <w:sz w:val="24"/>
          <w:highlight w:val="none"/>
        </w:rPr>
      </w:pPr>
      <w:r>
        <w:rPr>
          <w:rFonts w:ascii="宋体" w:hAnsi="宋体"/>
          <w:color w:val="auto"/>
          <w:sz w:val="24"/>
          <w:highlight w:val="none"/>
        </w:rPr>
      </w:r>
      <w:bookmarkEnd w:id="88"/>
      <w:r/>
    </w:p>
    <w:p>
      <w:pPr>
        <w:pStyle w:val="806"/>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05"/>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p>
    <w:pPr>
      <w:pStyle w:val="8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81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ascii="宋体" w:hAnsi="宋体" w:eastAsia="宋体" w:cs="宋体"/>
      </w:rPr>
    </w:pPr>
    <w:r>
      <w:rPr>
        <w:rFonts w:hint="eastAsia" w:ascii="宋体" w:hAnsi="宋体" w:eastAsia="宋体" w:cs="宋体"/>
      </w:rPr>
    </w:r>
    <w:r/>
  </w:p>
  <w:p>
    <w:pPr>
      <w:pStyle w:val="8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82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3"/>
  </w:num>
  <w:num w:numId="3">
    <w:abstractNumId w:val="10"/>
  </w:num>
  <w:num w:numId="4">
    <w:abstractNumId w:val="14"/>
  </w:num>
  <w:num w:numId="5">
    <w:abstractNumId w:val="4"/>
  </w:num>
  <w:num w:numId="6">
    <w:abstractNumId w:val="1"/>
  </w:num>
  <w:num w:numId="7">
    <w:abstractNumId w:val="6"/>
  </w:num>
  <w:num w:numId="8">
    <w:abstractNumId w:val="8"/>
  </w:num>
  <w:num w:numId="9">
    <w:abstractNumId w:val="5"/>
  </w:num>
  <w:num w:numId="10">
    <w:abstractNumId w:val="9"/>
  </w:num>
  <w:num w:numId="11">
    <w:abstractNumId w:val="11"/>
  </w:num>
  <w:num w:numId="12">
    <w:abstractNumId w:val="12"/>
  </w:num>
  <w:num w:numId="13">
    <w:abstractNumId w:val="7"/>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5">
    <w:name w:val="Heading 1"/>
    <w:basedOn w:val="794"/>
    <w:next w:val="794"/>
    <w:uiPriority w:val="9"/>
    <w:qFormat/>
    <w:pPr>
      <w:keepLines/>
      <w:keepNext/>
      <w:spacing w:before="340" w:after="330" w:line="578" w:lineRule="auto"/>
      <w:outlineLvl w:val="0"/>
    </w:pPr>
    <w:rPr>
      <w:b/>
      <w:bCs/>
      <w:sz w:val="44"/>
      <w:szCs w:val="44"/>
    </w:rPr>
  </w:style>
  <w:style w:type="paragraph" w:styleId="796">
    <w:name w:val="Heading 2"/>
    <w:basedOn w:val="794"/>
    <w:next w:val="8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794"/>
    <w:uiPriority w:val="0"/>
    <w:qFormat/>
    <w:pPr>
      <w:keepLines/>
      <w:keepNext/>
      <w:spacing w:before="260" w:after="260" w:line="416" w:lineRule="auto"/>
      <w:outlineLvl w:val="2"/>
    </w:pPr>
    <w:rPr>
      <w:b/>
      <w:bCs/>
      <w:sz w:val="32"/>
      <w:szCs w:val="32"/>
    </w:rPr>
  </w:style>
  <w:style w:type="paragraph" w:styleId="798">
    <w:name w:val="Heading 4"/>
    <w:basedOn w:val="794"/>
    <w:next w:val="794"/>
    <w:link w:val="841"/>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42"/>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43"/>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45"/>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46"/>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Normal Indent"/>
    <w:basedOn w:val="794"/>
    <w:uiPriority w:val="0"/>
    <w:unhideWhenUsed/>
    <w:qFormat/>
    <w:pPr>
      <w:ind w:firstLine="420"/>
    </w:pPr>
  </w:style>
  <w:style w:type="paragraph" w:styleId="807">
    <w:name w:val="toc 7"/>
    <w:basedOn w:val="794"/>
    <w:next w:val="794"/>
    <w:uiPriority w:val="39"/>
    <w:unhideWhenUsed/>
    <w:qFormat/>
    <w:pPr>
      <w:ind w:left="1701" w:right="0" w:firstLine="0"/>
      <w:spacing w:after="57"/>
    </w:pPr>
  </w:style>
  <w:style w:type="paragraph" w:styleId="808">
    <w:name w:val="Caption"/>
    <w:basedOn w:val="794"/>
    <w:next w:val="7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9">
    <w:name w:val="annotation text"/>
    <w:basedOn w:val="794"/>
    <w:uiPriority w:val="0"/>
    <w:qFormat/>
    <w:pPr>
      <w:jc w:val="left"/>
    </w:pPr>
  </w:style>
  <w:style w:type="paragraph" w:styleId="810">
    <w:name w:val="Body Text"/>
    <w:basedOn w:val="794"/>
    <w:uiPriority w:val="0"/>
    <w:qFormat/>
    <w:rPr>
      <w:rFonts w:ascii="楷体_GB2312" w:hAnsi="Arial" w:eastAsia="楷体_GB2312"/>
      <w:sz w:val="28"/>
      <w:szCs w:val="28"/>
    </w:rPr>
  </w:style>
  <w:style w:type="paragraph" w:styleId="811">
    <w:name w:val="Body Text Indent"/>
    <w:basedOn w:val="794"/>
    <w:uiPriority w:val="99"/>
    <w:unhideWhenUsed/>
    <w:qFormat/>
    <w:pPr>
      <w:ind w:left="420"/>
      <w:spacing w:after="120"/>
    </w:pPr>
  </w:style>
  <w:style w:type="paragraph" w:styleId="812">
    <w:name w:val="index 4"/>
    <w:basedOn w:val="794"/>
    <w:next w:val="794"/>
    <w:uiPriority w:val="99"/>
    <w:unhideWhenUsed/>
    <w:qFormat/>
    <w:pPr>
      <w:ind w:left="600"/>
    </w:pPr>
    <w:rPr>
      <w:rFonts w:asciiTheme="minorHAnsi" w:hAnsiTheme="minorHAnsi" w:eastAsiaTheme="minorEastAsia" w:cstheme="minorBidi"/>
      <w:szCs w:val="22"/>
    </w:rPr>
  </w:style>
  <w:style w:type="paragraph" w:styleId="813">
    <w:name w:val="toc 5"/>
    <w:basedOn w:val="794"/>
    <w:next w:val="794"/>
    <w:uiPriority w:val="39"/>
    <w:unhideWhenUsed/>
    <w:qFormat/>
    <w:pPr>
      <w:ind w:left="1134" w:right="0" w:firstLine="0"/>
      <w:spacing w:after="57"/>
    </w:pPr>
  </w:style>
  <w:style w:type="paragraph" w:styleId="814">
    <w:name w:val="toc 3"/>
    <w:basedOn w:val="794"/>
    <w:next w:val="794"/>
    <w:uiPriority w:val="39"/>
    <w:unhideWhenUsed/>
    <w:qFormat/>
    <w:pPr>
      <w:ind w:left="567" w:right="0" w:firstLine="0"/>
      <w:spacing w:after="57"/>
    </w:pPr>
  </w:style>
  <w:style w:type="paragraph" w:styleId="815">
    <w:name w:val="Plain Text"/>
    <w:basedOn w:val="794"/>
    <w:uiPriority w:val="99"/>
    <w:qFormat/>
    <w:rPr>
      <w:rFonts w:ascii="宋体" w:hAnsi="Courier New"/>
      <w:sz w:val="20"/>
      <w:szCs w:val="21"/>
    </w:rPr>
  </w:style>
  <w:style w:type="paragraph" w:styleId="816">
    <w:name w:val="toc 8"/>
    <w:basedOn w:val="794"/>
    <w:next w:val="794"/>
    <w:uiPriority w:val="39"/>
    <w:unhideWhenUsed/>
    <w:qFormat/>
    <w:pPr>
      <w:ind w:left="1984" w:right="0" w:firstLine="0"/>
      <w:spacing w:after="57"/>
    </w:pPr>
  </w:style>
  <w:style w:type="paragraph" w:styleId="817">
    <w:name w:val="endnote text"/>
    <w:basedOn w:val="794"/>
    <w:link w:val="983"/>
    <w:uiPriority w:val="99"/>
    <w:semiHidden/>
    <w:unhideWhenUsed/>
    <w:qFormat/>
    <w:pPr>
      <w:spacing w:after="0" w:line="240" w:lineRule="auto"/>
    </w:pPr>
    <w:rPr>
      <w:sz w:val="20"/>
    </w:rPr>
  </w:style>
  <w:style w:type="paragraph" w:styleId="818">
    <w:name w:val="Balloon Text"/>
    <w:basedOn w:val="794"/>
    <w:link w:val="988"/>
    <w:uiPriority w:val="0"/>
    <w:qFormat/>
    <w:rPr>
      <w:sz w:val="18"/>
      <w:szCs w:val="18"/>
    </w:rPr>
  </w:style>
  <w:style w:type="paragraph" w:styleId="819">
    <w:name w:val="Footer"/>
    <w:basedOn w:val="794"/>
    <w:uiPriority w:val="99"/>
    <w:unhideWhenUsed/>
    <w:qFormat/>
    <w:pPr>
      <w:jc w:val="left"/>
      <w:tabs>
        <w:tab w:val="center" w:pos="4153" w:leader="none"/>
        <w:tab w:val="right" w:pos="8306" w:leader="none"/>
      </w:tabs>
    </w:pPr>
    <w:rPr>
      <w:sz w:val="18"/>
      <w:szCs w:val="18"/>
    </w:rPr>
  </w:style>
  <w:style w:type="paragraph" w:styleId="820">
    <w:name w:val="Header"/>
    <w:basedOn w:val="7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4"/>
    <w:next w:val="794"/>
    <w:uiPriority w:val="39"/>
    <w:unhideWhenUsed/>
    <w:qFormat/>
  </w:style>
  <w:style w:type="paragraph" w:styleId="822">
    <w:name w:val="toc 4"/>
    <w:basedOn w:val="794"/>
    <w:next w:val="794"/>
    <w:uiPriority w:val="39"/>
    <w:unhideWhenUsed/>
    <w:qFormat/>
    <w:pPr>
      <w:ind w:left="850" w:right="0" w:firstLine="0"/>
      <w:spacing w:after="57"/>
    </w:pPr>
  </w:style>
  <w:style w:type="paragraph" w:styleId="823">
    <w:name w:val="Subtitle"/>
    <w:basedOn w:val="794"/>
    <w:next w:val="794"/>
    <w:link w:val="849"/>
    <w:uiPriority w:val="11"/>
    <w:qFormat/>
    <w:pPr>
      <w:spacing w:before="200" w:after="200"/>
    </w:pPr>
    <w:rPr>
      <w:sz w:val="24"/>
      <w:szCs w:val="24"/>
    </w:rPr>
  </w:style>
  <w:style w:type="paragraph" w:styleId="824">
    <w:name w:val="footnote text"/>
    <w:basedOn w:val="794"/>
    <w:link w:val="982"/>
    <w:uiPriority w:val="99"/>
    <w:semiHidden/>
    <w:unhideWhenUsed/>
    <w:qFormat/>
    <w:pPr>
      <w:spacing w:after="40" w:line="240" w:lineRule="auto"/>
    </w:pPr>
    <w:rPr>
      <w:sz w:val="18"/>
    </w:rPr>
  </w:style>
  <w:style w:type="paragraph" w:styleId="825">
    <w:name w:val="toc 6"/>
    <w:basedOn w:val="794"/>
    <w:next w:val="794"/>
    <w:uiPriority w:val="39"/>
    <w:unhideWhenUsed/>
    <w:qFormat/>
    <w:pPr>
      <w:ind w:left="1417" w:right="0" w:firstLine="0"/>
      <w:spacing w:after="57"/>
    </w:pPr>
  </w:style>
  <w:style w:type="paragraph" w:styleId="826">
    <w:name w:val="table of figures"/>
    <w:basedOn w:val="794"/>
    <w:next w:val="794"/>
    <w:uiPriority w:val="99"/>
    <w:unhideWhenUsed/>
    <w:qFormat/>
    <w:pPr>
      <w:spacing w:after="0" w:afterAutospacing="0"/>
    </w:pPr>
  </w:style>
  <w:style w:type="paragraph" w:styleId="827">
    <w:name w:val="toc 2"/>
    <w:basedOn w:val="794"/>
    <w:next w:val="794"/>
    <w:uiPriority w:val="0"/>
    <w:qFormat/>
    <w:pPr>
      <w:ind w:left="420"/>
    </w:pPr>
  </w:style>
  <w:style w:type="paragraph" w:styleId="828">
    <w:name w:val="toc 9"/>
    <w:basedOn w:val="794"/>
    <w:next w:val="794"/>
    <w:uiPriority w:val="39"/>
    <w:unhideWhenUsed/>
    <w:qFormat/>
    <w:pPr>
      <w:ind w:left="2268" w:right="0" w:firstLine="0"/>
      <w:spacing w:after="57"/>
    </w:pPr>
  </w:style>
  <w:style w:type="paragraph" w:styleId="829">
    <w:name w:val="Normal (Web)"/>
    <w:basedOn w:val="794"/>
    <w:uiPriority w:val="0"/>
    <w:qFormat/>
    <w:rPr>
      <w:rFonts w:ascii="Times New Roman" w:hAnsi="Times New Roman"/>
      <w:sz w:val="24"/>
    </w:rPr>
  </w:style>
  <w:style w:type="paragraph" w:styleId="830">
    <w:name w:val="Title"/>
    <w:basedOn w:val="794"/>
    <w:next w:val="794"/>
    <w:link w:val="848"/>
    <w:uiPriority w:val="10"/>
    <w:qFormat/>
    <w:pPr>
      <w:contextualSpacing/>
      <w:spacing w:before="300" w:after="200"/>
    </w:pPr>
    <w:rPr>
      <w:sz w:val="48"/>
      <w:szCs w:val="48"/>
    </w:rPr>
  </w:style>
  <w:style w:type="paragraph" w:styleId="831">
    <w:name w:val="Body Text First Indent 2"/>
    <w:basedOn w:val="811"/>
    <w:uiPriority w:val="0"/>
    <w:qFormat/>
    <w:pPr>
      <w:ind w:left="0" w:firstLine="420"/>
      <w:spacing w:after="0" w:line="360" w:lineRule="auto"/>
    </w:pPr>
    <w:rPr>
      <w:rFonts w:ascii="宋体" w:hAnsi="宋体"/>
      <w:sz w:val="20"/>
      <w:szCs w:val="20"/>
    </w:rPr>
  </w:style>
  <w:style w:type="table" w:styleId="832">
    <w:name w:val="Table Grid"/>
    <w:basedOn w:val="805"/>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804"/>
    <w:uiPriority w:val="0"/>
    <w:qFormat/>
    <w:rPr>
      <w:b/>
    </w:rPr>
  </w:style>
  <w:style w:type="character" w:styleId="834">
    <w:name w:val="endnote reference"/>
    <w:basedOn w:val="804"/>
    <w:uiPriority w:val="99"/>
    <w:semiHidden/>
    <w:unhideWhenUsed/>
    <w:qFormat/>
    <w:rPr>
      <w:vertAlign w:val="superscript"/>
    </w:rPr>
  </w:style>
  <w:style w:type="character" w:styleId="835">
    <w:name w:val="Hyperlink"/>
    <w:uiPriority w:val="99"/>
    <w:unhideWhenUsed/>
    <w:qFormat/>
    <w:rPr>
      <w:color w:val="0563c1" w:themeColor="hyperlink"/>
      <w:u w:val="single"/>
      <w14:textFill>
        <w14:solidFill>
          <w14:schemeClr w14:val="hlink"/>
        </w14:solidFill>
      </w14:textFill>
    </w:rPr>
  </w:style>
  <w:style w:type="character" w:styleId="836">
    <w:name w:val="annotation reference"/>
    <w:basedOn w:val="804"/>
    <w:uiPriority w:val="0"/>
    <w:qFormat/>
    <w:rPr>
      <w:sz w:val="21"/>
      <w:szCs w:val="21"/>
    </w:rPr>
  </w:style>
  <w:style w:type="character" w:styleId="837">
    <w:name w:val="footnote reference"/>
    <w:basedOn w:val="804"/>
    <w:uiPriority w:val="99"/>
    <w:unhideWhenUsed/>
    <w:qFormat/>
    <w:rPr>
      <w:vertAlign w:val="superscript"/>
    </w:rPr>
  </w:style>
  <w:style w:type="character" w:styleId="838" w:customStyle="1">
    <w:name w:val="Heading 1 Char"/>
    <w:basedOn w:val="804"/>
    <w:uiPriority w:val="9"/>
    <w:qFormat/>
    <w:rPr>
      <w:rFonts w:ascii="Arial" w:hAnsi="Arial" w:eastAsia="Arial" w:cs="Arial"/>
      <w:sz w:val="40"/>
      <w:szCs w:val="40"/>
    </w:rPr>
  </w:style>
  <w:style w:type="character" w:styleId="839" w:customStyle="1">
    <w:name w:val="Heading 2 Char"/>
    <w:basedOn w:val="804"/>
    <w:uiPriority w:val="9"/>
    <w:qFormat/>
    <w:rPr>
      <w:rFonts w:ascii="Arial" w:hAnsi="Arial" w:eastAsia="Arial" w:cs="Arial"/>
      <w:sz w:val="34"/>
    </w:rPr>
  </w:style>
  <w:style w:type="character" w:styleId="840" w:customStyle="1">
    <w:name w:val="Heading 3 Char"/>
    <w:basedOn w:val="804"/>
    <w:uiPriority w:val="9"/>
    <w:qFormat/>
    <w:rPr>
      <w:rFonts w:ascii="Arial" w:hAnsi="Arial" w:eastAsia="Arial" w:cs="Arial"/>
      <w:sz w:val="30"/>
      <w:szCs w:val="30"/>
    </w:rPr>
  </w:style>
  <w:style w:type="character" w:styleId="841" w:customStyle="1">
    <w:name w:val="Heading 4 Char"/>
    <w:basedOn w:val="804"/>
    <w:link w:val="798"/>
    <w:uiPriority w:val="9"/>
    <w:qFormat/>
    <w:rPr>
      <w:rFonts w:ascii="Arial" w:hAnsi="Arial" w:eastAsia="Arial" w:cs="Arial"/>
      <w:b/>
      <w:bCs/>
      <w:sz w:val="26"/>
      <w:szCs w:val="26"/>
    </w:rPr>
  </w:style>
  <w:style w:type="character" w:styleId="842" w:customStyle="1">
    <w:name w:val="Heading 5 Char"/>
    <w:basedOn w:val="804"/>
    <w:link w:val="799"/>
    <w:uiPriority w:val="9"/>
    <w:qFormat/>
    <w:rPr>
      <w:rFonts w:ascii="Arial" w:hAnsi="Arial" w:eastAsia="Arial" w:cs="Arial"/>
      <w:b/>
      <w:bCs/>
      <w:sz w:val="24"/>
      <w:szCs w:val="24"/>
    </w:rPr>
  </w:style>
  <w:style w:type="character" w:styleId="843" w:customStyle="1">
    <w:name w:val="Heading 6 Char"/>
    <w:basedOn w:val="804"/>
    <w:link w:val="800"/>
    <w:uiPriority w:val="9"/>
    <w:qFormat/>
    <w:rPr>
      <w:rFonts w:ascii="Arial" w:hAnsi="Arial" w:eastAsia="Arial" w:cs="Arial"/>
      <w:b/>
      <w:bCs/>
      <w:sz w:val="22"/>
      <w:szCs w:val="22"/>
    </w:rPr>
  </w:style>
  <w:style w:type="character" w:styleId="844" w:customStyle="1">
    <w:name w:val="Heading 7 Char"/>
    <w:basedOn w:val="804"/>
    <w:link w:val="801"/>
    <w:uiPriority w:val="9"/>
    <w:qFormat/>
    <w:rPr>
      <w:rFonts w:ascii="Arial" w:hAnsi="Arial" w:eastAsia="Arial" w:cs="Arial"/>
      <w:b/>
      <w:bCs/>
      <w:i/>
      <w:iCs/>
      <w:sz w:val="22"/>
      <w:szCs w:val="22"/>
    </w:rPr>
  </w:style>
  <w:style w:type="character" w:styleId="845" w:customStyle="1">
    <w:name w:val="Heading 8 Char"/>
    <w:basedOn w:val="804"/>
    <w:link w:val="802"/>
    <w:uiPriority w:val="9"/>
    <w:qFormat/>
    <w:rPr>
      <w:rFonts w:ascii="Arial" w:hAnsi="Arial" w:eastAsia="Arial" w:cs="Arial"/>
      <w:i/>
      <w:iCs/>
      <w:sz w:val="22"/>
      <w:szCs w:val="22"/>
    </w:rPr>
  </w:style>
  <w:style w:type="character" w:styleId="846" w:customStyle="1">
    <w:name w:val="Heading 9 Char"/>
    <w:basedOn w:val="804"/>
    <w:link w:val="803"/>
    <w:uiPriority w:val="9"/>
    <w:qFormat/>
    <w:rPr>
      <w:rFonts w:ascii="Arial" w:hAnsi="Arial" w:eastAsia="Arial" w:cs="Arial"/>
      <w:i/>
      <w:iCs/>
      <w:sz w:val="21"/>
      <w:szCs w:val="21"/>
    </w:r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character" w:styleId="848" w:customStyle="1">
    <w:name w:val="Title Char"/>
    <w:basedOn w:val="804"/>
    <w:link w:val="830"/>
    <w:uiPriority w:val="10"/>
    <w:qFormat/>
    <w:rPr>
      <w:sz w:val="48"/>
      <w:szCs w:val="48"/>
    </w:rPr>
  </w:style>
  <w:style w:type="character" w:styleId="849" w:customStyle="1">
    <w:name w:val="Subtitle Char"/>
    <w:basedOn w:val="804"/>
    <w:link w:val="823"/>
    <w:uiPriority w:val="11"/>
    <w:qFormat/>
    <w:rPr>
      <w:sz w:val="24"/>
      <w:szCs w:val="24"/>
    </w:rPr>
  </w:style>
  <w:style w:type="paragraph" w:styleId="850">
    <w:name w:val="Quote"/>
    <w:basedOn w:val="794"/>
    <w:next w:val="794"/>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94"/>
    <w:next w:val="79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basedOn w:val="804"/>
    <w:uiPriority w:val="99"/>
    <w:qFormat/>
  </w:style>
  <w:style w:type="character" w:styleId="855" w:customStyle="1">
    <w:name w:val="Footer Char"/>
    <w:basedOn w:val="804"/>
    <w:uiPriority w:val="99"/>
    <w:qFormat/>
  </w:style>
  <w:style w:type="character" w:styleId="856" w:customStyle="1">
    <w:name w:val="Caption Char"/>
    <w:uiPriority w:val="99"/>
    <w:qFormat/>
  </w:style>
  <w:style w:type="table" w:styleId="857"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8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6" w:customStyle="1">
    <w:name w:val="Grid Table 4 - Accent 2"/>
    <w:basedOn w:val="8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7" w:customStyle="1">
    <w:name w:val="Grid Table 4 - Accent 3"/>
    <w:basedOn w:val="8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8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9" w:customStyle="1">
    <w:name w:val="Grid Table 4 - Accent 5"/>
    <w:basedOn w:val="8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0" w:customStyle="1">
    <w:name w:val="Grid Table 4 - Accent 6"/>
    <w:basedOn w:val="8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8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8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8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6 Colorful - Accent 6"/>
    <w:basedOn w:val="8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5"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8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8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8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8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8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8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8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8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8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8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8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8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8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1" w:customStyle="1">
    <w:name w:val="List Table 2 - Accent 2"/>
    <w:basedOn w:val="8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2" w:customStyle="1">
    <w:name w:val="List Table 2 - Accent 3"/>
    <w:basedOn w:val="8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3" w:customStyle="1">
    <w:name w:val="List Table 2 - Accent 4"/>
    <w:basedOn w:val="8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4" w:customStyle="1">
    <w:name w:val="List Table 2 - Accent 5"/>
    <w:basedOn w:val="8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5" w:customStyle="1">
    <w:name w:val="List Table 2 - Accent 6"/>
    <w:basedOn w:val="8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6"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8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3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8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8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8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3"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8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5" w:customStyle="1">
    <w:name w:val="List Table 4 - Accent 2"/>
    <w:basedOn w:val="8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6" w:customStyle="1">
    <w:name w:val="List Table 4 - Accent 3"/>
    <w:basedOn w:val="8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7" w:customStyle="1">
    <w:name w:val="List Table 4 - Accent 4"/>
    <w:basedOn w:val="8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8" w:customStyle="1">
    <w:name w:val="List Table 4 - Accent 5"/>
    <w:basedOn w:val="8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9" w:customStyle="1">
    <w:name w:val="List Table 4 - Accent 6"/>
    <w:basedOn w:val="8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0"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8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8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8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8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8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8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8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9" w:customStyle="1">
    <w:name w:val="List Table 6 Colorful - Accent 2"/>
    <w:basedOn w:val="8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
    <w:basedOn w:val="8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
    <w:basedOn w:val="8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
    <w:basedOn w:val="8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3" w:customStyle="1">
    <w:name w:val="List Table 6 Colorful - Accent 6"/>
    <w:basedOn w:val="8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8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8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8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8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8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8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8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8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8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8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8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8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8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8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Footnote Text Char"/>
    <w:link w:val="824"/>
    <w:uiPriority w:val="99"/>
    <w:qFormat/>
    <w:rPr>
      <w:sz w:val="18"/>
    </w:rPr>
  </w:style>
  <w:style w:type="character" w:styleId="983" w:customStyle="1">
    <w:name w:val="Endnote Text Char"/>
    <w:link w:val="817"/>
    <w:uiPriority w:val="99"/>
    <w:qFormat/>
    <w:rPr>
      <w:sz w:val="20"/>
    </w:rPr>
  </w:style>
  <w:style w:type="paragraph" w:styleId="984" w:customStyle="1">
    <w:name w:val="TOC Heading"/>
    <w:uiPriority w:val="39"/>
    <w:unhideWhenUsed/>
    <w:qFormat/>
    <w:rPr>
      <w:rFonts w:hint="default" w:ascii="Times New Roman" w:hAnsi="Times New Roman" w:eastAsia="宋体" w:cs="Times New Roman"/>
    </w:rPr>
  </w:style>
  <w:style w:type="paragraph" w:styleId="985" w:customStyle="1">
    <w:name w:val="正文（缩进）"/>
    <w:basedOn w:val="794"/>
    <w:uiPriority w:val="99"/>
    <w:qFormat/>
    <w:pPr>
      <w:ind w:firstLine="480"/>
      <w:spacing w:before="156" w:after="156"/>
    </w:pPr>
  </w:style>
  <w:style w:type="paragraph" w:styleId="986"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987" w:customStyle="1">
    <w:name w:val="Char"/>
    <w:basedOn w:val="794"/>
    <w:uiPriority w:val="0"/>
    <w:qFormat/>
    <w:pPr>
      <w:ind w:firstLine="200"/>
      <w:tabs>
        <w:tab w:val="left" w:pos="360" w:leader="none"/>
      </w:tabs>
    </w:pPr>
    <w:rPr>
      <w:rFonts w:ascii="Times New Roman" w:hAnsi="Times New Roman"/>
      <w:sz w:val="28"/>
      <w:szCs w:val="30"/>
    </w:rPr>
  </w:style>
  <w:style w:type="character" w:styleId="988" w:customStyle="1">
    <w:name w:val="批注框文本 Char"/>
    <w:basedOn w:val="804"/>
    <w:link w:val="818"/>
    <w:uiPriority w:val="0"/>
    <w:qFormat/>
    <w:rPr>
      <w:sz w:val="18"/>
      <w:szCs w:val="18"/>
    </w:rPr>
  </w:style>
  <w:style w:type="paragraph" w:styleId="989" w:customStyle="1">
    <w:name w:val="正文1"/>
    <w:basedOn w:val="794"/>
    <w:next w:val="990"/>
    <w:uiPriority w:val="0"/>
    <w:qFormat/>
    <w:pPr>
      <w:jc w:val="left"/>
      <w:spacing w:line="360" w:lineRule="atLeast"/>
    </w:pPr>
    <w:rPr>
      <w:rFonts w:ascii="宋体" w:hAnsiTheme="minorHAnsi" w:eastAsiaTheme="minorEastAsia" w:cstheme="minorBidi"/>
      <w:sz w:val="24"/>
      <w:szCs w:val="20"/>
    </w:rPr>
  </w:style>
  <w:style w:type="paragraph" w:styleId="990" w:customStyle="1">
    <w:name w:val="正文文本1"/>
    <w:basedOn w:val="989"/>
    <w:next w:val="991"/>
    <w:uiPriority w:val="0"/>
    <w:qFormat/>
    <w:pPr>
      <w:spacing w:after="120"/>
    </w:pPr>
    <w:rPr>
      <w:lang w:eastAsia="en-US"/>
    </w:rPr>
  </w:style>
  <w:style w:type="paragraph" w:styleId="991" w:customStyle="1">
    <w:name w:val="一级条标题"/>
    <w:basedOn w:val="992"/>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2"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3" w:customStyle="1">
    <w:name w:val="段"/>
    <w:basedOn w:val="989"/>
    <w:next w:val="794"/>
    <w:uiPriority w:val="0"/>
    <w:qFormat/>
    <w:pPr>
      <w:ind w:firstLine="200"/>
      <w:widowControl/>
    </w:pPr>
    <w:rPr>
      <w:sz w:val="20"/>
    </w:rPr>
  </w:style>
  <w:style w:type="paragraph" w:styleId="994" w:customStyle="1">
    <w:name w:val="正文缩进1"/>
    <w:basedOn w:val="794"/>
    <w:uiPriority w:val="99"/>
    <w:qFormat/>
    <w:pPr>
      <w:ind w:firstLine="420"/>
    </w:pPr>
  </w:style>
  <w:style w:type="paragraph" w:styleId="995">
    <w:name w:val="List Paragraph"/>
    <w:basedOn w:val="794"/>
    <w:uiPriority w:val="34"/>
    <w:qFormat/>
    <w:pPr>
      <w:contextualSpacing/>
      <w:ind w:left="720" w:firstLine="360"/>
      <w:jc w:val="left"/>
      <w:widowControl/>
    </w:pPr>
    <w:rPr>
      <w:sz w:val="22"/>
      <w:lang w:eastAsia="en-US" w:bidi="en-US"/>
    </w:rPr>
  </w:style>
  <w:style w:type="table" w:styleId="996" w:customStyle="1">
    <w:name w:val="网格型2"/>
    <w:basedOn w:val="805"/>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customStyle="1">
    <w:name w:val="NormalCharacter"/>
    <w:uiPriority w:val="0"/>
    <w:qFormat/>
  </w:style>
  <w:style w:type="paragraph" w:styleId="998" w:customStyle="1">
    <w:name w:val="UserStyle_6"/>
    <w:uiPriority w:val="0"/>
    <w:qFormat/>
    <w:rPr>
      <w:rFonts w:hint="default" w:ascii="宋体" w:hAnsi="Calibri" w:eastAsia="宋体" w:cstheme="minorBidi"/>
      <w:color w:val="000000"/>
      <w:sz w:val="24"/>
      <w:szCs w:val="24"/>
      <w:lang w:val="en-US" w:eastAsia="zh-CN" w:bidi="ar-SA"/>
    </w:rPr>
  </w:style>
  <w:style w:type="paragraph" w:styleId="999" w:customStyle="1">
    <w:name w:val="纯文本1"/>
    <w:basedOn w:val="794"/>
    <w:uiPriority w:val="99"/>
    <w:unhideWhenUsed/>
    <w:qFormat/>
    <w:rPr>
      <w:rFonts w:ascii="宋体" w:hAnsi="Courier New"/>
      <w:sz w:val="20"/>
      <w:szCs w:val="20"/>
      <w:lang w:eastAsia="en-US"/>
    </w:rPr>
  </w:style>
  <w:style w:type="paragraph" w:styleId="1000" w:customStyle="1">
    <w:name w:val="纯文本11"/>
    <w:basedOn w:val="989"/>
    <w:uiPriority w:val="0"/>
    <w:qFormat/>
    <w:rPr>
      <w:rFonts w:hAnsi="Courier New"/>
      <w:sz w:val="20"/>
      <w:szCs w:val="21"/>
    </w:rPr>
  </w:style>
  <w:style w:type="character" w:styleId="1001" w:customStyle="1">
    <w:name w:val="font51"/>
    <w:basedOn w:val="804"/>
    <w:uiPriority w:val="0"/>
    <w:qFormat/>
    <w:rPr>
      <w:rFonts w:hint="default" w:ascii="default" w:hAnsi="default" w:eastAsia="default" w:cs="default"/>
      <w:color w:val="000000"/>
      <w:sz w:val="20"/>
      <w:szCs w:val="20"/>
      <w:u w:val="none"/>
    </w:rPr>
  </w:style>
  <w:style w:type="character" w:styleId="1002" w:customStyle="1">
    <w:name w:val="font112"/>
    <w:basedOn w:val="804"/>
    <w:uiPriority w:val="0"/>
    <w:qFormat/>
    <w:rPr>
      <w:rFonts w:hint="eastAsia" w:ascii="宋体" w:hAnsi="宋体" w:eastAsia="宋体" w:cs="宋体"/>
      <w:color w:val="000000"/>
      <w:sz w:val="20"/>
      <w:szCs w:val="20"/>
      <w:u w:val="none"/>
    </w:rPr>
  </w:style>
  <w:style w:type="character" w:styleId="1003" w:customStyle="1">
    <w:name w:val="font11"/>
    <w:basedOn w:val="804"/>
    <w:uiPriority w:val="0"/>
    <w:qFormat/>
    <w:rPr>
      <w:rFonts w:hint="eastAsia" w:ascii="宋体" w:hAnsi="宋体" w:eastAsia="宋体" w:cs="宋体"/>
      <w:color w:val="000000"/>
      <w:sz w:val="20"/>
      <w:szCs w:val="20"/>
      <w:u w:val="none"/>
    </w:rPr>
  </w:style>
  <w:style w:type="character" w:styleId="1004" w:customStyle="1">
    <w:name w:val="font71"/>
    <w:basedOn w:val="804"/>
    <w:uiPriority w:val="0"/>
    <w:qFormat/>
    <w:rPr>
      <w:rFonts w:hint="eastAsia" w:ascii="宋体" w:hAnsi="宋体" w:eastAsia="宋体" w:cs="宋体"/>
      <w:color w:val="000000"/>
      <w:sz w:val="20"/>
      <w:szCs w:val="20"/>
      <w:u w:val="none"/>
    </w:rPr>
  </w:style>
  <w:style w:type="character" w:styleId="1005" w:customStyle="1">
    <w:name w:val="font61"/>
    <w:basedOn w:val="804"/>
    <w:uiPriority w:val="0"/>
    <w:qFormat/>
    <w:rPr>
      <w:rFonts w:hint="default" w:ascii="default" w:hAnsi="default" w:eastAsia="default" w:cs="default"/>
      <w:color w:val="000000"/>
      <w:sz w:val="20"/>
      <w:szCs w:val="20"/>
      <w:u w:val="none"/>
    </w:rPr>
  </w:style>
  <w:style w:type="character" w:styleId="1006" w:customStyle="1">
    <w:name w:val="font81"/>
    <w:basedOn w:val="804"/>
    <w:uiPriority w:val="0"/>
    <w:qFormat/>
    <w:rPr>
      <w:rFonts w:hint="eastAsia" w:ascii="宋体" w:hAnsi="宋体" w:eastAsia="宋体" w:cs="宋体"/>
      <w:color w:val="000000"/>
      <w:sz w:val="20"/>
      <w:szCs w:val="20"/>
      <w:u w:val="none"/>
    </w:rPr>
  </w:style>
  <w:style w:type="character" w:styleId="1007" w:customStyle="1">
    <w:name w:val="font121"/>
    <w:basedOn w:val="804"/>
    <w:uiPriority w:val="0"/>
    <w:qFormat/>
    <w:rPr>
      <w:rFonts w:hint="eastAsia" w:ascii="宋体" w:hAnsi="宋体" w:eastAsia="宋体" w:cs="宋体"/>
      <w:color w:val="000000"/>
      <w:sz w:val="20"/>
      <w:szCs w:val="20"/>
      <w:u w:val="none"/>
    </w:rPr>
  </w:style>
  <w:style w:type="paragraph" w:styleId="1008"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numbering" w:styleId="3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26</cp:revision>
  <dcterms:created xsi:type="dcterms:W3CDTF">2014-10-29T12:08:00Z</dcterms:created>
  <dcterms:modified xsi:type="dcterms:W3CDTF">2026-03-24T03:56:33Z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07664F31EFD046CA87CBB88DD97C017E_13</vt:lpwstr>
  </property>
  <property fmtid="{D5CDD505-2E9C-101B-9397-08002B2CF9AE}" pid="4" name="KSOTemplateDocerSaveRecord">
    <vt:lpwstr>eyJoZGlkIjoiY2U4MzJhNWE1YjRmNmQ1ZjA3ZTI4Yzg5YmFmNjQ4NDUiLCJ1c2VySWQiOiIzNzg2Mzc1NjAifQ==</vt:lpwstr>
  </property>
</Properties>
</file>