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shd w:val="clear" w:color="auto" w:fill="ffffff"/>
        <w:widowControl/>
        <w:rPr>
          <w:rFonts w:ascii="宋体" w:hAnsi="宋体" w:cs="宋体"/>
          <w:b/>
          <w:color w:val="auto"/>
          <w:sz w:val="36"/>
          <w:szCs w:val="36"/>
          <w:highlight w:val="none"/>
          <w:lang w:val="zh-CN"/>
        </w:rPr>
      </w:pPr>
      <w:r>
        <w:rPr>
          <w:rFonts w:hint="eastAsia" w:ascii="宋体" w:hAnsi="宋体" w:cs="宋体"/>
          <w:b/>
          <w:bCs/>
          <w:color w:val="auto"/>
          <w:sz w:val="36"/>
          <w:szCs w:val="36"/>
          <w:highlight w:val="none"/>
        </w:rPr>
        <w:t xml:space="preserve">南京审计大学润园运动场改造项目施工</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公开招标文件</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JSZC-320000-JSGC-G2026-0019</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采购人：南京审计大学</w:t>
      </w:r>
      <w:r/>
    </w:p>
    <w:p>
      <w:pPr>
        <w:jc w:val="center"/>
        <w:spacing w:line="360" w:lineRule="auto"/>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采购代理机构：江苏国采工程咨询有限公司</w:t>
      </w:r>
      <w:r/>
    </w:p>
    <w:p>
      <w:pPr>
        <w:jc w:val="center"/>
        <w:spacing w:line="360" w:lineRule="auto"/>
        <w:widowControl/>
        <w:rPr>
          <w:rFonts w:ascii="宋体" w:hAnsi="宋体" w:cs="宋体"/>
          <w:b/>
          <w:bCs/>
          <w:color w:val="auto"/>
          <w:sz w:val="36"/>
          <w:szCs w:val="36"/>
          <w:highlight w:val="none"/>
        </w:rPr>
        <w:sectPr>
          <w:headerReference w:type="default" r:id="rId9"/>
          <w:headerReference w:type="first" r:id="rId10"/>
          <w:footerReference w:type="default" r:id="rId12"/>
          <w:footnotePr/>
          <w:endnotePr/>
          <w:type w:val="nextPage"/>
          <w:pgSz w:w="11906" w:h="16838" w:orient="portrait"/>
          <w:pgMar w:top="1134" w:right="1134" w:bottom="1134" w:left="1134" w:header="850" w:footer="850" w:gutter="0"/>
          <w:cols w:num="1" w:sep="0" w:space="0" w:equalWidth="1"/>
          <w:docGrid w:linePitch="360"/>
          <w:titlePg/>
        </w:sectPr>
      </w:pPr>
      <w:r>
        <w:rPr>
          <w:rFonts w:hint="eastAsia" w:ascii="宋体" w:hAnsi="宋体" w:cs="宋体"/>
          <w:b/>
          <w:bCs/>
          <w:color w:val="auto"/>
          <w:sz w:val="36"/>
          <w:szCs w:val="36"/>
          <w:highlight w:val="none"/>
        </w:rPr>
        <w:t xml:space="preserve">2026年5月 </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highlight w:val="none"/>
          <w:lang w:val="zh-CN"/>
        </w:rPr>
      </w:sdtPr>
      <w:sdtContent>
        <w:p>
          <w:pPr>
            <w:pStyle w:val="1275"/>
            <w:jc w:val="center"/>
            <w:rPr>
              <w:rFonts w:ascii="宋体" w:hAnsi="宋体" w:eastAsia="宋体" w:cs="宋体"/>
              <w:b/>
              <w:bCs/>
              <w:color w:val="auto"/>
              <w:highlight w:val="none"/>
            </w:rPr>
          </w:pPr>
          <w:r>
            <w:rPr>
              <w:rFonts w:hint="eastAsia" w:ascii="宋体" w:hAnsi="宋体" w:eastAsia="宋体" w:cs="宋体"/>
              <w:b/>
              <w:bCs/>
              <w:color w:val="auto"/>
              <w:highlight w:val="none"/>
              <w:lang w:val="zh-CN"/>
            </w:rPr>
            <w:t xml:space="preserve">目 录</w:t>
          </w:r>
          <w:r/>
        </w:p>
        <w:p>
          <w:pPr>
            <w:pStyle w:val="1117"/>
            <w:tabs>
              <w:tab w:val="right" w:pos="9016" w:leader="dot"/>
            </w:tabs>
            <w:rPr>
              <w:rFonts w:ascii="宋体" w:hAnsi="宋体" w:cs="宋体"/>
              <w:b/>
              <w:bCs/>
              <w:color w:val="auto"/>
              <w:sz w:val="30"/>
              <w:szCs w:val="30"/>
              <w:highlight w:val="none"/>
              <w14:ligatures w14:val="standardContextual"/>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TOC \o "1-1" \h \z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"_Toc176529667" </w:instrText>
          </w:r>
          <w:r>
            <w:rPr>
              <w:color w:val="auto"/>
              <w:highlight w:val="none"/>
            </w:rPr>
            <w:fldChar w:fldCharType="separate"/>
          </w:r>
          <w:r>
            <w:rPr>
              <w:rStyle w:val="1134"/>
              <w:rFonts w:hint="eastAsia" w:ascii="宋体" w:hAnsi="宋体" w:cs="宋体"/>
              <w:b/>
              <w:bCs/>
              <w:color w:val="auto"/>
              <w:sz w:val="30"/>
              <w:szCs w:val="30"/>
              <w:highlight w:val="none"/>
            </w:rPr>
            <w:t xml:space="preserve">第一章 招标公告</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_Toc176529667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 xml:space="preserve">1</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r/>
        </w:p>
        <w:p>
          <w:pPr>
            <w:pStyle w:val="1117"/>
            <w:tabs>
              <w:tab w:val="right" w:pos="9016" w:leader="dot"/>
            </w:tabs>
            <w:rPr>
              <w:rFonts w:ascii="宋体" w:hAnsi="宋体" w:cs="宋体"/>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"_Toc176529668" </w:instrText>
          </w:r>
          <w:r>
            <w:rPr>
              <w:color w:val="auto"/>
              <w:highlight w:val="none"/>
            </w:rPr>
            <w:fldChar w:fldCharType="separate"/>
          </w:r>
          <w:r>
            <w:rPr>
              <w:rStyle w:val="1134"/>
              <w:rFonts w:hint="eastAsia" w:ascii="宋体" w:hAnsi="宋体" w:cs="宋体"/>
              <w:b/>
              <w:bCs/>
              <w:color w:val="auto"/>
              <w:sz w:val="30"/>
              <w:szCs w:val="30"/>
              <w:highlight w:val="none"/>
            </w:rPr>
            <w:t xml:space="preserve">第二章 投标人须知</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_Toc176529668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 xml:space="preserve">4</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r/>
        </w:p>
        <w:p>
          <w:pPr>
            <w:pStyle w:val="1117"/>
            <w:tabs>
              <w:tab w:val="right" w:pos="9016" w:leader="dot"/>
            </w:tabs>
            <w:rPr>
              <w:rFonts w:ascii="宋体" w:hAnsi="宋体" w:cs="宋体"/>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"_Toc176529669" </w:instrText>
          </w:r>
          <w:r>
            <w:rPr>
              <w:color w:val="auto"/>
              <w:highlight w:val="none"/>
            </w:rPr>
            <w:fldChar w:fldCharType="separate"/>
          </w:r>
          <w:r>
            <w:rPr>
              <w:rStyle w:val="1134"/>
              <w:rFonts w:hint="eastAsia" w:ascii="宋体" w:hAnsi="宋体" w:cs="宋体"/>
              <w:b/>
              <w:bCs/>
              <w:color w:val="auto"/>
              <w:sz w:val="30"/>
              <w:szCs w:val="30"/>
              <w:highlight w:val="none"/>
            </w:rPr>
            <w:t xml:space="preserve">第三章 评标标准</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_Toc176529669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 xml:space="preserve">15</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r/>
        </w:p>
        <w:p>
          <w:pPr>
            <w:pStyle w:val="1117"/>
            <w:tabs>
              <w:tab w:val="right" w:pos="9016" w:leader="dot"/>
            </w:tabs>
            <w:rPr>
              <w:rFonts w:ascii="宋体" w:hAnsi="宋体" w:cs="宋体"/>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"_Toc176529670" </w:instrText>
          </w:r>
          <w:r>
            <w:rPr>
              <w:color w:val="auto"/>
              <w:highlight w:val="none"/>
            </w:rPr>
            <w:fldChar w:fldCharType="separate"/>
          </w:r>
          <w:r>
            <w:rPr>
              <w:rStyle w:val="1134"/>
              <w:rFonts w:hint="eastAsia" w:ascii="宋体" w:hAnsi="宋体" w:cs="宋体"/>
              <w:b/>
              <w:bCs/>
              <w:color w:val="auto"/>
              <w:sz w:val="30"/>
              <w:szCs w:val="30"/>
              <w:highlight w:val="none"/>
            </w:rPr>
            <w:t xml:space="preserve">第四章 采购项目的内容和相关技术要求等</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_Toc176529670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 xml:space="preserve">18</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r/>
        </w:p>
        <w:p>
          <w:pPr>
            <w:pStyle w:val="1117"/>
            <w:tabs>
              <w:tab w:val="right" w:pos="9016" w:leader="dot"/>
            </w:tabs>
            <w:rPr>
              <w:rFonts w:ascii="宋体" w:hAnsi="宋体" w:cs="宋体"/>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"_Toc176529671" </w:instrText>
          </w:r>
          <w:r>
            <w:rPr>
              <w:color w:val="auto"/>
              <w:highlight w:val="none"/>
            </w:rPr>
            <w:fldChar w:fldCharType="separate"/>
          </w:r>
          <w:r>
            <w:rPr>
              <w:rStyle w:val="1134"/>
              <w:rFonts w:hint="eastAsia" w:ascii="宋体" w:hAnsi="宋体" w:cs="宋体"/>
              <w:b/>
              <w:bCs/>
              <w:color w:val="auto"/>
              <w:sz w:val="30"/>
              <w:szCs w:val="30"/>
              <w:highlight w:val="none"/>
            </w:rPr>
            <w:t xml:space="preserve">第五章 合同主要条款及格式</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_Toc176529671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 xml:space="preserve">26</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r/>
        </w:p>
        <w:p>
          <w:pPr>
            <w:pStyle w:val="1117"/>
            <w:tabs>
              <w:tab w:val="right" w:pos="9016" w:leader="dot"/>
            </w:tabs>
            <w:rPr>
              <w:rFonts w:ascii="宋体" w:hAnsi="宋体" w:cs="宋体"/>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"_Toc176529672" </w:instrText>
          </w:r>
          <w:r>
            <w:rPr>
              <w:color w:val="auto"/>
              <w:highlight w:val="none"/>
            </w:rPr>
            <w:fldChar w:fldCharType="separate"/>
          </w:r>
          <w:r>
            <w:rPr>
              <w:rStyle w:val="1134"/>
              <w:rFonts w:hint="eastAsia" w:ascii="宋体" w:hAnsi="宋体" w:cs="宋体"/>
              <w:b/>
              <w:bCs/>
              <w:color w:val="auto"/>
              <w:sz w:val="30"/>
              <w:szCs w:val="30"/>
              <w:highlight w:val="none"/>
            </w:rPr>
            <w:t xml:space="preserve">第六章 投标文件格式</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_Toc176529672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 xml:space="preserve">63</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r/>
        </w:p>
        <w:p>
          <w:pPr>
            <w:rPr>
              <w:rFonts w:ascii="宋体" w:hAnsi="宋体" w:cs="宋体"/>
              <w:color w:val="auto"/>
              <w:highlight w:val="none"/>
            </w:rPr>
          </w:pPr>
          <w:r>
            <w:rPr>
              <w:rFonts w:hint="eastAsia" w:ascii="宋体" w:hAnsi="宋体" w:cs="宋体"/>
              <w:color w:val="auto"/>
              <w:sz w:val="28"/>
              <w:szCs w:val="28"/>
              <w:highlight w:val="none"/>
            </w:rPr>
            <w:fldChar w:fldCharType="end"/>
          </w:r>
          <w:r/>
        </w:p>
      </w:sdtContent>
    </w:sdt>
    <w:p>
      <w:pPr>
        <w:pStyle w:val="1117"/>
        <w:tabs>
          <w:tab w:val="right" w:pos="8296" w:leader="dot"/>
        </w:tabs>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117"/>
        <w:spacing w:line="480" w:lineRule="auto"/>
        <w:tabs>
          <w:tab w:val="right" w:pos="8306" w:leader="dot"/>
        </w:tabs>
        <w:rPr>
          <w:rFonts w:ascii="宋体" w:hAnsi="宋体" w:cs="宋体"/>
          <w:b/>
          <w:color w:val="auto"/>
          <w:sz w:val="28"/>
          <w:szCs w:val="28"/>
          <w:highlight w:val="none"/>
        </w:rPr>
      </w:pPr>
      <w:r>
        <w:rPr>
          <w:rFonts w:hint="eastAsia" w:ascii="宋体" w:hAnsi="宋体" w:cs="宋体"/>
          <w:b/>
          <w:color w:val="auto"/>
          <w:sz w:val="28"/>
          <w:szCs w:val="28"/>
          <w:highlight w:val="none"/>
        </w:rPr>
        <w:fldChar w:fldCharType="begin"/>
      </w:r>
      <w:r>
        <w:rPr>
          <w:rFonts w:hint="eastAsia" w:ascii="宋体" w:hAnsi="宋体" w:cs="宋体"/>
          <w:b/>
          <w:color w:val="auto"/>
          <w:sz w:val="28"/>
          <w:szCs w:val="28"/>
          <w:highlight w:val="none"/>
        </w:rPr>
        <w:instrText xml:space="preserve">TOC \o "1-1" \h \u </w:instrText>
      </w:r>
      <w:r>
        <w:rPr>
          <w:rFonts w:hint="eastAsia" w:ascii="宋体" w:hAnsi="宋体" w:cs="宋体"/>
          <w:b/>
          <w:color w:val="auto"/>
          <w:sz w:val="28"/>
          <w:szCs w:val="28"/>
          <w:highlight w:val="none"/>
        </w:rPr>
        <w:fldChar w:fldCharType="separate"/>
      </w:r>
      <w:r/>
    </w:p>
    <w:p>
      <w:pPr>
        <w:spacing w:line="480" w:lineRule="auto"/>
        <w:rPr>
          <w:rFonts w:ascii="宋体" w:hAnsi="宋体" w:cs="宋体"/>
          <w:color w:val="auto"/>
          <w:sz w:val="28"/>
          <w:szCs w:val="28"/>
          <w:highlight w:val="none"/>
        </w:rPr>
      </w:pPr>
      <w:r>
        <w:rPr>
          <w:rFonts w:hint="eastAsia" w:ascii="宋体" w:hAnsi="宋体" w:cs="宋体"/>
          <w:b/>
          <w:color w:val="auto"/>
          <w:sz w:val="28"/>
          <w:szCs w:val="28"/>
          <w:highlight w:val="none"/>
        </w:rPr>
        <w:fldChar w:fldCharType="end"/>
      </w:r>
      <w:r/>
    </w:p>
    <w:p>
      <w:pPr>
        <w:jc w:val="left"/>
        <w:spacing w:line="360" w:lineRule="auto"/>
        <w:shd w:val="clear" w:color="auto" w:fill="ffffff"/>
        <w:widowControl/>
        <w:rPr>
          <w:rFonts w:ascii="宋体" w:hAnsi="宋体" w:cs="宋体"/>
          <w:b/>
          <w:color w:val="auto"/>
          <w:sz w:val="36"/>
          <w:szCs w:val="36"/>
          <w:highlight w:val="none"/>
        </w:rPr>
      </w:pPr>
      <w:r>
        <w:rPr>
          <w:rFonts w:ascii="宋体" w:hAnsi="宋体" w:cs="宋体"/>
          <w:b/>
          <w:color w:val="auto"/>
          <w:sz w:val="36"/>
          <w:szCs w:val="36"/>
          <w:highlight w:val="none"/>
        </w:rPr>
      </w:r>
      <w:r/>
    </w:p>
    <w:p>
      <w:pPr>
        <w:pStyle w:val="1086"/>
        <w:ind w:left="0"/>
        <w:spacing w:line="579" w:lineRule="auto"/>
        <w:rPr>
          <w:rFonts w:ascii="宋体" w:hAnsi="宋体" w:cs="宋体"/>
          <w:color w:val="auto"/>
          <w:highlight w:val="none"/>
        </w:rPr>
      </w:pPr>
      <w:r>
        <w:rPr>
          <w:rFonts w:hint="eastAsia" w:ascii="宋体" w:hAnsi="宋体" w:cs="宋体"/>
          <w:color w:val="auto"/>
          <w:sz w:val="36"/>
          <w:szCs w:val="36"/>
          <w:highlight w:val="none"/>
          <w:shd w:val="clear" w:color="auto" w:fill="ffffff"/>
        </w:rPr>
        <w:br w:type="page" w:clear="all"/>
      </w:r>
      <w:bookmarkStart w:id="0" w:name="_Toc481057143"/>
      <w:r/>
      <w:bookmarkStart w:id="1" w:name="_Toc29007"/>
      <w:r/>
      <w:bookmarkStart w:id="2" w:name="_Hlk43897905"/>
      <w:r>
        <w:rPr>
          <w:rFonts w:hint="eastAsia" w:ascii="宋体" w:hAnsi="宋体" w:cs="宋体"/>
          <w:color w:val="auto"/>
          <w:highlight w:val="none"/>
        </w:rPr>
        <w:t xml:space="preserve"> </w:t>
      </w:r>
      <w:bookmarkStart w:id="3" w:name="_Toc176529667"/>
      <w:r>
        <w:rPr>
          <w:rFonts w:hint="eastAsia" w:ascii="宋体" w:hAnsi="宋体" w:cs="宋体"/>
          <w:color w:val="auto"/>
          <w:highlight w:val="none"/>
        </w:rPr>
        <w:t xml:space="preserve">招标公告</w:t>
      </w:r>
      <w:bookmarkEnd w:id="0"/>
      <w:r/>
      <w:bookmarkEnd w:id="1"/>
      <w:r/>
      <w:bookmarkEnd w:id="3"/>
      <w:r/>
      <w:r/>
    </w:p>
    <w:p>
      <w:pPr>
        <w:ind w:firstLine="422"/>
        <w:jc w:val="left"/>
        <w:spacing w:line="360" w:lineRule="auto"/>
        <w:widowControl/>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jc w:val="left"/>
        <w:spacing w:line="360" w:lineRule="auto"/>
        <w:widowControl/>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rPr>
        <w:t xml:space="preserve">南京审计大学润园运动场改造项目施工 </w:t>
      </w:r>
      <w:r>
        <w:rPr>
          <w:rFonts w:hint="eastAsia" w:ascii="宋体" w:hAnsi="宋体" w:cs="宋体"/>
          <w:color w:val="auto"/>
          <w:highlight w:val="none"/>
          <w:lang w:eastAsia="zh-CN"/>
        </w:rPr>
        <w:t xml:space="preserve">JSZC-320000-JSGC-G2026-0019</w:t>
      </w:r>
      <w:r>
        <w:rPr>
          <w:rFonts w:hint="eastAsia" w:ascii="宋体" w:hAnsi="宋体" w:cs="宋体"/>
          <w:color w:val="auto"/>
          <w:highlight w:val="none"/>
        </w:rPr>
        <w:t xml:space="preserve"> 招标项目的潜在投标人应在</w:t>
      </w:r>
      <w:r>
        <w:rPr>
          <w:rFonts w:hint="eastAsia" w:ascii="宋体" w:hAnsi="宋体" w:cs="宋体"/>
          <w:color w:val="auto"/>
          <w:szCs w:val="21"/>
          <w:highlight w:val="none"/>
        </w:rPr>
        <w:t xml:space="preserve">江苏政府采购网“</w:t>
      </w:r>
      <w:r>
        <w:rPr>
          <w:rFonts w:hint="eastAsia" w:ascii="宋体" w:hAnsi="宋体" w:cs="宋体"/>
          <w:color w:val="auto"/>
          <w:szCs w:val="21"/>
          <w:highlight w:val="none"/>
        </w:rPr>
        <w:t xml:space="preserve">苏采云”系统</w:t>
      </w:r>
      <w:r>
        <w:rPr>
          <w:rFonts w:hint="eastAsia" w:ascii="宋体" w:hAnsi="宋体" w:cs="宋体"/>
          <w:color w:val="auto"/>
          <w:highlight w:val="none"/>
        </w:rPr>
        <w:t xml:space="preserve">获取招标文件，并于2026年</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日</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:30（北京时间）前提交投标文件。</w:t>
      </w:r>
      <w:r/>
    </w:p>
    <w:p>
      <w:pPr>
        <w:ind w:firstLine="422"/>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一、项目基本情况   </w:t>
      </w:r>
      <w:r/>
    </w:p>
    <w:p>
      <w:pPr>
        <w:ind w:firstLine="420"/>
        <w:jc w:val="left"/>
        <w:spacing w:line="360" w:lineRule="auto"/>
        <w:shd w:val="clear" w:color="auto" w:fill="ffffff"/>
        <w:widowControl/>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JSZC-320000-JSGC-G2026-0019</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项目名称：南京审计大学润园运动场改造项目施工</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预算金额</w:t>
      </w:r>
      <w:r>
        <w:rPr>
          <w:rFonts w:hint="eastAsia" w:ascii="宋体" w:hAnsi="宋体" w:cs="宋体"/>
          <w:bCs/>
          <w:color w:val="auto"/>
          <w:szCs w:val="21"/>
          <w:highlight w:val="none"/>
        </w:rPr>
        <w:t xml:space="preserve">：279.8万元</w:t>
      </w:r>
      <w:r/>
    </w:p>
    <w:p>
      <w:pPr>
        <w:ind w:firstLine="420"/>
        <w:jc w:val="left"/>
        <w:spacing w:line="360" w:lineRule="auto"/>
        <w:shd w:val="clear" w:color="auto" w:fill="ffffff"/>
        <w:widowControl/>
        <w:rPr>
          <w:rFonts w:ascii="宋体" w:hAnsi="宋体" w:cs="宋体"/>
          <w:bCs/>
          <w:color w:val="auto"/>
          <w:szCs w:val="21"/>
          <w:highlight w:val="none"/>
        </w:rPr>
      </w:pPr>
      <w:r/>
      <w:bookmarkStart w:id="4" w:name="_Hlk175666274"/>
      <w:r>
        <w:rPr>
          <w:rFonts w:hint="eastAsia" w:ascii="宋体" w:hAnsi="宋体" w:cs="宋体"/>
          <w:bCs/>
          <w:color w:val="auto"/>
          <w:szCs w:val="21"/>
          <w:highlight w:val="none"/>
        </w:rPr>
        <w:t xml:space="preserve">最高限价（如有）</w:t>
      </w:r>
      <w:bookmarkEnd w:id="4"/>
      <w:r>
        <w:rPr>
          <w:rFonts w:hint="eastAsia" w:ascii="宋体" w:hAnsi="宋体" w:cs="宋体"/>
          <w:bCs/>
          <w:color w:val="auto"/>
          <w:szCs w:val="21"/>
          <w:highlight w:val="none"/>
        </w:rPr>
        <w:t xml:space="preserve">：278.35万元</w:t>
      </w:r>
      <w:r/>
    </w:p>
    <w:p>
      <w:pPr>
        <w:ind w:firstLine="420"/>
        <w:jc w:val="left"/>
        <w:spacing w:line="360" w:lineRule="auto"/>
        <w:shd w:val="clear" w:color="auto" w:fill="ffffff"/>
        <w:widowControl/>
        <w:rPr>
          <w:rFonts w:ascii="宋体" w:hAnsi="宋体" w:cs="宋体"/>
          <w:bCs/>
          <w:color w:val="auto"/>
          <w:szCs w:val="21"/>
          <w:highlight w:val="none"/>
          <w:u w:val="single"/>
        </w:rPr>
      </w:pPr>
      <w:r>
        <w:rPr>
          <w:rFonts w:hint="eastAsia" w:ascii="宋体" w:hAnsi="宋体" w:cs="宋体"/>
          <w:bCs/>
          <w:color w:val="auto"/>
          <w:szCs w:val="21"/>
          <w:highlight w:val="none"/>
        </w:rPr>
        <w:t xml:space="preserve">采购需求：南京审计大学浦口校区润园运动场建成投入使用至今已近20年，原有塑胶跑道和足球场区域年久失修，面层脱落损坏，已不能满足日常体育教学和活动需要，本项目计划在原有场地基础上铲除原有塑胶面层、打磨清洗基础垫层、垃圾清运、新铺混合型塑胶跑道、50mm高人造草坪，并对排水沟进行清淤维修。具体内容详见工程量清单和图纸。</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合同履行期限：40日历天（具体时间根据采购人需求执行）</w:t>
      </w:r>
      <w:r/>
    </w:p>
    <w:p>
      <w:pPr>
        <w:ind w:firstLine="420"/>
        <w:jc w:val="left"/>
        <w:spacing w:line="360" w:lineRule="auto"/>
        <w:shd w:val="clear" w:color="auto" w:fill="ffffff"/>
        <w:widowControl/>
        <w:rPr>
          <w:rFonts w:ascii="宋体" w:hAnsi="宋体" w:cs="宋体"/>
          <w:bCs/>
          <w:color w:val="auto"/>
          <w:szCs w:val="21"/>
          <w:highlight w:val="none"/>
        </w:rPr>
      </w:pPr>
      <w:r/>
      <w:bookmarkStart w:id="5" w:name="_Hlk128055931"/>
      <w:r/>
      <w:bookmarkStart w:id="6" w:name="_Hlk77845455"/>
      <w:r>
        <w:rPr>
          <w:rFonts w:hint="eastAsia" w:ascii="宋体" w:hAnsi="宋体" w:cs="宋体"/>
          <w:bCs/>
          <w:color w:val="auto"/>
          <w:szCs w:val="21"/>
          <w:highlight w:val="none"/>
        </w:rPr>
        <w:t xml:space="preserve">本项目</w:t>
      </w:r>
      <w:bookmarkStart w:id="7" w:name="_Hlk84582886"/>
      <w:r>
        <w:rPr>
          <w:rFonts w:hint="eastAsia" w:ascii="宋体" w:hAnsi="宋体" w:cs="宋体"/>
          <w:bCs/>
          <w:color w:val="auto"/>
          <w:szCs w:val="21"/>
          <w:highlight w:val="none"/>
        </w:rPr>
        <w:t xml:space="preserve">（是/否）接受</w:t>
      </w:r>
      <w:bookmarkEnd w:id="7"/>
      <w:r>
        <w:rPr>
          <w:rFonts w:hint="eastAsia" w:ascii="宋体" w:hAnsi="宋体" w:cs="宋体"/>
          <w:bCs/>
          <w:color w:val="auto"/>
          <w:szCs w:val="21"/>
          <w:highlight w:val="none"/>
        </w:rPr>
        <w:t xml:space="preserve">联合体投标：否</w:t>
      </w:r>
      <w:bookmarkEnd w:id="5"/>
      <w:r/>
      <w:bookmarkEnd w:id="6"/>
      <w:r/>
      <w:r/>
    </w:p>
    <w:p>
      <w:pPr>
        <w:ind w:firstLine="422"/>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（一）满足《中华人民共和国政府采购法》第二十二条规定：</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2.具有良好的商业信誉和健全的财务会计制度（提供距开标时间前六个月内任意一月份的财务状况报告或上一年度财务审计报告或开标截止时间前六个月内银行出具的资信证明，若成立未满</w:t>
      </w:r>
      <w:bookmarkStart w:id="8" w:name="_Hlk225774146"/>
      <w:r>
        <w:rPr>
          <w:rFonts w:hint="eastAsia" w:ascii="宋体" w:hAnsi="宋体" w:cs="宋体"/>
          <w:bCs/>
          <w:color w:val="auto"/>
          <w:szCs w:val="21"/>
          <w:highlight w:val="none"/>
        </w:rPr>
        <w:t xml:space="preserve">六个月</w:t>
      </w:r>
      <w:bookmarkEnd w:id="8"/>
      <w:r>
        <w:rPr>
          <w:rFonts w:hint="eastAsia" w:ascii="宋体" w:hAnsi="宋体" w:cs="宋体"/>
          <w:bCs/>
          <w:color w:val="auto"/>
          <w:szCs w:val="21"/>
          <w:highlight w:val="none"/>
        </w:rPr>
        <w:t xml:space="preserve">无上述证明材料的可不提供）；</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宋体" w:hAnsi="宋体" w:cs="宋体"/>
          <w:bCs/>
          <w:color w:val="auto"/>
          <w:szCs w:val="21"/>
          <w:highlight w:val="none"/>
        </w:rPr>
        <w:t xml:space="preserve">或证明材料</w:t>
      </w:r>
      <w:bookmarkEnd w:id="9"/>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w:t>
      </w:r>
      <w:bookmarkStart w:id="10" w:name="_Hlk169006514"/>
      <w:r>
        <w:rPr>
          <w:rFonts w:hint="eastAsia" w:ascii="宋体" w:hAnsi="宋体" w:cs="宋体"/>
          <w:bCs/>
          <w:color w:val="auto"/>
          <w:szCs w:val="21"/>
          <w:highlight w:val="none"/>
        </w:rPr>
        <w:t xml:space="preserve">具有依法缴纳税收和社会保障资金的良好记录</w:t>
      </w:r>
      <w:bookmarkStart w:id="11" w:name="_Hlk168994408"/>
      <w:r>
        <w:rPr>
          <w:rFonts w:hint="eastAsia" w:ascii="宋体" w:hAnsi="宋体" w:cs="宋体"/>
          <w:bCs/>
          <w:color w:val="auto"/>
          <w:szCs w:val="21"/>
          <w:highlight w:val="none"/>
        </w:rPr>
        <w:t xml:space="preserve">（提供参加本次政府采购活动前一年内至少一个月缴纳社会保险的凭据及缴纳税收凭据，依法享受免缴、缓缴的，提供证明材料）</w:t>
      </w:r>
      <w:bookmarkEnd w:id="11"/>
      <w:r>
        <w:rPr>
          <w:rFonts w:hint="eastAsia" w:ascii="宋体" w:hAnsi="宋体" w:cs="宋体"/>
          <w:bCs/>
          <w:color w:val="auto"/>
          <w:szCs w:val="21"/>
          <w:highlight w:val="none"/>
        </w:rPr>
        <w:t xml:space="preserve">；</w:t>
      </w:r>
      <w:bookmarkEnd w:id="10"/>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5.参加政府采购活动前三年内，在经营活动中没有重大违法记录（提供承诺书）；</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6.法律、行政法规规定的其他条件：无。</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（二）落实政府采购政策需满足的资格要求：</w:t>
      </w:r>
      <w:bookmarkStart w:id="12" w:name="_Hlk128042064"/>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本项目专门面向中小微企业采购，</w:t>
      </w:r>
      <w:r>
        <w:rPr>
          <w:rFonts w:hint="eastAsia" w:ascii="宋体" w:hAnsi="宋体" w:cs="宋体"/>
          <w:bCs/>
          <w:color w:val="auto"/>
          <w:szCs w:val="21"/>
          <w:highlight w:val="none"/>
        </w:rPr>
        <w:t xml:space="preserve">投标人应</w:t>
      </w:r>
      <w:r>
        <w:rPr>
          <w:rFonts w:hint="eastAsia" w:ascii="宋体" w:hAnsi="宋体" w:cs="宋体"/>
          <w:bCs/>
          <w:color w:val="auto"/>
          <w:szCs w:val="21"/>
          <w:highlight w:val="none"/>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bCs/>
          <w:color w:val="auto"/>
          <w:szCs w:val="21"/>
          <w:highlight w:val="none"/>
        </w:rPr>
        <w:t xml:space="preserve">未提供或未按要求提供上述相关材料，</w:t>
      </w:r>
      <w:r>
        <w:rPr>
          <w:rFonts w:hint="eastAsia" w:ascii="宋体" w:hAnsi="宋体" w:cs="宋体"/>
          <w:bCs/>
          <w:color w:val="auto"/>
          <w:szCs w:val="21"/>
          <w:highlight w:val="none"/>
        </w:rPr>
        <w:t xml:space="preserve">投标文件按无效投标处理。</w:t>
      </w:r>
      <w:bookmarkEnd w:id="12"/>
      <w:r/>
      <w:r/>
    </w:p>
    <w:p>
      <w:pPr>
        <w:ind w:firstLine="420"/>
        <w:jc w:val="left"/>
        <w:spacing w:line="360" w:lineRule="auto"/>
        <w:shd w:val="clear" w:color="auto" w:fill="ffffff"/>
        <w:widowControl/>
        <w:rPr>
          <w:rFonts w:ascii="宋体" w:hAnsi="宋体" w:cs="宋体"/>
          <w:bCs/>
          <w:color w:val="auto"/>
          <w:szCs w:val="21"/>
          <w:highlight w:val="none"/>
        </w:rPr>
      </w:pPr>
      <w:r/>
      <w:bookmarkStart w:id="13" w:name="_Hlk67996638"/>
      <w:r/>
      <w:bookmarkStart w:id="14" w:name="_Hlk67648547"/>
      <w:r>
        <w:rPr>
          <w:rFonts w:hint="eastAsia" w:ascii="宋体" w:hAnsi="宋体" w:cs="宋体"/>
          <w:bCs/>
          <w:color w:val="auto"/>
          <w:szCs w:val="21"/>
          <w:highlight w:val="none"/>
        </w:rPr>
        <w:t xml:space="preserve">（三）</w:t>
      </w:r>
      <w:r>
        <w:rPr>
          <w:rFonts w:hint="eastAsia" w:ascii="宋体" w:hAnsi="宋体" w:cs="宋体"/>
          <w:bCs/>
          <w:color w:val="auto"/>
          <w:szCs w:val="21"/>
          <w:highlight w:val="none"/>
        </w:rPr>
        <w:t xml:space="preserve">本项目特定资格要求</w:t>
      </w:r>
      <w:bookmarkEnd w:id="13"/>
      <w:r>
        <w:rPr>
          <w:rFonts w:hint="eastAsia" w:ascii="宋体" w:hAnsi="宋体" w:cs="宋体"/>
          <w:bCs/>
          <w:color w:val="auto"/>
          <w:szCs w:val="21"/>
          <w:highlight w:val="none"/>
        </w:rPr>
        <w:t xml:space="preserve">：</w:t>
      </w:r>
      <w:bookmarkEnd w:id="14"/>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1.投标人须具备建筑工程施工总承包三级（含）以上或市政公用工程施工总承包三级（含）以上资质证书，同时提供企业安全生产许可证（提供有效期内证书复印件加盖公章）；</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2.项目经理须具备注册二级建造师及以上（建筑工程或市政工程）资质证书，并取得住房城乡建设主管部门颁发的安全生产考核合格证(B类证书)（提供相关证明材料并加盖公章），同时提供近三个月内任意一个月投标人为其缴纳的社保证明材料(并加盖社保中心章或社保中心参保缴费证明电子专用章)；</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3.项目经理无在建工程，提供承诺函（格式自拟）。</w:t>
      </w:r>
      <w:r/>
    </w:p>
    <w:p>
      <w:pPr>
        <w:ind w:firstLine="422"/>
        <w:jc w:val="left"/>
        <w:spacing w:line="360" w:lineRule="auto"/>
        <w:shd w:val="clear" w:color="auto" w:fill="ffffff"/>
        <w:widowControl/>
        <w:rPr>
          <w:rFonts w:ascii="宋体" w:hAnsi="宋体" w:cs="宋体"/>
          <w:b/>
          <w:color w:val="auto"/>
          <w:szCs w:val="21"/>
          <w:highlight w:val="none"/>
        </w:rPr>
      </w:pPr>
      <w:r/>
      <w:bookmarkStart w:id="15" w:name="_Hlk77845490"/>
      <w:r/>
      <w:bookmarkStart w:id="16" w:name="_Hlk77846375"/>
      <w:r>
        <w:rPr>
          <w:rFonts w:hint="eastAsia" w:ascii="宋体" w:hAnsi="宋体" w:cs="宋体"/>
          <w:b/>
          <w:color w:val="auto"/>
          <w:szCs w:val="21"/>
          <w:highlight w:val="none"/>
        </w:rPr>
        <w:t xml:space="preserve">三、获取招标文件</w:t>
      </w:r>
      <w:r/>
    </w:p>
    <w:p>
      <w:pPr>
        <w:ind w:firstLine="420"/>
        <w:jc w:val="left"/>
        <w:spacing w:line="360" w:lineRule="auto"/>
        <w:shd w:val="clear" w:color="auto" w:fill="ffffff"/>
        <w:widowControl/>
        <w:rPr>
          <w:rFonts w:ascii="宋体" w:hAnsi="宋体" w:cs="宋体"/>
          <w:color w:val="auto"/>
          <w:szCs w:val="21"/>
          <w:highlight w:val="none"/>
        </w:rPr>
      </w:pPr>
      <w:r/>
      <w:bookmarkStart w:id="17" w:name="_Hlk165968429"/>
      <w:r>
        <w:rPr>
          <w:rFonts w:hint="eastAsia" w:ascii="宋体" w:hAnsi="宋体" w:cs="宋体"/>
          <w:color w:val="auto"/>
          <w:szCs w:val="21"/>
          <w:highlight w:val="none"/>
        </w:rPr>
        <w:t xml:space="preserve">时间：自招标文件公告发布之日起5个工作日</w:t>
      </w:r>
      <w:bookmarkEnd w:id="15"/>
      <w:r/>
      <w:r/>
    </w:p>
    <w:p>
      <w:pPr>
        <w:ind w:firstLine="420"/>
        <w:jc w:val="left"/>
        <w:spacing w:line="360" w:lineRule="auto"/>
        <w:shd w:val="clear" w:color="auto" w:fill="ffffff"/>
        <w:widowControl/>
        <w:rPr>
          <w:rFonts w:ascii="宋体" w:hAnsi="宋体" w:cs="宋体"/>
          <w:color w:val="auto"/>
          <w:szCs w:val="21"/>
          <w:highlight w:val="none"/>
        </w:rPr>
      </w:pPr>
      <w:r/>
      <w:bookmarkStart w:id="18" w:name="_Hlk77845475"/>
      <w:r>
        <w:rPr>
          <w:rFonts w:hint="eastAsia" w:ascii="宋体" w:hAnsi="宋体" w:cs="宋体"/>
          <w:color w:val="auto"/>
          <w:szCs w:val="21"/>
          <w:highlight w:val="none"/>
        </w:rPr>
        <w:t xml:space="preserve">地点：</w:t>
      </w:r>
      <w:bookmarkStart w:id="19" w:name="OLE_LINK20"/>
      <w:r>
        <w:rPr>
          <w:rFonts w:hint="eastAsia" w:ascii="宋体" w:hAnsi="宋体" w:cs="宋体"/>
          <w:color w:val="auto"/>
          <w:szCs w:val="21"/>
          <w:highlight w:val="none"/>
        </w:rPr>
        <w:t xml:space="preserve">江苏政府采购网</w:t>
      </w:r>
      <w:bookmarkStart w:id="20" w:name="OLE_LINK21"/>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苏采云”系统</w:t>
      </w:r>
      <w:bookmarkEnd w:id="19"/>
      <w:r/>
      <w:bookmarkEnd w:id="20"/>
      <w:r/>
      <w:r/>
    </w:p>
    <w:p>
      <w:pPr>
        <w:ind w:firstLine="420"/>
        <w:jc w:val="left"/>
        <w:spacing w:line="360" w:lineRule="auto"/>
        <w:shd w:val="clear" w:color="auto" w:fill="ffffff"/>
        <w:widowControl/>
        <w:rPr>
          <w:rFonts w:ascii="宋体" w:hAnsi="宋体" w:cs="宋体"/>
          <w:bCs/>
          <w:color w:val="auto"/>
          <w:szCs w:val="21"/>
          <w:highlight w:val="none"/>
        </w:rPr>
      </w:pPr>
      <w:r/>
      <w:bookmarkStart w:id="21" w:name="_Hlk75168366"/>
      <w:r/>
      <w:bookmarkStart w:id="22" w:name="_Hlk168491228"/>
      <w:r/>
      <w:bookmarkStart w:id="23" w:name="_Hlk164960028"/>
      <w:r/>
      <w:bookmarkStart w:id="24" w:name="_Hlk168491149"/>
      <w:r>
        <w:rPr>
          <w:rFonts w:hint="eastAsia" w:ascii="宋体" w:hAnsi="宋体" w:cs="宋体"/>
          <w:color w:val="auto"/>
          <w:szCs w:val="21"/>
          <w:highlight w:val="none"/>
        </w:rPr>
        <w:t xml:space="preserve">方式：</w:t>
      </w:r>
      <w:bookmarkEnd w:id="21"/>
      <w:r/>
      <w:bookmarkStart w:id="25" w:name="_Hlk168492824"/>
      <w:r/>
      <w:bookmarkStart w:id="26" w:name="_Hlk163662034"/>
      <w:r/>
      <w:bookmarkStart w:id="27" w:name="_Hlk95487722"/>
      <w:r>
        <w:rPr>
          <w:rFonts w:hint="eastAsia" w:ascii="宋体" w:hAnsi="宋体" w:cs="宋体"/>
          <w:color w:val="auto"/>
          <w:szCs w:val="21"/>
          <w:highlight w:val="none"/>
        </w:rPr>
        <w:t xml:space="preserve">投标人登录江苏政府采购网，在网站首页点击“</w:t>
      </w:r>
      <w:r>
        <w:rPr>
          <w:rFonts w:hint="eastAsia" w:ascii="宋体" w:hAnsi="宋体" w:cs="宋体"/>
          <w:color w:val="auto"/>
          <w:szCs w:val="21"/>
          <w:highlight w:val="none"/>
        </w:rPr>
        <w:t xml:space="preserve">苏采云”系统</w:t>
      </w:r>
      <w:r>
        <w:rPr>
          <w:rFonts w:hint="eastAsia" w:ascii="宋体" w:hAnsi="宋体" w:cs="宋体"/>
          <w:bCs/>
          <w:color w:val="auto"/>
          <w:szCs w:val="21"/>
          <w:highlight w:val="none"/>
        </w:rPr>
        <w:t xml:space="preserve">自行免费下载</w:t>
      </w:r>
      <w:bookmarkEnd w:id="17"/>
      <w:r/>
      <w:bookmarkEnd w:id="22"/>
      <w:r/>
      <w:bookmarkEnd w:id="23"/>
      <w:r/>
      <w:bookmarkEnd w:id="24"/>
      <w:r/>
      <w:bookmarkEnd w:id="25"/>
      <w:r/>
      <w:bookmarkEnd w:id="26"/>
      <w:r/>
      <w:r/>
    </w:p>
    <w:p>
      <w:pPr>
        <w:ind w:firstLine="420"/>
        <w:jc w:val="left"/>
        <w:spacing w:line="360" w:lineRule="auto"/>
        <w:widowControl/>
        <w:rPr>
          <w:rFonts w:ascii="宋体" w:hAnsi="宋体" w:cs="宋体"/>
          <w:color w:val="auto"/>
          <w:szCs w:val="21"/>
          <w:highlight w:val="none"/>
        </w:rPr>
      </w:pPr>
      <w:r/>
      <w:bookmarkStart w:id="28" w:name="_Hlk128043211"/>
      <w:r>
        <w:rPr>
          <w:rFonts w:hint="eastAsia" w:ascii="宋体" w:hAnsi="宋体" w:cs="宋体"/>
          <w:color w:val="auto"/>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四、</w:t>
      </w:r>
      <w:bookmarkStart w:id="29" w:name="_Hlk44579106"/>
      <w:r>
        <w:rPr>
          <w:rFonts w:hint="eastAsia" w:ascii="宋体" w:hAnsi="宋体" w:cs="宋体"/>
          <w:b/>
          <w:color w:val="auto"/>
          <w:szCs w:val="21"/>
          <w:highlight w:val="none"/>
        </w:rPr>
        <w:t xml:space="preserve">提交投标文件截止时间、开标时间和地点</w:t>
      </w:r>
      <w:bookmarkEnd w:id="29"/>
      <w:r/>
      <w:r/>
    </w:p>
    <w:p>
      <w:pPr>
        <w:ind w:firstLine="420"/>
        <w:jc w:val="left"/>
        <w:spacing w:line="360" w:lineRule="auto"/>
        <w:shd w:val="clear" w:color="auto" w:fill="ffffff"/>
        <w:widowControl/>
        <w:rPr>
          <w:rFonts w:ascii="宋体" w:hAnsi="宋体" w:cs="宋体"/>
          <w:color w:val="auto"/>
          <w:szCs w:val="21"/>
          <w:highlight w:val="none"/>
        </w:rPr>
      </w:pPr>
      <w:r/>
      <w:bookmarkStart w:id="30" w:name="_Hlk44575721"/>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日 09:30</w:t>
      </w:r>
      <w:bookmarkEnd w:id="30"/>
      <w:r>
        <w:rPr>
          <w:rFonts w:hint="eastAsia" w:ascii="宋体" w:hAnsi="宋体" w:cs="宋体"/>
          <w:color w:val="auto"/>
          <w:szCs w:val="21"/>
          <w:highlight w:val="none"/>
        </w:rPr>
        <w:t xml:space="preserve">  （北京时间）</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地点：</w:t>
      </w:r>
      <w:bookmarkStart w:id="31" w:name="_Hlk176530129"/>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苏采云”系统</w:t>
      </w:r>
      <w:r>
        <w:rPr>
          <w:rFonts w:hint="eastAsia" w:ascii="宋体" w:hAnsi="宋体" w:cs="宋体"/>
          <w:color w:val="auto"/>
          <w:szCs w:val="21"/>
          <w:highlight w:val="none"/>
        </w:rPr>
        <w:t xml:space="preserve">开标大厅</w:t>
      </w:r>
      <w:bookmarkEnd w:id="31"/>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六</w:t>
      </w:r>
      <w:r>
        <w:rPr>
          <w:rFonts w:hint="eastAsia" w:ascii="宋体" w:hAnsi="宋体" w:cs="宋体"/>
          <w:b/>
          <w:bCs/>
          <w:color w:val="auto"/>
          <w:szCs w:val="21"/>
          <w:highlight w:val="none"/>
        </w:rPr>
        <w:t xml:space="preserve">、其他补充事宜</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 公告发布媒体：本项目在</w:t>
      </w:r>
      <w:r>
        <w:rPr>
          <w:rFonts w:hint="eastAsia" w:ascii="宋体" w:hAnsi="宋体" w:cs="宋体"/>
          <w:b/>
          <w:color w:val="auto"/>
          <w:szCs w:val="21"/>
          <w:highlight w:val="none"/>
        </w:rPr>
        <w:t xml:space="preserve">江苏政府采购网、中国政府采购网</w:t>
      </w:r>
      <w:r>
        <w:rPr>
          <w:rFonts w:hint="eastAsia" w:ascii="宋体" w:hAnsi="宋体" w:cs="宋体"/>
          <w:bCs/>
          <w:color w:val="auto"/>
          <w:szCs w:val="21"/>
          <w:highlight w:val="none"/>
        </w:rPr>
        <w:t xml:space="preserve">发布公告（其他媒体转载无效）。</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highlight w:val="none"/>
          <w:shd w:val="clear" w:color="auto" w:fill="ffffff"/>
        </w:rPr>
        <w:t xml:space="preserve"> 本项目根据中小企业划型标准</w:t>
      </w:r>
      <w:r>
        <w:rPr>
          <w:rFonts w:hint="eastAsia" w:ascii="宋体" w:hAnsi="宋体" w:cs="宋体"/>
          <w:bCs/>
          <w:color w:val="auto"/>
          <w:szCs w:val="21"/>
          <w:highlight w:val="none"/>
        </w:rPr>
        <w:t xml:space="preserve">属于：建筑业。</w:t>
      </w:r>
      <w:r/>
    </w:p>
    <w:p>
      <w:pPr>
        <w:ind w:firstLine="420"/>
        <w:jc w:val="left"/>
        <w:spacing w:line="360" w:lineRule="auto"/>
        <w:rPr>
          <w:rFonts w:ascii="宋体" w:hAnsi="宋体" w:cs="宋体"/>
          <w:color w:val="auto"/>
          <w:szCs w:val="21"/>
          <w:highlight w:val="none"/>
          <w:u w:val="single"/>
        </w:rPr>
      </w:pPr>
      <w:r>
        <w:rPr>
          <w:rFonts w:hint="eastAsia" w:ascii="宋体" w:hAnsi="宋体" w:cs="宋体"/>
          <w:bCs/>
          <w:color w:val="auto"/>
          <w:szCs w:val="21"/>
          <w:highlight w:val="none"/>
        </w:rPr>
        <w:t xml:space="preserve">3. 勘察现场或答疑：采购人不统一组织，有需要的投标人可自行勘察。勘察现场联系人：姚老师（025-58318693）；勘察现场地点：</w:t>
      </w:r>
      <w:r>
        <w:rPr>
          <w:rFonts w:hint="eastAsia" w:ascii="宋体" w:hAnsi="宋体" w:cs="宋体"/>
          <w:bCs/>
          <w:color w:val="auto"/>
          <w:szCs w:val="21"/>
          <w:highlight w:val="none"/>
          <w:lang w:val="zh-CN"/>
        </w:rPr>
        <w:t xml:space="preserve">南京市浦口区雨山西路86号</w:t>
      </w:r>
      <w:r>
        <w:rPr>
          <w:rFonts w:hint="eastAsia" w:ascii="宋体" w:hAnsi="宋体" w:cs="宋体"/>
          <w:bCs/>
          <w:color w:val="auto"/>
          <w:szCs w:val="21"/>
          <w:highlight w:val="none"/>
        </w:rPr>
        <w:t xml:space="preserve">。</w:t>
      </w:r>
      <w:r/>
    </w:p>
    <w:p>
      <w:pPr>
        <w:ind w:firstLine="422"/>
        <w:jc w:val="left"/>
        <w:spacing w:line="360" w:lineRule="auto"/>
        <w:shd w:val="clear" w:color="auto" w:fill="ffffff"/>
        <w:widowControl/>
        <w:rPr>
          <w:rFonts w:ascii="宋体" w:hAnsi="宋体" w:cs="宋体"/>
          <w:b/>
          <w:bCs/>
          <w:color w:val="auto"/>
          <w:szCs w:val="21"/>
          <w:highlight w:val="none"/>
          <w:lang w:val="zh-CN"/>
        </w:rPr>
      </w:pPr>
      <w:r/>
      <w:bookmarkStart w:id="32" w:name="_Hlk163569423"/>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zh-CN"/>
        </w:rPr>
        <w:t xml:space="preserve">. 拒绝下述投标人参加本次采购活动：</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（1）投标人单位负责人为同一人或者存在直接控股、管理关系的不同投标人，不得参加同一合同项下的政府采购活动。</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（2）为采购项目提供整体设计、规范编制或者项目管理、监理、检测等服务的投标人，不得参加本项目的采购活动。</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（3）投标人被“信用中国”网站（www.creditchina.gov.cn）、“中国政府采购网”(www.ccgp.gov.cn)列入失信被执行人、重大税收违法案件当事人名单、政府采购严重违法失信行为记录名单。 </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w:t>
      </w:r>
      <w:r>
        <w:rPr>
          <w:rFonts w:hint="eastAsia" w:ascii="宋体" w:hAnsi="宋体" w:cs="宋体"/>
          <w:b/>
          <w:color w:val="auto"/>
          <w:sz w:val="28"/>
          <w:szCs w:val="28"/>
          <w:highlight w:val="none"/>
        </w:rPr>
        <w:t xml:space="preserve"> </w:t>
      </w:r>
      <w:bookmarkStart w:id="33" w:name="OLE_LINK17"/>
      <w:r>
        <w:rPr>
          <w:rFonts w:hint="eastAsia" w:ascii="宋体" w:hAnsi="宋体" w:cs="宋体"/>
          <w:b/>
          <w:color w:val="auto"/>
          <w:szCs w:val="21"/>
          <w:highlight w:val="none"/>
        </w:rPr>
        <w:t xml:space="preserve">投标人</w:t>
      </w:r>
      <w:bookmarkEnd w:id="33"/>
      <w:r>
        <w:rPr>
          <w:rFonts w:hint="eastAsia" w:ascii="宋体" w:hAnsi="宋体" w:cs="宋体"/>
          <w:b/>
          <w:color w:val="auto"/>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color w:val="auto"/>
          <w:highlight w:val="none"/>
        </w:rPr>
        <w:fldChar w:fldCharType="begin"/>
      </w:r>
      <w:r>
        <w:rPr>
          <w:rFonts w:hint="eastAsia" w:ascii="宋体" w:hAnsi="宋体" w:cs="宋体"/>
          <w:color w:val="auto"/>
          <w:highlight w:val="none"/>
        </w:rPr>
        <w:instrText xml:space="preserve"> HYPERLINK "http://www.ccgp-jiangsu.gov.cn/jiangsu/zlxz/ee/ee3a4bc5a3454aa2b0d9312230633ce9.html" </w:instrText>
      </w:r>
      <w:r>
        <w:rPr>
          <w:rFonts w:hint="eastAsia"/>
          <w:color w:val="auto"/>
          <w:highlight w:val="none"/>
        </w:rPr>
        <w:fldChar w:fldCharType="separate"/>
      </w:r>
      <w:r>
        <w:rPr>
          <w:rStyle w:val="1134"/>
          <w:rFonts w:hint="eastAsia" w:ascii="宋体" w:hAnsi="宋体" w:cs="宋体"/>
          <w:b/>
          <w:color w:val="auto"/>
          <w:szCs w:val="21"/>
          <w:highlight w:val="none"/>
        </w:rPr>
        <w:t xml:space="preserve">下载地址</w:t>
      </w:r>
      <w:r>
        <w:rPr>
          <w:rStyle w:val="1134"/>
          <w:rFonts w:hint="eastAsia" w:ascii="宋体" w:hAnsi="宋体" w:cs="宋体"/>
          <w:b/>
          <w:color w:val="auto"/>
          <w:szCs w:val="21"/>
          <w:highlight w:val="none"/>
        </w:rPr>
        <w:fldChar w:fldCharType="end"/>
      </w:r>
      <w:r>
        <w:rPr>
          <w:rFonts w:hint="eastAsia" w:ascii="宋体" w:hAnsi="宋体" w:cs="宋体"/>
          <w:b/>
          <w:color w:val="auto"/>
          <w:szCs w:val="21"/>
          <w:highlight w:val="none"/>
        </w:rPr>
        <w:t xml:space="preserve">（http://www.ccgp-jiangsu.gov.cn/jiangsu/zlxz/ee/ee3a4bc5a3454aa2b0d9312230633ce9.html）。</w:t>
      </w:r>
      <w:bookmarkStart w:id="34" w:name="OLE_LINK2"/>
      <w:r>
        <w:rPr>
          <w:rFonts w:hint="eastAsia" w:ascii="宋体" w:hAnsi="宋体" w:cs="宋体"/>
          <w:b/>
          <w:color w:val="auto"/>
          <w:szCs w:val="21"/>
          <w:highlight w:val="none"/>
        </w:rPr>
        <w:t xml:space="preserve">“苏采云”南京地区客服热线025-83633744、025-83633743。</w:t>
      </w:r>
      <w:bookmarkEnd w:id="34"/>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 有关本次招标的事项若存在变动或修改，请及时关注“江苏政府采购网”（www.ccgp-jiangsu.gov.cn）更正公告。</w:t>
      </w:r>
      <w:bookmarkEnd w:id="32"/>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七、对本次招标提出询问，请按以下方式联系</w:t>
      </w:r>
      <w:r/>
    </w:p>
    <w:p>
      <w:pPr>
        <w:ind w:firstLine="422"/>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1.采购人信息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单位名称：南京审计大学</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地 址：南京市浦口区雨山西路86号 </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联系人：徐老师、王老师</w:t>
      </w:r>
      <w:r/>
    </w:p>
    <w:p>
      <w:pPr>
        <w:ind w:firstLine="420"/>
        <w:jc w:val="left"/>
        <w:spacing w:line="360" w:lineRule="auto"/>
        <w:rPr>
          <w:rFonts w:ascii="宋体" w:hAnsi="宋体" w:cs="宋体"/>
          <w:color w:val="auto"/>
          <w:szCs w:val="21"/>
          <w:highlight w:val="none"/>
          <w:lang w:val="zh-CN"/>
        </w:rPr>
      </w:pPr>
      <w:r>
        <w:rPr>
          <w:rFonts w:hint="eastAsia" w:ascii="宋体" w:hAnsi="宋体" w:cs="宋体"/>
          <w:bCs/>
          <w:color w:val="auto"/>
          <w:szCs w:val="21"/>
          <w:highlight w:val="none"/>
          <w:lang w:val="zh-CN"/>
        </w:rPr>
        <w:t xml:space="preserve">联系电话：025-58318724</w:t>
      </w:r>
      <w:r/>
    </w:p>
    <w:p>
      <w:pPr>
        <w:ind w:firstLine="422"/>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2.采购代理机构信息（如有）</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bCs/>
          <w:color w:val="auto"/>
          <w:szCs w:val="21"/>
          <w:highlight w:val="none"/>
        </w:rPr>
        <w:t xml:space="preserve">单位名称：江苏国采工程咨询有限公司</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单位地址：南京市山西路8号金山大厦A座28层2810室</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邮箱:jsgczb@sina.com</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联系人：张波  陈丹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联系电话：025-8369</w:t>
      </w:r>
      <w:r>
        <w:rPr>
          <w:rFonts w:hint="eastAsia" w:ascii="宋体" w:hAnsi="宋体" w:cs="宋体"/>
          <w:color w:val="auto"/>
          <w:szCs w:val="21"/>
          <w:highlight w:val="none"/>
        </w:rPr>
        <w:t xml:space="preserve">0879</w:t>
      </w:r>
      <w:r/>
    </w:p>
    <w:p>
      <w:pPr>
        <w:ind w:firstLine="422"/>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3.项目联系方式</w:t>
      </w:r>
      <w:r/>
    </w:p>
    <w:p>
      <w:pPr>
        <w:ind w:firstLine="42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联系人：张波  陈丹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联系电话：025-8369</w:t>
      </w:r>
      <w:r>
        <w:rPr>
          <w:rFonts w:hint="eastAsia" w:ascii="宋体" w:hAnsi="宋体" w:cs="宋体"/>
          <w:color w:val="auto"/>
          <w:szCs w:val="21"/>
          <w:highlight w:val="none"/>
        </w:rPr>
        <w:t xml:space="preserve">0879</w:t>
      </w:r>
      <w:r>
        <w:rPr>
          <w:rFonts w:hint="eastAsia" w:ascii="宋体" w:hAnsi="宋体" w:cs="宋体"/>
          <w:color w:val="auto"/>
          <w:szCs w:val="21"/>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bookmarkEnd w:id="2"/>
      <w:r/>
      <w:r/>
    </w:p>
    <w:p>
      <w:pPr>
        <w:pStyle w:val="1086"/>
        <w:numPr>
          <w:ilvl w:val="0"/>
          <w:numId w:val="0"/>
        </w:numPr>
        <w:rPr>
          <w:rFonts w:ascii="宋体" w:hAnsi="宋体" w:cs="宋体"/>
          <w:color w:val="auto"/>
          <w:highlight w:val="none"/>
        </w:rPr>
      </w:pPr>
      <w:r>
        <w:rPr>
          <w:rFonts w:hint="eastAsia" w:ascii="宋体" w:hAnsi="宋体" w:cs="宋体"/>
          <w:color w:val="auto"/>
          <w:sz w:val="21"/>
          <w:szCs w:val="21"/>
          <w:highlight w:val="none"/>
        </w:rPr>
        <w:br w:type="page" w:clear="all"/>
      </w:r>
      <w:bookmarkStart w:id="35" w:name="_Toc176529668"/>
      <w:r/>
      <w:bookmarkStart w:id="36" w:name="_Toc7511"/>
      <w:r>
        <w:rPr>
          <w:rFonts w:hint="eastAsia" w:ascii="宋体" w:hAnsi="宋体" w:cs="宋体"/>
          <w:color w:val="auto"/>
          <w:highlight w:val="none"/>
        </w:rPr>
        <w:t xml:space="preserve">第二章</w:t>
      </w:r>
      <w:bookmarkStart w:id="37" w:name="_Toc452625218"/>
      <w:r>
        <w:rPr>
          <w:rFonts w:hint="eastAsia" w:ascii="宋体" w:hAnsi="宋体" w:cs="宋体"/>
          <w:color w:val="auto"/>
          <w:highlight w:val="none"/>
        </w:rPr>
        <w:t xml:space="preserve"> 投标人须知</w:t>
      </w:r>
      <w:bookmarkEnd w:id="35"/>
      <w:r/>
      <w:bookmarkEnd w:id="36"/>
      <w:r/>
      <w:bookmarkEnd w:id="37"/>
      <w:r/>
      <w:r/>
    </w:p>
    <w:p>
      <w:pPr>
        <w:ind w:firstLine="424"/>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一、总 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1.适用法律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2.定义</w:t>
      </w:r>
      <w:r/>
    </w:p>
    <w:p>
      <w:pPr>
        <w:ind w:firstLine="420"/>
        <w:spacing w:line="360" w:lineRule="auto"/>
        <w:shd w:val="clear" w:color="auto" w:fill="ffffff"/>
        <w:widowControl/>
        <w:rPr>
          <w:rFonts w:ascii="宋体" w:hAnsi="宋体" w:cs="宋体"/>
          <w:color w:val="auto"/>
          <w:szCs w:val="21"/>
          <w:highlight w:val="none"/>
        </w:rPr>
      </w:pPr>
      <w:r/>
      <w:bookmarkStart w:id="38" w:name="_Hlk44576213"/>
      <w:r>
        <w:rPr>
          <w:rFonts w:hint="eastAsia" w:ascii="宋体" w:hAnsi="宋体" w:cs="宋体"/>
          <w:color w:val="auto"/>
          <w:szCs w:val="21"/>
          <w:highlight w:val="none"/>
        </w:rPr>
        <w:t xml:space="preserve">2.1“采购人”是指南京审计大学。</w:t>
      </w:r>
      <w:bookmarkEnd w:id="38"/>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color w:val="auto"/>
          <w:szCs w:val="21"/>
          <w:highlight w:val="none"/>
        </w:rPr>
      </w:pPr>
      <w:r/>
      <w:bookmarkStart w:id="39" w:name="_Hlk44576222"/>
      <w:r>
        <w:rPr>
          <w:rFonts w:hint="eastAsia" w:ascii="宋体" w:hAnsi="宋体" w:cs="宋体"/>
          <w:color w:val="auto"/>
          <w:szCs w:val="21"/>
          <w:highlight w:val="none"/>
        </w:rPr>
        <w:t xml:space="preserve">2.3“采购代理机构”是指江苏国采工程咨询有限公司。</w:t>
      </w:r>
      <w:bookmarkEnd w:id="39"/>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2.4“工程”指本采购文件中所述相关工程。</w:t>
      </w:r>
      <w:r/>
    </w:p>
    <w:p>
      <w:pPr>
        <w:ind w:firstLine="420"/>
        <w:spacing w:line="360" w:lineRule="auto"/>
        <w:shd w:val="clear" w:color="auto" w:fill="ffffff"/>
        <w:widowControl/>
        <w:rPr>
          <w:rFonts w:ascii="宋体" w:hAnsi="宋体" w:cs="宋体"/>
          <w:color w:val="auto"/>
          <w:szCs w:val="21"/>
          <w:highlight w:val="none"/>
        </w:rPr>
      </w:pPr>
      <w:r/>
      <w:bookmarkStart w:id="40" w:name="_Hlk118723819"/>
      <w:r/>
      <w:bookmarkStart w:id="41" w:name="_Hlk84583107"/>
      <w:r>
        <w:rPr>
          <w:rFonts w:hint="eastAsia" w:ascii="宋体" w:hAnsi="宋体" w:cs="宋体"/>
          <w:b/>
          <w:bCs/>
          <w:color w:val="auto"/>
          <w:szCs w:val="21"/>
          <w:highlight w:val="none"/>
        </w:rPr>
        <w:t xml:space="preserve">3.政策功能</w:t>
      </w:r>
      <w:bookmarkEnd w:id="40"/>
      <w:r/>
      <w:r/>
    </w:p>
    <w:p>
      <w:pPr>
        <w:ind w:firstLine="420"/>
        <w:spacing w:line="360" w:lineRule="auto"/>
        <w:shd w:val="clear" w:color="auto" w:fill="ffffff"/>
        <w:widowControl/>
        <w:rPr>
          <w:rFonts w:ascii="宋体" w:hAnsi="宋体" w:cs="宋体"/>
          <w:b/>
          <w:color w:val="auto"/>
          <w:szCs w:val="21"/>
          <w:highlight w:val="none"/>
        </w:rPr>
      </w:pPr>
      <w:r/>
      <w:bookmarkStart w:id="42" w:name="_Hlk75345706"/>
      <w:r>
        <w:rPr>
          <w:rFonts w:hint="eastAsia" w:ascii="宋体" w:hAnsi="宋体" w:cs="宋体"/>
          <w:b/>
          <w:color w:val="auto"/>
          <w:szCs w:val="21"/>
          <w:highlight w:val="none"/>
        </w:rPr>
        <w:t xml:space="preserve">3.1 中小企业政策</w:t>
      </w:r>
      <w:r/>
    </w:p>
    <w:p>
      <w:pPr>
        <w:ind w:firstLine="420"/>
        <w:spacing w:line="360" w:lineRule="auto"/>
        <w:shd w:val="clear" w:color="auto" w:fill="ffffff"/>
        <w:widowControl/>
        <w:rPr>
          <w:rFonts w:ascii="宋体" w:hAnsi="宋体" w:cs="宋体"/>
          <w:color w:val="auto"/>
          <w:szCs w:val="21"/>
          <w:highlight w:val="none"/>
        </w:rPr>
      </w:pPr>
      <w:r/>
      <w:bookmarkStart w:id="43" w:name="_Hlk77845870"/>
      <w:r/>
      <w:bookmarkStart w:id="44" w:name="_Hlk84580649"/>
      <w:r>
        <w:rPr>
          <w:rFonts w:hint="eastAsia" w:ascii="宋体" w:hAnsi="宋体" w:cs="宋体"/>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（2）对于专门面向中小企业或小型、微型企业的项目，只面向中小企业或小型、微型企业采购。对于非专门面向中小企业的项目，对小型和微型企业的报价给予</w:t>
      </w:r>
      <w:r>
        <w:rPr>
          <w:rFonts w:hint="eastAsia" w:ascii="宋体" w:hAnsi="宋体" w:cs="宋体"/>
          <w:b/>
          <w:bCs/>
          <w:color w:val="auto"/>
          <w:szCs w:val="21"/>
          <w:highlight w:val="none"/>
        </w:rPr>
        <w:t xml:space="preserve">3%</w:t>
      </w:r>
      <w:r>
        <w:rPr>
          <w:rFonts w:hint="eastAsia" w:ascii="宋体" w:hAnsi="宋体" w:cs="宋体"/>
          <w:color w:val="auto"/>
          <w:szCs w:val="21"/>
          <w:highlight w:val="none"/>
        </w:rPr>
        <w:t xml:space="preserve">的扣除，用扣除后的价格参与评审。参加政府采购活动的中小企业应当提供《中小企业声明函》。</w:t>
      </w:r>
      <w:bookmarkEnd w:id="42"/>
      <w:r/>
      <w:bookmarkEnd w:id="43"/>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w:t>
      </w:r>
      <w:bookmarkStart w:id="45" w:name="_Hlk66802840"/>
      <w:r>
        <w:rPr>
          <w:rFonts w:hint="eastAsia" w:ascii="宋体" w:hAnsi="宋体" w:cs="宋体"/>
          <w:b/>
          <w:bCs/>
          <w:color w:val="auto"/>
          <w:szCs w:val="21"/>
          <w:highlight w:val="none"/>
        </w:rPr>
        <w:t xml:space="preserve">2支持监狱企业（含监狱和戒毒企业）发展政策</w:t>
      </w:r>
      <w:bookmarkEnd w:id="4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ascii="宋体" w:hAnsi="宋体" w:cs="宋体"/>
          <w:color w:val="auto"/>
          <w:szCs w:val="21"/>
          <w:highlight w:val="none"/>
        </w:rPr>
      </w:pPr>
      <w:r/>
      <w:bookmarkStart w:id="46" w:name="_Hlk77845906"/>
      <w:r>
        <w:rPr>
          <w:rFonts w:hint="eastAsia" w:ascii="宋体" w:hAnsi="宋体" w:cs="宋体"/>
          <w:color w:val="auto"/>
          <w:szCs w:val="21"/>
          <w:highlight w:val="none"/>
        </w:rPr>
        <w:t xml:space="preserve">（2）参加政府采购活动的监狱企业提供由省级以上</w:t>
      </w:r>
      <w:bookmarkStart w:id="47" w:name="_Hlk163033106"/>
      <w:r>
        <w:rPr>
          <w:rFonts w:hint="eastAsia" w:ascii="宋体" w:hAnsi="宋体" w:cs="宋体"/>
          <w:color w:val="auto"/>
          <w:szCs w:val="21"/>
          <w:highlight w:val="none"/>
        </w:rPr>
        <w:t xml:space="preserve">监狱管理局、戒毒管理局</w:t>
      </w:r>
      <w:bookmarkEnd w:id="47"/>
      <w:r>
        <w:rPr>
          <w:rFonts w:hint="eastAsia" w:ascii="宋体" w:hAnsi="宋体" w:cs="宋体"/>
          <w:color w:val="auto"/>
          <w:szCs w:val="21"/>
          <w:highlight w:val="none"/>
        </w:rPr>
        <w:t xml:space="preserve">(含新疆生产建设兵团)出具的属于监狱企业的证明文件，监狱和戒毒企业享受政府采购支持政策的要求详见《关于政府采购支持监狱企业发展有关问题的通知》（财库〔2014〕68号）。</w:t>
      </w:r>
      <w:bookmarkEnd w:id="46"/>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3.3促进残疾人就业政策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ascii="宋体" w:hAnsi="宋体" w:cs="宋体"/>
          <w:color w:val="auto"/>
          <w:szCs w:val="21"/>
          <w:highlight w:val="none"/>
        </w:rPr>
      </w:pPr>
      <w:r/>
      <w:bookmarkStart w:id="48" w:name="_Hlk77845921"/>
      <w:r>
        <w:rPr>
          <w:rFonts w:hint="eastAsia" w:ascii="宋体" w:hAnsi="宋体" w:cs="宋体"/>
          <w:color w:val="auto"/>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bookmarkEnd w:id="41"/>
      <w:r/>
      <w:bookmarkEnd w:id="48"/>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二、招标文件构成 </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4.招标文件组成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4.1 招标文件由以下部分组成：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（1）招标公告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（2）投标人须知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（3）评标标准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（4）采购项目的内容和相关技术要求等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（5）合同主要条款及格式</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（6）投标文件格式</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5.招标文件的澄清或者修改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三、投标文件的编制</w:t>
      </w:r>
      <w:r/>
    </w:p>
    <w:p>
      <w:pPr>
        <w:ind w:firstLine="42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6.投标文件的语言、计量单位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7.投标文件的组成</w:t>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ascii="宋体" w:hAnsi="宋体" w:cs="宋体"/>
          <w:color w:val="auto"/>
          <w:szCs w:val="21"/>
          <w:highlight w:val="none"/>
        </w:rPr>
      </w:pPr>
      <w:r/>
      <w:bookmarkStart w:id="49" w:name="_Toc513029219"/>
      <w:r/>
      <w:bookmarkStart w:id="50" w:name="_Toc14577357"/>
      <w:r/>
      <w:bookmarkStart w:id="51" w:name="_Toc49090509"/>
      <w:r/>
      <w:bookmarkStart w:id="52" w:name="_Toc513029216"/>
      <w:r/>
      <w:bookmarkStart w:id="53" w:name="_Toc14577354"/>
      <w:r/>
      <w:bookmarkStart w:id="54" w:name="_Toc49090507"/>
      <w:r/>
      <w:bookmarkStart w:id="55" w:name="_Hlk176530273"/>
      <w:r>
        <w:rPr>
          <w:rFonts w:hint="eastAsia" w:ascii="宋体" w:hAnsi="宋体" w:cs="宋体"/>
          <w:b/>
          <w:bCs/>
          <w:color w:val="auto"/>
          <w:szCs w:val="21"/>
          <w:highlight w:val="none"/>
        </w:rPr>
        <w:t xml:space="preserve">8.证明投标人及投标标的符合招标文件规定的文件</w:t>
      </w:r>
      <w:bookmarkEnd w:id="49"/>
      <w:r/>
      <w:bookmarkEnd w:id="50"/>
      <w:r/>
      <w:bookmarkEnd w:id="51"/>
      <w:r/>
      <w:bookmarkEnd w:id="52"/>
      <w:r/>
      <w:bookmarkEnd w:id="53"/>
      <w:r/>
      <w:bookmarkEnd w:id="54"/>
      <w:r/>
      <w:r/>
    </w:p>
    <w:p>
      <w:pPr>
        <w:ind w:right="210" w:firstLine="420"/>
        <w:jc w:val="left"/>
        <w:spacing w:line="360" w:lineRule="auto"/>
        <w:shd w:val="clear" w:color="auto" w:fill="ffffff"/>
        <w:widowControl/>
        <w:rPr>
          <w:rFonts w:ascii="宋体" w:hAnsi="宋体" w:cs="宋体"/>
          <w:color w:val="auto"/>
          <w:szCs w:val="21"/>
          <w:highlight w:val="none"/>
        </w:rPr>
      </w:pPr>
      <w:r/>
      <w:bookmarkStart w:id="56" w:name="_Toc14577355"/>
      <w:r/>
      <w:bookmarkStart w:id="57" w:name="_Toc49090508"/>
      <w:r>
        <w:rPr>
          <w:rFonts w:hint="eastAsia" w:ascii="宋体" w:hAnsi="宋体" w:cs="宋体"/>
          <w:color w:val="auto"/>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8.2 招标文件对证明文件无明确形式要求的，证明文件可以以文字资料、图纸和数据等形式提交。</w:t>
      </w:r>
      <w:bookmarkEnd w:id="55"/>
      <w:r/>
      <w:bookmarkEnd w:id="56"/>
      <w:r/>
      <w:bookmarkEnd w:id="57"/>
      <w:r/>
      <w:r/>
    </w:p>
    <w:p>
      <w:pPr>
        <w:ind w:firstLine="422"/>
        <w:jc w:val="left"/>
        <w:spacing w:line="360" w:lineRule="auto"/>
        <w:shd w:val="clear" w:color="auto" w:fill="ffffff"/>
        <w:widowControl/>
        <w:rPr>
          <w:rFonts w:ascii="宋体" w:hAnsi="宋体" w:cs="宋体"/>
          <w:color w:val="auto"/>
          <w:szCs w:val="21"/>
          <w:highlight w:val="none"/>
        </w:rPr>
      </w:pPr>
      <w:r/>
      <w:bookmarkStart w:id="58" w:name="_Hlt26954846"/>
      <w:r/>
      <w:bookmarkEnd w:id="58"/>
      <w:r/>
      <w:bookmarkStart w:id="59" w:name="_Hlt26670425"/>
      <w:r/>
      <w:bookmarkEnd w:id="59"/>
      <w:r/>
      <w:bookmarkStart w:id="60" w:name="_Hlt26954844"/>
      <w:r/>
      <w:bookmarkEnd w:id="60"/>
      <w:r/>
      <w:bookmarkStart w:id="61" w:name="_Hlt26954731"/>
      <w:r/>
      <w:bookmarkEnd w:id="61"/>
      <w:r/>
      <w:bookmarkStart w:id="62" w:name="_Hlt26670403"/>
      <w:r/>
      <w:bookmarkEnd w:id="62"/>
      <w:r/>
      <w:bookmarkStart w:id="63" w:name="_Hlt26670482"/>
      <w:r/>
      <w:bookmarkEnd w:id="63"/>
      <w:r/>
      <w:bookmarkStart w:id="64" w:name="_Hlt26670486"/>
      <w:r/>
      <w:bookmarkEnd w:id="64"/>
      <w:r/>
      <w:bookmarkStart w:id="65" w:name="_Hlt26954842"/>
      <w:r/>
      <w:bookmarkEnd w:id="65"/>
      <w:r/>
      <w:bookmarkStart w:id="66" w:name="_Hlt26954848"/>
      <w:r/>
      <w:bookmarkEnd w:id="66"/>
      <w:r/>
      <w:bookmarkStart w:id="67" w:name="_Hlt26668983"/>
      <w:r/>
      <w:bookmarkEnd w:id="67"/>
      <w:r>
        <w:rPr>
          <w:rFonts w:hint="eastAsia" w:ascii="宋体" w:hAnsi="宋体" w:cs="宋体"/>
          <w:b/>
          <w:bCs/>
          <w:color w:val="auto"/>
          <w:szCs w:val="21"/>
          <w:highlight w:val="none"/>
        </w:rPr>
        <w:t xml:space="preserve">9. 投标货币</w:t>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10.响应及偏离表</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10.1投标人须对招标文件中的</w:t>
      </w:r>
      <w:bookmarkStart w:id="68" w:name="OLE_LINK57"/>
      <w:r>
        <w:rPr>
          <w:rFonts w:hint="eastAsia" w:ascii="宋体" w:hAnsi="宋体" w:cs="宋体"/>
          <w:b/>
          <w:bCs/>
          <w:color w:val="auto"/>
          <w:szCs w:val="21"/>
          <w:highlight w:val="none"/>
        </w:rPr>
        <w:t xml:space="preserve">技术要求与商务要求的</w:t>
      </w:r>
      <w:bookmarkStart w:id="69" w:name="OLE_LINK58"/>
      <w:r>
        <w:rPr>
          <w:rFonts w:hint="eastAsia" w:ascii="宋体" w:hAnsi="宋体" w:cs="宋体"/>
          <w:b/>
          <w:bCs/>
          <w:color w:val="auto"/>
          <w:szCs w:val="21"/>
          <w:highlight w:val="none"/>
        </w:rPr>
        <w:t xml:space="preserve">实质性要求</w:t>
      </w:r>
      <w:bookmarkEnd w:id="68"/>
      <w:r/>
      <w:bookmarkEnd w:id="69"/>
      <w:r>
        <w:rPr>
          <w:rFonts w:hint="eastAsia" w:ascii="宋体" w:hAnsi="宋体" w:cs="宋体"/>
          <w:b/>
          <w:bCs/>
          <w:color w:val="auto"/>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10.2 </w:t>
      </w:r>
      <w:bookmarkStart w:id="70" w:name="OLE_LINK56"/>
      <w:r>
        <w:rPr>
          <w:rFonts w:hint="eastAsia" w:ascii="宋体" w:hAnsi="宋体" w:cs="宋体"/>
          <w:color w:val="auto"/>
          <w:szCs w:val="21"/>
          <w:highlight w:val="none"/>
        </w:rPr>
        <w:t xml:space="preserve">招标文件中除了实质性要求外的</w:t>
      </w:r>
      <w:bookmarkStart w:id="71" w:name="OLE_LINK52"/>
      <w:r>
        <w:rPr>
          <w:rFonts w:hint="eastAsia" w:ascii="宋体" w:hAnsi="宋体" w:cs="宋体"/>
          <w:color w:val="auto"/>
          <w:szCs w:val="21"/>
          <w:highlight w:val="none"/>
        </w:rPr>
        <w:t xml:space="preserve">技术要求与商务要求</w:t>
      </w:r>
      <w:bookmarkEnd w:id="70"/>
      <w:r>
        <w:rPr>
          <w:rFonts w:hint="eastAsia" w:ascii="宋体" w:hAnsi="宋体" w:cs="宋体"/>
          <w:color w:val="auto"/>
          <w:szCs w:val="21"/>
          <w:highlight w:val="none"/>
        </w:rPr>
        <w:t xml:space="preserve">，投标人未明确列明的，则视为全部响应、无偏离。</w:t>
      </w:r>
      <w:bookmarkEnd w:id="71"/>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10.3 投标人可以在投标文件中提供认为需要的其他技术文件或说明。</w:t>
      </w:r>
      <w:r/>
    </w:p>
    <w:p>
      <w:pPr>
        <w:ind w:firstLine="422"/>
        <w:jc w:val="left"/>
        <w:spacing w:line="360" w:lineRule="auto"/>
        <w:shd w:val="clear" w:color="auto" w:fill="ffffff"/>
        <w:widowControl/>
        <w:rPr>
          <w:rFonts w:ascii="宋体" w:hAnsi="宋体" w:cs="宋体"/>
          <w:color w:val="auto"/>
          <w:szCs w:val="21"/>
          <w:highlight w:val="none"/>
        </w:rPr>
      </w:pPr>
      <w:r/>
      <w:bookmarkStart w:id="72" w:name="_Toc14577359"/>
      <w:r/>
      <w:bookmarkStart w:id="73" w:name="_Toc49090510"/>
      <w:r>
        <w:rPr>
          <w:rFonts w:hint="eastAsia" w:ascii="宋体" w:hAnsi="宋体" w:cs="宋体"/>
          <w:b/>
          <w:bCs/>
          <w:color w:val="auto"/>
          <w:szCs w:val="21"/>
          <w:highlight w:val="none"/>
        </w:rPr>
        <w:t xml:space="preserve">11.</w:t>
      </w:r>
      <w:bookmarkStart w:id="74" w:name="OLE_LINK27"/>
      <w:r>
        <w:rPr>
          <w:rFonts w:hint="eastAsia" w:ascii="宋体" w:hAnsi="宋体" w:cs="宋体"/>
          <w:b/>
          <w:bCs/>
          <w:color w:val="auto"/>
          <w:szCs w:val="21"/>
          <w:highlight w:val="none"/>
        </w:rPr>
        <w:t xml:space="preserve">投标函</w:t>
      </w:r>
      <w:bookmarkEnd w:id="74"/>
      <w:r>
        <w:rPr>
          <w:rFonts w:hint="eastAsia" w:ascii="宋体" w:hAnsi="宋体" w:cs="宋体"/>
          <w:b/>
          <w:bCs/>
          <w:color w:val="auto"/>
          <w:szCs w:val="21"/>
          <w:highlight w:val="none"/>
        </w:rPr>
        <w:t xml:space="preserve">和开标一览表</w:t>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11.2 </w:t>
      </w:r>
      <w:bookmarkStart w:id="75" w:name="_Hlk175667315"/>
      <w:r>
        <w:rPr>
          <w:rFonts w:hint="eastAsia" w:ascii="宋体" w:hAnsi="宋体" w:cs="宋体"/>
          <w:color w:val="auto"/>
          <w:szCs w:val="21"/>
          <w:highlight w:val="none"/>
        </w:rPr>
        <w:t xml:space="preserve">对于采用货币报价的项目，开标一览表中的投标总价应与分项报价表中的投标总价一致，如不一致评标时以开标一览表中价格为准。</w:t>
      </w:r>
      <w:bookmarkEnd w:id="72"/>
      <w:r/>
      <w:bookmarkEnd w:id="73"/>
      <w:r/>
      <w:bookmarkEnd w:id="75"/>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12.投标保证金</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color w:val="auto"/>
          <w:szCs w:val="21"/>
          <w:highlight w:val="none"/>
        </w:rPr>
        <w:t xml:space="preserve">12.1</w:t>
      </w:r>
      <w:bookmarkStart w:id="76" w:name="_Hlk68014334"/>
      <w:r>
        <w:rPr>
          <w:rFonts w:hint="eastAsia" w:ascii="宋体" w:hAnsi="宋体" w:cs="宋体"/>
          <w:bCs/>
          <w:color w:val="auto"/>
          <w:szCs w:val="21"/>
          <w:highlight w:val="none"/>
        </w:rPr>
        <w:t xml:space="preserve">本项目不收取投标保证金。</w:t>
      </w:r>
      <w:bookmarkEnd w:id="76"/>
      <w:r/>
      <w:r/>
    </w:p>
    <w:p>
      <w:pPr>
        <w:ind w:firstLine="422"/>
        <w:spacing w:line="360" w:lineRule="auto"/>
        <w:shd w:val="clear" w:color="auto" w:fill="ffffff"/>
        <w:widowControl/>
        <w:rPr>
          <w:rFonts w:ascii="宋体" w:hAnsi="宋体" w:cs="宋体"/>
          <w:b/>
          <w:bCs/>
          <w:color w:val="auto"/>
          <w:szCs w:val="21"/>
          <w:highlight w:val="none"/>
        </w:rPr>
      </w:pPr>
      <w:r/>
      <w:bookmarkStart w:id="77" w:name="_Hlk176182487"/>
      <w:r>
        <w:rPr>
          <w:rFonts w:hint="eastAsia" w:ascii="宋体" w:hAnsi="宋体" w:cs="宋体"/>
          <w:b/>
          <w:bCs/>
          <w:color w:val="auto"/>
          <w:szCs w:val="21"/>
          <w:highlight w:val="none"/>
        </w:rPr>
        <w:t xml:space="preserve">13.投标有效期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13.1 自开标之日起90天内投标有效</w:t>
      </w:r>
      <w:r>
        <w:rPr>
          <w:rFonts w:hint="eastAsia" w:ascii="宋体" w:hAnsi="宋体" w:cs="宋体"/>
          <w:color w:val="auto"/>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13.2 特殊情况下，在原投标有效期截止之前，采购代理机构可要求投标人同意延长投标有效期，这种要求与答复均应以书面形式提交。</w:t>
      </w:r>
      <w:bookmarkStart w:id="78" w:name="OLE_LINK7"/>
      <w:r>
        <w:rPr>
          <w:rFonts w:hint="eastAsia" w:ascii="宋体" w:hAnsi="宋体" w:cs="宋体"/>
          <w:color w:val="auto"/>
          <w:szCs w:val="21"/>
          <w:highlight w:val="none"/>
        </w:rPr>
        <w:t xml:space="preserve">投标人可以拒绝采购代理机构的这一要求而放弃投标</w:t>
      </w:r>
      <w:bookmarkEnd w:id="78"/>
      <w:r>
        <w:rPr>
          <w:rFonts w:hint="eastAsia" w:ascii="宋体" w:hAnsi="宋体" w:cs="宋体"/>
          <w:color w:val="auto"/>
          <w:szCs w:val="21"/>
          <w:highlight w:val="none"/>
        </w:rPr>
        <w:t xml:space="preserve">。同意延长投标有效期的投标人既不能要求也不允许修改其投标文件，同时受投标有效期约束的所有权利与义务均延长至新的有效期满。</w:t>
      </w:r>
      <w:bookmarkEnd w:id="77"/>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14.</w:t>
      </w:r>
      <w:bookmarkStart w:id="79" w:name="_Hlk77845966"/>
      <w:r/>
      <w:bookmarkStart w:id="80" w:name="OLE_LINK24"/>
      <w:r/>
      <w:bookmarkStart w:id="81" w:name="_Hlk228959467"/>
      <w:r>
        <w:rPr>
          <w:rFonts w:hint="eastAsia" w:ascii="宋体" w:hAnsi="宋体" w:cs="宋体"/>
          <w:b/>
          <w:bCs/>
          <w:color w:val="auto"/>
          <w:szCs w:val="21"/>
          <w:highlight w:val="none"/>
        </w:rPr>
        <w:t xml:space="preserve">公开招标费用</w:t>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14.</w:t>
      </w:r>
      <w:bookmarkStart w:id="82" w:name="_Hlk75346033"/>
      <w:r>
        <w:rPr>
          <w:rFonts w:hint="eastAsia" w:ascii="宋体" w:hAnsi="宋体" w:cs="宋体"/>
          <w:b/>
          <w:bCs/>
          <w:color w:val="auto"/>
          <w:szCs w:val="21"/>
          <w:highlight w:val="none"/>
        </w:rPr>
        <w:t xml:space="preserve">1 </w:t>
      </w:r>
      <w:bookmarkStart w:id="83" w:name="_Hlk75346060"/>
      <w:r>
        <w:rPr>
          <w:rFonts w:hint="eastAsia" w:ascii="宋体" w:hAnsi="宋体" w:cs="宋体"/>
          <w:b/>
          <w:bCs/>
          <w:color w:val="auto"/>
          <w:szCs w:val="21"/>
          <w:highlight w:val="none"/>
        </w:rPr>
        <w:t xml:space="preserve">采购代理服务费</w:t>
      </w:r>
      <w:bookmarkEnd w:id="82"/>
      <w:r/>
      <w:bookmarkEnd w:id="83"/>
      <w:r/>
      <w:r/>
    </w:p>
    <w:p>
      <w:pPr>
        <w:ind w:firstLine="420"/>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本次采购，</w:t>
      </w:r>
      <w:r>
        <w:rPr>
          <w:rFonts w:hint="eastAsia" w:ascii="宋体" w:hAnsi="宋体" w:cs="宋体"/>
          <w:color w:val="auto"/>
          <w:szCs w:val="21"/>
          <w:highlight w:val="none"/>
        </w:rPr>
        <w:t xml:space="preserve">预算金额中包含采购代理服务费，</w:t>
      </w:r>
      <w:r>
        <w:rPr>
          <w:rFonts w:hint="eastAsia" w:ascii="宋体" w:hAnsi="宋体" w:cs="宋体"/>
          <w:color w:val="auto"/>
          <w:szCs w:val="21"/>
          <w:highlight w:val="none"/>
          <w:lang w:val="zh-CN"/>
        </w:rPr>
        <w:t xml:space="preserve">采购代理服务费根据成交金额参照《招标代理服务收费管理暂行办法》（国家发展计划委员会计价格【2002】1980号）招标收费基准费率的60%计算，由</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承担，在领取</w:t>
      </w:r>
      <w:r>
        <w:rPr>
          <w:rFonts w:hint="eastAsia" w:ascii="宋体" w:hAnsi="宋体" w:cs="宋体"/>
          <w:color w:val="auto"/>
          <w:szCs w:val="21"/>
          <w:highlight w:val="none"/>
        </w:rPr>
        <w:t xml:space="preserve">中标</w:t>
      </w:r>
      <w:r>
        <w:rPr>
          <w:rFonts w:hint="eastAsia" w:ascii="宋体" w:hAnsi="宋体" w:cs="宋体"/>
          <w:color w:val="auto"/>
          <w:szCs w:val="21"/>
          <w:highlight w:val="none"/>
          <w:lang w:val="zh-CN"/>
        </w:rPr>
        <w:t xml:space="preserve">通知书前向采购代理机构支付。</w:t>
      </w:r>
      <w:r/>
    </w:p>
    <w:p>
      <w:pPr>
        <w:ind w:firstLine="420"/>
        <w:spacing w:line="360" w:lineRule="auto"/>
        <w:widowControl/>
        <w:rPr>
          <w:rFonts w:ascii="宋体" w:hAnsi="宋体" w:cs="宋体"/>
          <w:b/>
          <w:bCs/>
          <w:color w:val="auto"/>
          <w:szCs w:val="21"/>
          <w:highlight w:val="none"/>
          <w:lang w:val="zh-CN"/>
        </w:rPr>
      </w:pPr>
      <w:r>
        <w:rPr>
          <w:rFonts w:hint="eastAsia" w:ascii="宋体" w:hAnsi="宋体" w:cs="宋体"/>
          <w:b/>
          <w:bCs/>
          <w:color w:val="auto"/>
          <w:highlight w:val="none"/>
          <w:lang w:val="zh-CN"/>
        </w:rPr>
        <w:t xml:space="preserve">14.2</w:t>
      </w:r>
      <w:r>
        <w:rPr>
          <w:rFonts w:hint="eastAsia" w:ascii="宋体" w:hAnsi="宋体" w:cs="宋体"/>
          <w:b/>
          <w:bCs/>
          <w:color w:val="auto"/>
          <w:szCs w:val="21"/>
          <w:highlight w:val="none"/>
          <w:lang w:val="zh-CN"/>
        </w:rPr>
        <w:t xml:space="preserve">清单编制费：</w:t>
      </w:r>
      <w:r/>
    </w:p>
    <w:p>
      <w:pPr>
        <w:ind w:firstLine="420"/>
        <w:spacing w:line="360" w:lineRule="auto"/>
        <w:widowControl/>
        <w:rPr>
          <w:rFonts w:ascii="宋体" w:hAnsi="宋体" w:cs="宋体"/>
          <w:b/>
          <w:color w:val="auto"/>
          <w:szCs w:val="21"/>
          <w:highlight w:val="none"/>
          <w:lang w:bidi="ar"/>
        </w:rPr>
      </w:pPr>
      <w:r>
        <w:rPr>
          <w:rFonts w:hint="eastAsia" w:ascii="宋体" w:hAnsi="宋体" w:cs="宋体"/>
          <w:b/>
          <w:bCs/>
          <w:color w:val="auto"/>
          <w:szCs w:val="21"/>
          <w:highlight w:val="none"/>
        </w:rPr>
        <w:t xml:space="preserve">本次采购，预算金额中包含清单编制费，清单编制费以本项目中标</w:t>
      </w:r>
      <w:r>
        <w:rPr>
          <w:rFonts w:hint="eastAsia" w:ascii="宋体" w:hAnsi="宋体" w:cs="宋体"/>
          <w:b/>
          <w:bCs/>
          <w:color w:val="auto"/>
          <w:szCs w:val="21"/>
          <w:highlight w:val="none"/>
          <w:lang w:val="zh-CN"/>
        </w:rPr>
        <w:t xml:space="preserve">价（含暂列金额）为基数，按照苏建价协（2022）7号文件的收费标准乘以受托方合同折扣率（48.89%）计取，由中标人承担，在领取中标通知书前向</w:t>
      </w:r>
      <w:r>
        <w:rPr>
          <w:rFonts w:hint="eastAsia" w:ascii="宋体" w:hAnsi="宋体" w:cs="宋体"/>
          <w:b/>
          <w:bCs/>
          <w:color w:val="auto"/>
          <w:szCs w:val="21"/>
          <w:highlight w:val="none"/>
        </w:rPr>
        <w:t xml:space="preserve">清单编制单位</w:t>
      </w:r>
      <w:r>
        <w:rPr>
          <w:rFonts w:hint="eastAsia" w:ascii="宋体" w:hAnsi="宋体" w:cs="宋体"/>
          <w:b/>
          <w:bCs/>
          <w:color w:val="auto"/>
          <w:szCs w:val="21"/>
          <w:highlight w:val="none"/>
          <w:lang w:val="zh-CN"/>
        </w:rPr>
        <w:t xml:space="preserve">支付。清单编制单位</w:t>
      </w:r>
      <w:r>
        <w:rPr>
          <w:rFonts w:hint="eastAsia" w:ascii="宋体" w:hAnsi="宋体" w:cs="宋体"/>
          <w:b/>
          <w:bCs/>
          <w:color w:val="auto"/>
          <w:szCs w:val="21"/>
          <w:highlight w:val="none"/>
        </w:rPr>
        <w:t xml:space="preserve">同时向中标人</w:t>
      </w:r>
      <w:r>
        <w:rPr>
          <w:rFonts w:hint="eastAsia" w:ascii="宋体" w:hAnsi="宋体" w:cs="宋体"/>
          <w:b/>
          <w:bCs/>
          <w:color w:val="auto"/>
          <w:szCs w:val="21"/>
          <w:highlight w:val="none"/>
          <w:lang w:val="zh-CN"/>
        </w:rPr>
        <w:t xml:space="preserve">出具结清证明。单位名称：江苏国采工程咨询有限公司，纳税人识别号：91320111MA1YA1GM9T，地址：南京市山西路8号金山大厦A座28楼，电话：025-83532808，开户行及账号：中国建设银行股份有限公司南京鼓楼支行3205 0159 5536 0000 1231）</w:t>
      </w:r>
      <w:r>
        <w:rPr>
          <w:rFonts w:hint="eastAsia" w:ascii="宋体" w:hAnsi="宋体" w:cs="宋体"/>
          <w:b/>
          <w:color w:val="auto"/>
          <w:szCs w:val="21"/>
          <w:highlight w:val="none"/>
          <w:lang w:bidi="ar"/>
        </w:rPr>
        <w:t xml:space="preserve">。</w:t>
      </w:r>
      <w:r/>
    </w:p>
    <w:p>
      <w:pPr>
        <w:ind w:firstLine="420"/>
        <w:spacing w:line="360" w:lineRule="auto"/>
        <w:widowControl/>
        <w:rPr>
          <w:rFonts w:ascii="宋体" w:hAnsi="宋体" w:cs="宋体"/>
          <w:color w:val="auto"/>
          <w:highlight w:val="none"/>
          <w:lang w:val="zh-CN"/>
        </w:rPr>
      </w:pPr>
      <w:r>
        <w:rPr>
          <w:rFonts w:hint="eastAsia" w:ascii="宋体" w:hAnsi="宋体" w:cs="宋体"/>
          <w:b/>
          <w:bCs/>
          <w:color w:val="auto"/>
          <w:szCs w:val="21"/>
          <w:highlight w:val="none"/>
        </w:rPr>
        <w:t xml:space="preserve">中标人</w:t>
      </w:r>
      <w:r>
        <w:rPr>
          <w:rFonts w:hint="eastAsia" w:ascii="宋体" w:hAnsi="宋体" w:cs="宋体"/>
          <w:b/>
          <w:bCs/>
          <w:color w:val="auto"/>
          <w:szCs w:val="21"/>
          <w:highlight w:val="none"/>
          <w:lang w:val="zh-CN"/>
        </w:rPr>
        <w:t xml:space="preserve">在领取</w:t>
      </w:r>
      <w:r>
        <w:rPr>
          <w:rFonts w:hint="eastAsia" w:ascii="宋体" w:hAnsi="宋体" w:cs="宋体"/>
          <w:b/>
          <w:bCs/>
          <w:color w:val="auto"/>
          <w:szCs w:val="21"/>
          <w:highlight w:val="none"/>
        </w:rPr>
        <w:t xml:space="preserve">中标</w:t>
      </w:r>
      <w:r>
        <w:rPr>
          <w:rFonts w:hint="eastAsia" w:ascii="宋体" w:hAnsi="宋体" w:cs="宋体"/>
          <w:b/>
          <w:bCs/>
          <w:color w:val="auto"/>
          <w:szCs w:val="21"/>
          <w:highlight w:val="none"/>
          <w:lang w:val="zh-CN"/>
        </w:rPr>
        <w:t xml:space="preserve">通知书前向采购代理机构支付上述费用。</w:t>
      </w:r>
      <w:bookmarkEnd w:id="79"/>
      <w:r/>
      <w:bookmarkEnd w:id="80"/>
      <w:r/>
      <w:bookmarkEnd w:id="81"/>
      <w:r/>
      <w:r/>
    </w:p>
    <w:p>
      <w:pPr>
        <w:ind w:firstLine="42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四、投标文件的提交</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15.投标文件的提交</w:t>
      </w:r>
      <w:r/>
    </w:p>
    <w:p>
      <w:pPr>
        <w:ind w:firstLine="420"/>
        <w:spacing w:line="360" w:lineRule="auto"/>
        <w:shd w:val="clear" w:color="auto" w:fill="ffffff"/>
        <w:widowControl/>
        <w:rPr>
          <w:rFonts w:ascii="宋体" w:hAnsi="宋体" w:cs="宋体"/>
          <w:color w:val="auto"/>
          <w:szCs w:val="21"/>
          <w:highlight w:val="none"/>
        </w:rPr>
      </w:pPr>
      <w:r/>
      <w:bookmarkStart w:id="84" w:name="OLE_LINK1"/>
      <w:r>
        <w:rPr>
          <w:rFonts w:hint="eastAsia" w:ascii="宋体" w:hAnsi="宋体" w:cs="宋体"/>
          <w:color w:val="auto"/>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15.2 投标人应充分考虑网络环境、网络带宽等因素可能对投标产生的影响，如因投标人自身原因造成的电子投标文件上传不成功的，按照本招标文件第二章第</w:t>
      </w:r>
      <w:bookmarkStart w:id="85" w:name="OLE_LINK11"/>
      <w:r>
        <w:rPr>
          <w:rFonts w:hint="eastAsia" w:ascii="宋体" w:hAnsi="宋体" w:cs="宋体"/>
          <w:color w:val="auto"/>
          <w:szCs w:val="21"/>
          <w:highlight w:val="none"/>
        </w:rPr>
        <w:t xml:space="preserve">20.2.3.1</w:t>
      </w:r>
      <w:bookmarkEnd w:id="85"/>
      <w:r>
        <w:rPr>
          <w:rFonts w:hint="eastAsia" w:ascii="宋体" w:hAnsi="宋体" w:cs="宋体"/>
          <w:color w:val="auto"/>
          <w:szCs w:val="21"/>
          <w:highlight w:val="none"/>
        </w:rPr>
        <w:t xml:space="preserve">条规定做无效投标处理。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15.3 采购代理机构可以按照规定，通过修改招标文件酌情延长投标截止时间，在此情况下，投标人的所有权利和义务均以延长后新的截止时间为准。</w:t>
      </w:r>
      <w:bookmarkEnd w:id="84"/>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16.投标文件的拒收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16.1 采购代理机构拒绝接收投标截止时间后上传的任何投标文件。</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17.投标文件的撤回和修改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17.1 投标文件的撤回</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17.1.2 投标人撤回电子投标文件，则认为其不再参与本项目投标活动。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17.2 投标文件的修改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17.2.2 投标截止时间之后，投标人不得对其电子投标文件作任何修改。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18.诚实信用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五、开标、评标与定标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19.开标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19.2 投标人在开标过程中涉及到的投标文件解密、开标结果确认等工作，应按照《操作手册》规定执行。</w:t>
      </w:r>
      <w:r/>
    </w:p>
    <w:p>
      <w:pPr>
        <w:ind w:firstLine="424"/>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19.3 投标人如果对开标过程和开标结果有疑义，应当根据《操作手册》规定提出，苏采云系统中《开标一览表》公布后5分钟内未提出的，视同认可开标结果。</w:t>
      </w:r>
      <w:bookmarkStart w:id="86" w:name="_Hlk44576482"/>
      <w:r/>
      <w:bookmarkEnd w:id="86"/>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20.评标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20.1 评标委员会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20.1.1评标委员会负责具体评标事务，并独立履行下列职责：</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（3）对投标文件进行比较和评价；</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20.2  评标程序</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rPr>
        <w:t xml:space="preserve">2.1</w:t>
      </w:r>
      <w:r>
        <w:rPr>
          <w:rFonts w:hint="eastAsia" w:ascii="宋体" w:hAnsi="宋体" w:cs="宋体"/>
          <w:color w:val="auto"/>
          <w:szCs w:val="21"/>
          <w:highlight w:val="none"/>
        </w:rPr>
        <w:t xml:space="preserve">投标文件审查分为资格审查和符合性审查。</w:t>
      </w:r>
      <w:r/>
    </w:p>
    <w:p>
      <w:pPr>
        <w:ind w:firstLine="422"/>
        <w:jc w:val="left"/>
        <w:spacing w:line="360" w:lineRule="auto"/>
        <w:tabs>
          <w:tab w:val="left" w:pos="482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20.</w:t>
      </w:r>
      <w:r>
        <w:rPr>
          <w:rFonts w:hint="eastAsia" w:ascii="宋体" w:hAnsi="宋体" w:cs="宋体"/>
          <w:b/>
          <w:bCs/>
          <w:color w:val="auto"/>
          <w:szCs w:val="21"/>
          <w:highlight w:val="none"/>
        </w:rPr>
        <w:t xml:space="preserve">2.2投标文件的资格审查</w:t>
      </w:r>
      <w:r/>
    </w:p>
    <w:p>
      <w:pPr>
        <w:ind w:firstLine="420"/>
        <w:jc w:val="left"/>
        <w:spacing w:line="360" w:lineRule="auto"/>
        <w:tabs>
          <w:tab w:val="left" w:pos="4825" w:leader="none"/>
        </w:tabs>
        <w:rPr>
          <w:rFonts w:ascii="宋体" w:hAnsi="宋体" w:cs="宋体"/>
          <w:color w:val="auto"/>
          <w:szCs w:val="21"/>
          <w:highlight w:val="none"/>
        </w:rPr>
      </w:pPr>
      <w:r/>
      <w:bookmarkStart w:id="87" w:name="_Hlk81573923"/>
      <w:r/>
      <w:bookmarkStart w:id="88" w:name="_Hlk84583325"/>
      <w:r>
        <w:rPr>
          <w:rFonts w:hint="eastAsia" w:ascii="宋体" w:hAnsi="宋体" w:cs="宋体"/>
          <w:color w:val="auto"/>
          <w:szCs w:val="21"/>
          <w:highlight w:val="none"/>
        </w:rPr>
        <w:t xml:space="preserve">资格审查：依据法律法规和招标文件规定，由</w:t>
      </w:r>
      <w:bookmarkStart w:id="89" w:name="OLE_LINK6"/>
      <w:r>
        <w:rPr>
          <w:rFonts w:hint="eastAsia" w:ascii="宋体" w:hAnsi="宋体" w:cs="宋体"/>
          <w:color w:val="auto"/>
          <w:szCs w:val="21"/>
          <w:highlight w:val="none"/>
        </w:rPr>
        <w:t xml:space="preserve">采购人或采购代理机构</w:t>
      </w:r>
      <w:bookmarkEnd w:id="89"/>
      <w:r>
        <w:rPr>
          <w:rFonts w:hint="eastAsia" w:ascii="宋体" w:hAnsi="宋体" w:cs="宋体"/>
          <w:color w:val="auto"/>
          <w:szCs w:val="21"/>
          <w:highlight w:val="none"/>
        </w:rPr>
        <w:t xml:space="preserve">对投标文件中的资格证明文件进行审查，并向评标委员会反馈审查结论。</w:t>
      </w:r>
      <w:bookmarkEnd w:id="87"/>
      <w:r/>
      <w:r/>
    </w:p>
    <w:p>
      <w:pPr>
        <w:ind w:firstLine="422"/>
        <w:jc w:val="left"/>
        <w:spacing w:line="360" w:lineRule="auto"/>
        <w:tabs>
          <w:tab w:val="left" w:pos="4825" w:leader="none"/>
        </w:tabs>
        <w:rPr>
          <w:rFonts w:ascii="宋体" w:hAnsi="宋体" w:cs="宋体"/>
          <w:b/>
          <w:color w:val="auto"/>
          <w:szCs w:val="21"/>
          <w:highlight w:val="none"/>
        </w:rPr>
      </w:pPr>
      <w:r>
        <w:rPr>
          <w:rFonts w:hint="eastAsia" w:ascii="宋体" w:hAnsi="宋体" w:cs="宋体"/>
          <w:b/>
          <w:color w:val="auto"/>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ascii="宋体" w:hAnsi="宋体" w:cs="宋体"/>
          <w:color w:val="auto"/>
          <w:szCs w:val="21"/>
          <w:highlight w:val="none"/>
        </w:rPr>
      </w:pPr>
      <w:r/>
      <w:bookmarkStart w:id="90" w:name="_Hlk81314966"/>
      <w:r/>
      <w:bookmarkStart w:id="91" w:name="_Hlk81573945"/>
      <w:r>
        <w:rPr>
          <w:rFonts w:hint="eastAsia" w:ascii="宋体" w:hAnsi="宋体" w:cs="宋体"/>
          <w:color w:val="auto"/>
          <w:szCs w:val="21"/>
          <w:highlight w:val="none"/>
        </w:rPr>
        <w:t xml:space="preserve">不具备招标文件中规定资格条件的；</w:t>
      </w:r>
      <w:bookmarkEnd w:id="90"/>
      <w:r/>
      <w:r/>
    </w:p>
    <w:p>
      <w:pPr>
        <w:numPr>
          <w:ilvl w:val="0"/>
          <w:numId w:val="4"/>
        </w:numPr>
        <w:ind w:firstLine="420"/>
        <w:jc w:val="left"/>
        <w:spacing w:line="360" w:lineRule="auto"/>
        <w:tabs>
          <w:tab w:val="left" w:pos="4825" w:leader="none"/>
        </w:tabs>
        <w:rPr>
          <w:rFonts w:ascii="宋体" w:hAnsi="宋体" w:cs="宋体"/>
          <w:color w:val="auto"/>
          <w:szCs w:val="21"/>
          <w:highlight w:val="none"/>
        </w:rPr>
      </w:pPr>
      <w:r/>
      <w:bookmarkStart w:id="92" w:name="_Hlk77845984"/>
      <w:r>
        <w:rPr>
          <w:rFonts w:hint="eastAsia" w:ascii="宋体" w:hAnsi="宋体" w:cs="宋体"/>
          <w:color w:val="auto"/>
          <w:szCs w:val="21"/>
          <w:highlight w:val="none"/>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88"/>
      <w:r/>
      <w:bookmarkEnd w:id="91"/>
      <w:r/>
      <w:bookmarkEnd w:id="92"/>
      <w:r/>
      <w:r/>
    </w:p>
    <w:p>
      <w:pPr>
        <w:ind w:firstLine="422"/>
        <w:jc w:val="left"/>
        <w:spacing w:line="360" w:lineRule="auto"/>
        <w:tabs>
          <w:tab w:val="left" w:pos="4825" w:leader="none"/>
        </w:tabs>
        <w:rPr>
          <w:rFonts w:ascii="宋体" w:hAnsi="宋体" w:cs="宋体"/>
          <w:b/>
          <w:color w:val="auto"/>
          <w:szCs w:val="21"/>
          <w:highlight w:val="none"/>
        </w:rPr>
      </w:pPr>
      <w:r>
        <w:rPr>
          <w:rFonts w:hint="eastAsia" w:ascii="宋体" w:hAnsi="宋体" w:cs="宋体"/>
          <w:b/>
          <w:color w:val="auto"/>
          <w:szCs w:val="21"/>
          <w:highlight w:val="none"/>
        </w:rPr>
        <w:t xml:space="preserve">20.2.3投标文件的符合性检查</w:t>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w:t>
      </w:r>
      <w:bookmarkStart w:id="93" w:name="_Hlk176530503"/>
      <w:r>
        <w:rPr>
          <w:rFonts w:hint="eastAsia" w:ascii="宋体" w:hAnsi="宋体" w:cs="宋体"/>
          <w:b/>
          <w:bCs/>
          <w:color w:val="auto"/>
          <w:szCs w:val="21"/>
          <w:highlight w:val="none"/>
        </w:rPr>
        <w:t xml:space="preserve">实质性要求是指本</w:t>
      </w:r>
      <w:bookmarkStart w:id="94" w:name="OLE_LINK36"/>
      <w:r>
        <w:rPr>
          <w:rFonts w:hint="eastAsia" w:ascii="宋体" w:hAnsi="宋体" w:cs="宋体"/>
          <w:b/>
          <w:bCs/>
          <w:color w:val="auto"/>
          <w:szCs w:val="21"/>
          <w:highlight w:val="none"/>
        </w:rPr>
        <w:t xml:space="preserve">招标文件</w:t>
      </w:r>
      <w:bookmarkStart w:id="95" w:name="OLE_LINK9"/>
      <w:r>
        <w:rPr>
          <w:rFonts w:hint="eastAsia" w:ascii="宋体" w:hAnsi="宋体" w:cs="宋体"/>
          <w:b/>
          <w:bCs/>
          <w:color w:val="auto"/>
          <w:szCs w:val="21"/>
          <w:highlight w:val="none"/>
        </w:rPr>
        <w:t xml:space="preserve">中斜体且有下划线部分，或者打“★”“*”</w:t>
      </w:r>
      <w:bookmarkEnd w:id="95"/>
      <w:r>
        <w:rPr>
          <w:rFonts w:hint="eastAsia" w:ascii="宋体" w:hAnsi="宋体" w:cs="宋体"/>
          <w:b/>
          <w:bCs/>
          <w:color w:val="auto"/>
          <w:szCs w:val="21"/>
          <w:highlight w:val="none"/>
        </w:rPr>
        <w:t xml:space="preserve">等其他文字说明的商务和技术要求。</w:t>
      </w:r>
      <w:bookmarkEnd w:id="93"/>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94"/>
      <w:r/>
      <w:r/>
    </w:p>
    <w:p>
      <w:pPr>
        <w:ind w:firstLine="422"/>
        <w:jc w:val="left"/>
        <w:spacing w:line="360" w:lineRule="auto"/>
        <w:tabs>
          <w:tab w:val="left" w:pos="4825" w:leader="none"/>
        </w:tabs>
        <w:rPr>
          <w:rFonts w:ascii="宋体" w:hAnsi="宋体" w:cs="宋体"/>
          <w:b/>
          <w:color w:val="auto"/>
          <w:szCs w:val="21"/>
          <w:highlight w:val="none"/>
        </w:rPr>
      </w:pPr>
      <w:r>
        <w:rPr>
          <w:rFonts w:hint="eastAsia" w:ascii="宋体" w:hAnsi="宋体" w:cs="宋体"/>
          <w:b/>
          <w:color w:val="auto"/>
          <w:szCs w:val="21"/>
          <w:highlight w:val="none"/>
        </w:rPr>
        <w:t xml:space="preserve">20.2.3.1投标文件属于下列情形之一的，在符合性审查时按照无效投标处理：</w:t>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w:t>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（2）投标人未按照招标文件要求上传电子投标文件；</w:t>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（3）投标文件未按照招标文件要求加盖电子公章；</w:t>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（4）不具备招标文件中规定实质性要求的；</w:t>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（5）投标总价超出采购项目预算或者最高限价的；</w:t>
      </w:r>
      <w:r/>
    </w:p>
    <w:p>
      <w:pPr>
        <w:ind w:firstLine="420"/>
        <w:jc w:val="left"/>
        <w:spacing w:line="360" w:lineRule="auto"/>
        <w:tabs>
          <w:tab w:val="left" w:pos="4825" w:leader="none"/>
        </w:tabs>
        <w:rPr>
          <w:rFonts w:ascii="宋体" w:hAnsi="宋体" w:cs="宋体"/>
          <w:color w:val="auto"/>
          <w:szCs w:val="21"/>
          <w:highlight w:val="none"/>
        </w:rPr>
      </w:pPr>
      <w:r>
        <w:rPr>
          <w:rFonts w:hint="eastAsia" w:ascii="宋体" w:hAnsi="宋体" w:cs="宋体"/>
          <w:color w:val="auto"/>
          <w:szCs w:val="21"/>
          <w:highlight w:val="none"/>
        </w:rPr>
        <w:t xml:space="preserve">（6）不同投标人的投标文件由同一单位或者个人编制的；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（7）不同投标人委托同一单位或者个人办理投标事宜；</w:t>
      </w:r>
      <w:r/>
    </w:p>
    <w:p>
      <w:pPr>
        <w:pStyle w:val="127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（8）不同投标人的投标文件载明的项目管理成员</w:t>
      </w:r>
      <w:bookmarkStart w:id="96" w:name="_Hlk176185278"/>
      <w:r>
        <w:rPr>
          <w:rFonts w:hint="eastAsia" w:ascii="宋体" w:hAnsi="宋体" w:cs="宋体"/>
          <w:color w:val="auto"/>
          <w:szCs w:val="21"/>
          <w:highlight w:val="none"/>
        </w:rPr>
        <w:t xml:space="preserve">或者联系人员为同一人</w:t>
      </w:r>
      <w:bookmarkEnd w:id="96"/>
      <w:r>
        <w:rPr>
          <w:rFonts w:hint="eastAsia" w:ascii="宋体" w:hAnsi="宋体" w:cs="宋体"/>
          <w:color w:val="auto"/>
          <w:szCs w:val="21"/>
          <w:highlight w:val="none"/>
        </w:rPr>
        <w:t xml:space="preserve">；</w:t>
      </w:r>
      <w:r/>
    </w:p>
    <w:p>
      <w:pPr>
        <w:pStyle w:val="127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（9）不同投标人的投标文件异常一致或者投标报价呈规律性差异；</w:t>
      </w:r>
      <w:r/>
    </w:p>
    <w:p>
      <w:pPr>
        <w:pStyle w:val="127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（10）不同投标人的负责人为同一人或者存在控股、管理关系的；</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（11）投标文件中已标价工程量清单与采购文件规定的暂估价、暂列金额及甲供材料价格不一致的；</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（12）投标文件中已标价工程量清单与招标文件明确列出的不可竞争费用项目或费率或计算基础不一致的；</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（13）投标文件的已标价工程量清单与招标文件提供的工程量清单中的项目编码、项目名称、项目特征、计量单位、工程量不一致的；</w:t>
      </w:r>
      <w:r/>
    </w:p>
    <w:p>
      <w:pPr>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14）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（11）投标文件含有采购人不能接受的附加条件的；</w:t>
      </w:r>
      <w:r/>
    </w:p>
    <w:p>
      <w:pPr>
        <w:pStyle w:val="127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（12）不符合法律、法规和招标文件规定的其他实质性要求的。</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20.</w:t>
      </w:r>
      <w:r>
        <w:rPr>
          <w:rFonts w:hint="eastAsia" w:ascii="宋体" w:hAnsi="宋体" w:cs="宋体"/>
          <w:b/>
          <w:bCs/>
          <w:color w:val="auto"/>
          <w:szCs w:val="21"/>
          <w:highlight w:val="none"/>
        </w:rPr>
        <w:t xml:space="preserve">2.4</w:t>
      </w:r>
      <w:r>
        <w:rPr>
          <w:rFonts w:hint="eastAsia" w:ascii="宋体" w:hAnsi="宋体" w:cs="宋体"/>
          <w:b/>
          <w:bCs/>
          <w:color w:val="auto"/>
          <w:szCs w:val="21"/>
          <w:highlight w:val="none"/>
        </w:rPr>
        <w:t xml:space="preserve">有下列情形之一的予以废标：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（3）因重大变故，采购任务取消的；</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（4）因苏采云系统故障造成开标不成功。</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rPr>
        <w:t xml:space="preserve">2.5</w:t>
      </w:r>
      <w:r>
        <w:rPr>
          <w:rFonts w:hint="eastAsia" w:ascii="宋体" w:hAnsi="宋体" w:cs="宋体"/>
          <w:color w:val="auto"/>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rPr>
        <w:t xml:space="preserve">2.6</w:t>
      </w:r>
      <w:r>
        <w:rPr>
          <w:rFonts w:hint="eastAsia" w:ascii="宋体" w:hAnsi="宋体" w:cs="宋体"/>
          <w:color w:val="auto"/>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20.3 评标过程中的澄清</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color w:val="auto"/>
          <w:szCs w:val="21"/>
          <w:highlight w:val="none"/>
        </w:rPr>
      </w:pPr>
      <w:r/>
      <w:bookmarkStart w:id="97" w:name="OLE_LINK4"/>
      <w:r>
        <w:rPr>
          <w:rFonts w:hint="eastAsia" w:ascii="宋体" w:hAnsi="宋体" w:cs="宋体"/>
          <w:color w:val="auto"/>
          <w:szCs w:val="21"/>
          <w:highlight w:val="none"/>
        </w:rPr>
        <w:t xml:space="preserve">投标人的澄清、说明或者补正不得超出投标文件的范围或者改变投标文件的实质性内容</w:t>
      </w:r>
      <w:bookmarkEnd w:id="97"/>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ascii="宋体" w:hAnsi="宋体" w:cs="宋体"/>
          <w:color w:val="auto"/>
          <w:szCs w:val="21"/>
          <w:highlight w:val="none"/>
        </w:rPr>
      </w:pPr>
      <w:r/>
      <w:bookmarkStart w:id="98" w:name="_Hlk176184375"/>
      <w:r>
        <w:rPr>
          <w:rFonts w:hint="eastAsia" w:ascii="宋体" w:hAnsi="宋体" w:cs="宋体"/>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20.3.5投标人在开、评标全过程中应保持通讯畅通，</w:t>
      </w:r>
      <w:bookmarkStart w:id="99" w:name="OLE_LINK25"/>
      <w:r>
        <w:rPr>
          <w:rFonts w:hint="eastAsia" w:ascii="宋体" w:hAnsi="宋体" w:cs="宋体"/>
          <w:b/>
          <w:bCs/>
          <w:color w:val="auto"/>
          <w:szCs w:val="21"/>
          <w:highlight w:val="none"/>
        </w:rPr>
        <w:t xml:space="preserve">及时登录苏采云系统查阅</w:t>
      </w:r>
      <w:bookmarkEnd w:id="99"/>
      <w:r>
        <w:rPr>
          <w:rFonts w:hint="eastAsia" w:ascii="宋体" w:hAnsi="宋体" w:cs="宋体"/>
          <w:b/>
          <w:bCs/>
          <w:color w:val="auto"/>
          <w:szCs w:val="21"/>
          <w:highlight w:val="none"/>
        </w:rPr>
        <w:t xml:space="preserve">、答复相关信息，并安排专人与采购代理机构及评标委员会联系。</w:t>
      </w:r>
      <w:bookmarkEnd w:id="98"/>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20.4比较与评价</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20.5 </w:t>
      </w:r>
      <w:bookmarkStart w:id="100" w:name="OLE_LINK8"/>
      <w:r>
        <w:rPr>
          <w:rFonts w:hint="eastAsia" w:ascii="宋体" w:hAnsi="宋体" w:cs="宋体"/>
          <w:b/>
          <w:bCs/>
          <w:color w:val="auto"/>
          <w:szCs w:val="21"/>
          <w:highlight w:val="none"/>
        </w:rPr>
        <w:t xml:space="preserve">评标委员会</w:t>
      </w:r>
      <w:bookmarkEnd w:id="100"/>
      <w:r>
        <w:rPr>
          <w:rFonts w:hint="eastAsia" w:ascii="宋体" w:hAnsi="宋体" w:cs="宋体"/>
          <w:b/>
          <w:bCs/>
          <w:color w:val="auto"/>
          <w:szCs w:val="21"/>
          <w:highlight w:val="none"/>
        </w:rPr>
        <w:t xml:space="preserve">启动异常低价投标审查的情形和具体要求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20.5.1评标过程中出现下列情形之一的，评标委员会应当启动异常低价投标审查程序：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20.5.2 </w:t>
      </w:r>
      <w:bookmarkStart w:id="101" w:name="OLE_LINK33"/>
      <w:r>
        <w:rPr>
          <w:rFonts w:hint="eastAsia" w:ascii="宋体" w:hAnsi="宋体" w:cs="宋体"/>
          <w:color w:val="auto"/>
          <w:szCs w:val="21"/>
          <w:highlight w:val="none"/>
        </w:rPr>
        <w:t xml:space="preserve">评标委员会</w:t>
      </w:r>
      <w:bookmarkEnd w:id="101"/>
      <w:r>
        <w:rPr>
          <w:rFonts w:hint="eastAsia" w:ascii="宋体" w:hAnsi="宋体" w:cs="宋体"/>
          <w:color w:val="auto"/>
          <w:szCs w:val="21"/>
          <w:highlight w:val="none"/>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21.评标方法和标准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21.1本次</w:t>
      </w:r>
      <w:r>
        <w:rPr>
          <w:rFonts w:hint="eastAsia" w:ascii="宋体" w:hAnsi="宋体" w:cs="宋体"/>
          <w:color w:val="auto"/>
          <w:szCs w:val="21"/>
          <w:highlight w:val="none"/>
        </w:rPr>
        <w:t xml:space="preserve">采购</w:t>
      </w:r>
      <w:r>
        <w:rPr>
          <w:rFonts w:hint="eastAsia" w:ascii="宋体" w:hAnsi="宋体" w:cs="宋体"/>
          <w:color w:val="auto"/>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22.1采用综合评分法的，评标结果按评审后得分由高到低顺序排列。得分相同的，按投标报价由低到高顺序排列。得分且投标报价相同的并列，按技术指标优劣顺序排列。</w:t>
      </w:r>
      <w:bookmarkStart w:id="102" w:name="_Hlk44576646"/>
      <w:r>
        <w:rPr>
          <w:rFonts w:hint="eastAsia" w:ascii="宋体" w:hAnsi="宋体" w:cs="宋体"/>
          <w:color w:val="auto"/>
          <w:szCs w:val="21"/>
          <w:highlight w:val="none"/>
        </w:rPr>
        <w:t xml:space="preserve">投标文件满足招标文件全部实质性要求，</w:t>
      </w:r>
      <w:bookmarkStart w:id="103" w:name="_Hlk128053036"/>
      <w:r>
        <w:rPr>
          <w:rFonts w:hint="eastAsia" w:ascii="宋体" w:hAnsi="宋体" w:cs="宋体"/>
          <w:color w:val="auto"/>
          <w:szCs w:val="21"/>
          <w:highlight w:val="none"/>
        </w:rPr>
        <w:t xml:space="preserve">且按照评审因素的量化指标评审得分最高的投标人为排名第一的中标候选人，经采购人授权，</w:t>
      </w:r>
      <w:bookmarkEnd w:id="102"/>
      <w:r>
        <w:rPr>
          <w:rFonts w:hint="eastAsia" w:ascii="宋体" w:hAnsi="宋体" w:cs="宋体"/>
          <w:color w:val="auto"/>
          <w:szCs w:val="21"/>
          <w:highlight w:val="none"/>
        </w:rPr>
        <w:t xml:space="preserve">评标委员会将综合排名第一的中标候选人确定为中标人。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22.2中标人确定后，采购代理机构在</w:t>
      </w:r>
      <w:r>
        <w:rPr>
          <w:rFonts w:hint="eastAsia" w:ascii="宋体" w:hAnsi="宋体" w:cs="宋体"/>
          <w:color w:val="auto"/>
          <w:szCs w:val="21"/>
          <w:highlight w:val="none"/>
          <w:lang w:val="zh-CN"/>
        </w:rPr>
        <w:t xml:space="preserve">“江苏政府采购网”发布</w:t>
      </w:r>
      <w:r>
        <w:rPr>
          <w:rFonts w:hint="eastAsia" w:ascii="宋体" w:hAnsi="宋体" w:cs="宋体"/>
          <w:color w:val="auto"/>
          <w:szCs w:val="21"/>
          <w:highlight w:val="none"/>
        </w:rPr>
        <w:t xml:space="preserve">中标公告，公告期限为1个工作日。</w:t>
      </w:r>
      <w:bookmarkEnd w:id="103"/>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23.</w:t>
      </w:r>
      <w:r>
        <w:rPr>
          <w:rFonts w:hint="eastAsia" w:ascii="宋体" w:hAnsi="宋体" w:cs="宋体"/>
          <w:color w:val="auto"/>
          <w:highlight w:val="none"/>
        </w:rPr>
        <w:t xml:space="preserve"> </w:t>
      </w:r>
      <w:r>
        <w:rPr>
          <w:rFonts w:hint="eastAsia" w:ascii="宋体" w:hAnsi="宋体" w:cs="宋体"/>
          <w:b/>
          <w:bCs/>
          <w:color w:val="auto"/>
          <w:szCs w:val="21"/>
          <w:highlight w:val="none"/>
        </w:rPr>
        <w:t xml:space="preserve">中标通知书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23.l 中标结果确定后，采购代理机构将向中标人发出中标通知书。中标人可在中标结果公告届满之日起三十日内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登录苏采云系统下载。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24.评标过程的保密性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ascii="宋体" w:hAnsi="宋体" w:cs="宋体"/>
          <w:color w:val="auto"/>
          <w:szCs w:val="21"/>
          <w:highlight w:val="none"/>
        </w:rPr>
      </w:pPr>
      <w:r/>
      <w:bookmarkStart w:id="104" w:name="_Hlk176188663"/>
      <w:r>
        <w:rPr>
          <w:rFonts w:hint="eastAsia" w:ascii="宋体" w:hAnsi="宋体" w:cs="宋体"/>
          <w:b/>
          <w:bCs/>
          <w:color w:val="auto"/>
          <w:szCs w:val="21"/>
          <w:highlight w:val="none"/>
        </w:rPr>
        <w:t xml:space="preserve">六、签订合同</w:t>
      </w:r>
      <w:bookmarkEnd w:id="104"/>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25.签订合同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25.1采购人与中标人应当自中标通知书发出之日起30日内，按照招标文件和中标人投标文件的规定，签订书面合同，</w:t>
      </w:r>
      <w:r>
        <w:rPr>
          <w:rFonts w:hint="eastAsia" w:ascii="宋体" w:hAnsi="宋体" w:cs="宋体"/>
          <w:b/>
          <w:bCs/>
          <w:color w:val="auto"/>
          <w:szCs w:val="21"/>
          <w:highlight w:val="none"/>
        </w:rPr>
        <w:t xml:space="preserve">采购人于合同签订后2个工作日内通过苏采云系统进行公示</w:t>
      </w:r>
      <w:r>
        <w:rPr>
          <w:rFonts w:hint="eastAsia" w:ascii="宋体" w:hAnsi="宋体" w:cs="宋体"/>
          <w:color w:val="auto"/>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ascii="宋体" w:hAnsi="宋体" w:cs="宋体"/>
          <w:color w:val="auto"/>
          <w:szCs w:val="21"/>
          <w:highlight w:val="none"/>
        </w:rPr>
      </w:pPr>
      <w:r/>
      <w:bookmarkStart w:id="105" w:name="_Hlk128053131"/>
      <w:r>
        <w:rPr>
          <w:rFonts w:hint="eastAsia" w:ascii="宋体" w:hAnsi="宋体" w:cs="宋体"/>
          <w:color w:val="auto"/>
          <w:szCs w:val="21"/>
          <w:highlight w:val="none"/>
        </w:rPr>
        <w:t xml:space="preserve">25.3</w:t>
      </w:r>
      <w:bookmarkStart w:id="106" w:name="_Hlk134712780"/>
      <w:r>
        <w:rPr>
          <w:rFonts w:hint="eastAsia" w:ascii="宋体" w:hAnsi="宋体" w:cs="宋体"/>
          <w:color w:val="auto"/>
          <w:szCs w:val="21"/>
          <w:highlight w:val="none"/>
        </w:rPr>
        <w:t xml:space="preserve">中标人拒绝与采购人签订合同的，采购人可以按照评标报告推荐的中标候选人名单排序，确定下一候选人为中标人，也可以重新开展政府采购活动。</w:t>
      </w:r>
      <w:bookmarkEnd w:id="105"/>
      <w:r/>
      <w:bookmarkEnd w:id="106"/>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25.4 政府采购合同履行中，采购人需追加与合同标的相同的工程的，在不改变合同其他条款的前提下，可以与投标人协商签订补充合同，但所有补充合同的采购金额不得超过原合同采购金额的百分之十。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25.6采购人与中标人应当根据合同的约定依法履行合同义务。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七、质疑和投诉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26.质疑</w:t>
      </w:r>
      <w:r/>
    </w:p>
    <w:p>
      <w:pPr>
        <w:ind w:firstLine="420"/>
        <w:spacing w:line="360" w:lineRule="auto"/>
        <w:shd w:val="clear" w:color="auto" w:fill="ffffff"/>
        <w:widowControl/>
        <w:rPr>
          <w:rFonts w:ascii="宋体" w:hAnsi="宋体" w:cs="宋体"/>
          <w:color w:val="auto"/>
          <w:szCs w:val="21"/>
          <w:highlight w:val="none"/>
        </w:rPr>
      </w:pPr>
      <w:r/>
      <w:bookmarkStart w:id="107" w:name="_Hlk135041925"/>
      <w:r>
        <w:rPr>
          <w:rFonts w:hint="eastAsia" w:ascii="宋体" w:hAnsi="宋体" w:cs="宋体"/>
          <w:color w:val="auto"/>
          <w:szCs w:val="21"/>
          <w:highlight w:val="none"/>
        </w:rPr>
        <w:t xml:space="preserve">26.1投标人对</w:t>
      </w:r>
      <w:r>
        <w:rPr>
          <w:rFonts w:hint="eastAsia" w:ascii="宋体" w:hAnsi="宋体" w:cs="宋体"/>
          <w:color w:val="auto"/>
          <w:szCs w:val="21"/>
          <w:highlight w:val="none"/>
        </w:rPr>
        <w:t xml:space="preserve">采购</w:t>
      </w:r>
      <w:r>
        <w:rPr>
          <w:rFonts w:hint="eastAsia" w:ascii="宋体" w:hAnsi="宋体" w:cs="宋体"/>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26.2提出质疑的投标人应当是参与所质疑项目采购活动的投标人。潜在投标人已依法获取其可质疑的招标文件的，可以对该文件提出质疑。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（1）投标人的姓名或者名称、地址、邮编、联系人及联系电话；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（2）质疑项目的名称、编号；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（3）具体、明确的质疑事项和与质疑事项相关的请求（具体条款）；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（4）事实依据（具体条款）；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（5）必要的法律依据（具体条款）；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（6）提出质疑的日期。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26.7 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bookmarkEnd w:id="107"/>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27.投诉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27.2 投标人投诉应当有明确的请求和必要的证明材料。投标人投诉的事项不得超出已质疑事项的范围。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27.4 投诉人在全国范围12个月内3次以上投诉查无实据的，由财政部门列入不良行为记录名单。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27.5投诉人有下列行为之一的，属于虚假、恶意投诉，由财政部门列入不良行为记录名单，禁止其1至3年内参加政府采购活动：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（1）捏造事实；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（2）提供虚假材料；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（3）以非法手段取得证明材料。证据来源的合法性存在明显疑问，投诉人无法证明其取得方式合法的，视为以非法手段取得证明材料。</w:t>
      </w:r>
      <w:r/>
    </w:p>
    <w:p>
      <w:pPr>
        <w:pStyle w:val="1086"/>
        <w:numPr>
          <w:ilvl w:val="0"/>
          <w:numId w:val="0"/>
        </w:numPr>
        <w:rPr>
          <w:rFonts w:ascii="宋体" w:hAnsi="宋体" w:cs="宋体"/>
          <w:color w:val="auto"/>
          <w:highlight w:val="none"/>
        </w:rPr>
      </w:pPr>
      <w:r>
        <w:rPr>
          <w:rFonts w:hint="eastAsia" w:ascii="宋体" w:hAnsi="宋体" w:cs="宋体"/>
          <w:color w:val="auto"/>
          <w:sz w:val="21"/>
          <w:szCs w:val="21"/>
          <w:highlight w:val="none"/>
        </w:rPr>
        <w:br w:type="page" w:clear="all"/>
      </w:r>
      <w:bookmarkStart w:id="108" w:name="_Toc176529669"/>
      <w:r/>
      <w:bookmarkStart w:id="109" w:name="_Toc2754"/>
      <w:r/>
      <w:bookmarkStart w:id="110" w:name="_Toc481057145"/>
      <w:r>
        <w:rPr>
          <w:rFonts w:hint="eastAsia" w:ascii="宋体" w:hAnsi="宋体" w:cs="宋体"/>
          <w:color w:val="auto"/>
          <w:highlight w:val="none"/>
        </w:rPr>
        <w:t xml:space="preserve">第三章 评标标准</w:t>
      </w:r>
      <w:bookmarkEnd w:id="108"/>
      <w:r/>
      <w:bookmarkEnd w:id="109"/>
      <w:r/>
      <w:bookmarkEnd w:id="110"/>
      <w:r/>
      <w:r/>
    </w:p>
    <w:p>
      <w:pPr>
        <w:ind w:firstLine="420"/>
        <w:spacing w:line="360" w:lineRule="auto"/>
        <w:rPr>
          <w:rFonts w:ascii="宋体" w:hAnsi="宋体" w:cs="宋体"/>
          <w:color w:val="auto"/>
          <w:szCs w:val="21"/>
          <w:highlight w:val="none"/>
        </w:rPr>
      </w:pPr>
      <w:r/>
      <w:bookmarkStart w:id="111" w:name="_Hlk44577066"/>
      <w:r>
        <w:rPr>
          <w:rFonts w:hint="eastAsia" w:ascii="宋体" w:hAnsi="宋体" w:cs="宋体"/>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12" w:name="_Hlk176529455"/>
      <w:r/>
      <w:r/>
    </w:p>
    <w:tbl>
      <w:tblPr>
        <w:tblStyle w:val="1096"/>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191"/>
        <w:gridCol w:w="6966"/>
        <w:gridCol w:w="908"/>
      </w:tblGrid>
      <w:tr>
        <w:trPr>
          <w:jc w:val="center"/>
          <w:trHeight w:val="90"/>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bookmarkStart w:id="113" w:name="_Hlk44580142"/>
            <w:r/>
            <w:bookmarkStart w:id="114" w:name="_Hlk44577072"/>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90"/>
        </w:trPr>
        <w:tc>
          <w:tcPr>
            <w:gridSpan w:val="4"/>
            <w:tcBorders>
              <w:top w:val="single" w:color="auto" w:sz="4" w:space="0"/>
              <w:left w:val="single" w:color="auto" w:sz="4" w:space="0"/>
              <w:bottom w:val="single" w:color="auto" w:sz="4" w:space="0"/>
              <w:right w:val="single" w:color="auto" w:sz="4" w:space="0"/>
            </w:tcBorders>
            <w:tcW w:w="972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一、价格 </w:t>
            </w:r>
            <w:r>
              <w:rPr>
                <w:rFonts w:ascii="宋体" w:hAnsi="宋体" w:cs="宋体"/>
                <w:b/>
                <w:bCs/>
                <w:color w:val="auto"/>
                <w:szCs w:val="21"/>
                <w:highlight w:val="none"/>
              </w:rPr>
              <w:t xml:space="preserve">35</w:t>
            </w:r>
            <w:r>
              <w:rPr>
                <w:rFonts w:hint="eastAsia" w:ascii="宋体" w:hAnsi="宋体" w:cs="宋体"/>
                <w:b/>
                <w:bCs/>
                <w:color w:val="auto"/>
                <w:szCs w:val="21"/>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满足招标文件要求且投标价格最低的投标报价为评审基准价，其价格分为</w:t>
            </w:r>
            <w:r>
              <w:rPr>
                <w:rFonts w:ascii="宋体" w:hAnsi="宋体" w:cs="宋体"/>
                <w:color w:val="auto"/>
                <w:szCs w:val="21"/>
                <w:highlight w:val="none"/>
              </w:rPr>
              <w:t xml:space="preserve">35</w:t>
            </w:r>
            <w:r>
              <w:rPr>
                <w:rFonts w:hint="eastAsia" w:ascii="宋体" w:hAnsi="宋体" w:cs="宋体"/>
                <w:color w:val="auto"/>
                <w:szCs w:val="21"/>
                <w:highlight w:val="none"/>
              </w:rPr>
              <w:t xml:space="preserve">分。其他投标人的价格分统一按下列公式计算：投标报价得分=（评审基准价/投标报价）×</w:t>
            </w:r>
            <w:r>
              <w:rPr>
                <w:rFonts w:ascii="宋体" w:hAnsi="宋体" w:cs="宋体"/>
                <w:color w:val="auto"/>
                <w:szCs w:val="21"/>
                <w:highlight w:val="none"/>
              </w:rPr>
              <w:t xml:space="preserve">35</w:t>
            </w:r>
            <w:r>
              <w:rPr>
                <w:rFonts w:hint="eastAsia" w:ascii="宋体" w:hAnsi="宋体" w:cs="宋体"/>
                <w:color w:val="auto"/>
                <w:szCs w:val="21"/>
                <w:highlight w:val="none"/>
              </w:rPr>
              <w:t xml:space="preserve">（小数点后保留两位）</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35</w:t>
            </w:r>
            <w:r/>
          </w:p>
        </w:tc>
      </w:tr>
      <w:tr>
        <w:trPr>
          <w:jc w:val="center"/>
        </w:trPr>
        <w:tc>
          <w:tcPr>
            <w:gridSpan w:val="4"/>
            <w:tcBorders>
              <w:top w:val="single" w:color="auto" w:sz="4" w:space="0"/>
              <w:left w:val="single" w:color="auto" w:sz="4" w:space="0"/>
              <w:bottom w:val="single" w:color="auto" w:sz="4" w:space="0"/>
              <w:right w:val="single" w:color="auto" w:sz="4" w:space="0"/>
            </w:tcBorders>
            <w:tcW w:w="972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二、技术 22分</w:t>
            </w:r>
            <w:r/>
          </w:p>
        </w:tc>
      </w:tr>
      <w:tr>
        <w:trPr>
          <w:jc w:val="center"/>
        </w:trPr>
        <w:tc>
          <w:tcPr>
            <w:tcBorders>
              <w:top w:val="single" w:color="auto" w:sz="4" w:space="0"/>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总体概述</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施工组织总体设想、方案针对性及施工段划分。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总体方案中对项目要求理解透彻，结合实际，符合项目特点和要求的得5分；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对项目要求理解片面，方案有瑕疵和轻微偏差的得3分；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方案内容混乱、缺乏可操作性、偏离满足项目需求或未提供的不得分。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Pr>
        <w:tc>
          <w:tcPr>
            <w:tcBorders>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Borders>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分部分项工程的施工方案</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各分部分项工程的施工方案及质量保证措施、临时道路布置。</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总体方案中对项目要求理解透彻，结合实际，符合项目特点和要求的得5分；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对项目要求理解片面，方案有瑕疵和轻微偏差的得3分；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方案内容混乱、缺乏可操作性、偏离满足项目需求或未提供的不得分。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Pr>
        <w:tc>
          <w:tcPr>
            <w:tcBorders>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Borders>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施工进度计划</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施工进度计划和各阶段进度的保证措施。</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根据本项目工期要求提供进度计划安排图表，进度计划能够优于项目要求，有明确的各进度节点与保证措施的得4分；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提供进度计划安排图表，进度计划基本满足项目要求，但各节点安排及保证措施含糊不清的得2分；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方案内容混乱、缺乏可操作性、偏离满足项目需求或未提供的不得分。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23"/>
        </w:trPr>
        <w:tc>
          <w:tcPr>
            <w:tcBorders>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Borders>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安全文明施工</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安全文明施工及环境保护措施。</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方案全面，对项目要求理解透彻，结合实际，符合项目特点和要求的得4分；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对项目要求理解片面，方案有瑕疵和轻微偏差的得2分；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方案内容混乱、缺乏可操作性、偏离满足项目需求或未提供的不得分。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23"/>
        </w:trPr>
        <w:tc>
          <w:tcPr>
            <w:tcBorders>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left w:val="single" w:color="auto" w:sz="4" w:space="0"/>
              <w:bottom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人员配备</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人员配备、机械设备和材料投入计划。</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方案全面，对项目要求理解透彻，结合实际，符合项目特点和要求的得4分；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对项目要求理解片面，方案有瑕疵和轻微偏差的得2分；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方案内容混乱、缺乏可操作性、偏离满足项目需求或未提供的不得分。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23"/>
        </w:trPr>
        <w:tc>
          <w:tcPr>
            <w:gridSpan w:val="4"/>
            <w:tcBorders>
              <w:left w:val="single" w:color="auto" w:sz="4" w:space="0"/>
              <w:bottom w:val="single" w:color="auto" w:sz="4" w:space="0"/>
              <w:right w:val="single" w:color="auto" w:sz="4" w:space="0"/>
            </w:tcBorders>
            <w:tcW w:w="972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三、商务 </w:t>
            </w:r>
            <w:r>
              <w:rPr>
                <w:rFonts w:ascii="宋体" w:hAnsi="宋体" w:cs="宋体"/>
                <w:b/>
                <w:bCs/>
                <w:color w:val="auto"/>
                <w:szCs w:val="21"/>
                <w:highlight w:val="none"/>
              </w:rPr>
              <w:t xml:space="preserve">43</w:t>
            </w:r>
            <w:r>
              <w:rPr>
                <w:rFonts w:hint="eastAsia" w:ascii="宋体" w:hAnsi="宋体" w:cs="宋体"/>
                <w:b/>
                <w:bCs/>
                <w:color w:val="auto"/>
                <w:szCs w:val="21"/>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投标人自2023年1月1日（含）以来，具有类似运动场改造工程施工业绩（或项目内容中包含运动场改造工程施工）的，每提供一份业绩得3分，最多得9分。</w:t>
            </w:r>
            <w:r>
              <w:rPr>
                <w:rFonts w:hint="eastAsia" w:ascii="宋体" w:hAnsi="宋体" w:cs="宋体"/>
                <w:b/>
                <w:color w:val="auto"/>
                <w:szCs w:val="21"/>
                <w:highlight w:val="none"/>
              </w:rPr>
              <w:t xml:space="preserve">注：时间以合同签订时间为准，投标人提供合同、竣工验收合格证明（建设单位、施工单位、监理单位盖章）、</w:t>
            </w:r>
            <w:r>
              <w:rPr>
                <w:rFonts w:hint="eastAsia" w:ascii="宋体" w:hAnsi="宋体" w:cs="宋体"/>
                <w:b/>
                <w:color w:val="auto"/>
                <w:szCs w:val="21"/>
                <w:highlight w:val="none"/>
                <w:lang w:val="en-US" w:eastAsia="zh-CN"/>
              </w:rPr>
              <w:t xml:space="preserve">任意一期</w:t>
            </w:r>
            <w:r>
              <w:rPr>
                <w:rFonts w:hint="eastAsia" w:ascii="宋体" w:hAnsi="宋体" w:cs="宋体"/>
                <w:b/>
                <w:color w:val="auto"/>
                <w:szCs w:val="21"/>
                <w:highlight w:val="none"/>
              </w:rPr>
              <w:t xml:space="preserve">已收工程款发票</w:t>
            </w:r>
            <w:r>
              <w:rPr>
                <w:rFonts w:hint="eastAsia" w:ascii="宋体" w:hAnsi="宋体" w:cs="宋体"/>
                <w:b/>
                <w:color w:val="auto"/>
                <w:szCs w:val="21"/>
                <w:highlight w:val="none"/>
              </w:rPr>
              <w:t xml:space="preserve">扫描件，</w:t>
            </w:r>
            <w:r>
              <w:rPr>
                <w:rFonts w:hint="eastAsia" w:ascii="宋体" w:hAnsi="宋体" w:cs="宋体"/>
                <w:b/>
                <w:color w:val="auto"/>
                <w:szCs w:val="21"/>
                <w:highlight w:val="none"/>
                <w:lang w:val="en-US" w:eastAsia="zh-CN"/>
              </w:rPr>
              <w:t xml:space="preserve">以上材料缺一不可</w:t>
            </w:r>
            <w:r>
              <w:rPr>
                <w:rFonts w:hint="eastAsia" w:ascii="宋体" w:hAnsi="宋体" w:cs="宋体"/>
                <w:b/>
                <w:color w:val="auto"/>
                <w:szCs w:val="21"/>
                <w:highlight w:val="none"/>
              </w:rPr>
              <w:t xml:space="preserve">，未提供或未按要求提供不得分。相关材料要求真实完整，并清晰可见，否则该项不得分。如核实后为虚假材料，采购人有权取消其中标资格，并进一步追究其法律责任。企业业绩与项目经理业绩不可兼得。</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项目经理业绩</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项目经理自2023年1月1日（含）以来，</w:t>
            </w:r>
            <w:r>
              <w:rPr>
                <w:rFonts w:hint="eastAsia" w:ascii="宋体" w:hAnsi="宋体" w:cs="宋体"/>
                <w:color w:val="auto"/>
                <w:szCs w:val="21"/>
                <w:highlight w:val="none"/>
                <w:lang w:val="en-US" w:eastAsia="zh-CN"/>
              </w:rPr>
              <w:t xml:space="preserve">具有</w:t>
            </w:r>
            <w:r>
              <w:rPr>
                <w:rFonts w:hint="eastAsia" w:ascii="宋体" w:hAnsi="宋体" w:cs="宋体"/>
                <w:color w:val="auto"/>
                <w:szCs w:val="21"/>
                <w:highlight w:val="none"/>
              </w:rPr>
              <w:t xml:space="preserve">类似运动场改造工程施工业绩（或项目内容中包含运动场改造工程施工）</w:t>
            </w:r>
            <w:r>
              <w:rPr>
                <w:rFonts w:hint="eastAsia" w:ascii="宋体" w:hAnsi="宋体" w:cs="宋体"/>
                <w:color w:val="auto"/>
                <w:szCs w:val="21"/>
                <w:highlight w:val="none"/>
                <w:lang w:val="en-US" w:eastAsia="zh-CN"/>
              </w:rPr>
              <w:t xml:space="preserve">并担任项目经理</w:t>
            </w:r>
            <w:r>
              <w:rPr>
                <w:rFonts w:hint="eastAsia" w:ascii="宋体" w:hAnsi="宋体" w:cs="宋体"/>
                <w:color w:val="auto"/>
                <w:szCs w:val="21"/>
                <w:highlight w:val="none"/>
              </w:rPr>
              <w:t xml:space="preserve">的，每提供一份业绩得3分，最多得9分。</w:t>
            </w:r>
            <w:r>
              <w:rPr>
                <w:rFonts w:hint="eastAsia" w:ascii="宋体" w:hAnsi="宋体" w:cs="宋体"/>
                <w:b/>
                <w:color w:val="auto"/>
                <w:szCs w:val="21"/>
                <w:highlight w:val="none"/>
              </w:rPr>
              <w:t xml:space="preserve">注：</w:t>
            </w:r>
            <w:bookmarkStart w:id="115" w:name="_Hlk163977828"/>
            <w:r>
              <w:rPr>
                <w:rFonts w:hint="eastAsia" w:ascii="宋体" w:hAnsi="宋体" w:cs="宋体"/>
                <w:b/>
                <w:color w:val="auto"/>
                <w:szCs w:val="21"/>
                <w:highlight w:val="none"/>
              </w:rPr>
              <w:t xml:space="preserve">时间以合同签订时间为准，投标人提供合同、竣工验收合格证明（建设单位、施工单位、监理单位盖章）、</w:t>
            </w:r>
            <w:r>
              <w:rPr>
                <w:rFonts w:hint="eastAsia" w:ascii="宋体" w:hAnsi="宋体" w:cs="宋体"/>
                <w:b/>
                <w:color w:val="auto"/>
                <w:szCs w:val="21"/>
                <w:highlight w:val="none"/>
                <w:lang w:val="en-US" w:eastAsia="zh-CN"/>
              </w:rPr>
              <w:t xml:space="preserve">任意一期</w:t>
            </w:r>
            <w:r>
              <w:rPr>
                <w:rFonts w:hint="eastAsia" w:ascii="宋体" w:hAnsi="宋体" w:cs="宋体"/>
                <w:b/>
                <w:color w:val="auto"/>
                <w:szCs w:val="21"/>
                <w:highlight w:val="none"/>
              </w:rPr>
              <w:t xml:space="preserve">已收工程款发票</w:t>
            </w:r>
            <w:r>
              <w:rPr>
                <w:rFonts w:hint="eastAsia" w:ascii="宋体" w:hAnsi="宋体" w:cs="宋体"/>
                <w:b/>
                <w:color w:val="auto"/>
                <w:szCs w:val="21"/>
                <w:highlight w:val="none"/>
              </w:rPr>
              <w:t xml:space="preserve">扫描件，</w:t>
            </w:r>
            <w:r>
              <w:rPr>
                <w:rFonts w:hint="eastAsia" w:ascii="宋体" w:hAnsi="宋体" w:cs="宋体"/>
                <w:b/>
                <w:color w:val="auto"/>
                <w:szCs w:val="21"/>
                <w:highlight w:val="none"/>
                <w:lang w:val="en-US" w:eastAsia="zh-CN"/>
              </w:rPr>
              <w:t xml:space="preserve">以上材料缺一不可</w:t>
            </w:r>
            <w:r>
              <w:rPr>
                <w:rFonts w:hint="eastAsia" w:ascii="宋体" w:hAnsi="宋体" w:cs="宋体"/>
                <w:b/>
                <w:color w:val="auto"/>
                <w:szCs w:val="21"/>
                <w:highlight w:val="none"/>
              </w:rPr>
              <w:t xml:space="preserve">，</w:t>
            </w:r>
            <w:bookmarkEnd w:id="115"/>
            <w:r>
              <w:rPr>
                <w:rFonts w:hint="eastAsia" w:ascii="宋体" w:hAnsi="宋体" w:cs="宋体"/>
                <w:b/>
                <w:color w:val="auto"/>
                <w:szCs w:val="21"/>
                <w:highlight w:val="none"/>
              </w:rPr>
              <w:t xml:space="preserve">未提供或未按要求提供不得分。相关材料要求真实完整，并清晰可见，否则该项不得分。如核实后为虚假材料，采购人有权取消其中标资格，并进一步追究其法律责任。企业业绩与项目经理业绩不可兼得。</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9</w:t>
            </w:r>
            <w:r/>
          </w:p>
        </w:tc>
      </w:tr>
      <w:tr>
        <w:trPr>
          <w:jc w:val="center"/>
          <w:trHeight w:val="632"/>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团队人员</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团队成员（不含项目经理）：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1.团队成员中具有建设工程类中级职称</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的每人得1分，具有建设工程类高级职称</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的每人得2分，本项最多得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2.团队成员中具有二级建造师注册证书（建筑工程或市政工程）的每人得1分，具有建筑工程一级建造师注册证书（建筑工程或市政工程）的每人得2分，本项最多得4分；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3.团队成员中具有安全员证书（B证或C证）的，每人得1分，本项最多得2分；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4.团队成员中具有二级注册造价师（土木建筑工程专业）证书的</w:t>
            </w:r>
            <w:r>
              <w:rPr>
                <w:rFonts w:hint="eastAsia" w:ascii="宋体" w:hAnsi="宋体" w:cs="宋体"/>
                <w:color w:val="auto"/>
                <w:szCs w:val="21"/>
                <w:highlight w:val="none"/>
                <w:lang w:val="en-US" w:eastAsia="zh-CN"/>
              </w:rPr>
              <w:t xml:space="preserve">每人</w:t>
            </w:r>
            <w:r>
              <w:rPr>
                <w:rFonts w:hint="eastAsia" w:ascii="宋体" w:hAnsi="宋体" w:cs="宋体"/>
                <w:color w:val="auto"/>
                <w:szCs w:val="21"/>
                <w:highlight w:val="none"/>
              </w:rPr>
              <w:t xml:space="preserve">得1分；具有一级注册造价师（土木建筑工程专业）的</w:t>
            </w:r>
            <w:r>
              <w:rPr>
                <w:rFonts w:hint="eastAsia" w:ascii="宋体" w:hAnsi="宋体" w:cs="宋体"/>
                <w:color w:val="auto"/>
                <w:szCs w:val="21"/>
                <w:highlight w:val="none"/>
                <w:lang w:val="en-US" w:eastAsia="zh-CN"/>
              </w:rPr>
              <w:t xml:space="preserve">每人</w:t>
            </w:r>
            <w:r>
              <w:rPr>
                <w:rFonts w:hint="eastAsia" w:ascii="宋体" w:hAnsi="宋体" w:cs="宋体"/>
                <w:color w:val="auto"/>
                <w:szCs w:val="21"/>
                <w:highlight w:val="none"/>
              </w:rPr>
              <w:t xml:space="preserve">得2分，本项最多得2分。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注：一人多证不重复计分，提供有效证书复印件及投标人近三个月中任意一个月为团队成员缴纳社保的证明材料并加盖公章，未提供的不得分。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12</w:t>
            </w:r>
            <w:r/>
          </w:p>
        </w:tc>
      </w:tr>
      <w:tr>
        <w:trPr>
          <w:jc w:val="center"/>
          <w:trHeight w:val="90"/>
        </w:trPr>
        <w:tc>
          <w:tcPr>
            <w:tcBorders>
              <w:top w:val="single" w:color="auto" w:sz="4" w:space="0"/>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Borders>
              <w:top w:val="single" w:color="auto" w:sz="4" w:space="0"/>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企业能力</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投标人具有</w:t>
            </w:r>
            <w:r>
              <w:rPr>
                <w:rFonts w:hint="eastAsia" w:ascii="宋体" w:hAnsi="宋体" w:cs="宋体"/>
                <w:color w:val="auto"/>
                <w:highlight w:val="none"/>
              </w:rPr>
              <w:t xml:space="preserve">有效期内的</w:t>
            </w:r>
            <w:r>
              <w:rPr>
                <w:rFonts w:hint="eastAsia" w:ascii="宋体" w:hAnsi="宋体" w:cs="宋体"/>
                <w:color w:val="auto"/>
                <w:szCs w:val="21"/>
                <w:highlight w:val="none"/>
              </w:rPr>
              <w:t xml:space="preserve">质量管理体系认证证书，且通过年度审验的得3分。（提供有效证书复印件加盖公章，未提供不得分）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90"/>
        </w:trPr>
        <w:tc>
          <w:tcPr>
            <w:tcBorders>
              <w:top w:val="single" w:color="auto" w:sz="4" w:space="0"/>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Borders>
              <w:top w:val="single" w:color="auto" w:sz="4" w:space="0"/>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工程质量、安全承诺</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投标人提供包括但不限于工程质量、安全等方面的承诺，承诺切实可行的得2分，承诺有欠缺的得1分，未提供不得分。（投标文件中提供承诺书并加盖公章，格式自拟。）</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Pr>
        <w:tc>
          <w:tcPr>
            <w:tcBorders>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Borders>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免费质量保修期承诺</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在满足本项目要求的免费质量保修期（自工程竣工验收合格日期之日起工程质量保修期2年）的基础上，免费质量保修期每增加1年的得2分，本项最高得6分；其他不得分。（投标文件中提供承诺书并加盖公章，格式自拟。）</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Pr>
        <w:tc>
          <w:tcPr>
            <w:tcBorders>
              <w:left w:val="single" w:color="auto" w:sz="4" w:space="0"/>
              <w:right w:val="single" w:color="auto" w:sz="4" w:space="0"/>
            </w:tcBorders>
            <w:tcW w:w="6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Borders>
              <w:left w:val="single" w:color="auto" w:sz="4" w:space="0"/>
              <w:right w:val="single" w:color="auto" w:sz="4" w:space="0"/>
            </w:tcBorders>
            <w:tcW w:w="1191"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工期承诺</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投标人承诺在招标文件规定的工期内，每提前2天项目竣工验收得1分，本项最高得2分，未提供不得分。（投标文件中提供承诺书并加盖公章，格式自拟。）</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bookmarkEnd w:id="113"/>
            <w:r/>
            <w:bookmarkEnd w:id="114"/>
            <w:r/>
            <w:r/>
          </w:p>
        </w:tc>
      </w:tr>
    </w:tbl>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bookmarkEnd w:id="111"/>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bookmarkEnd w:id="112"/>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86"/>
        <w:numPr>
          <w:ilvl w:val="0"/>
          <w:numId w:val="0"/>
        </w:numPr>
        <w:ind w:left="567"/>
        <w:rPr>
          <w:rFonts w:ascii="宋体" w:hAnsi="宋体" w:cs="宋体"/>
          <w:color w:val="auto"/>
          <w:highlight w:val="none"/>
        </w:rPr>
      </w:pPr>
      <w:r/>
      <w:bookmarkStart w:id="116" w:name="_Toc14826"/>
      <w:r/>
      <w:bookmarkStart w:id="117" w:name="_Toc176529670"/>
      <w:r>
        <w:rPr>
          <w:rFonts w:hint="eastAsia" w:ascii="宋体" w:hAnsi="宋体" w:cs="宋体"/>
          <w:color w:val="auto"/>
          <w:highlight w:val="none"/>
        </w:rPr>
        <w:t xml:space="preserve">第四章 </w:t>
      </w:r>
      <w:bookmarkEnd w:id="116"/>
      <w:r/>
      <w:bookmarkStart w:id="118" w:name="_Toc8808"/>
      <w:r/>
      <w:bookmarkStart w:id="119" w:name="_Toc481057147"/>
      <w:r>
        <w:rPr>
          <w:rFonts w:hint="eastAsia" w:ascii="宋体" w:hAnsi="宋体" w:cs="宋体"/>
          <w:color w:val="auto"/>
          <w:highlight w:val="none"/>
        </w:rPr>
        <w:t xml:space="preserve">采购项目的内容和相关技术要求等</w:t>
      </w:r>
      <w:bookmarkEnd w:id="117"/>
      <w:r/>
      <w:r/>
    </w:p>
    <w:p>
      <w:pPr>
        <w:ind w:firstLine="422"/>
        <w:jc w:val="left"/>
        <w:spacing w:line="360" w:lineRule="auto"/>
        <w:rPr>
          <w:rFonts w:ascii="宋体" w:hAnsi="宋体" w:cs="宋体"/>
          <w:b/>
          <w:bCs/>
          <w:color w:val="auto"/>
          <w:szCs w:val="21"/>
          <w:highlight w:val="none"/>
        </w:rPr>
      </w:pPr>
      <w:r/>
      <w:bookmarkStart w:id="120" w:name="_Toc6419"/>
      <w:r/>
      <w:bookmarkStart w:id="121" w:name="_Hlk176529481"/>
      <w:r/>
      <w:bookmarkStart w:id="122" w:name="_Hlk66377641"/>
      <w:r>
        <w:rPr>
          <w:rFonts w:hint="eastAsia" w:ascii="宋体" w:hAnsi="宋体" w:cs="宋体"/>
          <w:b/>
          <w:bCs/>
          <w:color w:val="auto"/>
          <w:szCs w:val="21"/>
          <w:highlight w:val="none"/>
        </w:rPr>
        <w:t xml:space="preserve">一、项目名称</w:t>
      </w:r>
      <w:bookmarkEnd w:id="120"/>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val="zh-CN"/>
        </w:rPr>
        <w:t xml:space="preserve">南京审计大学浦口校区润园运动场改造项目施工</w:t>
      </w:r>
      <w:r/>
    </w:p>
    <w:p>
      <w:pPr>
        <w:ind w:firstLine="422"/>
        <w:jc w:val="left"/>
        <w:spacing w:line="360" w:lineRule="auto"/>
        <w:rPr>
          <w:rFonts w:ascii="宋体" w:hAnsi="宋体" w:cs="宋体"/>
          <w:b/>
          <w:bCs/>
          <w:color w:val="auto"/>
          <w:szCs w:val="21"/>
          <w:highlight w:val="none"/>
        </w:rPr>
      </w:pPr>
      <w:r/>
      <w:bookmarkStart w:id="123" w:name="_Toc27997"/>
      <w:r>
        <w:rPr>
          <w:rFonts w:hint="eastAsia" w:ascii="宋体" w:hAnsi="宋体" w:cs="宋体"/>
          <w:b/>
          <w:bCs/>
          <w:color w:val="auto"/>
          <w:szCs w:val="21"/>
          <w:highlight w:val="none"/>
        </w:rPr>
        <w:t xml:space="preserve">二、采购范围及内容</w:t>
      </w:r>
      <w:bookmarkEnd w:id="12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项目概况：南京审计大学浦口校区润园运动场建成投入使用至今已近20年，原有塑胶跑道和足球场区域年久失修，面层脱落损坏，已不能满足日常体育教学和活动需要，本项目拟进行运动场改造，跑道周长为400米，计划在原有场地基础上铲除原有塑胶面层、打磨清洗基础垫层、垃圾清运、新铺混合型塑胶跑道、50mm高人造草坪，并对排水沟进行清淤维修。具体内容详见工程量清单和图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（二）最高限价：278.35万元。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（三）项目地点：南京审计大学浦口校区。</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（四）工期：</w:t>
      </w:r>
      <w:bookmarkStart w:id="124" w:name="_Hlk170832593"/>
      <w:r>
        <w:rPr>
          <w:rFonts w:hint="eastAsia" w:ascii="宋体" w:hAnsi="宋体" w:cs="宋体"/>
          <w:color w:val="auto"/>
          <w:szCs w:val="21"/>
          <w:highlight w:val="none"/>
        </w:rPr>
        <w:t xml:space="preserve">40日历天（具体时间根据采购人需求执行）。</w:t>
      </w:r>
      <w:bookmarkEnd w:id="124"/>
      <w:r/>
      <w:r/>
    </w:p>
    <w:p>
      <w:pPr>
        <w:ind w:firstLine="420"/>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（五）工程质量：本项目要求必须通过</w:t>
      </w:r>
      <w:bookmarkStart w:id="125" w:name="OLE_LINK5"/>
      <w:r>
        <w:rPr>
          <w:rFonts w:hint="eastAsia" w:ascii="宋体" w:hAnsi="宋体" w:cs="宋体"/>
          <w:color w:val="auto"/>
          <w:szCs w:val="21"/>
          <w:highlight w:val="none"/>
        </w:rPr>
        <w:t xml:space="preserve">中国田径协会二类田径场地及以上验收</w:t>
      </w:r>
      <w:bookmarkEnd w:id="125"/>
      <w:r>
        <w:rPr>
          <w:rFonts w:hint="eastAsia" w:ascii="宋体" w:hAnsi="宋体" w:cs="宋体"/>
          <w:color w:val="auto"/>
          <w:szCs w:val="21"/>
          <w:highlight w:val="none"/>
          <w:lang w:val="en-US" w:eastAsia="zh-CN"/>
        </w:rPr>
        <w:t xml:space="preserve">标准</w:t>
      </w:r>
      <w:r>
        <w:rPr>
          <w:rFonts w:hint="eastAsia" w:ascii="宋体" w:hAnsi="宋体" w:cs="宋体"/>
          <w:color w:val="auto"/>
          <w:szCs w:val="21"/>
          <w:highlight w:val="none"/>
        </w:rPr>
        <w:t xml:space="preserve">，并按国家相关工程质量要求，执行相关施工和验收规范、技术标准。</w:t>
      </w:r>
      <w:r/>
    </w:p>
    <w:p>
      <w:pPr>
        <w:ind w:firstLine="422"/>
        <w:keepLines w:val="0"/>
        <w:keepNext w:val="0"/>
        <w:pageBreakBefore w:val="0"/>
        <w:spacing w:beforeAutospacing="0" w:afterAutospacing="0" w:line="360" w:lineRule="auto"/>
        <w:rPr>
          <w:rFonts w:ascii="宋体" w:hAnsi="宋体" w:cs="宋体"/>
          <w:b/>
          <w:bCs/>
          <w:color w:val="auto"/>
          <w:sz w:val="24"/>
          <w:highlight w:val="none"/>
        </w:rPr>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rPr>
        <w:t xml:space="preserve">主要技术要求及参考品牌</w:t>
      </w:r>
      <w:r/>
    </w:p>
    <w:p>
      <w:pPr>
        <w:ind w:firstLine="422"/>
        <w:keepLines w:val="0"/>
        <w:keepNext w:val="0"/>
        <w:pageBreakBefore w:val="0"/>
        <w:spacing w:beforeAutospacing="0" w:afterAutospacing="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（一）混合型聚氨酯塑胶跑道面层</w:t>
      </w:r>
      <w:r/>
    </w:p>
    <w:p>
      <w:pPr>
        <w:pStyle w:val="1097"/>
        <w:keepLines w:val="0"/>
        <w:keepNext w:val="0"/>
        <w:pageBreakBefore w:val="0"/>
        <w:spacing w:beforeAutospacing="0" w:after="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翻新施工技术要求：</w:t>
      </w:r>
      <w:r/>
    </w:p>
    <w:p>
      <w:pPr>
        <w:pStyle w:val="1097"/>
        <w:keepLines w:val="0"/>
        <w:keepNext w:val="0"/>
        <w:pageBreakBefore w:val="0"/>
        <w:spacing w:beforeAutospacing="0" w:after="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1.1技术要求详见施工图。</w:t>
      </w:r>
      <w:r/>
    </w:p>
    <w:p>
      <w:pPr>
        <w:pStyle w:val="1097"/>
        <w:keepLines w:val="0"/>
        <w:keepNext w:val="0"/>
        <w:pageBreakBefore w:val="0"/>
        <w:spacing w:beforeAutospacing="0" w:after="0" w:afterAutospacing="0" w:line="360" w:lineRule="auto"/>
        <w:rPr>
          <w:rFonts w:ascii="宋体" w:hAnsi="宋体" w:cs="宋体"/>
          <w:color w:val="auto"/>
          <w:sz w:val="24"/>
          <w:szCs w:val="21"/>
          <w:highlight w:val="none"/>
        </w:rPr>
      </w:pPr>
      <w:r>
        <w:rPr>
          <w:rFonts w:hint="eastAsia" w:ascii="宋体" w:hAnsi="宋体" w:cs="宋体"/>
          <w:color w:val="auto"/>
          <w:szCs w:val="21"/>
          <w:highlight w:val="none"/>
        </w:rPr>
        <w:t xml:space="preserve">1.2为确保塑胶跑道面层的质量，保护师生身心健康，跑道塑胶面层不得有明显的臭味、异味，跑道中有害物质限量须符合GB36246-2018标准要求。</w:t>
      </w:r>
      <w:r/>
    </w:p>
    <w:p>
      <w:pPr>
        <w:ind w:firstLine="420"/>
        <w:keepLines w:val="0"/>
        <w:keepNext w:val="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1.3参考品牌：杰锐、江苏长诺、长河、柏胜等同档次品牌</w:t>
      </w:r>
      <w:r>
        <w:rPr>
          <w:rFonts w:hint="eastAsia" w:ascii="宋体" w:hAnsi="宋体" w:cs="宋体"/>
          <w:color w:val="auto"/>
          <w:szCs w:val="21"/>
          <w:highlight w:val="none"/>
          <w:lang w:eastAsia="zh-CN"/>
        </w:rPr>
        <w:t xml:space="preserve">。</w:t>
      </w:r>
      <w:r/>
    </w:p>
    <w:p>
      <w:pPr>
        <w:ind w:firstLine="420"/>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材料说明及技术要求：</w:t>
      </w:r>
      <w:r/>
    </w:p>
    <w:p>
      <w:pPr>
        <w:ind w:firstLine="422"/>
        <w:keepLines w:val="0"/>
        <w:keepNext w:val="0"/>
        <w:pageBreakBefore w:val="0"/>
        <w:spacing w:beforeAutospacing="0" w:afterAutospacing="0" w:line="360" w:lineRule="auto"/>
        <w:rPr>
          <w:rFonts w:ascii="宋体" w:hAnsi="宋体" w:cs="宋体"/>
          <w:b/>
          <w:bCs/>
          <w:color w:val="auto"/>
          <w:sz w:val="24"/>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2.1</w:t>
      </w:r>
      <w:r>
        <w:rPr>
          <w:rFonts w:hint="eastAsia" w:ascii="宋体" w:hAnsi="宋体" w:cs="宋体"/>
          <w:b/>
          <w:bCs/>
          <w:color w:val="auto"/>
          <w:szCs w:val="21"/>
          <w:highlight w:val="none"/>
        </w:rPr>
        <w:t xml:space="preserve">塑胶跑道面层（非渗水型）物理性能符合 GB36246-2018《中小学合成材料面层运动场地》的要求</w:t>
      </w:r>
      <w:r>
        <w:rPr>
          <w:rFonts w:hint="eastAsia"/>
          <w:b/>
          <w:bCs/>
          <w:color w:val="auto"/>
          <w:highlight w:val="none"/>
          <w:lang w:eastAsia="zh-CN"/>
        </w:rPr>
        <w:t xml:space="preserve">（</w:t>
      </w:r>
      <w:r>
        <w:rPr>
          <w:rFonts w:hint="eastAsia"/>
          <w:b/>
          <w:bCs/>
          <w:color w:val="auto"/>
          <w:highlight w:val="none"/>
          <w:lang w:val="en-US" w:eastAsia="zh-CN"/>
        </w:rPr>
        <w:t xml:space="preserve">投标人须在投标文件提供符合要求的检测报告，未提供将作为无效投标</w:t>
      </w:r>
      <w:r>
        <w:rPr>
          <w:rFonts w:hint="eastAsia"/>
          <w:b/>
          <w:bCs/>
          <w:color w:val="auto"/>
          <w:highlight w:val="none"/>
          <w:lang w:eastAsia="zh-CN"/>
        </w:rPr>
        <w:t xml:space="preserve">）</w:t>
      </w:r>
      <w:r>
        <w:rPr>
          <w:rFonts w:hint="eastAsia" w:ascii="宋体" w:hAnsi="宋体" w:cs="宋体"/>
          <w:b/>
          <w:bCs/>
          <w:color w:val="auto"/>
          <w:szCs w:val="21"/>
          <w:highlight w:val="none"/>
        </w:rPr>
        <w:t xml:space="preserve">：</w:t>
      </w:r>
      <w:r/>
    </w:p>
    <w:tbl>
      <w:tblPr>
        <w:tblStyle w:val="1096"/>
        <w:tblW w:w="85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26"/>
        <w:gridCol w:w="4155"/>
        <w:gridCol w:w="2842"/>
      </w:tblGrid>
      <w:tr>
        <w:trPr>
          <w:jc w:val="center"/>
          <w:trHeight w:val="566"/>
        </w:trPr>
        <w:tc>
          <w:tcPr>
            <w:gridSpan w:val="2"/>
            <w:tcW w:w="5681" w:type="dxa"/>
            <w:vAlign w:val="center"/>
            <w:textDirection w:val="lrTb"/>
            <w:noWrap w:val="false"/>
          </w:tcPr>
          <w:p>
            <w:pPr>
              <w:ind w:left="2399" w:right="2391"/>
              <w:jc w:val="center"/>
              <w:keepLines w:val="0"/>
              <w:keepNext w:val="0"/>
              <w:pageBreakBefore w:val="0"/>
              <w:spacing w:beforeAutospacing="0" w:afterAutospacing="0" w:line="360" w:lineRule="auto"/>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检测项目</w:t>
            </w:r>
            <w:r/>
          </w:p>
        </w:tc>
        <w:tc>
          <w:tcPr>
            <w:tcW w:w="2842" w:type="dxa"/>
            <w:vAlign w:val="center"/>
            <w:textDirection w:val="lrTb"/>
            <w:noWrap w:val="false"/>
          </w:tcPr>
          <w:p>
            <w:pPr>
              <w:ind w:left="983" w:right="969"/>
              <w:jc w:val="center"/>
              <w:keepLines w:val="0"/>
              <w:keepNext w:val="0"/>
              <w:pageBreakBefore w:val="0"/>
              <w:spacing w:beforeAutospacing="0" w:afterAutospacing="0" w:line="360" w:lineRule="auto"/>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技术要求</w:t>
            </w:r>
            <w:r/>
          </w:p>
        </w:tc>
      </w:tr>
      <w:tr>
        <w:trPr>
          <w:jc w:val="center"/>
          <w:trHeight w:val="566"/>
        </w:trPr>
        <w:tc>
          <w:tcPr>
            <w:tcW w:w="1526" w:type="dxa"/>
            <w:vAlign w:val="center"/>
            <w:textDirection w:val="lrTb"/>
            <w:noWrap w:val="false"/>
          </w:tcPr>
          <w:p>
            <w:pPr>
              <w:ind w:left="107"/>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厚度</w:t>
            </w:r>
            <w:r/>
          </w:p>
        </w:tc>
        <w:tc>
          <w:tcPr>
            <w:tcW w:w="4155"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田径场地</w:t>
            </w:r>
            <w:r/>
          </w:p>
        </w:tc>
        <w:tc>
          <w:tcPr>
            <w:tcW w:w="2842"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≥13mm</w:t>
            </w:r>
            <w:r/>
          </w:p>
        </w:tc>
      </w:tr>
      <w:tr>
        <w:trPr>
          <w:jc w:val="center"/>
          <w:trHeight w:val="568"/>
        </w:trPr>
        <w:tc>
          <w:tcPr>
            <w:tcW w:w="1526" w:type="dxa"/>
            <w:vAlign w:val="center"/>
            <w:vMerge w:val="restart"/>
            <w:textDirection w:val="lrTb"/>
            <w:noWrap w:val="false"/>
          </w:tcPr>
          <w:p>
            <w:pPr>
              <w:ind w:right="94"/>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现浇型物理机械性能</w:t>
            </w:r>
            <w:r/>
          </w:p>
        </w:tc>
        <w:tc>
          <w:tcPr>
            <w:tcW w:w="4155"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冲击吸收/（%）：田径场地</w:t>
            </w:r>
            <w:r/>
          </w:p>
        </w:tc>
        <w:tc>
          <w:tcPr>
            <w:tcW w:w="2842"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35～50</w:t>
            </w:r>
            <w:r/>
          </w:p>
        </w:tc>
      </w:tr>
      <w:tr>
        <w:trPr>
          <w:jc w:val="center"/>
          <w:trHeight w:val="566"/>
        </w:trPr>
        <w:tc>
          <w:tcPr>
            <w:tcBorders>
              <w:top w:val="none" w:color="000000" w:sz="4" w:space="0"/>
            </w:tcBorders>
            <w:tcW w:w="1526"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155"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抗滑值/（BPN，20℃）：田径场地</w:t>
            </w:r>
            <w:r/>
          </w:p>
        </w:tc>
        <w:tc>
          <w:tcPr>
            <w:tcW w:w="2842"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≥47（湿测）</w:t>
            </w:r>
            <w:r/>
          </w:p>
        </w:tc>
      </w:tr>
      <w:tr>
        <w:trPr>
          <w:jc w:val="center"/>
          <w:trHeight w:val="568"/>
        </w:trPr>
        <w:tc>
          <w:tcPr>
            <w:tcBorders>
              <w:top w:val="none" w:color="000000" w:sz="4" w:space="0"/>
            </w:tcBorders>
            <w:tcW w:w="1526"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155"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拉伸强度/（MPa）：非渗水型</w:t>
            </w:r>
            <w:r/>
          </w:p>
        </w:tc>
        <w:tc>
          <w:tcPr>
            <w:tcW w:w="2842"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w:t>
            </w:r>
            <w:r>
              <w:rPr>
                <w:rFonts w:hint="eastAsia" w:ascii="宋体" w:hAnsi="宋体" w:cs="宋体"/>
                <w:color w:val="auto"/>
                <w:highlight w:val="none"/>
              </w:rPr>
              <w:t xml:space="preserve">5</w:t>
            </w:r>
            <w:r/>
          </w:p>
        </w:tc>
      </w:tr>
      <w:tr>
        <w:trPr>
          <w:jc w:val="center"/>
          <w:trHeight w:val="566"/>
        </w:trPr>
        <w:tc>
          <w:tcPr>
            <w:tcBorders>
              <w:top w:val="none" w:color="000000" w:sz="4" w:space="0"/>
            </w:tcBorders>
            <w:tcW w:w="1526"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155"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垂直变形/(mm)</w:t>
            </w:r>
            <w:r/>
          </w:p>
        </w:tc>
        <w:tc>
          <w:tcPr>
            <w:tcW w:w="2842"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0.6～3.0</w:t>
            </w:r>
            <w:r/>
          </w:p>
        </w:tc>
      </w:tr>
      <w:tr>
        <w:trPr>
          <w:jc w:val="center"/>
          <w:trHeight w:val="568"/>
        </w:trPr>
        <w:tc>
          <w:tcPr>
            <w:tcBorders>
              <w:top w:val="none" w:color="000000" w:sz="4" w:space="0"/>
            </w:tcBorders>
            <w:tcW w:w="1526"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155"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拉断伸长率/（%）</w:t>
            </w:r>
            <w:r/>
          </w:p>
        </w:tc>
        <w:tc>
          <w:tcPr>
            <w:tcW w:w="2842"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≥40</w:t>
            </w:r>
            <w:r/>
          </w:p>
        </w:tc>
      </w:tr>
      <w:tr>
        <w:trPr>
          <w:jc w:val="center"/>
          <w:trHeight w:val="566"/>
        </w:trPr>
        <w:tc>
          <w:tcPr>
            <w:tcBorders>
              <w:top w:val="none" w:color="000000" w:sz="4" w:space="0"/>
            </w:tcBorders>
            <w:tcW w:w="1526"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155"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阻燃性能/（级）</w:t>
            </w:r>
            <w:r/>
          </w:p>
        </w:tc>
        <w:tc>
          <w:tcPr>
            <w:tcW w:w="2842"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Ⅰ</w:t>
            </w:r>
            <w:r/>
          </w:p>
        </w:tc>
      </w:tr>
    </w:tbl>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★2.2塑胶跑道（非渗水型）面层符合 GB36246-2018《中小学合成材料面层运动场地》成品中有害物质限量要求</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投标人须在投标文件提供符合要求的检测报告，未提供将作为无效投标</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tbl>
      <w:tblPr>
        <w:tblStyle w:val="1096"/>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56"/>
        <w:gridCol w:w="6434"/>
        <w:gridCol w:w="1268"/>
      </w:tblGrid>
      <w:tr>
        <w:trPr>
          <w:jc w:val="center"/>
          <w:trHeight w:val="565"/>
        </w:trPr>
        <w:tc>
          <w:tcPr>
            <w:gridSpan w:val="2"/>
            <w:tcW w:w="7490" w:type="dxa"/>
            <w:textDirection w:val="lrTb"/>
            <w:noWrap w:val="false"/>
          </w:tcPr>
          <w:p>
            <w:pPr>
              <w:ind w:left="0" w:right="0"/>
              <w:jc w:val="center"/>
              <w:keepLines w:val="0"/>
              <w:keepNext w:val="0"/>
              <w:pageBreakBefore w:val="0"/>
              <w:spacing w:beforeAutospacing="0" w:afterAutospacing="0" w:line="360" w:lineRule="auto"/>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检测项目</w:t>
            </w:r>
            <w:r/>
          </w:p>
        </w:tc>
        <w:tc>
          <w:tcPr>
            <w:tcW w:w="1268" w:type="dxa"/>
            <w:textDirection w:val="lrTb"/>
            <w:noWrap w:val="false"/>
          </w:tcPr>
          <w:p>
            <w:pPr>
              <w:ind w:left="0"/>
              <w:jc w:val="center"/>
              <w:keepLines w:val="0"/>
              <w:keepNext w:val="0"/>
              <w:pageBreakBefore w:val="0"/>
              <w:spacing w:beforeAutospacing="0" w:afterAutospacing="0" w:line="360" w:lineRule="auto"/>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技术要求</w:t>
            </w:r>
            <w:r/>
          </w:p>
        </w:tc>
      </w:tr>
      <w:tr>
        <w:trPr>
          <w:jc w:val="center"/>
          <w:trHeight w:val="568"/>
        </w:trPr>
        <w:tc>
          <w:tcPr>
            <w:tcW w:w="1056" w:type="dxa"/>
            <w:vMerge w:val="restart"/>
            <w:textDirection w:val="lrTb"/>
            <w:noWrap w:val="false"/>
          </w:tcPr>
          <w:p>
            <w:pPr>
              <w:ind w:righ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有害物质含量</w:t>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3 种邻苯二甲酸酯类化合物（DBP、BBP、DEHP）总和 </w:t>
            </w:r>
            <w:r>
              <w:rPr>
                <w:rFonts w:hint="eastAsia" w:ascii="宋体" w:hAnsi="宋体" w:cs="宋体"/>
                <w:color w:val="auto"/>
                <w:position w:val="11"/>
                <w:sz w:val="11"/>
                <w:highlight w:val="none"/>
                <w:lang w:eastAsia="en-US"/>
              </w:rPr>
              <w:t xml:space="preserve">a</w:t>
            </w:r>
            <w:r>
              <w:rPr>
                <w:rFonts w:hint="eastAsia" w:ascii="宋体" w:hAnsi="宋体" w:cs="宋体"/>
                <w:color w:val="auto"/>
                <w:highlight w:val="none"/>
                <w:lang w:eastAsia="en-US"/>
              </w:rPr>
              <w:t xml:space="preserve">/（g/kg）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65"/>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3 种邻苯二甲酸酯类化合物（DNOP、DINP、DIDP）总和 </w:t>
            </w:r>
            <w:r>
              <w:rPr>
                <w:rFonts w:hint="eastAsia" w:ascii="宋体" w:hAnsi="宋体" w:cs="宋体"/>
                <w:color w:val="auto"/>
                <w:position w:val="11"/>
                <w:sz w:val="11"/>
                <w:highlight w:val="none"/>
                <w:lang w:eastAsia="en-US"/>
              </w:rPr>
              <w:t xml:space="preserve">a</w:t>
            </w:r>
            <w:r>
              <w:rPr>
                <w:rFonts w:hint="eastAsia" w:ascii="宋体" w:hAnsi="宋体" w:cs="宋体"/>
                <w:color w:val="auto"/>
                <w:highlight w:val="none"/>
                <w:lang w:eastAsia="en-US"/>
              </w:rPr>
              <w:t xml:space="preserve">/（g/kg）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68"/>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18 种多环芳烃总和 /（mg/kg）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w:t>
            </w:r>
            <w:r>
              <w:rPr>
                <w:rFonts w:hint="eastAsia" w:ascii="宋体" w:hAnsi="宋体" w:cs="宋体"/>
                <w:color w:val="auto"/>
                <w:highlight w:val="none"/>
              </w:rPr>
              <w:t xml:space="preserve">20</w:t>
            </w:r>
            <w:r/>
          </w:p>
        </w:tc>
      </w:tr>
      <w:tr>
        <w:trPr>
          <w:jc w:val="center"/>
          <w:trHeight w:val="563"/>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Borders>
              <w:bottom w:val="single" w:color="000000" w:sz="6" w:space="0"/>
            </w:tcBorders>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苯并[a]芘/（mg/kg）</w:t>
            </w:r>
            <w:r/>
          </w:p>
        </w:tc>
        <w:tc>
          <w:tcPr>
            <w:tcBorders>
              <w:bottom w:val="single" w:color="000000" w:sz="6" w:space="0"/>
            </w:tcBorders>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66"/>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Borders>
              <w:top w:val="single" w:color="000000" w:sz="6" w:space="0"/>
            </w:tcBorders>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position w:val="1"/>
                <w:highlight w:val="none"/>
                <w:lang w:eastAsia="en-US"/>
              </w:rPr>
              <w:t xml:space="preserve">短链氯化石腊（C</w:t>
            </w:r>
            <w:r>
              <w:rPr>
                <w:rFonts w:hint="eastAsia" w:ascii="宋体" w:hAnsi="宋体" w:cs="宋体"/>
                <w:color w:val="auto"/>
                <w:sz w:val="11"/>
                <w:highlight w:val="none"/>
                <w:lang w:eastAsia="en-US"/>
              </w:rPr>
              <w:t xml:space="preserve">10</w:t>
            </w:r>
            <w:r>
              <w:rPr>
                <w:rFonts w:hint="eastAsia" w:ascii="宋体" w:hAnsi="宋体" w:cs="宋体"/>
                <w:color w:val="auto"/>
                <w:position w:val="1"/>
                <w:highlight w:val="none"/>
                <w:lang w:eastAsia="en-US"/>
              </w:rPr>
              <w:t xml:space="preserve">-C</w:t>
            </w:r>
            <w:r>
              <w:rPr>
                <w:rFonts w:hint="eastAsia" w:ascii="宋体" w:hAnsi="宋体" w:cs="宋体"/>
                <w:color w:val="auto"/>
                <w:sz w:val="11"/>
                <w:highlight w:val="none"/>
                <w:lang w:eastAsia="en-US"/>
              </w:rPr>
              <w:t xml:space="preserve">13</w:t>
            </w:r>
            <w:r>
              <w:rPr>
                <w:rFonts w:hint="eastAsia" w:ascii="宋体" w:hAnsi="宋体" w:cs="宋体"/>
                <w:color w:val="auto"/>
                <w:position w:val="1"/>
                <w:highlight w:val="none"/>
                <w:lang w:eastAsia="en-US"/>
              </w:rPr>
              <w:t xml:space="preserve">）/（g/kg）</w:t>
            </w:r>
            <w:r/>
          </w:p>
        </w:tc>
        <w:tc>
          <w:tcPr>
            <w:tcBorders>
              <w:top w:val="single" w:color="000000" w:sz="6" w:space="0"/>
            </w:tcBorders>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≤1.5</w:t>
            </w:r>
            <w:r/>
          </w:p>
        </w:tc>
      </w:tr>
      <w:tr>
        <w:trPr>
          <w:jc w:val="center"/>
          <w:trHeight w:val="566"/>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eastAsia="en-US"/>
              </w:rPr>
              <w:t xml:space="preserve">4</w:t>
            </w:r>
            <w:r>
              <w:rPr>
                <w:rFonts w:hint="eastAsia" w:ascii="宋体" w:hAnsi="宋体" w:cs="宋体"/>
                <w:color w:val="auto"/>
                <w:position w:val="11"/>
                <w:sz w:val="11"/>
                <w:highlight w:val="none"/>
                <w:lang w:eastAsia="zh-CN"/>
              </w:rPr>
              <w:t xml:space="preserve">，</w:t>
            </w:r>
            <w:r>
              <w:rPr>
                <w:rFonts w:hint="eastAsia" w:ascii="宋体" w:hAnsi="宋体" w:cs="宋体"/>
                <w:color w:val="auto"/>
                <w:highlight w:val="none"/>
                <w:lang w:eastAsia="en-US"/>
              </w:rPr>
              <w:t xml:space="preserve">-二氨基-3</w:t>
            </w:r>
            <w:r>
              <w:rPr>
                <w:rFonts w:hint="eastAsia" w:ascii="宋体" w:hAnsi="宋体" w:cs="宋体"/>
                <w:color w:val="auto"/>
                <w:highlight w:val="none"/>
                <w:lang w:eastAsia="zh-CN"/>
              </w:rPr>
              <w:t xml:space="preserve">，</w:t>
            </w:r>
            <w:r>
              <w:rPr>
                <w:rFonts w:hint="eastAsia" w:ascii="宋体" w:hAnsi="宋体" w:cs="宋体"/>
                <w:color w:val="auto"/>
                <w:highlight w:val="none"/>
                <w:lang w:eastAsia="en-US"/>
              </w:rPr>
              <w:t xml:space="preserve">3</w:t>
            </w:r>
            <w:r>
              <w:rPr>
                <w:rFonts w:hint="eastAsia" w:ascii="宋体" w:hAnsi="宋体" w:cs="宋体"/>
                <w:color w:val="auto"/>
                <w:position w:val="11"/>
                <w:sz w:val="11"/>
                <w:highlight w:val="none"/>
                <w:lang w:eastAsia="zh-CN"/>
              </w:rPr>
              <w:t xml:space="preserve">，</w:t>
            </w:r>
            <w:r>
              <w:rPr>
                <w:rFonts w:hint="eastAsia" w:ascii="宋体" w:hAnsi="宋体" w:cs="宋体"/>
                <w:color w:val="auto"/>
                <w:highlight w:val="none"/>
                <w:lang w:eastAsia="en-US"/>
              </w:rPr>
              <w:t xml:space="preserve">-二氯二苯甲烷（MOCA）/（g/kg）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65"/>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游离甲苯二异氰酸酯（TDI）和游离六亚甲基二异氰酸酯（HDI）总和</w:t>
            </w:r>
            <w:r/>
          </w:p>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≤0.2</w:t>
            </w:r>
            <w:r/>
          </w:p>
        </w:tc>
      </w:tr>
      <w:tr>
        <w:trPr>
          <w:jc w:val="center"/>
          <w:trHeight w:val="568"/>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游离二苯基甲烷二异氰酸酯（MDI）/（g/kg）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66"/>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可溶性铅/（mg/kg）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≤50</w:t>
            </w:r>
            <w:r/>
          </w:p>
        </w:tc>
      </w:tr>
      <w:tr>
        <w:trPr>
          <w:jc w:val="center"/>
          <w:trHeight w:val="568"/>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可溶性镉/（mg/kg）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66"/>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可溶性铬/（mg/kg）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68"/>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可溶性汞/（mg/kg）</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≤2</w:t>
            </w:r>
            <w:r/>
          </w:p>
        </w:tc>
      </w:tr>
      <w:tr>
        <w:trPr>
          <w:jc w:val="center"/>
          <w:trHeight w:val="568"/>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highlight w:val="none"/>
                <w:lang w:eastAsia="en-US"/>
              </w:rPr>
            </w:pPr>
            <w:r>
              <w:rPr>
                <w:rFonts w:hint="eastAsia" w:ascii="宋体" w:hAnsi="宋体" w:cs="宋体"/>
                <w:color w:val="auto"/>
                <w:highlight w:val="none"/>
              </w:rPr>
              <w:t xml:space="preserve">气味等级b/级</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highlight w:val="none"/>
                <w:lang w:eastAsia="en-US"/>
              </w:rPr>
            </w:pPr>
            <w:r>
              <w:rPr>
                <w:rFonts w:hint="eastAsia" w:ascii="宋体" w:hAnsi="宋体" w:cs="宋体"/>
                <w:color w:val="auto"/>
                <w:highlight w:val="none"/>
              </w:rPr>
              <w:t xml:space="preserve">≤</w:t>
            </w:r>
            <w:r>
              <w:rPr>
                <w:rFonts w:hint="eastAsia" w:ascii="宋体" w:hAnsi="宋体" w:cs="宋体"/>
                <w:color w:val="auto"/>
                <w:highlight w:val="none"/>
                <w:lang w:eastAsia="en-US"/>
              </w:rPr>
              <w:t xml:space="preserve">3</w:t>
            </w:r>
            <w:r/>
          </w:p>
        </w:tc>
      </w:tr>
      <w:tr>
        <w:trPr>
          <w:jc w:val="center"/>
          <w:trHeight w:val="565"/>
        </w:trPr>
        <w:tc>
          <w:tcPr>
            <w:tcW w:w="1056" w:type="dxa"/>
            <w:vMerge w:val="restart"/>
            <w:textDirection w:val="lrTb"/>
            <w:noWrap w:val="false"/>
          </w:tcPr>
          <w:p>
            <w:pPr>
              <w:ind w:righ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有害物质释放量</w:t>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总挥发性有机化合物（TV0C）/（mg/(m</w:t>
            </w:r>
            <w:r>
              <w:rPr>
                <w:rFonts w:hint="eastAsia" w:ascii="宋体" w:hAnsi="宋体" w:cs="宋体"/>
                <w:color w:val="auto"/>
                <w:position w:val="11"/>
                <w:sz w:val="11"/>
                <w:highlight w:val="none"/>
              </w:rPr>
              <w:t xml:space="preserve">2</w:t>
            </w:r>
            <w:r>
              <w:rPr>
                <w:rFonts w:hint="eastAsia" w:ascii="宋体" w:hAnsi="宋体" w:cs="宋体"/>
                <w:color w:val="auto"/>
                <w:highlight w:val="none"/>
              </w:rPr>
              <w:t xml:space="preserve">·h）)</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≤5.0</w:t>
            </w:r>
            <w:r/>
          </w:p>
        </w:tc>
      </w:tr>
      <w:tr>
        <w:trPr>
          <w:jc w:val="center"/>
          <w:trHeight w:val="566"/>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甲醛/（mg/(m</w:t>
            </w:r>
            <w:r>
              <w:rPr>
                <w:rFonts w:hint="eastAsia" w:ascii="宋体" w:hAnsi="宋体" w:cs="宋体"/>
                <w:color w:val="auto"/>
                <w:position w:val="11"/>
                <w:sz w:val="11"/>
                <w:highlight w:val="none"/>
                <w:lang w:eastAsia="en-US"/>
              </w:rPr>
              <w:t xml:space="preserve">2</w:t>
            </w:r>
            <w:r>
              <w:rPr>
                <w:rFonts w:hint="eastAsia" w:ascii="宋体" w:hAnsi="宋体" w:cs="宋体"/>
                <w:color w:val="auto"/>
                <w:highlight w:val="none"/>
                <w:lang w:eastAsia="en-US"/>
              </w:rPr>
              <w:t xml:space="preserve">·h）)</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≤0.4</w:t>
            </w:r>
            <w:r/>
          </w:p>
        </w:tc>
      </w:tr>
      <w:tr>
        <w:trPr>
          <w:jc w:val="center"/>
          <w:trHeight w:val="568"/>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苯/（mg/(m</w:t>
            </w:r>
            <w:r>
              <w:rPr>
                <w:rFonts w:hint="eastAsia" w:ascii="宋体" w:hAnsi="宋体" w:cs="宋体"/>
                <w:color w:val="auto"/>
                <w:position w:val="11"/>
                <w:sz w:val="11"/>
                <w:highlight w:val="none"/>
                <w:lang w:eastAsia="en-US"/>
              </w:rPr>
              <w:t xml:space="preserve">2</w:t>
            </w:r>
            <w:r>
              <w:rPr>
                <w:rFonts w:hint="eastAsia" w:ascii="宋体" w:hAnsi="宋体" w:cs="宋体"/>
                <w:color w:val="auto"/>
                <w:highlight w:val="none"/>
                <w:lang w:eastAsia="en-US"/>
              </w:rPr>
              <w:t xml:space="preserve">·h）)</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w:t>
            </w:r>
            <w:r>
              <w:rPr>
                <w:rFonts w:hint="eastAsia" w:ascii="宋体" w:hAnsi="宋体" w:cs="宋体"/>
                <w:color w:val="auto"/>
                <w:highlight w:val="none"/>
              </w:rPr>
              <w:t xml:space="preserve">0.1</w:t>
            </w:r>
            <w:r/>
          </w:p>
        </w:tc>
      </w:tr>
      <w:tr>
        <w:trPr>
          <w:jc w:val="center"/>
          <w:trHeight w:val="568"/>
        </w:trPr>
        <w:tc>
          <w:tcPr>
            <w:tcW w:w="1056"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6434"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甲苯、二甲苯和乙苯总和（mg/(m</w:t>
            </w:r>
            <w:r>
              <w:rPr>
                <w:rFonts w:hint="eastAsia" w:ascii="宋体" w:hAnsi="宋体" w:cs="宋体"/>
                <w:color w:val="auto"/>
                <w:position w:val="11"/>
                <w:sz w:val="11"/>
                <w:highlight w:val="none"/>
              </w:rPr>
              <w:t xml:space="preserve">2</w:t>
            </w:r>
            <w:r>
              <w:rPr>
                <w:rFonts w:hint="eastAsia" w:ascii="宋体" w:hAnsi="宋体" w:cs="宋体"/>
                <w:color w:val="auto"/>
                <w:highlight w:val="none"/>
              </w:rPr>
              <w:t xml:space="preserve">·h）)</w:t>
            </w:r>
            <w:r/>
          </w:p>
        </w:tc>
        <w:tc>
          <w:tcPr>
            <w:tcW w:w="1268"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rPr>
              <w:t xml:space="preserve">≤1.0</w:t>
            </w:r>
            <w:r/>
          </w:p>
        </w:tc>
      </w:tr>
    </w:tbl>
    <w:p>
      <w:pPr>
        <w:ind w:firstLine="422"/>
        <w:keepLines w:val="0"/>
        <w:keepNext w:val="0"/>
        <w:pageBreakBefore w:val="0"/>
        <w:spacing w:beforeAutospacing="0" w:afterAutospacing="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（二）人造草坪面层材料</w:t>
      </w:r>
      <w:r/>
    </w:p>
    <w:p>
      <w:pPr>
        <w:ind w:firstLine="420"/>
        <w:keepLines w:val="0"/>
        <w:keepNext w:val="0"/>
        <w:pageBreakBefore w:val="0"/>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参考品牌：CCG共创、青禾、泰山人造草坪等同档次品牌。</w:t>
      </w:r>
      <w:r/>
    </w:p>
    <w:p>
      <w:pPr>
        <w:ind w:firstLine="420"/>
        <w:keepLines w:val="0"/>
        <w:keepNext w:val="0"/>
        <w:pageBreakBefore w:val="0"/>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材料说明及技术要求： </w:t>
      </w:r>
      <w:r/>
    </w:p>
    <w:p>
      <w:pPr>
        <w:ind w:firstLine="422"/>
        <w:jc w:val="left"/>
        <w:spacing w:before="0" w:beforeAutospacing="0" w:after="0" w:afterAutospacing="0" w:line="360" w:lineRule="auto"/>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★2.1人造草坪化学性能应满足GB36246-2018《中小学合成材料面层运动场地》下表内容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投标人须在投标文件提供符合要求的检测报告，未提供将作为无效投标</w:t>
      </w:r>
      <w:r>
        <w:rPr>
          <w:rFonts w:hint="eastAsia" w:ascii="宋体" w:hAnsi="宋体" w:cs="宋体"/>
          <w:b/>
          <w:bCs/>
          <w:color w:val="auto"/>
          <w:szCs w:val="21"/>
          <w:highlight w:val="none"/>
          <w:lang w:eastAsia="zh-CN"/>
        </w:rPr>
        <w:t xml:space="preserve">）：</w:t>
      </w:r>
      <w:r/>
    </w:p>
    <w:tbl>
      <w:tblPr>
        <w:tblStyle w:val="1096"/>
        <w:tblW w:w="7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1"/>
        <w:gridCol w:w="2085"/>
        <w:gridCol w:w="2083"/>
        <w:gridCol w:w="1965"/>
      </w:tblGrid>
      <w:tr>
        <w:trPr>
          <w:jc w:val="center"/>
        </w:trPr>
        <w:tc>
          <w:tcPr>
            <w:gridSpan w:val="2"/>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检验检测项目</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有害物质含量</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3种邻苯二甲酸酯类化合物（DBP、BBP、DEHP）总和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g/kg</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3种邻苯二甲酸酯类化合物（DNOP、DINP、DIDP）总和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18种多环芳烃总和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mg/kg</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苯并[a]芘</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可溶性铅</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可溶性铬</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可溶性镉</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可溶性汞</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有害物质释放量</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总挥发性有机化合物（TVOC）</w:t>
            </w:r>
            <w:r/>
          </w:p>
        </w:tc>
        <w:tc>
          <w:tcPr>
            <w:tcBorders>
              <w:top w:val="single" w:color="000000" w:sz="4" w:space="0"/>
              <w:left w:val="single" w:color="000000" w:sz="4" w:space="0"/>
              <w:bottom w:val="single" w:color="000000" w:sz="4" w:space="0"/>
              <w:right w:val="single" w:color="000000" w:sz="4" w:space="0"/>
            </w:tcBorders>
            <w:tcW w:w="2083"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mg/（㎡▪h）</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甲醛</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≤0.4</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苯</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≤0.1</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甲苯、二甲苯和乙苯总和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bl>
    <w:p>
      <w:pPr>
        <w:ind w:firstLine="422"/>
        <w:jc w:val="left"/>
        <w:spacing w:before="100" w:beforeAutospacing="0" w:after="100" w:afterAutospacing="0"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★2.2人造草坪物理性能应满足GB36246-2018《中小学合成材料面层运动场地》下表内容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投标人须在投标文件提供符合要求的检测报告，未提供将作为无效投标</w:t>
      </w:r>
      <w:r>
        <w:rPr>
          <w:rFonts w:hint="eastAsia" w:ascii="宋体" w:hAnsi="宋体" w:cs="宋体"/>
          <w:b/>
          <w:bCs/>
          <w:color w:val="auto"/>
          <w:szCs w:val="21"/>
          <w:highlight w:val="none"/>
          <w:lang w:eastAsia="zh-CN"/>
        </w:rPr>
        <w:t xml:space="preserve">）：</w:t>
      </w:r>
      <w:r/>
    </w:p>
    <w:tbl>
      <w:tblPr>
        <w:tblStyle w:val="1096"/>
        <w:tblW w:w="7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3"/>
        <w:gridCol w:w="2089"/>
        <w:gridCol w:w="2089"/>
        <w:gridCol w:w="1938"/>
      </w:tblGrid>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检验检测项目</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冲击吸收，%</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38"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45-70</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38"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38"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垂直变形</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mm</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4～11</w:t>
            </w:r>
            <w:r/>
          </w:p>
        </w:tc>
      </w:tr>
      <w:tr>
        <w:trPr>
          <w:jc w:val="center"/>
        </w:trPr>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草丝拉断力</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单丝</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N</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单簇草丝拔出力</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N</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r>
    </w:tbl>
    <w:p>
      <w:pPr>
        <w:ind w:firstLine="420"/>
        <w:jc w:val="left"/>
        <w:keepLines w:val="0"/>
        <w:keepNext w:val="0"/>
        <w:pageBreakBefore w:val="0"/>
        <w:spacing w:beforeAutospacing="0" w:afterAutospacing="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2.3草</w:t>
      </w:r>
      <w:r>
        <w:rPr>
          <w:rFonts w:hint="eastAsia" w:ascii="宋体" w:hAnsi="宋体" w:cs="宋体"/>
          <w:color w:val="auto"/>
          <w:szCs w:val="21"/>
          <w:highlight w:val="none"/>
          <w:shd w:val="clear" w:color="auto" w:fill="ffffff"/>
        </w:rPr>
        <w:t xml:space="preserve">坪技术参数</w:t>
      </w:r>
      <w:r/>
    </w:p>
    <w:tbl>
      <w:tblPr>
        <w:tblStyle w:val="1096"/>
        <w:tblW w:w="8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2666"/>
        <w:gridCol w:w="5639"/>
      </w:tblGrid>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草丝形状及编织工艺</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挤出工艺耐磨PE单丝簇绒编织（不包纱）</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草丝颜色</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双色</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草丝来源</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国产（非进口）</w:t>
            </w:r>
            <w:r/>
          </w:p>
        </w:tc>
      </w:tr>
      <w:tr>
        <w:trPr>
          <w:jc w:val="center"/>
          <w:trHeight w:val="509"/>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底布走针方式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簇绒法一形走针</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草高（不含底布高度）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50±1mm。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磅重</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10000dtex(10根/簇)</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行距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5/8英寸</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织距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16.7针/10cm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密度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不低于10500针/㎡</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草丝厚度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直单丝255um±10um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草丝宽度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直单丝1.55mm±0.1mm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底布材质</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双层</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背胶</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丁苯乳胶（必须是机器通过高温渗透）</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卷宽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4米（卷长：按场地实际需要）</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666"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环保要求</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持久性有机物合格、符合GB36246-2018</w:t>
            </w:r>
            <w:r/>
          </w:p>
        </w:tc>
      </w:tr>
    </w:tbl>
    <w:p>
      <w:pPr>
        <w:ind w:firstLine="422"/>
        <w:jc w:val="left"/>
        <w:keepLines w:val="0"/>
        <w:keepNext w:val="0"/>
        <w:pageBreakBefore w:val="0"/>
        <w:spacing w:beforeAutospacing="0" w:afterAutospacing="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上述品牌为参考产品品牌，是采购人根据项目所要实现的功能列出的品牌或型号，并不是限制条件。材料说明及技术要求详见施工图纸，投标人可以采用不低于参考的产品档次参与竞争，但是所有技术和功能不得低于采购要求，并保证整体功能的实现。</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四、报价要求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本项目施工现场、交通运输情况及自然地理条件由供应商自行现场勘察，应充分考虑本工程场地现状的特点，可能对工程施工造成的影响并由此增加的费用等，一并包含在投标报价中。投标人应按工程量清单及相关采购需求报价，投标报价应包括采购文件所确定的招标范围内所有设备、材料运抵采购人所在项目工地现场，施工、安装、调试、通过验收直至交付使用的价格。其包括但不限于投标人自制的或外购的全部设备及材料的价格、包装费、运杂费(运抵采购人工地现场)</w:t>
      </w:r>
      <w:r>
        <w:rPr>
          <w:rFonts w:hint="eastAsia" w:ascii="宋体" w:hAnsi="宋体" w:cs="宋体"/>
          <w:color w:val="auto"/>
          <w:szCs w:val="21"/>
          <w:highlight w:val="none"/>
        </w:rPr>
        <w:t xml:space="preserve">、运输保险费、随机提供的备品备件费及专用工具费、配套及辅助材料设备费、对图纸的深化设计（如需要）及为完成本工程图纸及为深化图纸而产生的必要相关工程的费用、上货费、卸货费、进退场费、施工费、安装调试费（含设备拆分及组装费用、所需水电等费用）、检测检验费、所需的各种检测验收费用、劳务费、资料费、培训费、质保期内维修保养费用、保证正常使用期间所需的检修、检测费用（含向相关质量监督部门交纳的费用）、保险、利润、税金及合同包含的风险、责任等各项应有费用以及投标人认为需要的其它费用等，直至交付采购人使用所含的一切费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投标人应到施工现场认真勘查以充分了解其施工环境，工地位置及任何其他足以影响承包价及工期的情况，采购人对于现有的施工环境及条件将不增加任何投入，请投标人自行考虑并计入投标报价中，结算时不作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（三）投标人应结合招标文件、设计施工图纸和现场勘察情况，并应当综合考虑施工规范、地方规章等的要求，将所产生的费用计入报价中。</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（四）投标报价必须按照采购文件附件中工程量清单报价表进行报价。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（五）招标文件未列明，而投标人认为必需的费用也需列入报价。</w:t>
      </w:r>
      <w:r/>
    </w:p>
    <w:p>
      <w:pPr>
        <w:ind w:firstLine="422"/>
        <w:jc w:val="left"/>
        <w:spacing w:line="360" w:lineRule="auto"/>
        <w:rPr>
          <w:rFonts w:ascii="宋体" w:hAnsi="宋体" w:cs="宋体"/>
          <w:b/>
          <w:bCs/>
          <w:color w:val="auto"/>
          <w:szCs w:val="21"/>
          <w:highlight w:val="none"/>
        </w:rPr>
      </w:pPr>
      <w:r/>
      <w:bookmarkStart w:id="126" w:name="_Toc382570124"/>
      <w:r/>
      <w:bookmarkStart w:id="127" w:name="_Toc502221131"/>
      <w:r/>
      <w:bookmarkStart w:id="128" w:name="_Toc381109660"/>
      <w:r/>
      <w:bookmarkStart w:id="129" w:name="_Toc367804256"/>
      <w:r/>
      <w:bookmarkStart w:id="130" w:name="_Toc466978326"/>
      <w:r/>
      <w:bookmarkStart w:id="131" w:name="_Toc382236263"/>
      <w:r>
        <w:rPr>
          <w:rFonts w:hint="eastAsia" w:ascii="宋体" w:hAnsi="宋体" w:cs="宋体"/>
          <w:b/>
          <w:bCs/>
          <w:color w:val="auto"/>
          <w:szCs w:val="21"/>
          <w:highlight w:val="none"/>
        </w:rPr>
        <w:t xml:space="preserve">五、安全要求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（一）认真贯彻执行《建筑法》《安全生产法》《建设工程安全生产管理条例》等安全生产法律法规，坚持“安全第一、预防为主”的方针，建立健全企业和项目部安全生产管理体系，并使之正常有效运转。</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（二）对建设单位支付的安全文明措施费用将足额用于施工安全防护用具及设施的采购和更新、安全施工措施的落实、安全生产条件的改善，决不挪作他用。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（三）坚持安全消防检查制度，发现隐患及时清除，防止工伤、火灾事故。</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六、质量要求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（一）所有设备材料均须附产品使用说明书、合格证、质保书、试验（调试）报告等必要材料，经双方检验，采购人认可，并经监理工程师书面确认后，方可用于施工。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（二）工程施工工艺严格按照国家有关标准执行，确保产品质量。并且完全符合合同规定的质量、规格和性能要求。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（三）品质说明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1.必须保证所有设备、材料及配件是合格品，且完全与投标文件所述的产地、品牌、质量、和性能相符，相关施工工艺需满足国家及行业的相关质量标准。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2.供应商所提供的设备、材料，如是国内企业或国内合资企业生产制造的，在交货时应提供出厂前的测试报告和产品合格证。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3.发生紧急抢修事故的，供应商在接到事故通知后，应当立即到达事故现场抢修。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 施工、安装要求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 设备、器材安装必须严格按照有关规范要求进行，在保证其技术性能指标符合有关规范要求。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 安装施工开始前，应将安装方案报监理、采购人，经批准后，方可施工。如未经与相关施工单位协商，擅自安装，不仅需按采购人裁定的方案进行返工，且损失自负。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 安装前对预埋件进行检查，合格后方可派员进行线路敷设及安装。安装、调试人员必须是经过专门培训、考核，并取得合格证书和上岗证，经验丰富的人员。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 安装进度必须保证工程总体进度要求，接受监理单位（采购人选定）对系统工程的管理管理与监督，每周向采购人和监理单位汇报工程的进展情况。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 在施工过程中如发现设计、设备、材料、施工等质量问题，应及时通知监理工程师（重大问题应同时向采购人报告）。其处理方法必须经监理工程师和采购人认可。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4.6符合采购人的项目需求及国家、地方相关质量验收标准。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5.质保及验收</w:t>
      </w:r>
      <w:bookmarkEnd w:id="126"/>
      <w:r/>
      <w:bookmarkEnd w:id="127"/>
      <w:r/>
      <w:bookmarkEnd w:id="128"/>
      <w:r/>
      <w:bookmarkEnd w:id="129"/>
      <w:r/>
      <w:bookmarkEnd w:id="130"/>
      <w:r/>
      <w:bookmarkEnd w:id="131"/>
      <w:r>
        <w:rPr>
          <w:rFonts w:hint="eastAsia" w:ascii="宋体" w:hAnsi="宋体" w:cs="宋体"/>
          <w:color w:val="auto"/>
          <w:szCs w:val="21"/>
          <w:highlight w:val="none"/>
        </w:rPr>
        <w:t xml:space="preserve">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5.1中标人应在合同约定的完工时间通过验收并办理相关手续，并向采购人交齐所有合格的竣工资料，如因中标人原因影响竣工验收或导致不能通过验收，则应赔偿采购人损失。</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5.2工程质量保修期：自工程竣工验收合格日期之日起工程质量保修期不少于2年。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6.质量保修责任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 属于保修范围和内容的项目，中标人应在接到采购人或物业通知后24小时内派维修人员到达现场进行处理。如未按时派人维修，采购人可委托其他人员修理，保修费用从质量保修金内扣除。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发生须紧急抢修事故，中标人接到事故通知后，应立即到达事故现场抢修。非中标人施工质量引起的事故，抢修费用由采购人承担。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6.3 在国家规定的工程合理使用期限内，因中标人原因致使工程在合理使用期限内造成人身和财产损害的，应承担损害赔偿责任。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 参考标准及验收规范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本项目要求必须通过中国田径协会二类田径场地及以上标准验收，并按国家相关工程质量要求，执行相关施工和验收规范、技术标准，主要包括：</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7.1 《合成材料跑道面层》GB/T14833-2020。</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 《中小学合成材料面层运动场地》GB36246-2018。</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 《体育场地使用要求及检验方法 第6部分：田径场地》GB/T22517.6-2020的相关规定。</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4</w:t>
      </w:r>
      <w:r>
        <w:rPr>
          <w:rFonts w:hint="eastAsia" w:ascii="宋体" w:hAnsi="宋体" w:cs="宋体"/>
          <w:b/>
          <w:bCs/>
          <w:color w:val="auto"/>
          <w:szCs w:val="21"/>
          <w:highlight w:val="none"/>
        </w:rPr>
        <w:t xml:space="preserve"> 其它国家工程建设相关法规、标准、图集，包括但不限于：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《建设工程质量管理条例》2017版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《建设工程安全生产管理条例》2004版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《建筑工程施工质量验收统一标准》（GB50300-2013）</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《中华人民共和国建材行业标准》（JC/T746-2007）</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《建筑施工安全检查标准》JGJ59-89</w:t>
      </w:r>
      <w:r/>
    </w:p>
    <w:p>
      <w:pPr>
        <w:ind w:firstLine="422"/>
        <w:jc w:val="left"/>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投标人</w:t>
      </w:r>
      <w:r>
        <w:rPr>
          <w:rFonts w:hint="eastAsia" w:ascii="宋体" w:hAnsi="宋体" w:cs="宋体"/>
          <w:b/>
          <w:bCs/>
          <w:color w:val="auto"/>
          <w:szCs w:val="21"/>
          <w:highlight w:val="none"/>
          <w:lang w:val="en-US" w:eastAsia="zh-CN"/>
        </w:rPr>
        <w:t xml:space="preserve">承诺：</w:t>
      </w:r>
      <w:r>
        <w:rPr>
          <w:rFonts w:hint="eastAsia" w:ascii="宋体" w:hAnsi="宋体" w:cs="宋体"/>
          <w:b/>
          <w:bCs/>
          <w:color w:val="auto"/>
          <w:szCs w:val="21"/>
          <w:highlight w:val="none"/>
        </w:rPr>
        <w:t xml:space="preserve">投标的混合型聚氨酯塑胶跑道产品，须提供符合GB36246-2018标准的CMA或CNAS检测合格的报告。如无法满足，学校不组织项目竣工验收，有权不支付剩余工程款，并要求施工方赔偿。（投标人须在投标文件中提供该项要求的承诺书，未提供按照无效投标处理。）</w:t>
      </w:r>
      <w:r/>
    </w:p>
    <w:p>
      <w:pPr>
        <w:ind w:firstLine="422"/>
        <w:jc w:val="left"/>
        <w:spacing w:line="360" w:lineRule="auto"/>
        <w:rPr>
          <w:rFonts w:ascii="宋体" w:hAnsi="宋体" w:cs="宋体"/>
          <w:b/>
          <w:bCs/>
          <w:color w:val="auto"/>
          <w:szCs w:val="21"/>
          <w:highlight w:val="none"/>
          <w:u w:val="none"/>
        </w:rPr>
      </w:pPr>
      <w:r>
        <w:rPr>
          <w:rFonts w:hint="eastAsia" w:ascii="宋体" w:hAnsi="宋体" w:cs="宋体"/>
          <w:b/>
          <w:bCs/>
          <w:color w:val="auto"/>
          <w:szCs w:val="21"/>
          <w:highlight w:val="none"/>
          <w:u w:val="none"/>
        </w:rPr>
        <w:t xml:space="preserve">★8.投标人</w:t>
      </w:r>
      <w:r>
        <w:rPr>
          <w:rFonts w:hint="eastAsia" w:ascii="宋体" w:hAnsi="宋体" w:cs="宋体"/>
          <w:b/>
          <w:bCs/>
          <w:color w:val="auto"/>
          <w:szCs w:val="21"/>
          <w:highlight w:val="none"/>
          <w:u w:val="none"/>
          <w:lang w:val="en-US" w:eastAsia="zh-CN"/>
        </w:rPr>
        <w:t xml:space="preserve">承诺：</w:t>
      </w:r>
      <w:r>
        <w:rPr>
          <w:rFonts w:hint="eastAsia" w:ascii="宋体" w:hAnsi="宋体" w:cs="宋体"/>
          <w:b/>
          <w:bCs/>
          <w:color w:val="auto"/>
          <w:szCs w:val="21"/>
          <w:highlight w:val="none"/>
          <w:u w:val="none"/>
        </w:rPr>
        <w:t xml:space="preserve">施工前均须报送小样及产品质量保证资料、环保资料封样确认，施工完成后采购人按规范及设计要求组织相关检测，供应商应做到无条件配合。（投标人须在投标文件中提供该项要求的承诺书，未提供按照无效投标处理。）</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（一）本项目成交后不得转包、分包，一经查实，采购人有权取消中标人中标资格。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（二）工程量变更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 中标人不得对原有工程设计进行变更，因中标人自身原因导致的工程量变更，中标人无权要求追加合同价款，并承担由此给采购人带来的一切损失。</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 项目施工期间因采购人提出的变更导致工程量增减，中标人提交的量、价申请报告须经采购人现场负责人核准、审查确认，任何后补签证的请求采购人有权拒绝。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（三）中标人成交后需提供详细阐述项目实施方案（包括人员配备、设备工具配置、进度计划、施工方案、安全措施等）。</w:t>
      </w:r>
      <w:r/>
    </w:p>
    <w:p>
      <w:pPr>
        <w:ind w:firstLine="422"/>
        <w:jc w:val="left"/>
        <w:spacing w:line="360" w:lineRule="auto"/>
        <w:rPr>
          <w:rFonts w:ascii="宋体" w:hAnsi="宋体" w:cs="宋体"/>
          <w:b/>
          <w:iCs/>
          <w:color w:val="auto"/>
          <w:szCs w:val="21"/>
          <w:highlight w:val="none"/>
          <w:u w:val="none"/>
        </w:rPr>
      </w:pPr>
      <w:r>
        <w:rPr>
          <w:rFonts w:hint="eastAsia" w:ascii="宋体" w:hAnsi="宋体" w:cs="宋体"/>
          <w:b/>
          <w:iCs/>
          <w:color w:val="auto"/>
          <w:szCs w:val="21"/>
          <w:highlight w:val="none"/>
          <w:u w:val="none"/>
        </w:rPr>
        <w:t xml:space="preserve">★（四）投标人</w:t>
      </w:r>
      <w:r>
        <w:rPr>
          <w:rFonts w:hint="eastAsia" w:ascii="宋体" w:hAnsi="宋体" w:cs="宋体"/>
          <w:b/>
          <w:iCs/>
          <w:color w:val="auto"/>
          <w:szCs w:val="21"/>
          <w:highlight w:val="none"/>
          <w:u w:val="none"/>
          <w:lang w:val="en-US" w:eastAsia="zh-CN"/>
        </w:rPr>
        <w:t xml:space="preserve">承诺：</w:t>
      </w:r>
      <w:r>
        <w:rPr>
          <w:rFonts w:hint="eastAsia" w:ascii="宋体" w:hAnsi="宋体" w:cs="宋体"/>
          <w:b/>
          <w:iCs/>
          <w:color w:val="auto"/>
          <w:szCs w:val="21"/>
          <w:highlight w:val="none"/>
          <w:u w:val="none"/>
        </w:rPr>
        <w:t xml:space="preserve">项目经理每周在现场不少于6天，每天不少于8小时，未经采购人批准不得更换。（投标人须在投标文件中提供该项要求的承诺书，未提供作废标处理。）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中标人必须建立考勤制度，所有民工出工必须有考勤，每周考勤经民工及班组长签字确认，施工期间生活费发放表均要留档备查。因中标人原因发生农民工采取堵门、各级上访等形式恶性讨薪事件，每发生1次处5万元罚款，直接从履约保证金或工程款中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（六）水电费按工程审计后总价千分之三扣除。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（七）因采购人导致工期延误，采购人仅能提供工期顺延，不能提出任何费用索赔。</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（八）本工程采购人不提供食宿，住宿由中标人自行在校外解决。</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、付款方式</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（一）履约保证金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实行履约担保制度，中标人在施工合同签订前，必须向采购人提交成交金额10%作为履约保证金。履约保证金缴纳形式为转帐支票（或汇票、电汇，银行保函），履约保证金递交后，中标人交纳清单控制价编制服务费拿到结清证明后，方可签订施工合同。工程结束经验收合格后10天内退还履约保证金（不计息）。</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（二）付款进度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1.中标人材料及人员进场并满足开工条件后两周内，采购人支付合同总价（扣除暂列金额）的30%作为预付款。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2.工程竣工验收合格后，中标人提供竣工资料交采购人后，采购人付至合同价（扣除暂列金额）的80%，同时无息退还合同履约保证金。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3.工程竣工验收合格，并经审计后1个月内，采购人支付至工程审定价(扣除甲供材、施工用水电费、审计费用等如有）的97%。</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4.缺陷责任期结束后，如本工程无任何质量问题，中标人提交申请，采购人15日内向承包人退还工程审定价的3%质保金。</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5.每次付款时，中标人应分别开具符合税务机关规定的增值税发票给采购人，作为付款前提条件之一。</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九、附件</w:t>
      </w:r>
      <w:r/>
    </w:p>
    <w:p>
      <w:pPr>
        <w:ind w:firstLine="420"/>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1.招标工程量清单</w:t>
      </w:r>
      <w:r/>
    </w:p>
    <w:p>
      <w:pPr>
        <w:ind w:firstLine="420"/>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2.图纸</w:t>
      </w:r>
      <w:r/>
    </w:p>
    <w:p>
      <w:pPr>
        <w:ind w:firstLine="420"/>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3.清单编制说明</w:t>
      </w:r>
      <w:r/>
    </w:p>
    <w:p>
      <w:pPr>
        <w:ind w:firstLine="420"/>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下载地址：通过网盘分享的文件：（采购文件附件）南京审计大学润园运动场改造项目施工.rar</w:t>
      </w:r>
      <w:r/>
    </w:p>
    <w:p>
      <w:pPr>
        <w:ind w:firstLine="420"/>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链接: https://pan.baidu.com/s/12V2rcQ2rLSzVhJvFtNrYdw?pwd=5aq1 提取码: 5aq1  </w:t>
      </w:r>
      <w:r/>
    </w:p>
    <w:p>
      <w:pPr>
        <w:ind w:firstLine="480"/>
        <w:jc w:val="lef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0"/>
        <w:jc w:val="left"/>
        <w:rPr>
          <w:rFonts w:ascii="宋体" w:hAnsi="宋体" w:cs="宋体"/>
          <w:b/>
          <w:bCs/>
          <w:color w:val="auto"/>
          <w:sz w:val="24"/>
          <w:highlight w:val="none"/>
        </w:rPr>
      </w:pPr>
      <w:r>
        <w:rPr>
          <w:rFonts w:hint="eastAsia" w:ascii="宋体" w:hAnsi="宋体" w:cs="宋体"/>
          <w:b/>
          <w:bCs/>
          <w:color w:val="auto"/>
          <w:sz w:val="24"/>
          <w:highlight w:val="none"/>
        </w:rPr>
        <w:t xml:space="preserve">注：本章节加“★”内容为实质性要求，需在《技术要求响应及偏离表》和《商务要求响应及偏离表》中明确响应并按照要求提供相应材料，投标人未对实质性要求明确响应或有负偏离或未提供相应材料的，按无效响应处理。</w:t>
      </w:r>
      <w:bookmarkEnd w:id="121"/>
      <w:r/>
      <w:r/>
    </w:p>
    <w:p>
      <w:pPr>
        <w:ind w:firstLine="480"/>
        <w:jc w:val="left"/>
        <w:rPr>
          <w:rFonts w:ascii="宋体" w:hAnsi="宋体" w:cs="宋体"/>
          <w:color w:val="auto"/>
          <w:sz w:val="24"/>
          <w:highlight w:val="none"/>
        </w:rPr>
      </w:pPr>
      <w:r>
        <w:rPr>
          <w:rFonts w:ascii="宋体" w:hAnsi="宋体" w:cs="宋体"/>
          <w:color w:val="auto"/>
          <w:sz w:val="24"/>
          <w:highlight w:val="none"/>
        </w:rPr>
      </w:r>
      <w:r/>
    </w:p>
    <w:p>
      <w:pPr>
        <w:ind w:firstLine="480"/>
        <w:jc w:val="left"/>
        <w:rPr>
          <w:rFonts w:ascii="宋体" w:hAnsi="宋体" w:cs="宋体"/>
          <w:color w:val="auto"/>
          <w:sz w:val="24"/>
          <w:highlight w:val="none"/>
        </w:rPr>
      </w:pPr>
      <w:r>
        <w:rPr>
          <w:rFonts w:ascii="宋体" w:hAnsi="宋体" w:cs="宋体"/>
          <w:color w:val="auto"/>
          <w:sz w:val="24"/>
          <w:highlight w:val="none"/>
        </w:rPr>
      </w:r>
      <w:bookmarkEnd w:id="122"/>
      <w:r/>
      <w:r/>
    </w:p>
    <w:p>
      <w:pPr>
        <w:rPr>
          <w:rFonts w:ascii="宋体" w:hAnsi="宋体" w:cs="宋体"/>
          <w:color w:val="auto"/>
          <w:highlight w:val="none"/>
        </w:rPr>
      </w:pPr>
      <w:r/>
      <w:bookmarkStart w:id="132" w:name="_Toc176529671"/>
      <w:r>
        <w:rPr>
          <w:rFonts w:hint="eastAsia" w:ascii="宋体" w:hAnsi="宋体" w:cs="宋体"/>
          <w:color w:val="auto"/>
          <w:highlight w:val="none"/>
        </w:rPr>
        <w:br w:type="page" w:clear="all"/>
      </w:r>
      <w:bookmarkStart w:id="721" w:name="_GoBack"/>
      <w:r/>
      <w:bookmarkEnd w:id="721"/>
      <w:r/>
      <w:r/>
    </w:p>
    <w:p>
      <w:pPr>
        <w:pStyle w:val="1086"/>
        <w:numPr>
          <w:ilvl w:val="0"/>
          <w:numId w:val="0"/>
        </w:numPr>
        <w:ind w:left="567"/>
        <w:rPr>
          <w:rFonts w:ascii="宋体" w:hAnsi="宋体" w:cs="宋体"/>
          <w:color w:val="auto"/>
          <w:highlight w:val="none"/>
        </w:rPr>
      </w:pPr>
      <w:r>
        <w:rPr>
          <w:rFonts w:hint="eastAsia" w:ascii="宋体" w:hAnsi="宋体" w:cs="宋体"/>
          <w:color w:val="auto"/>
          <w:highlight w:val="none"/>
        </w:rPr>
        <w:t xml:space="preserve">第五章 合同主要条款及格式</w:t>
      </w:r>
      <w:bookmarkEnd w:id="118"/>
      <w:r/>
      <w:bookmarkEnd w:id="119"/>
      <w:r/>
      <w:bookmarkEnd w:id="132"/>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left"/>
        <w:rPr>
          <w:rFonts w:ascii="宋体" w:hAnsi="宋体" w:cs="宋体"/>
          <w:bCs/>
          <w:color w:val="auto"/>
          <w:sz w:val="32"/>
          <w:szCs w:val="32"/>
          <w:highlight w:val="none"/>
        </w:rPr>
      </w:pPr>
      <w:r/>
      <w:bookmarkStart w:id="133" w:name="_Hlk66377681"/>
      <w:r/>
      <w:bookmarkStart w:id="134" w:name="_Toc12929"/>
      <w:r>
        <w:rPr>
          <w:rFonts w:hint="eastAsia" w:ascii="宋体" w:hAnsi="宋体" w:cs="宋体"/>
          <w:bCs/>
          <w:color w:val="auto"/>
          <w:sz w:val="32"/>
          <w:szCs w:val="32"/>
          <w:highlight w:val="none"/>
        </w:rPr>
        <w:t xml:space="preserve">（GF—2017—0201）</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hint="eastAsia" w:ascii="宋体" w:hAnsi="宋体" w:eastAsia="宋体" w:cs="宋体"/>
          <w:b/>
          <w:color w:val="auto"/>
          <w:sz w:val="72"/>
          <w:szCs w:val="52"/>
          <w:highlight w:val="none"/>
          <w:lang w:eastAsia="zh-CN"/>
        </w:rPr>
      </w:pPr>
      <w:r>
        <w:rPr>
          <w:rFonts w:hint="eastAsia" w:ascii="宋体" w:hAnsi="宋体" w:cs="宋体"/>
          <w:b/>
          <w:color w:val="auto"/>
          <w:sz w:val="72"/>
          <w:szCs w:val="52"/>
          <w:highlight w:val="none"/>
        </w:rPr>
        <w:t xml:space="preserve">建设工程施工合同</w:t>
      </w:r>
      <w:r/>
    </w:p>
    <w:p>
      <w:pPr>
        <w:pStyle w:val="1097"/>
        <w:rPr>
          <w:rFonts w:hint="eastAsia"/>
          <w:color w:val="auto"/>
          <w:highlight w:val="none"/>
          <w:lang w:eastAsia="zh-CN"/>
        </w:rPr>
      </w:pPr>
      <w:r>
        <w:rPr>
          <w:rFonts w:hint="eastAsia"/>
          <w:color w:val="auto"/>
          <w:highlight w:val="none"/>
          <w:lang w:eastAsia="zh-CN"/>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738"/>
        <w:jc w:val="both"/>
        <w:rPr>
          <w:rFonts w:ascii="宋体" w:hAnsi="宋体" w:cs="宋体"/>
          <w:b/>
          <w:color w:val="auto"/>
          <w:sz w:val="32"/>
          <w:szCs w:val="28"/>
          <w:highlight w:val="none"/>
        </w:rPr>
      </w:pPr>
      <w:r>
        <w:rPr>
          <w:rFonts w:hint="eastAsia" w:ascii="宋体" w:hAnsi="宋体" w:cs="宋体"/>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4560570</wp:posOffset>
                </wp:positionH>
                <wp:positionV relativeFrom="paragraph">
                  <wp:posOffset>120015</wp:posOffset>
                </wp:positionV>
                <wp:extent cx="723900" cy="457200"/>
                <wp:effectExtent l="4445" t="4445" r="14604" b="14604"/>
                <wp:wrapNone/>
                <wp:docPr id="1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rFonts w:ascii="Calibri" w:hAnsi="Calibri"/>
                                <w:b/>
                                <w:bCs/>
                                <w:sz w:val="32"/>
                                <w:szCs w:val="22"/>
                              </w:rPr>
                            </w:pPr>
                            <w:r>
                              <w:rPr>
                                <w:rFonts w:hint="eastAsia" w:ascii="Calibri" w:hAnsi="Calibri"/>
                                <w:b/>
                                <w:bCs/>
                                <w:sz w:val="32"/>
                                <w:szCs w:val="22"/>
                              </w:rPr>
                              <w:t xml:space="preserve">制定</w:t>
                            </w:r>
                            <w:r/>
                          </w:p>
                        </w:txbxContent>
                      </wps:txbx>
                      <wps:bodyPr rot="0" vert="horz" wrap="square" lIns="91440" tIns="45720" rIns="91440" bIns="45720" anchor="t" anchorCtr="0" upright="1">
                        <a:noAutofit/>
                      </wps:bodyPr>
                    </wps:wsp>
                  </a:graphicData>
                </a:graphic>
              </wp:anchor>
            </w:drawing>
          </mc:Choice>
          <mc:Fallback>
            <w:pict>
              <v:shape id="shape 10" o:spid="_x0000_s10" o:spt="202" type="#_x0000_t202" style="position:absolute;z-index:251665408;o:allowoverlap:true;o:allowincell:true;mso-position-horizontal-relative:text;margin-left:359.1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rFonts w:ascii="Calibri" w:hAnsi="Calibri"/>
                          <w:b/>
                          <w:bCs/>
                          <w:sz w:val="32"/>
                          <w:szCs w:val="22"/>
                        </w:rPr>
                      </w:pPr>
                      <w:r>
                        <w:rPr>
                          <w:rFonts w:hint="eastAsia" w:ascii="Calibri" w:hAnsi="Calibri"/>
                          <w:b/>
                          <w:bCs/>
                          <w:sz w:val="32"/>
                          <w:szCs w:val="22"/>
                        </w:rPr>
                        <w:t xml:space="preserve">制定</w:t>
                      </w:r>
                      <w:r/>
                    </w:p>
                  </w:txbxContent>
                </v:textbox>
              </v:shape>
            </w:pict>
          </mc:Fallback>
        </mc:AlternateContent>
      </w:r>
      <w:r>
        <w:rPr>
          <w:rFonts w:hint="eastAsia" w:ascii="宋体" w:hAnsi="宋体" w:cs="宋体"/>
          <w:b/>
          <w:color w:val="auto"/>
          <w:sz w:val="32"/>
          <w:szCs w:val="28"/>
          <w:highlight w:val="none"/>
        </w:rPr>
        <w:t xml:space="preserve">住房城乡建设部</w:t>
      </w:r>
      <w:r/>
    </w:p>
    <w:p>
      <w:pPr>
        <w:ind w:right="2719" w:firstLine="2750"/>
        <w:jc w:val="both"/>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rPr>
          <w:rFonts w:ascii="宋体" w:hAnsi="宋体" w:cs="宋体"/>
          <w:color w:val="auto"/>
          <w:sz w:val="30"/>
          <w:szCs w:val="30"/>
          <w:highlight w:val="none"/>
        </w:rPr>
        <w:sectPr>
          <w:footerReference w:type="default" r:id="rId13"/>
          <w:footnotePr/>
          <w:endnotePr/>
          <w:type w:val="nextPage"/>
          <w:pgSz w:w="11906" w:h="16838" w:orient="portrait"/>
          <w:pgMar w:top="1134" w:right="1134" w:bottom="1134" w:left="1134" w:header="851" w:footer="992" w:gutter="0"/>
          <w:pgNumType w:start="0"/>
          <w:cols w:num="1" w:sep="0" w:space="720" w:equalWidth="1"/>
          <w:docGrid w:linePitch="360"/>
          <w:titlePg/>
        </w:sectPr>
      </w:pPr>
      <w:r/>
      <w:bookmarkStart w:id="135" w:name="_Toc296890982"/>
      <w:r/>
      <w:bookmarkStart w:id="136" w:name="_Toc296503025"/>
      <w:r/>
      <w:r/>
    </w:p>
    <w:p>
      <w:pPr>
        <w:jc w:val="center"/>
        <w:keepLines/>
        <w:keepNext/>
        <w:spacing w:before="260" w:after="260" w:line="413" w:lineRule="auto"/>
        <w:rPr>
          <w:rFonts w:ascii="宋体" w:hAnsi="宋体" w:cs="宋体"/>
          <w:bCs/>
          <w:color w:val="auto"/>
          <w:sz w:val="44"/>
          <w:szCs w:val="44"/>
          <w:highlight w:val="none"/>
        </w:rPr>
        <w:outlineLvl w:val="2"/>
      </w:pPr>
      <w:r/>
      <w:bookmarkStart w:id="137" w:name="_Toc351203480"/>
      <w:r>
        <w:rPr>
          <w:rFonts w:hint="eastAsia" w:ascii="宋体" w:hAnsi="宋体" w:cs="宋体"/>
          <w:b/>
          <w:bCs/>
          <w:color w:val="auto"/>
          <w:sz w:val="44"/>
          <w:szCs w:val="44"/>
          <w:highlight w:val="none"/>
        </w:rPr>
        <w:t xml:space="preserve">第一部分 合同协议书</w:t>
      </w:r>
      <w:bookmarkEnd w:id="135"/>
      <w:r/>
      <w:bookmarkEnd w:id="136"/>
      <w:r/>
      <w:bookmarkEnd w:id="137"/>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发包人（全称）：</w:t>
      </w:r>
      <w:r>
        <w:rPr>
          <w:rFonts w:hint="eastAsia" w:ascii="宋体" w:hAnsi="宋体" w:cs="宋体"/>
          <w:b/>
          <w:color w:val="auto"/>
          <w:szCs w:val="21"/>
          <w:highlight w:val="none"/>
          <w:u w:val="single"/>
          <w:lang w:val="zh-CN"/>
        </w:rPr>
        <w:t xml:space="preserve">南京审计大学</w:t>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承包人（全称）：</w:t>
      </w:r>
      <w:r>
        <w:rPr>
          <w:rFonts w:hint="eastAsia" w:ascii="宋体" w:hAnsi="宋体" w:cs="宋体"/>
          <w:b/>
          <w:color w:val="auto"/>
          <w:szCs w:val="21"/>
          <w:highlight w:val="none"/>
          <w:u w:val="single"/>
        </w:rPr>
        <w:t xml:space="preserve">                    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根据《中华人民共和国合同法》、《中华人民共和国建筑法》及有关法律规定，遵循平等、自愿、公平和诚实信用的原则，双方就</w:t>
      </w:r>
      <w:r>
        <w:rPr>
          <w:rFonts w:hint="eastAsia" w:ascii="宋体" w:hAnsi="宋体" w:cs="宋体"/>
          <w:color w:val="auto"/>
          <w:szCs w:val="21"/>
          <w:highlight w:val="none"/>
          <w:u w:val="single"/>
          <w:lang w:val="zh-CN"/>
        </w:rPr>
        <w:t xml:space="preserve">南京审计大学润园运动场改造项目</w:t>
      </w:r>
      <w:r>
        <w:rPr>
          <w:rFonts w:hint="eastAsia" w:ascii="宋体" w:hAnsi="宋体" w:cs="宋体"/>
          <w:color w:val="auto"/>
          <w:szCs w:val="21"/>
          <w:highlight w:val="none"/>
        </w:rPr>
        <w:t xml:space="preserve">工程施工及有关事项协商一致，共同达成如下协议：</w:t>
      </w:r>
      <w:r/>
    </w:p>
    <w:p>
      <w:pPr>
        <w:ind w:firstLine="422"/>
        <w:jc w:val="left"/>
        <w:spacing w:line="360" w:lineRule="auto"/>
        <w:rPr>
          <w:rFonts w:ascii="宋体" w:hAnsi="宋体" w:cs="宋体"/>
          <w:bCs/>
          <w:color w:val="auto"/>
          <w:szCs w:val="21"/>
          <w:highlight w:val="none"/>
        </w:rPr>
      </w:pPr>
      <w:r/>
      <w:bookmarkStart w:id="138" w:name="_Toc351203481"/>
      <w:r>
        <w:rPr>
          <w:rFonts w:hint="eastAsia" w:ascii="宋体" w:hAnsi="宋体" w:cs="宋体"/>
          <w:b/>
          <w:color w:val="auto"/>
          <w:szCs w:val="21"/>
          <w:highlight w:val="none"/>
        </w:rPr>
        <w:t xml:space="preserve">一、工程概况</w:t>
      </w:r>
      <w:bookmarkEnd w:id="138"/>
      <w:r/>
      <w:r/>
    </w:p>
    <w:p>
      <w:pPr>
        <w:ind w:firstLine="420"/>
        <w:jc w:val="left"/>
        <w:spacing w:line="360" w:lineRule="auto"/>
        <w:rPr>
          <w:rFonts w:ascii="宋体" w:hAnsi="宋体" w:cs="宋体"/>
          <w:color w:val="auto"/>
          <w:szCs w:val="21"/>
          <w:highlight w:val="none"/>
          <w:u w:val="single"/>
        </w:rPr>
      </w:pPr>
      <w:r>
        <w:rPr>
          <w:rFonts w:hint="eastAsia" w:ascii="宋体" w:hAnsi="宋体" w:cs="宋体"/>
          <w:bCs/>
          <w:color w:val="auto"/>
          <w:szCs w:val="21"/>
          <w:highlight w:val="none"/>
        </w:rPr>
        <w:t xml:space="preserve">1.工程名称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lang w:val="zh-CN"/>
        </w:rPr>
        <w:t xml:space="preserve">南京审计大学润园运动场改造项目施工</w:t>
      </w:r>
      <w:r>
        <w:rPr>
          <w:rFonts w:hint="eastAsia" w:ascii="宋体" w:hAnsi="宋体" w:cs="宋体"/>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2.工程地点：</w:t>
      </w:r>
      <w:r>
        <w:rPr>
          <w:rFonts w:hint="eastAsia" w:ascii="宋体" w:hAnsi="宋体" w:cs="宋体"/>
          <w:color w:val="auto"/>
          <w:szCs w:val="21"/>
          <w:highlight w:val="none"/>
          <w:u w:val="single"/>
        </w:rPr>
        <w:t xml:space="preserve">南京审计大学浦口校区</w:t>
      </w:r>
      <w:r>
        <w:rPr>
          <w:rFonts w:hint="eastAsia" w:ascii="宋体" w:hAnsi="宋体" w:cs="宋体"/>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3.工程立项批准文号：</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4.资金来源：</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5.工程内容：</w:t>
      </w:r>
      <w:r>
        <w:rPr>
          <w:rFonts w:hint="eastAsia" w:ascii="宋体" w:hAnsi="宋体" w:cs="宋体"/>
          <w:color w:val="auto"/>
          <w:szCs w:val="21"/>
          <w:highlight w:val="none"/>
          <w:u w:val="single"/>
        </w:rPr>
        <w:t xml:space="preserve">南京审计大学浦口校区润园运动场建成投入使用至今已近20年，原有塑胶跑道和足球场区域年久失修，面层脱落损坏，已不能满足日常体育教学和活动需要，本项目计划在原有场地基础上铲除原有塑胶面层、打磨清洗基础垫层、垃圾清运、新铺混合型塑胶跑道、50mm高人造草坪，并对排水沟进行清淤维修。具体内容详见工程量清单和图纸</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6.工程承包范围：</w:t>
      </w:r>
      <w:r>
        <w:rPr>
          <w:rFonts w:hint="eastAsia" w:ascii="宋体" w:hAnsi="宋体" w:cs="宋体"/>
          <w:color w:val="auto"/>
          <w:szCs w:val="21"/>
          <w:highlight w:val="none"/>
          <w:u w:val="single"/>
        </w:rPr>
        <w:t xml:space="preserve">南京审计大学浦口校区润园运动场建成投入使用至今已近20年，原有塑胶跑道和足球场区域年久失修，面层脱落损坏，已不能满足日常体育教学和活动需要，本项目计划在原有场地基础上铲除原有塑胶面层、打磨清洗基础垫层、垃圾清运、新铺混合型塑胶跑道、50mm高人造草坪，并对排水沟进行清淤维修。具体内容详见工程量清单和图纸。</w:t>
      </w:r>
      <w:r/>
    </w:p>
    <w:p>
      <w:pPr>
        <w:ind w:firstLine="422"/>
        <w:jc w:val="left"/>
        <w:spacing w:line="360" w:lineRule="auto"/>
        <w:rPr>
          <w:rFonts w:ascii="宋体" w:hAnsi="宋体" w:cs="宋体"/>
          <w:b/>
          <w:color w:val="auto"/>
          <w:szCs w:val="21"/>
          <w:highlight w:val="none"/>
        </w:rPr>
      </w:pPr>
      <w:r/>
      <w:bookmarkStart w:id="139" w:name="_Toc351203482"/>
      <w:r>
        <w:rPr>
          <w:rFonts w:hint="eastAsia" w:ascii="宋体" w:hAnsi="宋体" w:cs="宋体"/>
          <w:b/>
          <w:color w:val="auto"/>
          <w:szCs w:val="21"/>
          <w:highlight w:val="none"/>
        </w:rPr>
        <w:t xml:space="preserve">二、合同工期</w:t>
      </w:r>
      <w:bookmarkEnd w:id="13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计划竣工日期：</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（中标天数）</w:t>
      </w:r>
      <w:r>
        <w:rPr>
          <w:rFonts w:hint="eastAsia" w:ascii="宋体" w:hAnsi="宋体" w:cs="宋体"/>
          <w:color w:val="auto"/>
          <w:szCs w:val="21"/>
          <w:highlight w:val="none"/>
        </w:rPr>
        <w:t xml:space="preserve">天。工期总日历天数与根据前述计划开竣工日期计算的工期天数不一致的，以工期总日历天数为准。</w:t>
      </w:r>
      <w:r/>
    </w:p>
    <w:p>
      <w:pPr>
        <w:ind w:firstLine="422"/>
        <w:jc w:val="left"/>
        <w:spacing w:line="360" w:lineRule="auto"/>
        <w:rPr>
          <w:rFonts w:ascii="宋体" w:hAnsi="宋体" w:cs="宋体"/>
          <w:bCs/>
          <w:color w:val="auto"/>
          <w:szCs w:val="21"/>
          <w:highlight w:val="none"/>
        </w:rPr>
      </w:pPr>
      <w:r/>
      <w:bookmarkStart w:id="140" w:name="_Toc351203483"/>
      <w:r>
        <w:rPr>
          <w:rFonts w:hint="eastAsia" w:ascii="宋体" w:hAnsi="宋体" w:cs="宋体"/>
          <w:b/>
          <w:color w:val="auto"/>
          <w:szCs w:val="21"/>
          <w:highlight w:val="none"/>
        </w:rPr>
        <w:t xml:space="preserve">三、质量标准</w:t>
      </w:r>
      <w:bookmarkEnd w:id="140"/>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本项目要求必须通过中国田径协会二类田径场地及以上验收，并按国家相关工程质量要求，执行相关施工和验收规范、技术标准，主要包括：</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7.1 《合成材料跑道面层》GB/T14833-2020。</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 《中小学合成材料面层运动场地》GB36246-2018。</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 《体育场地使用要求及检验方法 第6部分：田径场地》GB/T22517.6-2020的相关规定。</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4</w:t>
      </w:r>
      <w:r>
        <w:rPr>
          <w:rFonts w:hint="eastAsia" w:ascii="宋体" w:hAnsi="宋体" w:cs="宋体"/>
          <w:b/>
          <w:bCs/>
          <w:color w:val="auto"/>
          <w:szCs w:val="21"/>
          <w:highlight w:val="none"/>
        </w:rPr>
        <w:t xml:space="preserve"> 其它国家工程建设相关法规、标准、图集，包括但不限于：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《建设工程质量管理条例》2017版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《建设工程安全生产管理条例》2004版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《建筑工程施工质量验收统一标准》（GB50300-2013）</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《中华人民共和国建材行业标准》（JC/T746-2007）</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《建筑施工安全检查标准》JGJ59-89</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投标人投标的混合型聚氨酯塑胶跑道产品，须提供符合GB36246-2018标准的CMA或CNAS检测合格的报告。</w:t>
      </w:r>
      <w:r/>
    </w:p>
    <w:p>
      <w:pPr>
        <w:ind w:firstLine="422"/>
        <w:jc w:val="both"/>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如无法满足，学校不组织项目竣工验收，有权不支付剩余工程款，并要求施工方赔偿。</w:t>
      </w:r>
      <w:r/>
    </w:p>
    <w:p>
      <w:pPr>
        <w:ind w:firstLine="422"/>
        <w:jc w:val="left"/>
        <w:spacing w:line="360" w:lineRule="auto"/>
        <w:rPr>
          <w:rFonts w:ascii="宋体" w:hAnsi="宋体" w:cs="宋体"/>
          <w:bCs/>
          <w:color w:val="auto"/>
          <w:szCs w:val="21"/>
          <w:highlight w:val="none"/>
        </w:rPr>
      </w:pPr>
      <w:r/>
      <w:bookmarkStart w:id="141" w:name="_Toc351203484"/>
      <w:r>
        <w:rPr>
          <w:rFonts w:hint="eastAsia" w:ascii="宋体" w:hAnsi="宋体" w:cs="宋体"/>
          <w:b/>
          <w:color w:val="auto"/>
          <w:szCs w:val="21"/>
          <w:highlight w:val="none"/>
        </w:rPr>
        <w:t xml:space="preserve">四、签约合同价与合同价格形式</w:t>
      </w:r>
      <w:bookmarkEnd w:id="141"/>
      <w:r>
        <w:rPr>
          <w:rFonts w:hint="eastAsia" w:ascii="宋体" w:hAnsi="宋体" w:cs="宋体"/>
          <w:b/>
          <w:color w:val="auto"/>
          <w:szCs w:val="21"/>
          <w:highlight w:val="none"/>
        </w:rPr>
        <w:tab/>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（1）安全文明施工费：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（2）材料和工程设备暂估价金额：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（3）专业工程暂估价金额：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（4）暂列金额：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2.合同价格形式：</w:t>
      </w:r>
      <w:bookmarkStart w:id="142" w:name="OLE_LINK30"/>
      <w:r>
        <w:rPr>
          <w:rFonts w:hint="eastAsia" w:ascii="宋体" w:hAnsi="宋体" w:cs="宋体"/>
          <w:color w:val="auto"/>
          <w:szCs w:val="21"/>
          <w:highlight w:val="none"/>
          <w:u w:val="single"/>
        </w:rPr>
        <w:t xml:space="preserve">固定</w:t>
      </w:r>
      <w:bookmarkEnd w:id="142"/>
      <w:r>
        <w:rPr>
          <w:rFonts w:hint="eastAsia" w:ascii="宋体" w:hAnsi="宋体" w:cs="宋体"/>
          <w:color w:val="auto"/>
          <w:szCs w:val="21"/>
          <w:highlight w:val="none"/>
          <w:u w:val="single"/>
        </w:rPr>
        <w:t xml:space="preserve">综合单价</w:t>
      </w:r>
      <w:r>
        <w:rPr>
          <w:rFonts w:hint="eastAsia" w:ascii="宋体" w:hAnsi="宋体" w:cs="宋体"/>
          <w:color w:val="auto"/>
          <w:szCs w:val="21"/>
          <w:highlight w:val="none"/>
        </w:rPr>
        <w:t xml:space="preserve">。</w:t>
      </w:r>
      <w:r/>
    </w:p>
    <w:p>
      <w:pPr>
        <w:ind w:firstLine="422"/>
        <w:jc w:val="left"/>
        <w:spacing w:line="360" w:lineRule="auto"/>
        <w:rPr>
          <w:rFonts w:ascii="宋体" w:hAnsi="宋体" w:cs="宋体"/>
          <w:b/>
          <w:color w:val="auto"/>
          <w:szCs w:val="21"/>
          <w:highlight w:val="none"/>
        </w:rPr>
      </w:pPr>
      <w:r/>
      <w:bookmarkStart w:id="143" w:name="_Toc351203485"/>
      <w:r>
        <w:rPr>
          <w:rFonts w:hint="eastAsia" w:ascii="宋体" w:hAnsi="宋体" w:cs="宋体"/>
          <w:b/>
          <w:color w:val="auto"/>
          <w:szCs w:val="21"/>
          <w:highlight w:val="none"/>
        </w:rPr>
        <w:t xml:space="preserve">五、</w:t>
      </w:r>
      <w:bookmarkEnd w:id="143"/>
      <w:r>
        <w:rPr>
          <w:rFonts w:hint="eastAsia" w:ascii="宋体" w:hAnsi="宋体" w:cs="宋体"/>
          <w:b/>
          <w:color w:val="auto"/>
          <w:szCs w:val="21"/>
          <w:highlight w:val="none"/>
        </w:rPr>
        <w:t xml:space="preserve">项目经理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2"/>
        <w:jc w:val="left"/>
        <w:spacing w:line="360" w:lineRule="auto"/>
        <w:rPr>
          <w:rFonts w:ascii="宋体" w:hAnsi="宋体" w:cs="宋体"/>
          <w:bCs/>
          <w:color w:val="auto"/>
          <w:szCs w:val="21"/>
          <w:highlight w:val="none"/>
        </w:rPr>
      </w:pPr>
      <w:r/>
      <w:bookmarkStart w:id="144" w:name="_Toc351203486"/>
      <w:r>
        <w:rPr>
          <w:rFonts w:hint="eastAsia" w:ascii="宋体" w:hAnsi="宋体" w:cs="宋体"/>
          <w:b/>
          <w:color w:val="auto"/>
          <w:szCs w:val="21"/>
          <w:highlight w:val="none"/>
        </w:rPr>
        <w:t xml:space="preserve">六、合同文件构成</w:t>
      </w:r>
      <w:bookmarkEnd w:id="144"/>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本协议书与下列文件一起构成合同文件：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（1）中标通知书（如果有）；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（2）投标函及其附录（如果有）；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（3）专用合同条款及其附件；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（4）通用合同条款；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（5）技术标准和要求；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（6）图纸；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（7）已标价工程量清单或预算书；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（8）其他合同文件。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left"/>
        <w:spacing w:line="360" w:lineRule="auto"/>
        <w:rPr>
          <w:rFonts w:ascii="宋体" w:hAnsi="宋体" w:cs="宋体"/>
          <w:b/>
          <w:bCs/>
          <w:color w:val="auto"/>
          <w:szCs w:val="21"/>
          <w:highlight w:val="none"/>
        </w:rPr>
      </w:pPr>
      <w:r/>
      <w:bookmarkStart w:id="145" w:name="_Toc351203487"/>
      <w:r>
        <w:rPr>
          <w:rFonts w:hint="eastAsia" w:ascii="宋体" w:hAnsi="宋体" w:cs="宋体"/>
          <w:b/>
          <w:color w:val="auto"/>
          <w:szCs w:val="21"/>
          <w:highlight w:val="none"/>
        </w:rPr>
        <w:t xml:space="preserve">七、承诺</w:t>
      </w:r>
      <w:bookmarkEnd w:id="145"/>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1.发包人承诺按照法律规定履行项目审批手续、筹集工程建设资金并按照合同约定的期限和方式支付合同价款。</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3.发包人和承包人通过招投标形式签订合同的，双方理解并承诺不再就同一工程另行签订与合同实质性内容相背离的协议。</w:t>
      </w:r>
      <w:r/>
    </w:p>
    <w:p>
      <w:pPr>
        <w:ind w:firstLine="422"/>
        <w:jc w:val="left"/>
        <w:spacing w:line="360" w:lineRule="auto"/>
        <w:rPr>
          <w:rFonts w:ascii="宋体" w:hAnsi="宋体" w:cs="宋体"/>
          <w:bCs/>
          <w:color w:val="auto"/>
          <w:szCs w:val="21"/>
          <w:highlight w:val="none"/>
        </w:rPr>
      </w:pPr>
      <w:r/>
      <w:bookmarkStart w:id="146" w:name="_Toc351203488"/>
      <w:r>
        <w:rPr>
          <w:rFonts w:hint="eastAsia" w:ascii="宋体" w:hAnsi="宋体" w:cs="宋体"/>
          <w:b/>
          <w:color w:val="auto"/>
          <w:szCs w:val="21"/>
          <w:highlight w:val="none"/>
        </w:rPr>
        <w:t xml:space="preserve">八、词语含义</w:t>
      </w:r>
      <w:bookmarkEnd w:id="146"/>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本协议书中词语含义与第二部分通用合同条款中赋予的含义相同。</w:t>
      </w:r>
      <w:r/>
    </w:p>
    <w:p>
      <w:pPr>
        <w:ind w:firstLine="422"/>
        <w:jc w:val="left"/>
        <w:spacing w:line="360" w:lineRule="auto"/>
        <w:rPr>
          <w:rFonts w:ascii="宋体" w:hAnsi="宋体" w:cs="宋体"/>
          <w:bCs/>
          <w:color w:val="auto"/>
          <w:szCs w:val="21"/>
          <w:highlight w:val="none"/>
        </w:rPr>
      </w:pPr>
      <w:r/>
      <w:bookmarkStart w:id="147" w:name="_Toc351203489"/>
      <w:r>
        <w:rPr>
          <w:rFonts w:hint="eastAsia" w:ascii="宋体" w:hAnsi="宋体" w:cs="宋体"/>
          <w:b/>
          <w:color w:val="auto"/>
          <w:szCs w:val="21"/>
          <w:highlight w:val="none"/>
        </w:rPr>
        <w:t xml:space="preserve">九、签订时间</w:t>
      </w:r>
      <w:bookmarkEnd w:id="147"/>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本合同于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日签订。</w:t>
      </w:r>
      <w:r/>
    </w:p>
    <w:p>
      <w:pPr>
        <w:ind w:firstLine="422"/>
        <w:jc w:val="left"/>
        <w:spacing w:line="360" w:lineRule="auto"/>
        <w:rPr>
          <w:rFonts w:ascii="宋体" w:hAnsi="宋体" w:cs="宋体"/>
          <w:bCs/>
          <w:color w:val="auto"/>
          <w:szCs w:val="21"/>
          <w:highlight w:val="none"/>
        </w:rPr>
      </w:pPr>
      <w:r/>
      <w:bookmarkStart w:id="148" w:name="_Toc351203490"/>
      <w:r>
        <w:rPr>
          <w:rFonts w:hint="eastAsia" w:ascii="宋体" w:hAnsi="宋体" w:cs="宋体"/>
          <w:b/>
          <w:color w:val="auto"/>
          <w:szCs w:val="21"/>
          <w:highlight w:val="none"/>
        </w:rPr>
        <w:t xml:space="preserve">十、签订地点</w:t>
      </w:r>
      <w:bookmarkEnd w:id="148"/>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本合同在</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签订。</w:t>
      </w:r>
      <w:r/>
    </w:p>
    <w:p>
      <w:pPr>
        <w:ind w:firstLine="422"/>
        <w:jc w:val="left"/>
        <w:spacing w:line="360" w:lineRule="auto"/>
        <w:rPr>
          <w:rFonts w:ascii="宋体" w:hAnsi="宋体" w:cs="宋体"/>
          <w:bCs/>
          <w:color w:val="auto"/>
          <w:szCs w:val="21"/>
          <w:highlight w:val="none"/>
        </w:rPr>
      </w:pPr>
      <w:r/>
      <w:bookmarkStart w:id="149" w:name="_Toc351203491"/>
      <w:r>
        <w:rPr>
          <w:rFonts w:hint="eastAsia" w:ascii="宋体" w:hAnsi="宋体" w:cs="宋体"/>
          <w:b/>
          <w:color w:val="auto"/>
          <w:szCs w:val="21"/>
          <w:highlight w:val="none"/>
        </w:rPr>
        <w:t xml:space="preserve">十一、补充协议</w:t>
      </w:r>
      <w:bookmarkEnd w:id="149"/>
      <w:r/>
      <w:r/>
    </w:p>
    <w:p>
      <w:pPr>
        <w:ind w:firstLine="420"/>
        <w:jc w:val="left"/>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合同未尽事宜，合同当事人另行签订补充协议，补充协议是合同的组成部分。</w:t>
      </w:r>
      <w:r/>
    </w:p>
    <w:p>
      <w:pPr>
        <w:ind w:firstLine="422"/>
        <w:jc w:val="left"/>
        <w:spacing w:line="360" w:lineRule="auto"/>
        <w:rPr>
          <w:rFonts w:ascii="宋体" w:hAnsi="宋体" w:cs="宋体"/>
          <w:bCs/>
          <w:color w:val="auto"/>
          <w:szCs w:val="21"/>
          <w:highlight w:val="none"/>
        </w:rPr>
      </w:pPr>
      <w:r/>
      <w:bookmarkStart w:id="150" w:name="_Toc351203492"/>
      <w:r>
        <w:rPr>
          <w:rFonts w:hint="eastAsia" w:ascii="宋体" w:hAnsi="宋体" w:cs="宋体"/>
          <w:b/>
          <w:color w:val="auto"/>
          <w:szCs w:val="21"/>
          <w:highlight w:val="none"/>
        </w:rPr>
        <w:t xml:space="preserve">十二、合同生效</w:t>
      </w:r>
      <w:bookmarkEnd w:id="150"/>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本合同自</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生效。</w:t>
      </w:r>
      <w:r/>
    </w:p>
    <w:p>
      <w:pPr>
        <w:ind w:firstLine="422"/>
        <w:jc w:val="left"/>
        <w:spacing w:line="360" w:lineRule="auto"/>
        <w:rPr>
          <w:rFonts w:ascii="宋体" w:hAnsi="宋体" w:cs="宋体"/>
          <w:bCs/>
          <w:color w:val="auto"/>
          <w:szCs w:val="21"/>
          <w:highlight w:val="none"/>
        </w:rPr>
      </w:pPr>
      <w:r/>
      <w:bookmarkStart w:id="151" w:name="_Toc351203493"/>
      <w:r>
        <w:rPr>
          <w:rFonts w:hint="eastAsia" w:ascii="宋体" w:hAnsi="宋体" w:cs="宋体"/>
          <w:b/>
          <w:color w:val="auto"/>
          <w:szCs w:val="21"/>
          <w:highlight w:val="none"/>
        </w:rPr>
        <w:t xml:space="preserve">十三、合同份数</w:t>
      </w:r>
      <w:bookmarkEnd w:id="151"/>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本合同一式</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份，均具有同等法律效力，发包人执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份，承包人执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  (公章)             承包人：  (公章)</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                    （签字）</w:t>
      </w:r>
      <w:r/>
    </w:p>
    <w:p>
      <w:pPr>
        <w:ind w:firstLine="420"/>
        <w:jc w:val="left"/>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firstLine="420"/>
        <w:jc w:val="left"/>
        <w:spacing w:line="360" w:lineRule="auto"/>
        <w:tabs>
          <w:tab w:val="left" w:pos="4410" w:leader="none"/>
        </w:tabs>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组织机构代码：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 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电子信箱：</w:t>
      </w:r>
      <w:r>
        <w:rPr>
          <w:rFonts w:hint="eastAsia" w:ascii="宋体" w:hAnsi="宋体" w:cs="宋体"/>
          <w:color w:val="auto"/>
          <w:szCs w:val="21"/>
          <w:highlight w:val="none"/>
          <w:u w:val="singl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jc w:val="center"/>
        <w:keepLines/>
        <w:keepNext/>
        <w:spacing w:before="260" w:after="260" w:line="413" w:lineRule="auto"/>
        <w:rPr>
          <w:rFonts w:ascii="宋体" w:hAnsi="宋体" w:cs="宋体"/>
          <w:b/>
          <w:bCs/>
          <w:color w:val="auto"/>
          <w:sz w:val="44"/>
          <w:szCs w:val="44"/>
          <w:highlight w:val="none"/>
        </w:rPr>
        <w:outlineLvl w:val="2"/>
      </w:pPr>
      <w:r>
        <w:rPr>
          <w:rFonts w:hint="eastAsia" w:ascii="宋体" w:hAnsi="宋体" w:cs="宋体"/>
          <w:b/>
          <w:bCs/>
          <w:color w:val="auto"/>
          <w:szCs w:val="21"/>
          <w:highlight w:val="none"/>
        </w:rPr>
        <w:br w:type="page" w:clear="all"/>
      </w:r>
      <w:bookmarkStart w:id="152" w:name="_Toc351203494"/>
      <w:r>
        <w:rPr>
          <w:rFonts w:hint="eastAsia" w:ascii="宋体" w:hAnsi="宋体" w:cs="宋体"/>
          <w:b/>
          <w:bCs/>
          <w:color w:val="auto"/>
          <w:sz w:val="44"/>
          <w:szCs w:val="44"/>
          <w:highlight w:val="none"/>
        </w:rPr>
        <w:t xml:space="preserve">第二部分 通用合同条款</w:t>
      </w:r>
      <w:bookmarkEnd w:id="152"/>
      <w:r/>
      <w:bookmarkStart w:id="153" w:name="_Toc337558727"/>
      <w:r/>
      <w:bookmarkEnd w:id="153"/>
      <w:r/>
      <w:r/>
    </w:p>
    <w:p>
      <w:pPr>
        <w:jc w:val="center"/>
        <w:keepLines/>
        <w:keepNext/>
        <w:spacing w:before="120" w:after="120" w:line="360" w:lineRule="auto"/>
        <w:rPr>
          <w:rFonts w:ascii="宋体" w:hAnsi="宋体" w:cs="宋体"/>
          <w:bCs/>
          <w:color w:val="auto"/>
          <w:sz w:val="24"/>
          <w:highlight w:val="none"/>
        </w:rPr>
        <w:outlineLvl w:val="3"/>
      </w:pPr>
      <w:r>
        <w:rPr>
          <w:rFonts w:hint="eastAsia" w:ascii="宋体" w:hAnsi="宋体" w:cs="宋体"/>
          <w:bCs/>
          <w:color w:val="auto"/>
          <w:sz w:val="24"/>
          <w:highlight w:val="none"/>
        </w:rPr>
        <w:t xml:space="preserve">此部分采用《建设工程施工合同》范本 (GF-2017-0201) 中《第二部分通用条款》</w:t>
      </w:r>
      <w:r/>
    </w:p>
    <w:p>
      <w:pPr>
        <w:jc w:val="center"/>
        <w:keepLines/>
        <w:keepNext/>
        <w:spacing w:before="260" w:after="260" w:line="413" w:lineRule="auto"/>
        <w:rPr>
          <w:rFonts w:ascii="宋体" w:hAnsi="宋体" w:cs="宋体"/>
          <w:b/>
          <w:bCs/>
          <w:color w:val="auto"/>
          <w:sz w:val="44"/>
          <w:szCs w:val="44"/>
          <w:highlight w:val="none"/>
        </w:rPr>
        <w:outlineLvl w:val="2"/>
      </w:pPr>
      <w:r/>
      <w:bookmarkStart w:id="154" w:name="_Toc351203632"/>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第三部分 专用合同条款</w:t>
      </w:r>
      <w:bookmarkEnd w:id="154"/>
      <w:r/>
      <w:r/>
    </w:p>
    <w:p>
      <w:pPr>
        <w:ind w:firstLine="422"/>
        <w:jc w:val="left"/>
        <w:spacing w:line="360" w:lineRule="auto"/>
        <w:rPr>
          <w:rFonts w:ascii="宋体" w:hAnsi="宋体" w:cs="宋体"/>
          <w:b/>
          <w:color w:val="auto"/>
          <w:szCs w:val="21"/>
          <w:highlight w:val="none"/>
        </w:rPr>
      </w:pPr>
      <w:r/>
      <w:bookmarkStart w:id="155" w:name="_Toc351203633"/>
      <w:r>
        <w:rPr>
          <w:rFonts w:hint="eastAsia" w:ascii="宋体" w:hAnsi="宋体" w:cs="宋体"/>
          <w:b/>
          <w:color w:val="auto"/>
          <w:szCs w:val="21"/>
          <w:highlight w:val="none"/>
        </w:rPr>
        <w:t xml:space="preserve">1</w:t>
      </w:r>
      <w:bookmarkStart w:id="156" w:name="_Toc296890984"/>
      <w:r/>
      <w:bookmarkStart w:id="157" w:name="_Toc296891196"/>
      <w:r/>
      <w:bookmarkStart w:id="158" w:name="_Toc297120456"/>
      <w:r/>
      <w:bookmarkStart w:id="159" w:name="_Toc292559866"/>
      <w:r/>
      <w:bookmarkStart w:id="160" w:name="_Toc292559361"/>
      <w:r/>
      <w:bookmarkStart w:id="161" w:name="_Toc296944495"/>
      <w:r/>
      <w:bookmarkStart w:id="162" w:name="_Toc296346657"/>
      <w:r/>
      <w:bookmarkStart w:id="163" w:name="_Toc296347155"/>
      <w:r/>
      <w:bookmarkStart w:id="164" w:name="_Toc296503156"/>
      <w:r/>
      <w:bookmarkStart w:id="165" w:name="_Toc297048342"/>
      <w:r>
        <w:rPr>
          <w:rFonts w:hint="eastAsia" w:ascii="宋体" w:hAnsi="宋体" w:cs="宋体"/>
          <w:b/>
          <w:color w:val="auto"/>
          <w:szCs w:val="21"/>
          <w:highlight w:val="none"/>
        </w:rPr>
        <w:t xml:space="preserve">. 一般约定</w:t>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20"/>
        <w:spacing w:line="360" w:lineRule="auto"/>
        <w:rPr>
          <w:rFonts w:ascii="宋体" w:hAnsi="宋体" w:cs="宋体"/>
          <w:color w:val="auto"/>
          <w:szCs w:val="21"/>
          <w:highlight w:val="none"/>
        </w:rPr>
        <w:outlineLvl w:val="0"/>
      </w:pPr>
      <w:r/>
      <w:bookmarkStart w:id="166" w:name="_Toc105"/>
      <w:r>
        <w:rPr>
          <w:rFonts w:hint="eastAsia" w:ascii="宋体" w:hAnsi="宋体" w:cs="宋体"/>
          <w:color w:val="auto"/>
          <w:szCs w:val="21"/>
          <w:highlight w:val="none"/>
        </w:rPr>
        <w:t xml:space="preserve">1.1 词语定义</w:t>
      </w:r>
      <w:bookmarkEnd w:id="16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 合同当事人及其他相关方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 工程和设备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1.1.3.7 作为施工现场组成部分的其他场所包括：</w:t>
      </w:r>
      <w:r>
        <w:rPr>
          <w:rFonts w:hint="eastAsia" w:ascii="宋体" w:hAnsi="宋体" w:cs="宋体"/>
          <w:color w:val="auto"/>
          <w:szCs w:val="21"/>
          <w:highlight w:val="none"/>
          <w:u w:val="single"/>
        </w:rPr>
        <w:t xml:space="preserve">如需要，由承包人自行解决，费用由承包人承担</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1.1.3.9 永久占地包括：</w:t>
      </w:r>
      <w:r>
        <w:rPr>
          <w:rFonts w:hint="eastAsia" w:ascii="宋体" w:hAnsi="宋体" w:cs="宋体"/>
          <w:color w:val="auto"/>
          <w:szCs w:val="21"/>
          <w:highlight w:val="none"/>
          <w:u w:val="single"/>
        </w:rPr>
        <w:t xml:space="preserve">              无  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1.1.3.10 临时占地包括：</w:t>
      </w:r>
      <w:r>
        <w:rPr>
          <w:rFonts w:hint="eastAsia" w:ascii="宋体" w:hAnsi="宋体" w:cs="宋体"/>
          <w:color w:val="auto"/>
          <w:szCs w:val="21"/>
          <w:highlight w:val="none"/>
          <w:u w:val="single"/>
        </w:rPr>
        <w:t xml:space="preserve">如需要，由承包人自行解决，费用由承包人承担</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1.3法律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中华人民共和国民法典》、《中华人民共和国建筑法》、《中华人民共和国招标投标法》、《中华人民共和国安全生产法》、《建设工程质量管理条例》、《中华人民共和国增值税条例及实施细则》、《中华人民共和国营业税暂行条例及实施细则》及其他建设部、江苏省、南京市颁布的有关法律、法规、条例、规范性文件等</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标准和规范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如有，协商解决</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167" w:name="_Toc22388"/>
      <w:r>
        <w:rPr>
          <w:rFonts w:hint="eastAsia" w:ascii="宋体" w:hAnsi="宋体" w:cs="宋体"/>
          <w:color w:val="auto"/>
          <w:szCs w:val="21"/>
          <w:highlight w:val="none"/>
        </w:rPr>
        <w:t xml:space="preserve">1.5 合同文件的优先顺序</w:t>
      </w:r>
      <w:bookmarkEnd w:id="16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(1) 本合同协议书及合同附件、附表、相关补充协议；(2)中标通知书；(3) 招标文件 (含工程量清单) 及其所附的图纸等；(4) 投标函及其附录，投标单位相关澄清、承诺说明；(5) 标准、规范及有关技术文件、技术要求</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168" w:name="_Toc28716"/>
      <w:r>
        <w:rPr>
          <w:rFonts w:hint="eastAsia" w:ascii="宋体" w:hAnsi="宋体" w:cs="宋体"/>
          <w:color w:val="auto"/>
          <w:szCs w:val="21"/>
          <w:highlight w:val="none"/>
        </w:rPr>
        <w:t xml:space="preserve">1.6 图纸和承包人文件</w:t>
      </w:r>
      <w:bookmarkEnd w:id="168"/>
      <w:r>
        <w:rPr>
          <w:rFonts w:hint="eastAsia" w:ascii="宋体" w:hAnsi="宋体" w:cs="宋体"/>
          <w:color w:val="auto"/>
          <w:szCs w:val="21"/>
          <w:highlight w:val="none"/>
        </w:rPr>
        <w:tab/>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 图纸的提供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签定合同后一周内</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肆套 (含用于制作竣工图的图纸) ；承包人需要增加图纸套数的，发包人可代为复制，复制费用由承包人承担</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与工程有关的全部图纸</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发包人对图纸的保密要求：</w:t>
      </w:r>
      <w:r>
        <w:rPr>
          <w:rFonts w:hint="eastAsia" w:ascii="宋体" w:hAnsi="宋体" w:cs="宋体"/>
          <w:color w:val="auto"/>
          <w:szCs w:val="21"/>
          <w:highlight w:val="none"/>
          <w:u w:val="single"/>
        </w:rPr>
        <w:t xml:space="preserve">承包人未经发包人书面同意，不得使第三人接触本工程图纸及复印件(具体方式包括但不限于：出卖、出借、复制等) ，也不得做除本工程承包工作以外的任何用途。因承包人对资料保管不当、遗失、转借他人、复制等原因造成泄密后果，发包人对此保留终生追究的权利</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1.6.4 承包人文件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(1) 用于办理备案的企业及项目部相关人员资质证书、设备的合格证等；(2) 与施工管理有关的报表、计划、施工方案等；(3) 按发包人要求必须提供的其他文件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发包人通知 3 日内提供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按发包人要求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 纸质和电子文件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  7天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1.6.5 现场图纸准备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承包人应对现场进行详细踏勘，对图纸中的问题及施工中有可能存在的问题应详细提出， 由设计、监理及发包人给予答复。若图纸会审和设计交底时未提出，施工时因非发包人原因出现的问题造成工程返工，其返工费用由承包人自行承担，承包人应在施工现场准备一套完整的施工图纸，供会议、检查之用，专人保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169" w:name="_Toc28779"/>
      <w:r>
        <w:rPr>
          <w:rFonts w:hint="eastAsia" w:ascii="宋体" w:hAnsi="宋体" w:cs="宋体"/>
          <w:color w:val="auto"/>
          <w:szCs w:val="21"/>
          <w:highlight w:val="none"/>
        </w:rPr>
        <w:t xml:space="preserve">1.7 联络</w:t>
      </w:r>
      <w:bookmarkEnd w:id="16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 发包人接收文件的地点：</w:t>
      </w:r>
      <w:r>
        <w:rPr>
          <w:rFonts w:hint="eastAsia" w:ascii="宋体" w:hAnsi="宋体" w:cs="宋体"/>
          <w:color w:val="auto"/>
          <w:szCs w:val="21"/>
          <w:highlight w:val="none"/>
          <w:u w:val="single"/>
        </w:rPr>
        <w:t xml:space="preserve">项目现场发包人代表办公室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   发包人代表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项目现场项目经理办公室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170" w:name="_Toc25767"/>
      <w:r>
        <w:rPr>
          <w:rFonts w:hint="eastAsia" w:ascii="宋体" w:hAnsi="宋体" w:cs="宋体"/>
          <w:color w:val="auto"/>
          <w:szCs w:val="21"/>
          <w:highlight w:val="none"/>
        </w:rPr>
        <w:t xml:space="preserve">1.10 交通运输</w:t>
      </w:r>
      <w:bookmarkEnd w:id="170"/>
      <w:r/>
      <w:r/>
    </w:p>
    <w:p>
      <w:pPr>
        <w:ind w:firstLine="420"/>
        <w:spacing w:line="360" w:lineRule="auto"/>
        <w:rPr>
          <w:rFonts w:ascii="宋体" w:hAnsi="宋体" w:cs="宋体"/>
          <w:color w:val="auto"/>
          <w:szCs w:val="21"/>
          <w:highlight w:val="none"/>
        </w:rPr>
        <w:outlineLvl w:val="0"/>
      </w:pPr>
      <w:r/>
      <w:bookmarkStart w:id="171" w:name="_Toc27765"/>
      <w:r>
        <w:rPr>
          <w:rFonts w:hint="eastAsia" w:ascii="宋体" w:hAnsi="宋体" w:cs="宋体"/>
          <w:color w:val="auto"/>
          <w:szCs w:val="21"/>
          <w:highlight w:val="none"/>
        </w:rPr>
        <w:t xml:space="preserve">1</w:t>
      </w:r>
      <w:bookmarkStart w:id="172" w:name="_Toc312677986"/>
      <w:r/>
      <w:bookmarkStart w:id="173" w:name="_Toc303539100"/>
      <w:r/>
      <w:bookmarkStart w:id="174" w:name="_Toc304295521"/>
      <w:r/>
      <w:bookmarkStart w:id="175" w:name="_Toc300934943"/>
      <w:r/>
      <w:bookmarkStart w:id="176" w:name="_Toc318581155"/>
      <w:r>
        <w:rPr>
          <w:rFonts w:hint="eastAsia" w:ascii="宋体" w:hAnsi="宋体" w:cs="宋体"/>
          <w:color w:val="auto"/>
          <w:szCs w:val="21"/>
          <w:highlight w:val="none"/>
        </w:rPr>
        <w:t xml:space="preserve">.10.1 出入现场的权利</w:t>
      </w:r>
      <w:bookmarkEnd w:id="17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现场及周边条件以目前状况为准，发包人将不作任何投入。承包人自行承担</w:t>
      </w:r>
      <w:r>
        <w:rPr>
          <w:rFonts w:hint="eastAsia" w:ascii="宋体" w:hAnsi="宋体" w:cs="宋体"/>
          <w:color w:val="auto"/>
          <w:szCs w:val="21"/>
          <w:highlight w:val="none"/>
        </w:rPr>
        <w:t xml:space="preserve">。</w:t>
      </w:r>
      <w:bookmarkEnd w:id="172"/>
      <w:r/>
      <w:bookmarkEnd w:id="173"/>
      <w:r/>
      <w:bookmarkEnd w:id="174"/>
      <w:r/>
      <w:bookmarkEnd w:id="175"/>
      <w:r/>
      <w:bookmarkEnd w:id="176"/>
      <w:r/>
      <w:r/>
    </w:p>
    <w:p>
      <w:pPr>
        <w:ind w:firstLine="420"/>
        <w:jc w:val="left"/>
        <w:spacing w:line="360" w:lineRule="auto"/>
        <w:rPr>
          <w:rFonts w:ascii="宋体" w:hAnsi="宋体" w:cs="宋体"/>
          <w:color w:val="auto"/>
          <w:szCs w:val="21"/>
          <w:highlight w:val="none"/>
        </w:rPr>
        <w:outlineLvl w:val="0"/>
      </w:pPr>
      <w:r/>
      <w:bookmarkStart w:id="177" w:name="_Toc7479"/>
      <w:r>
        <w:rPr>
          <w:rFonts w:hint="eastAsia" w:ascii="宋体" w:hAnsi="宋体" w:cs="宋体"/>
          <w:color w:val="auto"/>
          <w:szCs w:val="21"/>
          <w:highlight w:val="none"/>
        </w:rPr>
        <w:t xml:space="preserve">1</w:t>
      </w:r>
      <w:bookmarkStart w:id="178" w:name="_Toc300934944"/>
      <w:r/>
      <w:bookmarkStart w:id="179" w:name="_Toc304295522"/>
      <w:r/>
      <w:bookmarkStart w:id="180" w:name="_Toc303539101"/>
      <w:r/>
      <w:bookmarkStart w:id="181" w:name="_Toc318581156"/>
      <w:r/>
      <w:bookmarkStart w:id="182" w:name="_Toc312677987"/>
      <w:r>
        <w:rPr>
          <w:rFonts w:hint="eastAsia" w:ascii="宋体" w:hAnsi="宋体" w:cs="宋体"/>
          <w:color w:val="auto"/>
          <w:szCs w:val="21"/>
          <w:highlight w:val="none"/>
        </w:rPr>
        <w:t xml:space="preserve">.10.3 场内交通</w:t>
      </w:r>
      <w:bookmarkEnd w:id="17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承包人可以使用目前场内外道路和交通设施，但维修保养费由承包人承担</w:t>
      </w:r>
      <w:r>
        <w:rPr>
          <w:rFonts w:hint="eastAsia" w:ascii="宋体" w:hAnsi="宋体" w:cs="宋体"/>
          <w:color w:val="auto"/>
          <w:szCs w:val="21"/>
          <w:highlight w:val="none"/>
        </w:rPr>
        <w:t xml:space="preserve">。</w:t>
      </w:r>
      <w:bookmarkEnd w:id="178"/>
      <w:r/>
      <w:bookmarkEnd w:id="179"/>
      <w:r/>
      <w:bookmarkEnd w:id="180"/>
      <w:r/>
      <w:bookmarkEnd w:id="181"/>
      <w:r/>
      <w:bookmarkEnd w:id="182"/>
      <w:r>
        <w:rPr>
          <w:rFonts w:hint="eastAsia" w:ascii="宋体" w:hAnsi="宋体" w:cs="宋体"/>
          <w:color w:val="auto"/>
          <w:szCs w:val="21"/>
          <w:highlight w:val="none"/>
        </w:rPr>
        <w:t xml:space="preserve">  </w:t>
      </w:r>
      <w:bookmarkStart w:id="183" w:name="_Toc31858115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    承包人   </w:t>
      </w:r>
      <w:r>
        <w:rPr>
          <w:rFonts w:hint="eastAsia" w:ascii="宋体" w:hAnsi="宋体" w:cs="宋体"/>
          <w:color w:val="auto"/>
          <w:szCs w:val="21"/>
          <w:highlight w:val="none"/>
        </w:rPr>
        <w:t xml:space="preserve">承担。</w:t>
      </w:r>
      <w:bookmarkEnd w:id="183"/>
      <w:r/>
      <w:r/>
    </w:p>
    <w:p>
      <w:pPr>
        <w:ind w:firstLine="420"/>
        <w:spacing w:line="360" w:lineRule="auto"/>
        <w:rPr>
          <w:rFonts w:ascii="宋体" w:hAnsi="宋体" w:cs="宋体"/>
          <w:color w:val="auto"/>
          <w:szCs w:val="21"/>
          <w:highlight w:val="none"/>
        </w:rPr>
        <w:outlineLvl w:val="0"/>
      </w:pPr>
      <w:r/>
      <w:bookmarkStart w:id="184" w:name="_Toc4448"/>
      <w:r>
        <w:rPr>
          <w:rFonts w:hint="eastAsia" w:ascii="宋体" w:hAnsi="宋体" w:cs="宋体"/>
          <w:color w:val="auto"/>
          <w:szCs w:val="21"/>
          <w:highlight w:val="none"/>
        </w:rPr>
        <w:t xml:space="preserve">1.11 知识产权</w:t>
      </w:r>
      <w:bookmarkEnd w:id="18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按通用条款  </w:t>
      </w:r>
      <w:r>
        <w:rPr>
          <w:rFonts w:hint="eastAsia" w:ascii="宋体" w:hAnsi="宋体" w:cs="宋体"/>
          <w:color w:val="auto"/>
          <w:szCs w:val="21"/>
          <w:highlight w:val="none"/>
        </w:rPr>
        <w:t xml:space="preserve">。</w:t>
      </w:r>
      <w:r/>
    </w:p>
    <w:p>
      <w:pPr>
        <w:ind w:left="59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  按通用条款   </w:t>
      </w:r>
      <w:r>
        <w:rPr>
          <w:rFonts w:hint="eastAsia" w:ascii="宋体" w:hAnsi="宋体" w:cs="宋体"/>
          <w:color w:val="auto"/>
          <w:szCs w:val="21"/>
          <w:highlight w:val="none"/>
        </w:rPr>
        <w:t xml:space="preserve">。</w:t>
      </w:r>
      <w:r/>
    </w:p>
    <w:p>
      <w:pPr>
        <w:ind w:left="596"/>
        <w:spacing w:line="360" w:lineRule="auto"/>
        <w:rPr>
          <w:rFonts w:ascii="宋体" w:hAnsi="宋体" w:cs="宋体"/>
          <w:color w:val="auto"/>
          <w:szCs w:val="21"/>
          <w:highlight w:val="none"/>
        </w:rPr>
        <w:outlineLvl w:val="0"/>
      </w:pPr>
      <w:r/>
      <w:bookmarkStart w:id="185" w:name="_Toc17607"/>
      <w:r>
        <w:rPr>
          <w:rFonts w:hint="eastAsia" w:ascii="宋体" w:hAnsi="宋体" w:cs="宋体"/>
          <w:color w:val="auto"/>
          <w:szCs w:val="21"/>
          <w:highlight w:val="none"/>
        </w:rPr>
        <w:t xml:space="preserve">1.11.2 关于承包人为实施工程所编制文件的著作权的归属：</w:t>
      </w:r>
      <w:r>
        <w:rPr>
          <w:rFonts w:hint="eastAsia" w:ascii="宋体" w:hAnsi="宋体" w:cs="宋体"/>
          <w:color w:val="auto"/>
          <w:szCs w:val="21"/>
          <w:highlight w:val="none"/>
          <w:u w:val="single"/>
        </w:rPr>
        <w:t xml:space="preserve">   按通用条款</w:t>
      </w:r>
      <w:r>
        <w:rPr>
          <w:rFonts w:hint="eastAsia" w:ascii="宋体" w:hAnsi="宋体" w:cs="宋体"/>
          <w:color w:val="auto"/>
          <w:szCs w:val="21"/>
          <w:highlight w:val="none"/>
        </w:rPr>
        <w:t xml:space="preserve">。</w:t>
      </w:r>
      <w:bookmarkEnd w:id="18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 按通用条款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186" w:name="_Toc20827"/>
      <w:r>
        <w:rPr>
          <w:rFonts w:hint="eastAsia" w:ascii="宋体" w:hAnsi="宋体" w:cs="宋体"/>
          <w:color w:val="auto"/>
          <w:szCs w:val="21"/>
          <w:highlight w:val="none"/>
        </w:rPr>
        <w:t xml:space="preserve">1.11.4 承包人在施工过程中所采用的专利、专有技术、技术秘密的使用费的承担方式：</w:t>
      </w:r>
      <w:r>
        <w:rPr>
          <w:rFonts w:hint="eastAsia" w:ascii="宋体" w:hAnsi="宋体" w:cs="宋体"/>
          <w:color w:val="auto"/>
          <w:szCs w:val="21"/>
          <w:highlight w:val="none"/>
          <w:u w:val="single"/>
        </w:rPr>
        <w:t xml:space="preserve">由承包人承担   </w:t>
      </w:r>
      <w:r>
        <w:rPr>
          <w:rFonts w:hint="eastAsia" w:ascii="宋体" w:hAnsi="宋体" w:cs="宋体"/>
          <w:color w:val="auto"/>
          <w:szCs w:val="21"/>
          <w:highlight w:val="none"/>
        </w:rPr>
        <w:t xml:space="preserve">。</w:t>
      </w:r>
      <w:bookmarkEnd w:id="18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1.13工程量清单错误的修正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rPr>
        <w:t xml:space="preserve">   固定成交单价不调整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仅调整工程量，不调整单价</w:t>
      </w:r>
      <w:r>
        <w:rPr>
          <w:rFonts w:hint="eastAsia" w:ascii="宋体" w:hAnsi="宋体" w:cs="宋体"/>
          <w:color w:val="auto"/>
          <w:szCs w:val="21"/>
          <w:highlight w:val="none"/>
        </w:rPr>
        <w:t xml:space="preserve">。</w:t>
      </w:r>
      <w:r/>
    </w:p>
    <w:p>
      <w:pPr>
        <w:numPr>
          <w:ilvl w:val="3"/>
          <w:numId w:val="1"/>
        </w:numPr>
        <w:keepLines/>
        <w:keepNext/>
        <w:spacing w:line="360" w:lineRule="auto"/>
        <w:rPr>
          <w:rFonts w:ascii="宋体" w:hAnsi="宋体" w:cs="宋体"/>
          <w:bCs/>
          <w:color w:val="auto"/>
          <w:szCs w:val="21"/>
          <w:highlight w:val="none"/>
        </w:rPr>
        <w:outlineLvl w:val="3"/>
      </w:pPr>
      <w:r/>
      <w:bookmarkStart w:id="187" w:name="_Toc351203634"/>
      <w:r>
        <w:rPr>
          <w:rFonts w:hint="eastAsia" w:ascii="宋体" w:hAnsi="宋体" w:cs="宋体"/>
          <w:bCs/>
          <w:color w:val="auto"/>
          <w:szCs w:val="21"/>
          <w:highlight w:val="none"/>
        </w:rPr>
        <w:t xml:space="preserve">2</w:t>
      </w:r>
      <w:bookmarkStart w:id="188" w:name="_Toc297048343"/>
      <w:r/>
      <w:bookmarkStart w:id="189" w:name="_Toc296891197"/>
      <w:r/>
      <w:bookmarkStart w:id="190" w:name="_Toc296944496"/>
      <w:r/>
      <w:bookmarkStart w:id="191" w:name="_Toc296503157"/>
      <w:r/>
      <w:bookmarkStart w:id="192" w:name="_Toc296346658"/>
      <w:r/>
      <w:bookmarkStart w:id="193" w:name="_Toc292559867"/>
      <w:r/>
      <w:bookmarkStart w:id="194" w:name="_Toc297120457"/>
      <w:r/>
      <w:bookmarkStart w:id="195" w:name="_Toc296347156"/>
      <w:r/>
      <w:bookmarkStart w:id="196" w:name="_Toc296890985"/>
      <w:r/>
      <w:bookmarkStart w:id="197" w:name="_Toc292559362"/>
      <w:r>
        <w:rPr>
          <w:rFonts w:hint="eastAsia" w:ascii="宋体" w:hAnsi="宋体" w:cs="宋体"/>
          <w:bCs/>
          <w:color w:val="auto"/>
          <w:szCs w:val="21"/>
          <w:highlight w:val="none"/>
        </w:rPr>
        <w:t xml:space="preserve">. 发包人</w:t>
      </w:r>
      <w:bookmarkEnd w:id="187"/>
      <w:r/>
      <w:bookmarkEnd w:id="188"/>
      <w:r/>
      <w:bookmarkEnd w:id="189"/>
      <w:r/>
      <w:bookmarkEnd w:id="190"/>
      <w:r/>
      <w:bookmarkEnd w:id="191"/>
      <w:r/>
      <w:bookmarkEnd w:id="192"/>
      <w:r/>
      <w:bookmarkEnd w:id="193"/>
      <w:r/>
      <w:bookmarkEnd w:id="194"/>
      <w:r/>
      <w:bookmarkEnd w:id="195"/>
      <w:r/>
      <w:bookmarkEnd w:id="196"/>
      <w:r/>
      <w:bookmarkEnd w:id="197"/>
      <w:r/>
      <w:r/>
    </w:p>
    <w:p>
      <w:pPr>
        <w:ind w:firstLine="420"/>
        <w:spacing w:line="360" w:lineRule="auto"/>
        <w:rPr>
          <w:rFonts w:ascii="宋体" w:hAnsi="宋体" w:cs="宋体"/>
          <w:color w:val="auto"/>
          <w:szCs w:val="21"/>
          <w:highlight w:val="none"/>
        </w:rPr>
        <w:outlineLvl w:val="0"/>
      </w:pPr>
      <w:r/>
      <w:bookmarkStart w:id="198" w:name="_Toc29688"/>
      <w:r>
        <w:rPr>
          <w:rFonts w:hint="eastAsia" w:ascii="宋体" w:hAnsi="宋体" w:cs="宋体"/>
          <w:color w:val="auto"/>
          <w:szCs w:val="21"/>
          <w:highlight w:val="none"/>
        </w:rPr>
        <w:t xml:space="preserve">2.2 发包人代表</w:t>
      </w:r>
      <w:bookmarkEnd w:id="198"/>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    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199" w:name="_Toc15621"/>
      <w:r>
        <w:rPr>
          <w:rFonts w:hint="eastAsia" w:ascii="宋体" w:hAnsi="宋体" w:cs="宋体"/>
          <w:color w:val="auto"/>
          <w:szCs w:val="21"/>
          <w:highlight w:val="none"/>
        </w:rPr>
        <w:t xml:space="preserve">2.4 施工现场、施工条件和基础资料的提供</w:t>
      </w:r>
      <w:bookmarkEnd w:id="19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 提供施工现场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开工日期7天前。场地移交可以全部或分段移交，以基本满足本工程合同总工期，各节点施工工期为前提；所移交的场地能基本满足施工要求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 提供施工条件</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（1）施工场地具备施工条件的要求及完成的时间：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施工现场已具备开工条件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（2）将施工所需的水、电、电讯线路接至施工场地的时间、地点和供应要求：</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由承包人自行解决，并承担全部费用。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（3）施工场地与公共道路的通道开通时间和要求：</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以中标人投标前实地踏勘的场地条件为准。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w:t>
      </w:r>
      <w:r>
        <w:rPr>
          <w:rFonts w:hint="eastAsia" w:ascii="宋体" w:hAnsi="宋体" w:cs="宋体"/>
          <w:color w:val="auto"/>
          <w:szCs w:val="21"/>
          <w:highlight w:val="none"/>
          <w:u w:val="single"/>
        </w:rPr>
        <w:t xml:space="preserve">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200" w:name="_Toc29028"/>
      <w:r>
        <w:rPr>
          <w:rFonts w:hint="eastAsia" w:ascii="宋体" w:hAnsi="宋体" w:cs="宋体"/>
          <w:color w:val="auto"/>
          <w:szCs w:val="21"/>
          <w:highlight w:val="none"/>
        </w:rPr>
        <w:t xml:space="preserve">2.5 资金来源证明及支付担保</w:t>
      </w:r>
      <w:bookmarkEnd w:id="20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numPr>
          <w:ilvl w:val="3"/>
          <w:numId w:val="1"/>
        </w:numPr>
        <w:keepLines/>
        <w:keepNext/>
        <w:spacing w:line="360" w:lineRule="auto"/>
        <w:rPr>
          <w:rFonts w:ascii="宋体" w:hAnsi="宋体" w:cs="宋体"/>
          <w:bCs/>
          <w:color w:val="auto"/>
          <w:szCs w:val="21"/>
          <w:highlight w:val="none"/>
        </w:rPr>
        <w:outlineLvl w:val="3"/>
      </w:pPr>
      <w:r/>
      <w:bookmarkStart w:id="201" w:name="_Toc351203635"/>
      <w:r>
        <w:rPr>
          <w:rFonts w:hint="eastAsia" w:ascii="宋体" w:hAnsi="宋体" w:cs="宋体"/>
          <w:bCs/>
          <w:color w:val="auto"/>
          <w:szCs w:val="21"/>
          <w:highlight w:val="none"/>
        </w:rPr>
        <w:t xml:space="preserve">3</w:t>
      </w:r>
      <w:bookmarkStart w:id="202" w:name="_Toc296944497"/>
      <w:r/>
      <w:bookmarkStart w:id="203" w:name="_Toc297120458"/>
      <w:r/>
      <w:bookmarkStart w:id="204" w:name="_Toc296346659"/>
      <w:r/>
      <w:bookmarkStart w:id="205" w:name="_Toc296890986"/>
      <w:r/>
      <w:bookmarkStart w:id="206" w:name="_Toc292559363"/>
      <w:r/>
      <w:bookmarkStart w:id="207" w:name="_Toc296891198"/>
      <w:r/>
      <w:bookmarkStart w:id="208" w:name="_Toc297048344"/>
      <w:r/>
      <w:bookmarkStart w:id="209" w:name="_Toc296503158"/>
      <w:r/>
      <w:bookmarkStart w:id="210" w:name="_Toc296347157"/>
      <w:r/>
      <w:bookmarkStart w:id="211" w:name="_Toc292559868"/>
      <w:r>
        <w:rPr>
          <w:rFonts w:hint="eastAsia" w:ascii="宋体" w:hAnsi="宋体" w:cs="宋体"/>
          <w:bCs/>
          <w:color w:val="auto"/>
          <w:szCs w:val="21"/>
          <w:highlight w:val="none"/>
        </w:rPr>
        <w:t xml:space="preserve">. 承包人</w:t>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 承包人的一般义务</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（9）</w:t>
      </w:r>
      <w:r>
        <w:rPr>
          <w:rFonts w:hint="eastAsia" w:ascii="宋体" w:hAnsi="宋体" w:cs="宋体"/>
          <w:color w:val="auto"/>
          <w:szCs w:val="21"/>
          <w:highlight w:val="none"/>
        </w:rPr>
        <w:t xml:space="preserve">承包人提交的竣工资料的内容：</w:t>
      </w:r>
      <w:r>
        <w:rPr>
          <w:rFonts w:hint="eastAsia" w:ascii="宋体" w:hAnsi="宋体" w:cs="宋体"/>
          <w:color w:val="auto"/>
          <w:szCs w:val="21"/>
          <w:highlight w:val="none"/>
          <w:u w:val="single"/>
        </w:rPr>
        <w:t xml:space="preserve">   工程竣工报告、施工技术档案和施工管理资料、产品质量证明文件、施工质量试验资料、施工质量检测资料、施工记录、工程安全和功能检验资料备查及主要功能抽查记录、竣工图等，具体按国家有关规定和要求提供。</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承包人提供竣工图的约定：Auto CAD计算软件绘制的反映各类变更和工程实际状况的竣工图4份，光盘2份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     6套（含原件壹套）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    由承包人自行承担，包含在签约合同价内，结算时不予调整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    与竣工验收申请报告同时提交。工程竣工验收合格后，承包人应在28天内向发包人递交竣工结算报告和完整的结算资料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  以书面形式提交并提供电子版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（10）承包人应履行的其他义务：</w:t>
      </w:r>
      <w:r>
        <w:rPr>
          <w:rFonts w:hint="eastAsia" w:ascii="宋体" w:hAnsi="宋体" w:cs="宋体"/>
          <w:color w:val="auto"/>
          <w:szCs w:val="21"/>
          <w:highlight w:val="none"/>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2）关于检测、检验、试验：①所有材料和设备（不含新结构、新材料），按规范及政府职能部门要求进行常规、非常规检验试验费（不含对构件做破坏性试验的第三方试验费用）</w:t>
      </w:r>
      <w:r>
        <w:rPr>
          <w:rFonts w:hint="eastAsia" w:ascii="宋体" w:hAnsi="宋体" w:cs="宋体"/>
          <w:color w:val="auto"/>
          <w:szCs w:val="21"/>
          <w:highlight w:val="none"/>
          <w:u w:val="single"/>
        </w:rPr>
        <w:t xml:space="preserve">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②甲供材的进场质量须由承包人进行把关，如遇因质量不合格材料的使用而引起的返工所造成的费用损失及工期延误由承包人负责。③工程各分部分项一次检测不合格，承包人除承担返工费用外，还需承担后续检测费用以及因延期交付给发包人造成的直接和间接损失的相关费用。</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3）关于周边环境关系的协调：</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①承包人必须积极配合发包人的相关宣传报道、形象展示行为。承包人若以任何名义作任何关于该项目的宣传报道，须事先经发包人书面同意。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 项目经理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 </w:t>
      </w:r>
      <w:r>
        <w:rPr>
          <w:rFonts w:hint="eastAsia" w:ascii="宋体" w:hAnsi="宋体" w:cs="宋体"/>
          <w:color w:val="auto"/>
          <w:szCs w:val="21"/>
          <w:highlight w:val="none"/>
        </w:rPr>
        <w:t xml:space="preserve">项目经理：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持承包方项目部的日常管理工作，代表承包人处理与本工程建设有关的事宜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   项目经理每月在工地时间不少于25天，在岗处理事务，如项目经理有特殊原因不能保证上述在岗时间的，需以书面形式报监理审核后，再报发包人批准。项目经理每缺勤一天（不足一天按一天计），承包人需支付5000元的违约金；项目经理无故缺勤累计超过15日历日后，自第16天起，每缺一天承包人须支付10000元的违约金；超过30天，按3.2.3款处理。项目经理必须采取有效措施保证在整个施工期间施工现场有足够的劳力、材料、设备，保证工程顺利实施，并不受节假日的影响</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color w:val="auto"/>
          <w:szCs w:val="21"/>
          <w:highlight w:val="none"/>
          <w:u w:val="single"/>
        </w:rPr>
        <w:t xml:space="preserve">  </w:t>
      </w:r>
      <w:r>
        <w:rPr>
          <w:rStyle w:val="1217"/>
          <w:rFonts w:hint="eastAsia" w:ascii="宋体" w:hAnsi="宋体" w:cs="宋体"/>
          <w:color w:val="auto"/>
          <w:sz w:val="22"/>
          <w:szCs w:val="21"/>
          <w:highlight w:val="none"/>
        </w:rPr>
        <w:t xml:space="preserve">一经发现，</w:t>
      </w:r>
      <w:r>
        <w:rPr>
          <w:rFonts w:hint="eastAsia" w:ascii="宋体" w:hAnsi="宋体" w:cs="宋体"/>
          <w:color w:val="auto"/>
          <w:sz w:val="22"/>
          <w:highlight w:val="none"/>
          <w:u w:val="single"/>
        </w:rPr>
        <w:t xml:space="preserve">承包人需支付违约金</w:t>
      </w:r>
      <w:r>
        <w:rPr>
          <w:rStyle w:val="1217"/>
          <w:rFonts w:hint="eastAsia" w:ascii="宋体" w:hAnsi="宋体" w:cs="宋体"/>
          <w:color w:val="auto"/>
          <w:sz w:val="22"/>
          <w:szCs w:val="21"/>
          <w:highlight w:val="none"/>
        </w:rPr>
        <w:t xml:space="preserve">500元，并要求在一周内签订劳动合同和缴纳社会保险，如未履行，每延迟一天，承包人需支付违约金1000元</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(1)投标文件中明确的项目经理，未经发包人许可不得擅自变更。承包人未取得变更备案手续，而允许他人擅代项目经理的，视为项目经理不在场。否则，发包人有权解除合同，追回已经支付的款项，承包人向发包人支付违约金 5 万元</w:t>
      </w:r>
      <w:r>
        <w:rPr>
          <w:rFonts w:hint="eastAsia" w:ascii="宋体" w:hAnsi="宋体" w:cs="宋体"/>
          <w:color w:val="auto"/>
          <w:szCs w:val="21"/>
          <w:highlight w:val="none"/>
          <w:u w:val="single"/>
        </w:rPr>
        <w:t xml:space="preserve">。按照苏建招[2009]140 号文规定， 自备案之日起至原合同工期期满之日止，原中标项目经理不得作为项目经理承接其他工程，如备案之日至原合同工期期满之日不足六个月，则限制其承接工程的期限为六个月。发包人有权按照规定监督原中标项目经理的行业行为并向建设行政主管部门报告。 (2) 如果因苏建招(2005)580 号文中规定的客观原因更换项目经理，必须得到发包人的批准。更换的项目经理必须是本企业正式员工 (需提供劳动合同原件) ，并且满足本工程招标文件对于投标项目经理要求的如资质、业绩等同等条件，否则不予更换</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 承包人擅自更换项目经理的违约责任：</w:t>
      </w:r>
      <w:r>
        <w:rPr>
          <w:rFonts w:hint="eastAsia" w:ascii="宋体" w:hAnsi="宋体" w:cs="宋体"/>
          <w:color w:val="auto"/>
          <w:szCs w:val="21"/>
          <w:highlight w:val="none"/>
          <w:u w:val="single"/>
        </w:rPr>
        <w:t xml:space="preserve">  发包人有权解除合同，追回已经支付的款项，承包人向发包人支付违约金 3 万元</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212" w:name="_Toc32545"/>
      <w:r>
        <w:rPr>
          <w:rFonts w:hint="eastAsia" w:ascii="宋体" w:hAnsi="宋体" w:cs="宋体"/>
          <w:color w:val="auto"/>
          <w:szCs w:val="21"/>
          <w:highlight w:val="none"/>
        </w:rPr>
        <w:t xml:space="preserve">3.2.4 承包人无正当理由拒绝更换项目经理的违约责任：</w:t>
      </w:r>
      <w:r>
        <w:rPr>
          <w:rFonts w:hint="eastAsia" w:ascii="宋体" w:hAnsi="宋体" w:cs="宋体"/>
          <w:color w:val="auto"/>
          <w:szCs w:val="21"/>
          <w:highlight w:val="none"/>
          <w:u w:val="single"/>
        </w:rPr>
        <w:t xml:space="preserve">  发包人有权解除合同，追回已经支付的款项，承包人向发包人支付违约金 3 万元 </w:t>
      </w:r>
      <w:r>
        <w:rPr>
          <w:rFonts w:hint="eastAsia" w:ascii="宋体" w:hAnsi="宋体" w:cs="宋体"/>
          <w:color w:val="auto"/>
          <w:szCs w:val="21"/>
          <w:highlight w:val="none"/>
        </w:rPr>
        <w:t xml:space="preserve">。</w:t>
      </w:r>
      <w:bookmarkEnd w:id="21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 承包人人员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 承包人提交项目管理机构及施工现场管理人员安排报告的期限：</w:t>
      </w:r>
      <w:r>
        <w:rPr>
          <w:rFonts w:hint="eastAsia" w:ascii="宋体" w:hAnsi="宋体" w:cs="宋体"/>
          <w:color w:val="auto"/>
          <w:szCs w:val="21"/>
          <w:highlight w:val="none"/>
          <w:u w:val="single"/>
        </w:rPr>
        <w:t xml:space="preserve">  </w:t>
      </w:r>
      <w:r>
        <w:rPr>
          <w:rStyle w:val="1217"/>
          <w:rFonts w:hint="eastAsia" w:ascii="宋体" w:hAnsi="宋体" w:cs="宋体"/>
          <w:color w:val="auto"/>
          <w:sz w:val="22"/>
          <w:szCs w:val="21"/>
          <w:highlight w:val="none"/>
        </w:rPr>
        <w:t xml:space="preserve">接到开工通知后7天内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s="宋体"/>
          <w:color w:val="auto"/>
          <w:szCs w:val="21"/>
          <w:highlight w:val="none"/>
          <w:u w:val="single"/>
        </w:rPr>
        <w:t xml:space="preserve">  </w:t>
      </w:r>
      <w:r>
        <w:rPr>
          <w:rStyle w:val="1217"/>
          <w:rFonts w:hint="eastAsia" w:ascii="宋体" w:hAnsi="宋体" w:cs="宋体"/>
          <w:color w:val="auto"/>
          <w:sz w:val="22"/>
          <w:szCs w:val="21"/>
          <w:highlight w:val="none"/>
        </w:rPr>
        <w:t xml:space="preserve">每次每人每拖延一天处违约金1000元，从工程款中直接扣抵</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3.3.4 承包人主要施工管理人员离开施工现场的批准要求：</w:t>
      </w:r>
      <w:r>
        <w:rPr>
          <w:rFonts w:hint="eastAsia" w:ascii="宋体" w:hAnsi="宋体" w:cs="宋体"/>
          <w:color w:val="auto"/>
          <w:szCs w:val="21"/>
          <w:highlight w:val="none"/>
          <w:u w:val="single"/>
        </w:rPr>
        <w:t xml:space="preserve">如承包人主要施工管理人员有特殊原因不能保证上述在岗时间的或正常在岗时间离开工地现场的，必须以书面请假条形式报监理审核后，报发包人批准。否则承包人按 5000 元/人．次向发包人支付违约金，违约金在支付工程进度款时扣除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  承包人向发包人支付违约金 20000 元/人·次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 承包人按 1000 元/人·次向发包人支付违约金，违约金在支付工程进度款时扣除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   从开工到竣工验收交付发包为止，费用由承包人承担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 履约担保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合同金额的10％</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承包人在施工合同签订前，必须向发包人提交成交金额10%金作为履约保证金。履约保证金缴纳形式为转帐支票（或汇票、电汇，银行保函）将款项汇入发包人指定账户，履约保证金递交后承包人交纳清单控制价编制服务费拿到结清证明后，方可签订施工合同。工程结束经验收合格后10天内退还履约保证金（不计息）。</w:t>
      </w:r>
      <w:r/>
    </w:p>
    <w:p>
      <w:pPr>
        <w:numPr>
          <w:ilvl w:val="3"/>
          <w:numId w:val="1"/>
        </w:numPr>
        <w:keepLines/>
        <w:keepNext/>
        <w:spacing w:line="360" w:lineRule="auto"/>
        <w:rPr>
          <w:rFonts w:ascii="宋体" w:hAnsi="宋体" w:cs="宋体"/>
          <w:bCs/>
          <w:color w:val="auto"/>
          <w:szCs w:val="21"/>
          <w:highlight w:val="none"/>
        </w:rPr>
        <w:outlineLvl w:val="3"/>
      </w:pPr>
      <w:r/>
      <w:bookmarkStart w:id="213" w:name="_Toc267251418"/>
      <w:r/>
      <w:bookmarkStart w:id="214" w:name="_Toc351203637"/>
      <w:r>
        <w:rPr>
          <w:rFonts w:hint="eastAsia" w:ascii="宋体" w:hAnsi="宋体" w:cs="宋体"/>
          <w:bCs/>
          <w:color w:val="auto"/>
          <w:szCs w:val="21"/>
          <w:highlight w:val="none"/>
        </w:rPr>
        <w:t xml:space="preserve">5</w:t>
      </w:r>
      <w:bookmarkEnd w:id="213"/>
      <w:r/>
      <w:bookmarkStart w:id="215" w:name="_Toc292559872"/>
      <w:r/>
      <w:bookmarkStart w:id="216" w:name="_Toc296890991"/>
      <w:r/>
      <w:bookmarkStart w:id="217" w:name="_Toc292559367"/>
      <w:r/>
      <w:bookmarkStart w:id="218" w:name="_Toc296347162"/>
      <w:r/>
      <w:bookmarkStart w:id="219" w:name="_Toc296891203"/>
      <w:r/>
      <w:bookmarkStart w:id="220" w:name="_Toc297048349"/>
      <w:r/>
      <w:bookmarkStart w:id="221" w:name="_Toc296944502"/>
      <w:r/>
      <w:bookmarkStart w:id="222" w:name="_Toc296503163"/>
      <w:r/>
      <w:bookmarkStart w:id="223" w:name="_Toc296346664"/>
      <w:r/>
      <w:bookmarkStart w:id="224" w:name="_Toc297120463"/>
      <w:r>
        <w:rPr>
          <w:rFonts w:hint="eastAsia" w:ascii="宋体" w:hAnsi="宋体" w:cs="宋体"/>
          <w:bCs/>
          <w:color w:val="auto"/>
          <w:szCs w:val="21"/>
          <w:highlight w:val="none"/>
        </w:rPr>
        <w:t xml:space="preserve">. 工程质量</w:t>
      </w:r>
      <w:bookmarkEnd w:id="214"/>
      <w:r/>
      <w:r/>
    </w:p>
    <w:p>
      <w:pPr>
        <w:ind w:firstLine="420"/>
        <w:spacing w:line="360" w:lineRule="auto"/>
        <w:rPr>
          <w:rFonts w:ascii="宋体" w:hAnsi="宋体" w:cs="宋体"/>
          <w:color w:val="auto"/>
          <w:szCs w:val="21"/>
          <w:highlight w:val="none"/>
        </w:rPr>
        <w:outlineLvl w:val="0"/>
      </w:pPr>
      <w:r/>
      <w:bookmarkStart w:id="225" w:name="_Toc2318"/>
      <w:r>
        <w:rPr>
          <w:rFonts w:hint="eastAsia" w:ascii="宋体" w:hAnsi="宋体" w:cs="宋体"/>
          <w:color w:val="auto"/>
          <w:szCs w:val="21"/>
          <w:highlight w:val="none"/>
        </w:rPr>
        <w:t xml:space="preserve">5.1 质量要求</w:t>
      </w:r>
      <w:bookmarkEnd w:id="225"/>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5</w:t>
      </w:r>
      <w:bookmarkStart w:id="226" w:name="_Toc318581164"/>
      <w:r/>
      <w:bookmarkStart w:id="227" w:name="_Toc303539106"/>
      <w:r/>
      <w:bookmarkStart w:id="228" w:name="_Toc300934949"/>
      <w:r/>
      <w:bookmarkStart w:id="229" w:name="_Toc297216155"/>
      <w:r/>
      <w:bookmarkStart w:id="230" w:name="_Toc312677997"/>
      <w:r/>
      <w:bookmarkStart w:id="231" w:name="_Toc297123496"/>
      <w:r/>
      <w:bookmarkStart w:id="232" w:name="_Toc304295527"/>
      <w:r>
        <w:rPr>
          <w:rFonts w:hint="eastAsia" w:ascii="宋体" w:hAnsi="宋体" w:cs="宋体"/>
          <w:color w:val="auto"/>
          <w:szCs w:val="21"/>
          <w:highlight w:val="none"/>
        </w:rPr>
        <w:t xml:space="preserve">.1.1 特殊质量标准和要求：</w:t>
      </w:r>
      <w:r>
        <w:rPr>
          <w:rFonts w:hint="eastAsia" w:ascii="宋体" w:hAnsi="宋体" w:cs="宋体"/>
          <w:color w:val="auto"/>
          <w:szCs w:val="21"/>
          <w:highlight w:val="none"/>
          <w:u w:val="single"/>
        </w:rPr>
        <w:t xml:space="preserve"> 工程质量标准：符合国家工程质量验收标准的“合格”标准。工程质量一次验收合格，不奖不罚；一次验收不合格，承包人向发包人支付合同总价的 0.2%的违约金，验收不合格次数每增加一次，承包人另向发包人支付合同总价的 0.2%的违约金.</w:t>
      </w:r>
      <w:r>
        <w:rPr>
          <w:rFonts w:hint="eastAsia" w:ascii="宋体" w:hAnsi="宋体" w:cs="宋体"/>
          <w:color w:val="auto"/>
          <w:highlight w:val="none"/>
        </w:rPr>
        <w:t xml:space="preserve"> </w:t>
      </w:r>
      <w:r>
        <w:rPr>
          <w:rFonts w:hint="eastAsia" w:ascii="宋体" w:hAnsi="宋体" w:cs="宋体"/>
          <w:color w:val="auto"/>
          <w:szCs w:val="21"/>
          <w:highlight w:val="none"/>
          <w:u w:val="single"/>
        </w:rPr>
        <w:t xml:space="preserve">项目技术人员、安全员在施工过程中需提供驻场服务，在项目施工现场进行技术指导、全面负责检查施工现场质量、安全文明施工等各方面工作。</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(1) 双方约定中间验收部位：  按质监部门的有关要求及通用条款规定执行；</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(2) 工程过程验收：</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①材料进场验收：材料进场后必须提供相关产品的合格证、检测报告、质保书等相关资料，并按规定进行相关复检，经监理人和发包人共同验收合格后，方可进场使用。</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②工程验收过程中，对验收不合格的进场材料、半成品、成品等，必须进行整改或退货，直至整改合格为止，所有损失由承包人自行承担。对验收过程中出现大量不合格 (不合格项超过 5%) 或承包人对质量问题拒绝整改的，发包人将此行为视为承包人无履行合同能力，发包人有权解除合同并要求承包人退场，造成的所有损失全部由承包人承担，发包人不承担任何经济及其它损失。</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(3) 工程质量控制要求：</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①在施工过程中，如经政府有关职能部门、发包人检查，由于工程质量或安全生产文明施工未达到国家有关规定要求受到通报批评的，发包人除要求承包人限期整改外，并向承包人收取人民币500~5000 元/次的违约金。</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②由于承包人原因，发生工程质量问题 (包括保修期外) ，由此所造成的所有经济损失 (包括对后期物管及业主造成的所有损失) 和一切责任及费用均由承包人承担。</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 元/次的违约金。</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④施工过程中，承包人必须严格按发包人和监理人的管理要求执行。</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⑤施工过程中，对于发包方要求整改的问题未在规定期限内整改完毕，除按发包人的有关规定处罚外，每项整改内容每拖延一天，发包人向承包人收取人民币 2000 元的违约金。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⑥双方其它约定：合同履行中，发包人对承包人的工程质量进行管理控制，除本合同约定外，发包人有权单独制定其它相应管理规定 (不需承包人认可) ，承包人承诺遵守相关管理规定要求并对其执行的相应处罚条款认可</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233" w:name="_Toc30410"/>
      <w:r>
        <w:rPr>
          <w:rFonts w:hint="eastAsia" w:ascii="宋体" w:hAnsi="宋体" w:cs="宋体"/>
          <w:color w:val="auto"/>
          <w:szCs w:val="21"/>
          <w:highlight w:val="none"/>
        </w:rPr>
        <w:t xml:space="preserve">5.3 隐蔽工程检查</w:t>
      </w:r>
      <w:bookmarkEnd w:id="23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 按通用条款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 xml:space="preserve">小时提交书面延期要求。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 xml:space="preserve">小时。</w:t>
      </w:r>
      <w:r/>
    </w:p>
    <w:p>
      <w:pPr>
        <w:numPr>
          <w:ilvl w:val="3"/>
          <w:numId w:val="1"/>
        </w:numPr>
        <w:keepLines/>
        <w:keepNext/>
        <w:spacing w:line="360" w:lineRule="auto"/>
        <w:rPr>
          <w:rFonts w:ascii="宋体" w:hAnsi="宋体" w:cs="宋体"/>
          <w:bCs/>
          <w:color w:val="auto"/>
          <w:szCs w:val="21"/>
          <w:highlight w:val="none"/>
        </w:rPr>
        <w:outlineLvl w:val="3"/>
      </w:pPr>
      <w:r/>
      <w:bookmarkStart w:id="234" w:name="_Toc351203638"/>
      <w:r>
        <w:rPr>
          <w:rFonts w:hint="eastAsia" w:ascii="宋体" w:hAnsi="宋体" w:cs="宋体"/>
          <w:bCs/>
          <w:color w:val="auto"/>
          <w:szCs w:val="21"/>
          <w:highlight w:val="none"/>
        </w:rPr>
        <w:t xml:space="preserve">6. 安全文明施工与环境保护</w:t>
      </w:r>
      <w:bookmarkEnd w:id="23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6.1.1 项目安全生产的达标目标及相应事项的约定：</w:t>
      </w:r>
      <w:r>
        <w:rPr>
          <w:rFonts w:hint="eastAsia" w:ascii="宋体" w:hAnsi="宋体" w:cs="宋体"/>
          <w:color w:val="auto"/>
          <w:szCs w:val="21"/>
          <w:highlight w:val="none"/>
          <w:u w:val="single"/>
        </w:rPr>
        <w:t xml:space="preserve"> 1.本工程施工现场的安全管理、教育和安全事故责任均由承包人负责并承担相应费用。</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文明工地：施工现场按南京市安全生产文明施工要求、发包人要求进行布置和管理。施工现场如未按南京市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安全施工：承包人必须认真执行国家、省、市有关建筑施工安全生产条例和有关规定，施工期间必须认真做好安全生产管理工作，杜绝重大安全事故发生。承包人负责现场施工人员的安全管理、教育工作，施工期间</w:t>
      </w:r>
      <w:r>
        <w:rPr>
          <w:rFonts w:hint="eastAsia" w:ascii="宋体" w:hAnsi="宋体" w:cs="宋体"/>
          <w:color w:val="auto"/>
          <w:szCs w:val="21"/>
          <w:highlight w:val="none"/>
          <w:u w:val="single"/>
        </w:rPr>
        <w:t xml:space="preserve">， 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当现场发生突发事故或财产损失等情况时，承包人必须第一时间无条件全力进行处理，相关责任及损失事后由事故责任人据实承担。</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5.施工期间，如承包人发生重大伤亡事故，承包人必须在第一时间妥善处置，若造成人员伤亡事故，承担全部赔偿费用；因事故调查分析而产生的工期延误和费用增加由承包人承担。</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6.承包人未按规定做好各项管理工作，发包人在日常检查中一经发现将向承包人收取人民币500~5000 元/次的违约金。</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7.承包人对施工现场的安全负总责，专业分包单位 (含发包人另行发包的专业承包单位) 应服从承包人的安全管理。总承包单位和分包单位对分包工程的安全生产承担连带责任。分包单位应当服从总承包单位的安全生产管理，分包单位不服从管理导致生产安全事故的， 由分包单位承担主要责任。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9.双方其它约定：合同履行中，发包人对承包人施工现场的安全生产和文明施工进行管理控制，除本合同约定外，发包人有权单独制定其它相应管理规定 (不需承包人认可) ，承包人承诺遵守相关管理规定要求并对其执行的相应处罚条款认可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在实施和完成本工程过程中，承包人应充分关注和保障所有在场人员的安全，承包人对安全防护工作负全责 (包括但不限于责任和费用) ，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 由承包人承担。如承包人未履行上述约定及通用条款相关义务造成工程、财产和人身伤害，由承包人承担责任，赔偿损失及支付发生的费用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  在开工前提交的施工组织设计中必须要有此部分内容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6.1.5 文明施工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6.1.6 关于安全文明施工费支付比例和支付期限的约定：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226"/>
      <w:r/>
      <w:bookmarkEnd w:id="227"/>
      <w:r/>
      <w:bookmarkEnd w:id="228"/>
      <w:r/>
      <w:bookmarkEnd w:id="229"/>
      <w:r/>
      <w:bookmarkEnd w:id="230"/>
      <w:r/>
      <w:bookmarkEnd w:id="231"/>
      <w:r/>
      <w:bookmarkEnd w:id="232"/>
      <w:r/>
      <w:r/>
    </w:p>
    <w:p>
      <w:pPr>
        <w:numPr>
          <w:ilvl w:val="3"/>
          <w:numId w:val="1"/>
        </w:numPr>
        <w:keepLines/>
        <w:keepNext/>
        <w:spacing w:line="360" w:lineRule="auto"/>
        <w:rPr>
          <w:rFonts w:ascii="宋体" w:hAnsi="宋体" w:cs="宋体"/>
          <w:bCs/>
          <w:color w:val="auto"/>
          <w:szCs w:val="21"/>
          <w:highlight w:val="none"/>
        </w:rPr>
        <w:outlineLvl w:val="3"/>
      </w:pPr>
      <w:r/>
      <w:bookmarkStart w:id="235" w:name="_Toc351203639"/>
      <w:r>
        <w:rPr>
          <w:rFonts w:hint="eastAsia" w:ascii="宋体" w:hAnsi="宋体" w:cs="宋体"/>
          <w:bCs/>
          <w:color w:val="auto"/>
          <w:szCs w:val="21"/>
          <w:highlight w:val="none"/>
        </w:rPr>
        <w:t xml:space="preserve">7. 工期和进度</w:t>
      </w:r>
      <w:bookmarkEnd w:id="23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 施工组织设计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7.1.1 合</w:t>
      </w:r>
      <w:r>
        <w:rPr>
          <w:rFonts w:hint="eastAsia" w:ascii="宋体" w:hAnsi="宋体" w:cs="宋体"/>
          <w:color w:val="auto"/>
          <w:szCs w:val="21"/>
          <w:highlight w:val="none"/>
        </w:rPr>
        <w:t xml:space="preserve">同当事人约定的施工组织设计应包括的其他内容：</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7.1.2 </w:t>
      </w:r>
      <w:r>
        <w:rPr>
          <w:rFonts w:hint="eastAsia" w:ascii="宋体" w:hAnsi="宋体" w:cs="宋体"/>
          <w:color w:val="auto"/>
          <w:szCs w:val="21"/>
          <w:highlight w:val="none"/>
        </w:rPr>
        <w:t xml:space="preserve">施工组织设计的提交和修改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    开工前7个日历日内。报送详细的施工组织设计 (施工方案) 和施工进度总计划，每周一向发包人、监理方报送周计划。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   收到承包方资料后一周内予以确认。逾期不确认也不提出书面意见的，视为同意。但前述“视为同意”不得成为承包人在施工组织设计和工程进度计划方面因故意或过失导致的任何民事、行政责任的免责事由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bookmarkStart w:id="236" w:name="_Toc312677479"/>
      <w:r/>
      <w:bookmarkStart w:id="237" w:name="_Toc300934966"/>
      <w:r/>
      <w:bookmarkStart w:id="238" w:name="_Toc297216173"/>
      <w:r/>
      <w:bookmarkStart w:id="239" w:name="_Toc304295541"/>
      <w:r/>
      <w:bookmarkStart w:id="240" w:name="_Toc297123514"/>
      <w:r/>
      <w:bookmarkStart w:id="241" w:name="_Toc312678005"/>
      <w:r/>
      <w:bookmarkStart w:id="242" w:name="_Toc303539123"/>
      <w:r>
        <w:rPr>
          <w:rFonts w:hint="eastAsia" w:ascii="宋体" w:hAnsi="宋体" w:cs="宋体"/>
          <w:color w:val="auto"/>
          <w:szCs w:val="21"/>
          <w:highlight w:val="none"/>
        </w:rPr>
        <w:t xml:space="preserve">.2 施工进度计划</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    收到承包方资料后一周内予以确认。逾期不确认也不提出书面意见的，视为同意。但前述“视为同意”不得成为承包人在施工组织设计和工程进度计划方面因故意或过失导致的任何民事、行政责任的免责事由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 开工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7.3.1 开工准备</w:t>
      </w:r>
      <w:r/>
    </w:p>
    <w:p>
      <w:pPr>
        <w:ind w:firstLine="645"/>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关于承包人提交</w:t>
      </w:r>
      <w:r>
        <w:rPr>
          <w:rFonts w:hint="eastAsia" w:ascii="宋体" w:hAnsi="宋体" w:cs="宋体"/>
          <w:color w:val="auto"/>
          <w:szCs w:val="21"/>
          <w:highlight w:val="none"/>
        </w:rPr>
        <w:t xml:space="preserve">工程开工报审表的期限：</w:t>
      </w:r>
      <w:r>
        <w:rPr>
          <w:rFonts w:hint="eastAsia" w:ascii="宋体" w:hAnsi="宋体" w:cs="宋体"/>
          <w:color w:val="auto"/>
          <w:szCs w:val="21"/>
          <w:highlight w:val="none"/>
          <w:u w:val="single"/>
        </w:rPr>
        <w:t xml:space="preserve">    按通用条款    </w:t>
      </w:r>
      <w:r>
        <w:rPr>
          <w:rFonts w:hint="eastAsia" w:ascii="宋体" w:hAnsi="宋体" w:cs="宋体"/>
          <w:color w:val="auto"/>
          <w:szCs w:val="21"/>
          <w:highlight w:val="none"/>
        </w:rPr>
        <w:t xml:space="preserve">。</w:t>
      </w:r>
      <w:r/>
    </w:p>
    <w:p>
      <w:pPr>
        <w:ind w:firstLine="64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   按通用条款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   按通用条款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 xml:space="preserve">天内发出开工通知的，承包人有权提出价格调整要求，或者解除合同。</w:t>
      </w:r>
      <w:bookmarkEnd w:id="236"/>
      <w:r/>
      <w:bookmarkEnd w:id="237"/>
      <w:r/>
      <w:bookmarkEnd w:id="238"/>
      <w:r/>
      <w:bookmarkEnd w:id="239"/>
      <w:r/>
      <w:bookmarkEnd w:id="240"/>
      <w:r/>
      <w:bookmarkEnd w:id="241"/>
      <w:r/>
      <w:bookmarkEnd w:id="24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 测量放线</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     开工前发包人、承包人及监理人三方按施工图进行现场交验，并提供书面报告交承包人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bookmarkStart w:id="243" w:name="_Toc312678010"/>
      <w:r/>
      <w:bookmarkStart w:id="244" w:name="_Toc297216175"/>
      <w:r/>
      <w:bookmarkStart w:id="245" w:name="_Toc303539125"/>
      <w:r/>
      <w:bookmarkStart w:id="246" w:name="_Toc297123516"/>
      <w:r/>
      <w:bookmarkStart w:id="247" w:name="_Toc304295546"/>
      <w:r/>
      <w:bookmarkStart w:id="248" w:name="_Toc312677484"/>
      <w:r/>
      <w:bookmarkStart w:id="249" w:name="_Toc300934968"/>
      <w:r>
        <w:rPr>
          <w:rFonts w:hint="eastAsia" w:ascii="宋体" w:hAnsi="宋体" w:cs="宋体"/>
          <w:color w:val="auto"/>
          <w:szCs w:val="21"/>
          <w:highlight w:val="none"/>
        </w:rPr>
        <w:t xml:space="preserve">.5 工期延误</w:t>
      </w:r>
      <w:bookmarkEnd w:id="243"/>
      <w:r/>
      <w:bookmarkEnd w:id="244"/>
      <w:r/>
      <w:bookmarkEnd w:id="245"/>
      <w:r/>
      <w:bookmarkEnd w:id="246"/>
      <w:r/>
      <w:bookmarkEnd w:id="247"/>
      <w:r/>
      <w:bookmarkEnd w:id="248"/>
      <w:r/>
      <w:bookmarkEnd w:id="24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7.5.1 因发包人原因导致工期延误</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  以下原因在施工关键工期线路上，造成竣工日期及控制工期拖延，且该拖延后果确属不可避免，经发包人确认，工期相应顺延，发包人不承担包括承包人窝工、停工、机械进出场、台班费等在内的其它责任；</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a. 按本合同定义的不可抗力 (本合同定义以外的不可抗力的影响已由承包人在投标施工总工期中综合包干考虑) ；</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b. 发包人未在开工前提供施工场地，提供图纸；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c. 因发包人原因工程延期开工、停建、缓建、暂停施工 (不含勒令停工)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bookmarkStart w:id="250" w:name="_Toc318581169"/>
      <w:r/>
      <w:bookmarkStart w:id="251" w:name="_Toc312677486"/>
      <w:r/>
      <w:bookmarkStart w:id="252" w:name="_Toc312678012"/>
      <w:r/>
      <w:bookmarkStart w:id="253" w:name="_Toc297123518"/>
      <w:r/>
      <w:bookmarkStart w:id="254" w:name="_Toc300934970"/>
      <w:r/>
      <w:bookmarkStart w:id="255" w:name="_Toc303539127"/>
      <w:r/>
      <w:bookmarkStart w:id="256" w:name="_Toc297216177"/>
      <w:r/>
      <w:bookmarkStart w:id="257" w:name="_Toc304295548"/>
      <w:r>
        <w:rPr>
          <w:rFonts w:hint="eastAsia" w:ascii="宋体" w:hAnsi="宋体" w:cs="宋体"/>
          <w:color w:val="auto"/>
          <w:szCs w:val="21"/>
          <w:highlight w:val="none"/>
        </w:rPr>
        <w:t xml:space="preserve">.5.2 因承包人原因导致工期延误</w:t>
      </w:r>
      <w:bookmarkEnd w:id="250"/>
      <w:r/>
      <w:bookmarkEnd w:id="251"/>
      <w:r/>
      <w:bookmarkEnd w:id="252"/>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w:t>
      </w:r>
      <w:bookmarkStart w:id="258" w:name="_Toc312677487"/>
      <w:r/>
      <w:bookmarkStart w:id="259" w:name="_Toc312678013"/>
      <w:r/>
      <w:bookmarkStart w:id="260" w:name="_Toc318581170"/>
      <w:r>
        <w:rPr>
          <w:rFonts w:hint="eastAsia" w:ascii="宋体" w:hAnsi="宋体" w:cs="宋体"/>
          <w:color w:val="auto"/>
          <w:szCs w:val="21"/>
          <w:highlight w:val="none"/>
        </w:rPr>
        <w:t xml:space="preserve">承包人原因造成工期延误，逾期竣工违约金的计算方法为：</w:t>
      </w:r>
      <w:r>
        <w:rPr>
          <w:rFonts w:hint="eastAsia" w:ascii="宋体" w:hAnsi="宋体" w:cs="宋体"/>
          <w:color w:val="auto"/>
          <w:szCs w:val="21"/>
          <w:highlight w:val="none"/>
          <w:u w:val="single"/>
        </w:rPr>
        <w:t xml:space="preserve">  由于承包人的原因造成的工期延误，每延期一天按工程造价的万分之二罚款，工期延误赔偿金限额为合同价的10%。该违约金招标人可以从应向中标人支付的任何款项中扣除，此违约金的支付并不能解除中标人完成该工程的责任和合同规定的其它责任  </w:t>
      </w:r>
      <w:r>
        <w:rPr>
          <w:rFonts w:hint="eastAsia" w:ascii="宋体" w:hAnsi="宋体" w:cs="宋体"/>
          <w:color w:val="auto"/>
          <w:szCs w:val="21"/>
          <w:highlight w:val="none"/>
        </w:rPr>
        <w:t xml:space="preserve">。</w:t>
      </w:r>
      <w:bookmarkEnd w:id="253"/>
      <w:r/>
      <w:bookmarkEnd w:id="254"/>
      <w:r/>
      <w:bookmarkEnd w:id="255"/>
      <w:r/>
      <w:bookmarkEnd w:id="256"/>
      <w:r/>
      <w:bookmarkEnd w:id="257"/>
      <w:r/>
      <w:bookmarkEnd w:id="258"/>
      <w:r/>
      <w:bookmarkEnd w:id="259"/>
      <w:r/>
      <w:bookmarkEnd w:id="260"/>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w:t>
      </w:r>
      <w:bookmarkStart w:id="261" w:name="_Toc312678014"/>
      <w:r/>
      <w:bookmarkStart w:id="262" w:name="_Toc318581171"/>
      <w:r>
        <w:rPr>
          <w:rFonts w:hint="eastAsia" w:ascii="宋体" w:hAnsi="宋体" w:cs="宋体"/>
          <w:color w:val="auto"/>
          <w:szCs w:val="21"/>
          <w:highlight w:val="none"/>
        </w:rPr>
        <w:t xml:space="preserve">期竣工违约金的上限：</w:t>
      </w:r>
      <w:r>
        <w:rPr>
          <w:rFonts w:hint="eastAsia" w:ascii="宋体" w:hAnsi="宋体" w:cs="宋体"/>
          <w:color w:val="auto"/>
          <w:szCs w:val="21"/>
          <w:highlight w:val="none"/>
          <w:u w:val="single"/>
        </w:rPr>
        <w:t xml:space="preserve">  以结算总价 3％为限   </w:t>
      </w:r>
      <w:r>
        <w:rPr>
          <w:rFonts w:hint="eastAsia" w:ascii="宋体" w:hAnsi="宋体" w:cs="宋体"/>
          <w:color w:val="auto"/>
          <w:szCs w:val="21"/>
          <w:highlight w:val="none"/>
        </w:rPr>
        <w:t xml:space="preserve">。</w:t>
      </w:r>
      <w:bookmarkEnd w:id="261"/>
      <w:r/>
      <w:bookmarkEnd w:id="26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bookmarkStart w:id="263" w:name="_Toc300934971"/>
      <w:r/>
      <w:bookmarkStart w:id="264" w:name="_Toc304295549"/>
      <w:r/>
      <w:bookmarkStart w:id="265" w:name="_Toc312678015"/>
      <w:r/>
      <w:bookmarkStart w:id="266" w:name="_Toc297216178"/>
      <w:r/>
      <w:bookmarkStart w:id="267" w:name="_Toc303539128"/>
      <w:r/>
      <w:bookmarkStart w:id="268" w:name="_Toc297123519"/>
      <w:r>
        <w:rPr>
          <w:rFonts w:hint="eastAsia" w:ascii="宋体" w:hAnsi="宋体" w:cs="宋体"/>
          <w:color w:val="auto"/>
          <w:szCs w:val="21"/>
          <w:highlight w:val="none"/>
        </w:rPr>
        <w:t xml:space="preserve">.6 不</w:t>
      </w:r>
      <w:bookmarkEnd w:id="263"/>
      <w:r/>
      <w:bookmarkEnd w:id="264"/>
      <w:r/>
      <w:bookmarkEnd w:id="265"/>
      <w:r/>
      <w:bookmarkEnd w:id="266"/>
      <w:r/>
      <w:bookmarkEnd w:id="267"/>
      <w:r/>
      <w:bookmarkEnd w:id="268"/>
      <w:r>
        <w:rPr>
          <w:rFonts w:hint="eastAsia" w:ascii="宋体" w:hAnsi="宋体" w:cs="宋体"/>
          <w:color w:val="auto"/>
          <w:szCs w:val="21"/>
          <w:highlight w:val="none"/>
        </w:rPr>
        <w:t xml:space="preserve">利物质条件</w:t>
      </w:r>
      <w:r/>
    </w:p>
    <w:p>
      <w:pPr>
        <w:ind w:firstLine="420"/>
        <w:jc w:val="left"/>
        <w:spacing w:line="360" w:lineRule="auto"/>
        <w:rPr>
          <w:rFonts w:ascii="宋体" w:hAnsi="宋体" w:cs="宋体"/>
          <w:color w:val="auto"/>
          <w:szCs w:val="21"/>
          <w:highlight w:val="none"/>
        </w:rPr>
      </w:pPr>
      <w:r/>
      <w:bookmarkStart w:id="269" w:name="_Toc297216179"/>
      <w:r/>
      <w:bookmarkStart w:id="270" w:name="_Toc303539129"/>
      <w:r/>
      <w:bookmarkStart w:id="271" w:name="_Toc318581172"/>
      <w:r/>
      <w:bookmarkStart w:id="272" w:name="_Toc297123520"/>
      <w:r/>
      <w:bookmarkStart w:id="273" w:name="_Toc312678016"/>
      <w:r/>
      <w:bookmarkStart w:id="274" w:name="_Toc304295550"/>
      <w:r/>
      <w:bookmarkStart w:id="275" w:name="_Toc300934972"/>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   由发包人会同承包人及有关部门做好相关保护工作，但因承包人责任造成损害的，其损失赔偿由承包人承担。非承包人原因造成的与承包人无关  </w:t>
      </w:r>
      <w:r>
        <w:rPr>
          <w:rFonts w:hint="eastAsia" w:ascii="宋体" w:hAnsi="宋体" w:cs="宋体"/>
          <w:color w:val="auto"/>
          <w:szCs w:val="21"/>
          <w:highlight w:val="none"/>
        </w:rPr>
        <w:t xml:space="preserve">。</w:t>
      </w:r>
      <w:bookmarkEnd w:id="269"/>
      <w:r/>
      <w:bookmarkEnd w:id="270"/>
      <w:r/>
      <w:bookmarkEnd w:id="271"/>
      <w:r/>
      <w:bookmarkEnd w:id="272"/>
      <w:r/>
      <w:bookmarkEnd w:id="273"/>
      <w:r/>
      <w:bookmarkEnd w:id="274"/>
      <w:r/>
      <w:bookmarkEnd w:id="27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bookmarkStart w:id="276" w:name="_Toc303539130"/>
      <w:r/>
      <w:bookmarkStart w:id="277" w:name="_Toc297216180"/>
      <w:r/>
      <w:bookmarkStart w:id="278" w:name="_Toc297123521"/>
      <w:r/>
      <w:bookmarkStart w:id="279" w:name="_Toc304295551"/>
      <w:r/>
      <w:bookmarkStart w:id="280" w:name="_Toc300934973"/>
      <w:r/>
      <w:bookmarkStart w:id="281" w:name="_Toc312678017"/>
      <w:r>
        <w:rPr>
          <w:rFonts w:hint="eastAsia" w:ascii="宋体" w:hAnsi="宋体" w:cs="宋体"/>
          <w:color w:val="auto"/>
          <w:szCs w:val="21"/>
          <w:highlight w:val="none"/>
        </w:rPr>
        <w:t xml:space="preserve">.7异常恶劣的气候条件</w:t>
      </w:r>
      <w:bookmarkEnd w:id="276"/>
      <w:r/>
      <w:bookmarkEnd w:id="277"/>
      <w:r/>
      <w:bookmarkEnd w:id="278"/>
      <w:r/>
      <w:bookmarkEnd w:id="279"/>
      <w:r/>
      <w:bookmarkEnd w:id="280"/>
      <w:r/>
      <w:bookmarkEnd w:id="28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连续日降雨量大于 100mm 的雨日超过 2 天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连续日气温超过 38℃ 的高温大于 3 天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日气温低于-10℃ 的严寒大于 3 天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u w:val="single"/>
        </w:rPr>
        <w:t xml:space="preserve">造成工程损坏的冰雹和大雪灾害： 日降雪量 50mm 及以上</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282" w:name="_Toc23616"/>
      <w:r>
        <w:rPr>
          <w:rFonts w:hint="eastAsia" w:ascii="宋体" w:hAnsi="宋体" w:cs="宋体"/>
          <w:color w:val="auto"/>
          <w:szCs w:val="21"/>
          <w:highlight w:val="none"/>
        </w:rPr>
        <w:t xml:space="preserve">7.9 提前竣工的奖励</w:t>
      </w:r>
      <w:bookmarkEnd w:id="282"/>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numPr>
          <w:ilvl w:val="3"/>
          <w:numId w:val="1"/>
        </w:numPr>
        <w:keepLines/>
        <w:keepNext/>
        <w:spacing w:line="360" w:lineRule="auto"/>
        <w:rPr>
          <w:rFonts w:ascii="宋体" w:hAnsi="宋体" w:cs="宋体"/>
          <w:bCs/>
          <w:color w:val="auto"/>
          <w:szCs w:val="21"/>
          <w:highlight w:val="none"/>
        </w:rPr>
        <w:outlineLvl w:val="3"/>
      </w:pPr>
      <w:r/>
      <w:bookmarkStart w:id="283" w:name="_Toc351203640"/>
      <w:r>
        <w:rPr>
          <w:rFonts w:hint="eastAsia" w:ascii="宋体" w:hAnsi="宋体" w:cs="宋体"/>
          <w:bCs/>
          <w:color w:val="auto"/>
          <w:szCs w:val="21"/>
          <w:highlight w:val="none"/>
        </w:rPr>
        <w:t xml:space="preserve">8. 材料与设备</w:t>
      </w:r>
      <w:bookmarkEnd w:id="283"/>
      <w:r/>
      <w:bookmarkEnd w:id="215"/>
      <w:r/>
      <w:bookmarkEnd w:id="216"/>
      <w:r/>
      <w:bookmarkEnd w:id="217"/>
      <w:r/>
      <w:bookmarkEnd w:id="218"/>
      <w:r/>
      <w:bookmarkEnd w:id="219"/>
      <w:r/>
      <w:bookmarkEnd w:id="220"/>
      <w:r/>
      <w:bookmarkEnd w:id="221"/>
      <w:r/>
      <w:bookmarkEnd w:id="222"/>
      <w:r/>
      <w:bookmarkEnd w:id="223"/>
      <w:r/>
      <w:bookmarkEnd w:id="22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bookmarkStart w:id="284" w:name="_Toc303539136"/>
      <w:r/>
      <w:bookmarkStart w:id="285" w:name="_Toc296891207"/>
      <w:r/>
      <w:bookmarkStart w:id="286" w:name="_Toc312677493"/>
      <w:r/>
      <w:bookmarkStart w:id="287" w:name="_Toc297123527"/>
      <w:r/>
      <w:bookmarkStart w:id="288" w:name="_Toc296503167"/>
      <w:r/>
      <w:bookmarkStart w:id="289" w:name="_Toc300934979"/>
      <w:r/>
      <w:bookmarkStart w:id="290" w:name="_Toc292559372"/>
      <w:r/>
      <w:bookmarkStart w:id="291" w:name="_Toc296890995"/>
      <w:r/>
      <w:bookmarkStart w:id="292" w:name="_Toc304295556"/>
      <w:r/>
      <w:bookmarkStart w:id="293" w:name="_Toc296944506"/>
      <w:r/>
      <w:bookmarkStart w:id="294" w:name="_Toc292559877"/>
      <w:r/>
      <w:bookmarkStart w:id="295" w:name="_Toc280868654"/>
      <w:r/>
      <w:bookmarkStart w:id="296" w:name="_Toc296346668"/>
      <w:r/>
      <w:bookmarkStart w:id="297" w:name="_Toc297120467"/>
      <w:r/>
      <w:bookmarkStart w:id="298" w:name="_Toc297216186"/>
      <w:r/>
      <w:bookmarkStart w:id="299" w:name="_Toc296347166"/>
      <w:r/>
      <w:bookmarkStart w:id="300" w:name="_Toc312678019"/>
      <w:r/>
      <w:bookmarkStart w:id="301" w:name="_Toc297048353"/>
      <w:r/>
      <w:bookmarkStart w:id="302" w:name="_Toc280868656"/>
      <w:r/>
      <w:bookmarkStart w:id="303" w:name="_Toc280868655"/>
      <w:r/>
      <w:bookmarkStart w:id="304" w:name="_Toc267251424"/>
      <w:r>
        <w:rPr>
          <w:rFonts w:hint="eastAsia" w:ascii="宋体" w:hAnsi="宋体" w:cs="宋体"/>
          <w:color w:val="auto"/>
          <w:szCs w:val="21"/>
          <w:highlight w:val="none"/>
        </w:rPr>
        <w:t xml:space="preserve">.4材料与工程设备的保管与使用</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bookmarkStart w:id="305" w:name="_Toc292559878"/>
      <w:r/>
      <w:bookmarkStart w:id="306" w:name="_Toc292559373"/>
      <w:r/>
      <w:bookmarkStart w:id="307" w:name="_Toc318581173"/>
      <w:r/>
      <w:bookmarkStart w:id="308" w:name="_Toc296944507"/>
      <w:r/>
      <w:bookmarkStart w:id="309" w:name="_Toc296503168"/>
      <w:r/>
      <w:bookmarkStart w:id="310" w:name="_Toc312678020"/>
      <w:r/>
      <w:bookmarkStart w:id="311" w:name="_Toc296346669"/>
      <w:r/>
      <w:bookmarkStart w:id="312" w:name="_Toc297120468"/>
      <w:r/>
      <w:bookmarkStart w:id="313" w:name="_Toc300934980"/>
      <w:r/>
      <w:bookmarkStart w:id="314" w:name="_Toc303539137"/>
      <w:r/>
      <w:bookmarkStart w:id="315" w:name="_Toc297216187"/>
      <w:r/>
      <w:bookmarkStart w:id="316" w:name="_Toc297048354"/>
      <w:r/>
      <w:bookmarkStart w:id="317" w:name="_Toc312677494"/>
      <w:r/>
      <w:bookmarkStart w:id="318" w:name="_Toc296890996"/>
      <w:r/>
      <w:bookmarkStart w:id="319" w:name="_Toc297123528"/>
      <w:r/>
      <w:bookmarkStart w:id="320" w:name="_Toc296891208"/>
      <w:r/>
      <w:bookmarkStart w:id="321" w:name="_Toc304295557"/>
      <w:r/>
      <w:bookmarkStart w:id="322" w:name="_Toc296347167"/>
      <w:r>
        <w:rPr>
          <w:rFonts w:hint="eastAsia" w:ascii="宋体" w:hAnsi="宋体" w:cs="宋体"/>
          <w:color w:val="auto"/>
          <w:szCs w:val="21"/>
          <w:highlight w:val="none"/>
        </w:rPr>
        <w:t xml:space="preserve">.4.1发包人供应的材料设备的保管费用的承担：</w:t>
      </w:r>
      <w:r>
        <w:rPr>
          <w:rFonts w:hint="eastAsia" w:ascii="宋体" w:hAnsi="宋体" w:cs="宋体"/>
          <w:color w:val="auto"/>
          <w:szCs w:val="21"/>
          <w:highlight w:val="none"/>
          <w:u w:val="single"/>
        </w:rPr>
        <w:t xml:space="preserve">  由承包人承担  </w:t>
      </w:r>
      <w:r>
        <w:rPr>
          <w:rFonts w:hint="eastAsia" w:ascii="宋体" w:hAnsi="宋体" w:cs="宋体"/>
          <w:color w:val="auto"/>
          <w:szCs w:val="21"/>
          <w:highlight w:val="none"/>
        </w:rPr>
        <w:t xml:space="preserve">。</w:t>
      </w:r>
      <w:bookmarkEnd w:id="305"/>
      <w:r/>
      <w:bookmarkEnd w:id="306"/>
      <w:r/>
      <w:r/>
    </w:p>
    <w:p>
      <w:pPr>
        <w:ind w:firstLine="420"/>
        <w:spacing w:line="360" w:lineRule="auto"/>
        <w:rPr>
          <w:rFonts w:ascii="宋体" w:hAnsi="宋体" w:cs="宋体"/>
          <w:color w:val="auto"/>
          <w:szCs w:val="21"/>
          <w:highlight w:val="none"/>
        </w:rPr>
        <w:outlineLvl w:val="0"/>
      </w:pPr>
      <w:r/>
      <w:bookmarkStart w:id="323" w:name="_Toc27733"/>
      <w:r>
        <w:rPr>
          <w:rFonts w:hint="eastAsia" w:ascii="宋体" w:hAnsi="宋体" w:cs="宋体"/>
          <w:color w:val="auto"/>
          <w:szCs w:val="21"/>
          <w:highlight w:val="none"/>
        </w:rPr>
        <w:t xml:space="preserve">8.6 样品</w:t>
      </w:r>
      <w:bookmarkEnd w:id="32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8.6.1</w:t>
      </w:r>
      <w:r>
        <w:rPr>
          <w:rFonts w:hint="eastAsia" w:ascii="宋体" w:hAnsi="宋体" w:cs="宋体"/>
          <w:color w:val="auto"/>
          <w:szCs w:val="21"/>
          <w:highlight w:val="none"/>
        </w:rPr>
        <w:tab/>
      </w:r>
      <w:r>
        <w:rPr>
          <w:rFonts w:hint="eastAsia" w:ascii="宋体" w:hAnsi="宋体" w:cs="宋体"/>
          <w:color w:val="auto"/>
          <w:szCs w:val="21"/>
          <w:highlight w:val="none"/>
        </w:rPr>
        <w:t xml:space="preserve">样品的报送与封存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  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324" w:name="_Toc21857"/>
      <w:r>
        <w:rPr>
          <w:rFonts w:hint="eastAsia" w:ascii="宋体" w:hAnsi="宋体" w:cs="宋体"/>
          <w:color w:val="auto"/>
          <w:szCs w:val="21"/>
          <w:highlight w:val="none"/>
        </w:rPr>
        <w:t xml:space="preserve">8.8 施工设备和临时设施</w:t>
      </w:r>
      <w:bookmarkEnd w:id="324"/>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  计入投标报价中。招标人不负责提供现场办公室， 由中标人自行解决，相关费用在报价范围内   </w:t>
      </w:r>
      <w:r>
        <w:rPr>
          <w:rFonts w:hint="eastAsia" w:ascii="宋体" w:hAnsi="宋体" w:cs="宋体"/>
          <w:color w:val="auto"/>
          <w:szCs w:val="21"/>
          <w:highlight w:val="none"/>
        </w:rPr>
        <w:t xml:space="preserve">。</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numPr>
          <w:ilvl w:val="3"/>
          <w:numId w:val="1"/>
        </w:numPr>
        <w:keepLines/>
        <w:keepNext/>
        <w:spacing w:line="360" w:lineRule="auto"/>
        <w:rPr>
          <w:rFonts w:ascii="宋体" w:hAnsi="宋体" w:cs="宋体"/>
          <w:bCs/>
          <w:color w:val="auto"/>
          <w:szCs w:val="21"/>
          <w:highlight w:val="none"/>
        </w:rPr>
        <w:outlineLvl w:val="3"/>
      </w:pPr>
      <w:r/>
      <w:bookmarkStart w:id="325" w:name="_Toc351203641"/>
      <w:r>
        <w:rPr>
          <w:rFonts w:hint="eastAsia" w:ascii="宋体" w:hAnsi="宋体" w:cs="宋体"/>
          <w:bCs/>
          <w:color w:val="auto"/>
          <w:szCs w:val="21"/>
          <w:highlight w:val="none"/>
        </w:rPr>
        <w:t xml:space="preserve">9</w:t>
      </w:r>
      <w:bookmarkEnd w:id="302"/>
      <w:r/>
      <w:bookmarkEnd w:id="303"/>
      <w:r/>
      <w:bookmarkEnd w:id="304"/>
      <w:r/>
      <w:bookmarkStart w:id="326" w:name="_Toc297123533"/>
      <w:r/>
      <w:bookmarkStart w:id="327" w:name="_Toc312678021"/>
      <w:r/>
      <w:bookmarkStart w:id="328" w:name="_Toc303539139"/>
      <w:r/>
      <w:bookmarkStart w:id="329" w:name="_Toc300934982"/>
      <w:r/>
      <w:bookmarkStart w:id="330" w:name="_Toc304295559"/>
      <w:r/>
      <w:bookmarkStart w:id="331" w:name="_Toc297216192"/>
      <w:r/>
      <w:bookmarkStart w:id="332" w:name="_Toc312677495"/>
      <w:r/>
      <w:bookmarkStart w:id="333" w:name="_Toc267251428"/>
      <w:r/>
      <w:bookmarkStart w:id="334" w:name="_Toc296891213"/>
      <w:r/>
      <w:bookmarkStart w:id="335" w:name="_Toc297120473"/>
      <w:r/>
      <w:bookmarkStart w:id="336" w:name="_Toc296346674"/>
      <w:r/>
      <w:bookmarkStart w:id="337" w:name="_Toc267251427"/>
      <w:r/>
      <w:bookmarkStart w:id="338" w:name="_Toc296944512"/>
      <w:r/>
      <w:bookmarkStart w:id="339" w:name="_Toc296503173"/>
      <w:r/>
      <w:bookmarkStart w:id="340" w:name="_Toc292559378"/>
      <w:r/>
      <w:bookmarkStart w:id="341" w:name="_Toc296347172"/>
      <w:r/>
      <w:bookmarkStart w:id="342" w:name="_Toc296891001"/>
      <w:r/>
      <w:bookmarkStart w:id="343" w:name="_Toc292559883"/>
      <w:r/>
      <w:bookmarkStart w:id="344" w:name="_Toc297048359"/>
      <w:r>
        <w:rPr>
          <w:rFonts w:hint="eastAsia" w:ascii="宋体" w:hAnsi="宋体" w:cs="宋体"/>
          <w:bCs/>
          <w:color w:val="auto"/>
          <w:szCs w:val="21"/>
          <w:highlight w:val="none"/>
        </w:rPr>
        <w:t xml:space="preserve">. 试验与检验</w:t>
      </w:r>
      <w:bookmarkEnd w:id="325"/>
      <w:r/>
      <w:bookmarkEnd w:id="326"/>
      <w:r/>
      <w:bookmarkEnd w:id="327"/>
      <w:r/>
      <w:bookmarkEnd w:id="328"/>
      <w:r/>
      <w:bookmarkEnd w:id="329"/>
      <w:r/>
      <w:bookmarkEnd w:id="330"/>
      <w:r/>
      <w:bookmarkEnd w:id="331"/>
      <w:r/>
      <w:bookmarkEnd w:id="33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bookmarkStart w:id="345" w:name="_Toc297216193"/>
      <w:r/>
      <w:bookmarkStart w:id="346" w:name="_Toc300934983"/>
      <w:r/>
      <w:bookmarkStart w:id="347" w:name="_Toc312678022"/>
      <w:r/>
      <w:bookmarkStart w:id="348" w:name="_Toc304295560"/>
      <w:r/>
      <w:bookmarkStart w:id="349" w:name="_Toc303539140"/>
      <w:r/>
      <w:bookmarkStart w:id="350" w:name="_Toc312677496"/>
      <w:r/>
      <w:bookmarkStart w:id="351" w:name="_Toc297123534"/>
      <w:r>
        <w:rPr>
          <w:rFonts w:hint="eastAsia" w:ascii="宋体" w:hAnsi="宋体" w:cs="宋体"/>
          <w:color w:val="auto"/>
          <w:szCs w:val="21"/>
          <w:highlight w:val="none"/>
        </w:rPr>
        <w:t xml:space="preserve">.1试验设备与试验人员</w:t>
      </w:r>
      <w:bookmarkEnd w:id="345"/>
      <w:r/>
      <w:bookmarkEnd w:id="346"/>
      <w:r/>
      <w:bookmarkEnd w:id="347"/>
      <w:r/>
      <w:bookmarkEnd w:id="348"/>
      <w:r/>
      <w:bookmarkEnd w:id="349"/>
      <w:r/>
      <w:bookmarkEnd w:id="350"/>
      <w:r/>
      <w:bookmarkEnd w:id="35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bookmarkStart w:id="352" w:name="_Toc312678023"/>
      <w:r/>
      <w:bookmarkStart w:id="353" w:name="_Toc300934984"/>
      <w:r/>
      <w:bookmarkStart w:id="354" w:name="_Toc304295561"/>
      <w:r/>
      <w:bookmarkStart w:id="355" w:name="_Toc297123535"/>
      <w:r/>
      <w:bookmarkStart w:id="356" w:name="_Toc312677497"/>
      <w:r/>
      <w:bookmarkStart w:id="357" w:name="_Toc303539141"/>
      <w:r/>
      <w:bookmarkStart w:id="358" w:name="_Toc297216194"/>
      <w:r/>
      <w:bookmarkStart w:id="359" w:name="_Toc318581174"/>
      <w:r>
        <w:rPr>
          <w:rFonts w:hint="eastAsia" w:ascii="宋体" w:hAnsi="宋体" w:cs="宋体"/>
          <w:color w:val="auto"/>
          <w:szCs w:val="21"/>
          <w:highlight w:val="none"/>
        </w:rPr>
        <w:t xml:space="preserve">.1.2 试验设备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bookmarkEnd w:id="352"/>
      <w:r/>
      <w:bookmarkEnd w:id="353"/>
      <w:r/>
      <w:bookmarkEnd w:id="354"/>
      <w:r/>
      <w:bookmarkEnd w:id="355"/>
      <w:r/>
      <w:bookmarkEnd w:id="356"/>
      <w:r/>
      <w:bookmarkEnd w:id="357"/>
      <w:r/>
      <w:bookmarkEnd w:id="358"/>
      <w:r/>
      <w:bookmarkStart w:id="360" w:name="_Toc300934985"/>
      <w:r/>
      <w:bookmarkStart w:id="361" w:name="_Toc297123536"/>
      <w:r/>
      <w:bookmarkStart w:id="362" w:name="_Toc297216195"/>
      <w:r/>
      <w:bookmarkStart w:id="363" w:name="_Toc304295562"/>
      <w:r/>
      <w:bookmarkStart w:id="364" w:name="_Toc312678024"/>
      <w:r/>
      <w:bookmarkStart w:id="365" w:name="_Toc303539142"/>
      <w:r/>
      <w:bookmarkStart w:id="366" w:name="_Toc312677498"/>
      <w:r>
        <w:rPr>
          <w:rFonts w:hint="eastAsia" w:ascii="宋体" w:hAnsi="宋体" w:cs="宋体"/>
          <w:color w:val="auto"/>
          <w:szCs w:val="21"/>
          <w:highlight w:val="none"/>
          <w:u w:val="single"/>
        </w:rPr>
        <w:t xml:space="preserve">    承包人按规定和按投标文件承诺配置    </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    承包人按规定和按投标文件承诺配置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  暂无，如需要，另行协商解决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367" w:name="_Toc32330"/>
      <w:r>
        <w:rPr>
          <w:rFonts w:hint="eastAsia" w:ascii="宋体" w:hAnsi="宋体" w:cs="宋体"/>
          <w:color w:val="auto"/>
          <w:szCs w:val="21"/>
          <w:highlight w:val="none"/>
        </w:rPr>
        <w:t xml:space="preserve">9.4 现场工艺试验</w:t>
      </w:r>
      <w:bookmarkEnd w:id="367"/>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bookmarkEnd w:id="359"/>
      <w:r/>
      <w:bookmarkEnd w:id="360"/>
      <w:r/>
      <w:bookmarkEnd w:id="361"/>
      <w:r/>
      <w:bookmarkEnd w:id="362"/>
      <w:r/>
      <w:bookmarkEnd w:id="363"/>
      <w:r/>
      <w:bookmarkEnd w:id="364"/>
      <w:r/>
      <w:bookmarkEnd w:id="365"/>
      <w:r/>
      <w:bookmarkEnd w:id="366"/>
      <w:r/>
      <w:r/>
    </w:p>
    <w:p>
      <w:pPr>
        <w:numPr>
          <w:ilvl w:val="3"/>
          <w:numId w:val="1"/>
        </w:numPr>
        <w:keepLines/>
        <w:keepNext/>
        <w:spacing w:line="360" w:lineRule="auto"/>
        <w:rPr>
          <w:rFonts w:ascii="宋体" w:hAnsi="宋体" w:cs="宋体"/>
          <w:bCs/>
          <w:color w:val="auto"/>
          <w:szCs w:val="21"/>
          <w:highlight w:val="none"/>
        </w:rPr>
        <w:outlineLvl w:val="3"/>
      </w:pPr>
      <w:r/>
      <w:bookmarkStart w:id="368" w:name="_Toc351203642"/>
      <w:r>
        <w:rPr>
          <w:rFonts w:hint="eastAsia" w:ascii="宋体" w:hAnsi="宋体" w:cs="宋体"/>
          <w:bCs/>
          <w:color w:val="auto"/>
          <w:szCs w:val="21"/>
          <w:highlight w:val="none"/>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69" w:name="_Toc296891021"/>
      <w:r/>
      <w:bookmarkStart w:id="370" w:name="_Toc297123540"/>
      <w:r/>
      <w:bookmarkStart w:id="371" w:name="_Toc296346694"/>
      <w:r/>
      <w:bookmarkStart w:id="372" w:name="_Toc304295566"/>
      <w:r/>
      <w:bookmarkStart w:id="373" w:name="_Toc292559398"/>
      <w:r/>
      <w:bookmarkStart w:id="374" w:name="_Toc292559903"/>
      <w:r/>
      <w:bookmarkStart w:id="375" w:name="_Toc296347192"/>
      <w:r/>
      <w:bookmarkStart w:id="376" w:name="_Toc297216199"/>
      <w:r/>
      <w:bookmarkStart w:id="377" w:name="_Toc303539146"/>
      <w:r/>
      <w:bookmarkStart w:id="378" w:name="_Toc297120493"/>
      <w:r/>
      <w:bookmarkStart w:id="379" w:name="_Toc296891233"/>
      <w:r/>
      <w:bookmarkStart w:id="380" w:name="_Toc297048379"/>
      <w:r/>
      <w:bookmarkStart w:id="381" w:name="_Toc300934989"/>
      <w:r/>
      <w:bookmarkStart w:id="382" w:name="_Toc296503193"/>
      <w:r/>
      <w:bookmarkStart w:id="383" w:name="_Toc296944532"/>
      <w:r/>
      <w:bookmarkStart w:id="384" w:name="_Toc312678025"/>
      <w:r/>
      <w:bookmarkStart w:id="385" w:name="_Toc312677499"/>
      <w:r/>
      <w:bookmarkStart w:id="386" w:name="_Toc267251435"/>
      <w:r/>
      <w:bookmarkStart w:id="387" w:name="_Toc267251433"/>
      <w:r/>
      <w:bookmarkStart w:id="388" w:name="_Toc267251440"/>
      <w:r/>
      <w:bookmarkStart w:id="389" w:name="_Toc267251441"/>
      <w:r/>
      <w:bookmarkStart w:id="390" w:name="_Toc267251439"/>
      <w:r/>
      <w:bookmarkStart w:id="391" w:name="_Toc267251437"/>
      <w:r/>
      <w:bookmarkStart w:id="392" w:name="_Toc267251442"/>
      <w:r>
        <w:rPr>
          <w:rFonts w:hint="eastAsia" w:ascii="宋体" w:hAnsi="宋体" w:cs="宋体"/>
          <w:bCs/>
          <w:color w:val="auto"/>
          <w:szCs w:val="21"/>
          <w:highlight w:val="none"/>
        </w:rPr>
        <w:t xml:space="preserve">0. 变更</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bookmarkStart w:id="393" w:name="_Toc296347193"/>
      <w:r/>
      <w:bookmarkStart w:id="394" w:name="_Toc297120494"/>
      <w:r/>
      <w:bookmarkStart w:id="395" w:name="_Toc296503194"/>
      <w:r/>
      <w:bookmarkStart w:id="396" w:name="_Toc303539147"/>
      <w:r/>
      <w:bookmarkStart w:id="397" w:name="_Toc312677500"/>
      <w:r/>
      <w:bookmarkStart w:id="398" w:name="_Toc312678026"/>
      <w:r/>
      <w:bookmarkStart w:id="399" w:name="_Toc292559399"/>
      <w:r/>
      <w:bookmarkStart w:id="400" w:name="_Toc296891022"/>
      <w:r/>
      <w:bookmarkStart w:id="401" w:name="_Toc296944533"/>
      <w:r/>
      <w:bookmarkStart w:id="402" w:name="_Toc296891234"/>
      <w:r/>
      <w:bookmarkStart w:id="403" w:name="_Toc292559904"/>
      <w:r/>
      <w:bookmarkStart w:id="404" w:name="_Toc296346695"/>
      <w:r/>
      <w:bookmarkStart w:id="405" w:name="_Toc297123541"/>
      <w:r/>
      <w:bookmarkStart w:id="406" w:name="_Toc297216200"/>
      <w:r/>
      <w:bookmarkStart w:id="407" w:name="_Toc304295567"/>
      <w:r/>
      <w:bookmarkStart w:id="408" w:name="_Toc300934990"/>
      <w:r/>
      <w:bookmarkStart w:id="409" w:name="_Toc297048380"/>
      <w:r>
        <w:rPr>
          <w:rFonts w:hint="eastAsia" w:ascii="宋体" w:hAnsi="宋体" w:cs="宋体"/>
          <w:color w:val="auto"/>
          <w:szCs w:val="21"/>
          <w:highlight w:val="none"/>
        </w:rPr>
        <w:t xml:space="preserve">0.1变更的范围</w:t>
      </w:r>
      <w:r/>
    </w:p>
    <w:p>
      <w:pPr>
        <w:ind w:firstLine="60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   中标人不得对原有工程设计进行变更，因中标人自身原因导致的工程量变更，中标人无权要求追加合同价款，并承担由此给招标人带来的一切损失 </w:t>
      </w:r>
      <w:r>
        <w:rPr>
          <w:rFonts w:hint="eastAsia" w:ascii="宋体" w:hAnsi="宋体" w:cs="宋体"/>
          <w:color w:val="auto"/>
          <w:szCs w:val="21"/>
          <w:highlight w:val="none"/>
        </w:rPr>
        <w:t xml:space="preserve">。</w:t>
      </w:r>
      <w:r/>
    </w:p>
    <w:p>
      <w:pPr>
        <w:ind w:firstLine="60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10.3.4 关于变更的其他约定</w:t>
      </w:r>
      <w:r/>
    </w:p>
    <w:p>
      <w:pPr>
        <w:ind w:firstLine="60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⑴发包人保留变更或调整工程量的权利，承包人不得拒绝变更，更不得以变更为由提出不合理的要求；</w:t>
      </w:r>
      <w:r/>
    </w:p>
    <w:p>
      <w:pPr>
        <w:ind w:firstLine="60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（2）项目施工期间因招标人提出的变更导致工程量增减</w:t>
      </w:r>
      <w:bookmarkStart w:id="410" w:name="OLE_LINK31"/>
      <w:r>
        <w:rPr>
          <w:rFonts w:hint="eastAsia" w:ascii="宋体" w:hAnsi="宋体" w:cs="宋体"/>
          <w:color w:val="auto"/>
          <w:szCs w:val="21"/>
          <w:highlight w:val="none"/>
          <w:u w:val="single"/>
        </w:rPr>
        <w:t xml:space="preserve">，不对合同价款进行调整。</w:t>
      </w:r>
      <w:bookmarkEnd w:id="410"/>
      <w:r/>
      <w:r/>
    </w:p>
    <w:p>
      <w:pPr>
        <w:ind w:firstLine="420"/>
        <w:spacing w:line="360" w:lineRule="auto"/>
        <w:rPr>
          <w:rFonts w:ascii="宋体" w:hAnsi="宋体" w:cs="宋体"/>
          <w:color w:val="auto"/>
          <w:szCs w:val="21"/>
          <w:highlight w:val="none"/>
        </w:rPr>
        <w:outlineLvl w:val="0"/>
      </w:pPr>
      <w:r/>
      <w:bookmarkStart w:id="411" w:name="_Toc1939"/>
      <w:r>
        <w:rPr>
          <w:rFonts w:hint="eastAsia" w:ascii="宋体" w:hAnsi="宋体" w:cs="宋体"/>
          <w:color w:val="auto"/>
          <w:szCs w:val="21"/>
          <w:highlight w:val="none"/>
        </w:rPr>
        <w:t xml:space="preserve">10.4 变更估价</w:t>
      </w:r>
      <w:bookmarkEnd w:id="41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10.4.1 变更估价原则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关于变更估价的约定: </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10.4.1.1 投标文件已标价工程量清单中已有相同项目的，结算时只调整工程数量，单价按投标时相同项目的单价 (若已标价工程量清单中相同的项目有不同的综合单价，按照就低不就高的原则) 执行；</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10.4.1.2 投标文件已标价工程量清单中无相同项目，但有类似项目的，可以参照类似项目单价认定，由承包人提出类似单价，经监理、跟踪审计单位、发包方审核确认后执行；</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10.4.1.3 投标文件已标价工程量清单中无相同项目，也没有类似项目的，综合单价按投标文件已标价工程量清单的组价原则组价，即人工、材料 (辅材) 、机械台班单价、管理费、利润按成交供应商投标时的价格并按总价下浮进行计算，主材按最新的《南京工程造价管理》计，《南京工程造价管理》里面没有的项目按确定变更当期的市场价，综合单价由承包人提出经监理及跟踪审计单位审核后报发包人审核确认。</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10.4.1.4 如果投标文件已标价工程量清单子目综合单价超过招标控制价相应子目的综合单价，其实际完成工程量超出清单工程量 15%，超出部分按变更处理，其综合单价按 10.4.1.3 条处理。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对于工程实施过程中发生的设计变更、现场签证、核价单、会议纪要等影响合同价款调整的相关文件，须经发包人按照签证、变更或指令审批流程确认后，方可生效，无审批流程确认的以上文件在竣工结算时均不认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10.4.3、变更其他约定</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发包人及建设相关方委派的工程师保留对承包人所报材料品牌、型号进行修改、更换的权利。由承包人采购的材料设备，发包人一般推荐三种及以上品牌供承包人选择比价。</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对于投标时招标人未推荐品牌的主要材料设备，必须符合设计及国家有关规范、标准及有关职能部门规定的质量标准，且必须经发包人和监理认可品牌、标准后才能用于本工程。否则，造成的损失均由承包人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2" w:name="_Toc296944536"/>
      <w:r/>
      <w:bookmarkStart w:id="413" w:name="_Toc296891025"/>
      <w:r/>
      <w:bookmarkStart w:id="414" w:name="_Toc300934993"/>
      <w:r/>
      <w:bookmarkStart w:id="415" w:name="_Toc297123544"/>
      <w:r/>
      <w:bookmarkStart w:id="416" w:name="_Toc297048383"/>
      <w:r/>
      <w:bookmarkStart w:id="417" w:name="_Toc303539150"/>
      <w:r/>
      <w:bookmarkStart w:id="418" w:name="_Toc292559402"/>
      <w:r/>
      <w:bookmarkStart w:id="419" w:name="_Toc292559907"/>
      <w:r/>
      <w:bookmarkStart w:id="420" w:name="_Toc296347196"/>
      <w:r/>
      <w:bookmarkStart w:id="421" w:name="_Toc296346698"/>
      <w:r/>
      <w:bookmarkStart w:id="422" w:name="_Toc296891237"/>
      <w:r/>
      <w:bookmarkStart w:id="423" w:name="_Toc297216203"/>
      <w:r/>
      <w:bookmarkStart w:id="424" w:name="_Toc297120497"/>
      <w:r/>
      <w:bookmarkStart w:id="425" w:name="_Toc296503197"/>
      <w:r/>
      <w:bookmarkStart w:id="426" w:name="_Toc312678029"/>
      <w:r/>
      <w:bookmarkStart w:id="427" w:name="_Toc304295570"/>
      <w:r/>
      <w:bookmarkStart w:id="428" w:name="_Toc312677503"/>
      <w:r>
        <w:rPr>
          <w:rFonts w:hint="eastAsia" w:ascii="宋体" w:hAnsi="宋体" w:cs="宋体"/>
          <w:color w:val="auto"/>
          <w:szCs w:val="21"/>
          <w:highlight w:val="none"/>
        </w:rPr>
        <w:t xml:space="preserve">0.5承</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Start w:id="429" w:name="_Toc303539151"/>
      <w:r/>
      <w:bookmarkStart w:id="430" w:name="_Toc296346704"/>
      <w:r/>
      <w:bookmarkStart w:id="431" w:name="_Toc296891243"/>
      <w:r/>
      <w:bookmarkStart w:id="432" w:name="_Toc296944542"/>
      <w:r/>
      <w:bookmarkStart w:id="433" w:name="_Toc300934994"/>
      <w:r/>
      <w:bookmarkStart w:id="434" w:name="_Toc297123545"/>
      <w:r/>
      <w:bookmarkStart w:id="435" w:name="_Toc296347202"/>
      <w:r/>
      <w:bookmarkStart w:id="436" w:name="_Toc296891031"/>
      <w:r/>
      <w:bookmarkStart w:id="437" w:name="_Toc297216204"/>
      <w:r/>
      <w:bookmarkStart w:id="438" w:name="_Toc292559408"/>
      <w:r/>
      <w:bookmarkStart w:id="439" w:name="_Toc297120503"/>
      <w:r/>
      <w:bookmarkStart w:id="440" w:name="_Toc292559913"/>
      <w:r/>
      <w:bookmarkStart w:id="441" w:name="_Toc297048389"/>
      <w:r/>
      <w:bookmarkStart w:id="442" w:name="_Toc296503203"/>
      <w:r>
        <w:rPr>
          <w:rFonts w:hint="eastAsia" w:ascii="宋体" w:hAnsi="宋体" w:cs="宋体"/>
          <w:color w:val="auto"/>
          <w:szCs w:val="21"/>
          <w:highlight w:val="none"/>
        </w:rPr>
        <w:t xml:space="preserve">包人的合理化建议</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    按通用条款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  承包人在施工中提出的合理化建议涉及到对设计图纸或施工组织设计的更改及对材料、设备的换用，须经发包人同意。未经同意擅自更改或换用时，承包人承担由此发生的费用，并赔偿发包人的有关损失，延误的工期不予顺延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w:t>
      </w:r>
      <w:bookmarkStart w:id="443" w:name="_Toc296944543"/>
      <w:r/>
      <w:bookmarkStart w:id="444" w:name="_Toc318581175"/>
      <w:r/>
      <w:bookmarkStart w:id="445" w:name="_Toc297216205"/>
      <w:r/>
      <w:bookmarkStart w:id="446" w:name="_Toc297123546"/>
      <w:r/>
      <w:bookmarkStart w:id="447" w:name="_Toc297120504"/>
      <w:r/>
      <w:bookmarkStart w:id="448" w:name="_Toc296503204"/>
      <w:r/>
      <w:bookmarkStart w:id="449" w:name="_Toc300934995"/>
      <w:r/>
      <w:bookmarkStart w:id="450" w:name="_Toc296346705"/>
      <w:r/>
      <w:bookmarkStart w:id="451" w:name="_Toc297048390"/>
      <w:r/>
      <w:bookmarkStart w:id="452" w:name="_Toc304295571"/>
      <w:r/>
      <w:bookmarkStart w:id="453" w:name="_Toc296347203"/>
      <w:r/>
      <w:bookmarkStart w:id="454" w:name="_Toc296891032"/>
      <w:r/>
      <w:bookmarkStart w:id="455" w:name="_Toc312677504"/>
      <w:r/>
      <w:bookmarkStart w:id="456" w:name="_Toc296891244"/>
      <w:r/>
      <w:bookmarkStart w:id="457" w:name="_Toc303539152"/>
      <w:r/>
      <w:bookmarkStart w:id="458" w:name="_Toc312678030"/>
      <w:r/>
      <w:bookmarkStart w:id="459" w:name="_Toc292559914"/>
      <w:r/>
      <w:bookmarkStart w:id="460" w:name="_Toc292559409"/>
      <w:r>
        <w:rPr>
          <w:rFonts w:hint="eastAsia" w:ascii="宋体" w:hAnsi="宋体" w:cs="宋体"/>
          <w:color w:val="auto"/>
          <w:szCs w:val="21"/>
          <w:highlight w:val="none"/>
        </w:rPr>
        <w:t xml:space="preserve">包人提出的合理化建议降低了合同价格或者提高了工程经济效益的奖励的方法和金额为：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20"/>
        <w:spacing w:line="360" w:lineRule="auto"/>
        <w:rPr>
          <w:rFonts w:ascii="宋体" w:hAnsi="宋体" w:cs="宋体"/>
          <w:color w:val="auto"/>
          <w:szCs w:val="21"/>
          <w:highlight w:val="none"/>
        </w:rPr>
        <w:outlineLvl w:val="0"/>
      </w:pPr>
      <w:r/>
      <w:bookmarkStart w:id="461" w:name="_Toc3867"/>
      <w:r>
        <w:rPr>
          <w:rFonts w:hint="eastAsia" w:ascii="宋体" w:hAnsi="宋体" w:cs="宋体"/>
          <w:color w:val="auto"/>
          <w:szCs w:val="21"/>
          <w:highlight w:val="none"/>
        </w:rPr>
        <w:t xml:space="preserve">1</w:t>
      </w:r>
      <w:bookmarkStart w:id="462" w:name="_Toc297048385"/>
      <w:r/>
      <w:bookmarkStart w:id="463" w:name="_Toc297216207"/>
      <w:r/>
      <w:bookmarkStart w:id="464" w:name="_Toc296346700"/>
      <w:r/>
      <w:bookmarkStart w:id="465" w:name="_Toc312678033"/>
      <w:r/>
      <w:bookmarkStart w:id="466" w:name="_Toc292559404"/>
      <w:r/>
      <w:bookmarkStart w:id="467" w:name="_Toc296347198"/>
      <w:r/>
      <w:bookmarkStart w:id="468" w:name="_Toc296891239"/>
      <w:r/>
      <w:bookmarkStart w:id="469" w:name="_Toc297123548"/>
      <w:r/>
      <w:bookmarkStart w:id="470" w:name="_Toc304295574"/>
      <w:r/>
      <w:bookmarkStart w:id="471" w:name="_Toc296891027"/>
      <w:r/>
      <w:bookmarkStart w:id="472" w:name="_Toc297120499"/>
      <w:r/>
      <w:bookmarkStart w:id="473" w:name="_Toc296944538"/>
      <w:r/>
      <w:bookmarkStart w:id="474" w:name="_Toc303539154"/>
      <w:r/>
      <w:bookmarkStart w:id="475" w:name="_Toc296503199"/>
      <w:r/>
      <w:bookmarkStart w:id="476" w:name="_Toc300934997"/>
      <w:r/>
      <w:bookmarkStart w:id="477" w:name="_Toc312677507"/>
      <w:r/>
      <w:bookmarkStart w:id="478" w:name="_Toc292559909"/>
      <w:r>
        <w:rPr>
          <w:rFonts w:hint="eastAsia" w:ascii="宋体" w:hAnsi="宋体" w:cs="宋体"/>
          <w:color w:val="auto"/>
          <w:szCs w:val="21"/>
          <w:highlight w:val="none"/>
        </w:rPr>
        <w:t xml:space="preserve">0.7 暂估价</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暂</w:t>
      </w:r>
      <w:bookmarkStart w:id="479" w:name="_Toc312677508"/>
      <w:r/>
      <w:bookmarkStart w:id="480" w:name="_Toc312678034"/>
      <w:r/>
      <w:bookmarkStart w:id="481" w:name="_Toc318581176"/>
      <w:r>
        <w:rPr>
          <w:rFonts w:hint="eastAsia" w:ascii="宋体" w:hAnsi="宋体" w:cs="宋体"/>
          <w:color w:val="auto"/>
          <w:szCs w:val="21"/>
          <w:highlight w:val="none"/>
        </w:rPr>
        <w:t xml:space="preserve">估价材料和工程设备的明细详见附件11：《</w:t>
      </w:r>
      <w:r>
        <w:rPr>
          <w:rFonts w:hint="eastAsia" w:ascii="宋体" w:hAnsi="宋体" w:cs="宋体"/>
          <w:color w:val="auto"/>
          <w:szCs w:val="21"/>
          <w:highlight w:val="none"/>
        </w:rPr>
        <w:t xml:space="preserve">暂估价一览表》</w:t>
      </w:r>
      <w:r>
        <w:rPr>
          <w:rFonts w:hint="eastAsia" w:ascii="宋体" w:hAnsi="宋体" w:cs="宋体"/>
          <w:color w:val="auto"/>
          <w:szCs w:val="21"/>
          <w:highlight w:val="none"/>
        </w:rPr>
        <w:t xml:space="preserve">。</w:t>
      </w:r>
      <w:bookmarkEnd w:id="479"/>
      <w:r/>
      <w:bookmarkEnd w:id="480"/>
      <w:r/>
      <w:bookmarkEnd w:id="48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bookmarkStart w:id="482" w:name="_Toc318581177"/>
      <w:r/>
      <w:bookmarkStart w:id="483" w:name="_Toc312677509"/>
      <w:r/>
      <w:bookmarkStart w:id="484" w:name="_Toc312678035"/>
      <w:r>
        <w:rPr>
          <w:rFonts w:hint="eastAsia" w:ascii="宋体" w:hAnsi="宋体" w:cs="宋体"/>
          <w:color w:val="auto"/>
          <w:szCs w:val="21"/>
          <w:highlight w:val="none"/>
        </w:rPr>
        <w:t xml:space="preserve">0.7.1 依法必须招标的暂估价项目</w:t>
      </w:r>
      <w:bookmarkEnd w:id="482"/>
      <w:r/>
      <w:bookmarkEnd w:id="483"/>
      <w:r/>
      <w:bookmarkEnd w:id="484"/>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种方式确定。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种方式确定。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第3种方式：</w:t>
      </w:r>
      <w:r>
        <w:rPr>
          <w:rFonts w:hint="eastAsia" w:ascii="宋体" w:hAnsi="宋体" w:cs="宋体"/>
          <w:color w:val="auto"/>
          <w:szCs w:val="21"/>
          <w:highlight w:val="none"/>
        </w:rPr>
        <w:t xml:space="preserve">承包人直接实施的暂估价项目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10.8 暂列金额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   暂列金额应按照发包人的要求使用，发包人的要求应通过监理人发出   </w:t>
      </w:r>
      <w:r>
        <w:rPr>
          <w:rFonts w:hint="eastAsia" w:ascii="宋体" w:hAnsi="宋体" w:cs="宋体"/>
          <w:color w:val="auto"/>
          <w:szCs w:val="21"/>
          <w:highlight w:val="none"/>
        </w:rPr>
        <w:t xml:space="preserve">。</w:t>
      </w:r>
      <w:r/>
    </w:p>
    <w:p>
      <w:pPr>
        <w:numPr>
          <w:ilvl w:val="3"/>
          <w:numId w:val="1"/>
        </w:numPr>
        <w:keepLines/>
        <w:keepNext/>
        <w:spacing w:line="360" w:lineRule="auto"/>
        <w:rPr>
          <w:rFonts w:ascii="宋体" w:hAnsi="宋体" w:cs="宋体"/>
          <w:bCs/>
          <w:color w:val="auto"/>
          <w:szCs w:val="21"/>
          <w:highlight w:val="none"/>
        </w:rPr>
        <w:outlineLvl w:val="3"/>
      </w:pPr>
      <w:r/>
      <w:bookmarkStart w:id="485" w:name="_Toc351203643"/>
      <w:r>
        <w:rPr>
          <w:rFonts w:hint="eastAsia" w:ascii="宋体" w:hAnsi="宋体" w:cs="宋体"/>
          <w:bCs/>
          <w:color w:val="auto"/>
          <w:szCs w:val="21"/>
          <w:highlight w:val="none"/>
        </w:rPr>
        <w:t xml:space="preserve">11. 价格调整</w:t>
      </w:r>
      <w:bookmarkEnd w:id="485"/>
      <w:r/>
      <w:r/>
    </w:p>
    <w:p>
      <w:pPr>
        <w:ind w:firstLine="420"/>
        <w:spacing w:line="360" w:lineRule="auto"/>
        <w:rPr>
          <w:rFonts w:ascii="宋体" w:hAnsi="宋体" w:cs="宋体"/>
          <w:color w:val="auto"/>
          <w:szCs w:val="21"/>
          <w:highlight w:val="none"/>
        </w:rPr>
      </w:pPr>
      <w:r/>
      <w:bookmarkStart w:id="486" w:name="_Toc312678039"/>
      <w:r/>
      <w:bookmarkStart w:id="487" w:name="_Toc297123550"/>
      <w:r/>
      <w:bookmarkStart w:id="488" w:name="_Toc292559911"/>
      <w:r/>
      <w:bookmarkStart w:id="489" w:name="_Toc296891029"/>
      <w:r/>
      <w:bookmarkStart w:id="490" w:name="_Toc304295577"/>
      <w:r/>
      <w:bookmarkStart w:id="491" w:name="_Toc296891241"/>
      <w:r/>
      <w:bookmarkStart w:id="492" w:name="_Toc297120501"/>
      <w:r/>
      <w:bookmarkStart w:id="493" w:name="_Toc297048387"/>
      <w:r/>
      <w:bookmarkStart w:id="494" w:name="_Toc296346702"/>
      <w:r/>
      <w:bookmarkStart w:id="495" w:name="_Toc296347200"/>
      <w:r/>
      <w:bookmarkStart w:id="496" w:name="_Toc296503201"/>
      <w:r/>
      <w:bookmarkStart w:id="497" w:name="_Toc296944540"/>
      <w:r/>
      <w:bookmarkStart w:id="498" w:name="_Toc303539157"/>
      <w:r/>
      <w:bookmarkStart w:id="499" w:name="_Toc297216209"/>
      <w:r/>
      <w:bookmarkStart w:id="500" w:name="_Toc292559406"/>
      <w:r/>
      <w:bookmarkStart w:id="501" w:name="_Toc300935000"/>
      <w:r>
        <w:rPr>
          <w:rFonts w:hint="eastAsia" w:ascii="宋体" w:hAnsi="宋体" w:cs="宋体"/>
          <w:color w:val="auto"/>
          <w:szCs w:val="21"/>
          <w:highlight w:val="none"/>
        </w:rPr>
        <w:t xml:space="preserve">11.1 市场价格波动引起的调整</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    不调整     </w:t>
      </w:r>
      <w:r>
        <w:rPr>
          <w:rFonts w:hint="eastAsia" w:ascii="宋体" w:hAnsi="宋体" w:cs="宋体"/>
          <w:color w:val="auto"/>
          <w:szCs w:val="21"/>
          <w:highlight w:val="none"/>
        </w:rPr>
        <w:t xml:space="preserve">。</w:t>
      </w:r>
      <w:bookmarkEnd w:id="386"/>
      <w:r/>
      <w:bookmarkEnd w:id="387"/>
      <w:r/>
      <w:bookmarkEnd w:id="388"/>
      <w:r/>
      <w:bookmarkEnd w:id="389"/>
      <w:r/>
      <w:bookmarkEnd w:id="390"/>
      <w:r/>
      <w:bookmarkEnd w:id="391"/>
      <w:r/>
      <w:r/>
    </w:p>
    <w:p>
      <w:pPr>
        <w:numPr>
          <w:ilvl w:val="3"/>
          <w:numId w:val="1"/>
        </w:numPr>
        <w:keepLines/>
        <w:keepNext/>
        <w:spacing w:line="360" w:lineRule="auto"/>
        <w:rPr>
          <w:rFonts w:ascii="宋体" w:hAnsi="宋体" w:cs="宋体"/>
          <w:bCs/>
          <w:color w:val="auto"/>
          <w:szCs w:val="21"/>
          <w:highlight w:val="none"/>
        </w:rPr>
        <w:outlineLvl w:val="3"/>
      </w:pPr>
      <w:r/>
      <w:bookmarkStart w:id="502" w:name="_Toc296944544"/>
      <w:r/>
      <w:bookmarkStart w:id="503" w:name="_Toc292559915"/>
      <w:r/>
      <w:bookmarkStart w:id="504" w:name="_Toc296503205"/>
      <w:r/>
      <w:bookmarkStart w:id="505" w:name="_Toc296891033"/>
      <w:r/>
      <w:bookmarkStart w:id="506" w:name="_Toc297120505"/>
      <w:r/>
      <w:bookmarkStart w:id="507" w:name="_Toc297048391"/>
      <w:r/>
      <w:bookmarkStart w:id="508" w:name="_Toc296346706"/>
      <w:r/>
      <w:bookmarkStart w:id="509" w:name="_Toc296891245"/>
      <w:r/>
      <w:bookmarkStart w:id="510" w:name="_Toc296347204"/>
      <w:r/>
      <w:bookmarkStart w:id="511" w:name="_Toc292559410"/>
      <w:r/>
      <w:bookmarkStart w:id="512" w:name="_Toc351203644"/>
      <w:r/>
      <w:bookmarkStart w:id="513" w:name="_Toc300935002"/>
      <w:r/>
      <w:bookmarkStart w:id="514" w:name="_Toc304295579"/>
      <w:r/>
      <w:bookmarkStart w:id="515" w:name="_Toc297216211"/>
      <w:r/>
      <w:bookmarkStart w:id="516" w:name="_Toc312678040"/>
      <w:r/>
      <w:bookmarkStart w:id="517" w:name="_Toc297123552"/>
      <w:r/>
      <w:bookmarkStart w:id="518" w:name="_Toc303539159"/>
      <w:r>
        <w:rPr>
          <w:rFonts w:hint="eastAsia" w:ascii="宋体" w:hAnsi="宋体" w:cs="宋体"/>
          <w:bCs/>
          <w:color w:val="auto"/>
          <w:szCs w:val="21"/>
          <w:highlight w:val="none"/>
        </w:rPr>
        <w:t xml:space="preserve">12. </w:t>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cs="宋体"/>
          <w:bCs/>
          <w:color w:val="auto"/>
          <w:szCs w:val="21"/>
          <w:highlight w:val="none"/>
        </w:rPr>
        <w:t xml:space="preserve">合同价格、计量与支付</w:t>
      </w:r>
      <w:bookmarkEnd w:id="512"/>
      <w:r/>
      <w:bookmarkEnd w:id="513"/>
      <w:r/>
      <w:bookmarkEnd w:id="514"/>
      <w:r/>
      <w:bookmarkEnd w:id="515"/>
      <w:r/>
      <w:bookmarkEnd w:id="516"/>
      <w:r/>
      <w:bookmarkEnd w:id="517"/>
      <w:r/>
      <w:bookmarkEnd w:id="518"/>
      <w:r/>
      <w:r/>
    </w:p>
    <w:p>
      <w:pPr>
        <w:ind w:firstLine="420"/>
        <w:spacing w:line="360" w:lineRule="auto"/>
        <w:rPr>
          <w:rFonts w:ascii="宋体" w:hAnsi="宋体" w:cs="宋体"/>
          <w:color w:val="auto"/>
          <w:szCs w:val="21"/>
          <w:highlight w:val="none"/>
        </w:rPr>
      </w:pPr>
      <w:r/>
      <w:bookmarkStart w:id="519" w:name="_Toc292559411"/>
      <w:r/>
      <w:bookmarkStart w:id="520" w:name="_Toc292559916"/>
      <w:r/>
      <w:bookmarkStart w:id="521" w:name="_Toc267251461"/>
      <w:r/>
      <w:bookmarkStart w:id="522" w:name="_Toc296347205"/>
      <w:r/>
      <w:bookmarkStart w:id="523" w:name="_Toc297048392"/>
      <w:r/>
      <w:bookmarkStart w:id="524" w:name="_Toc296346707"/>
      <w:r/>
      <w:bookmarkStart w:id="525" w:name="_Toc296891246"/>
      <w:r/>
      <w:bookmarkStart w:id="526" w:name="_Toc296891034"/>
      <w:r/>
      <w:bookmarkStart w:id="527" w:name="_Toc296503206"/>
      <w:r/>
      <w:bookmarkStart w:id="528" w:name="_Toc297120506"/>
      <w:r/>
      <w:bookmarkStart w:id="529" w:name="_Toc296944545"/>
      <w:r/>
      <w:bookmarkStart w:id="530" w:name="_Toc297216212"/>
      <w:r/>
      <w:bookmarkStart w:id="531" w:name="_Toc297123553"/>
      <w:r/>
      <w:bookmarkStart w:id="532" w:name="_Toc312678041"/>
      <w:r/>
      <w:bookmarkStart w:id="533" w:name="_Toc303539160"/>
      <w:r/>
      <w:bookmarkStart w:id="534" w:name="_Toc304295580"/>
      <w:r/>
      <w:bookmarkStart w:id="535" w:name="_Toc300935003"/>
      <w:r>
        <w:rPr>
          <w:rFonts w:hint="eastAsia" w:ascii="宋体" w:hAnsi="宋体" w:cs="宋体"/>
          <w:color w:val="auto"/>
          <w:szCs w:val="21"/>
          <w:highlight w:val="none"/>
        </w:rPr>
        <w:t xml:space="preserve">12.1 合</w:t>
      </w:r>
      <w:bookmarkEnd w:id="519"/>
      <w:r/>
      <w:bookmarkEnd w:id="520"/>
      <w:r/>
      <w:bookmarkEnd w:id="521"/>
      <w:r>
        <w:rPr>
          <w:rFonts w:hint="eastAsia" w:ascii="宋体" w:hAnsi="宋体" w:cs="宋体"/>
          <w:color w:val="auto"/>
          <w:szCs w:val="21"/>
          <w:highlight w:val="none"/>
        </w:rPr>
        <w:t xml:space="preserve">同价</w:t>
      </w:r>
      <w:bookmarkEnd w:id="522"/>
      <w:r/>
      <w:bookmarkEnd w:id="523"/>
      <w:r/>
      <w:bookmarkEnd w:id="524"/>
      <w:r/>
      <w:bookmarkEnd w:id="525"/>
      <w:r/>
      <w:bookmarkEnd w:id="526"/>
      <w:r/>
      <w:bookmarkEnd w:id="527"/>
      <w:r/>
      <w:bookmarkEnd w:id="528"/>
      <w:r/>
      <w:bookmarkEnd w:id="529"/>
      <w:r>
        <w:rPr>
          <w:rFonts w:hint="eastAsia" w:ascii="宋体" w:hAnsi="宋体" w:cs="宋体"/>
          <w:color w:val="auto"/>
          <w:szCs w:val="21"/>
          <w:highlight w:val="none"/>
        </w:rPr>
        <w:t xml:space="preserve">格形式</w:t>
      </w:r>
      <w:bookmarkEnd w:id="530"/>
      <w:r/>
      <w:bookmarkEnd w:id="531"/>
      <w:r/>
      <w:bookmarkEnd w:id="532"/>
      <w:r/>
      <w:bookmarkEnd w:id="533"/>
      <w:r/>
      <w:bookmarkEnd w:id="534"/>
      <w:r/>
      <w:bookmarkEnd w:id="53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①包括投标报价 </w:t>
      </w:r>
      <w:r>
        <w:rPr>
          <w:rFonts w:hint="eastAsia" w:ascii="宋体" w:hAnsi="宋体" w:cs="宋体"/>
          <w:color w:val="auto"/>
          <w:szCs w:val="21"/>
          <w:highlight w:val="none"/>
          <w:u w:val="single"/>
        </w:rPr>
        <w:t xml:space="preserve">(除合同条款规定的价格可调整部分) ； ②包括施工组织设计的技术、安全措施； ③包括施工期间的机械费价格风险 (其中施工期间人工工资执行苏建价【2012】633 号文) ； ④包括施工期间各类建材的市场价格波动 (钢筋、商品砼、水泥、碎石、预拌砂浆、预制构件 (其中的上述材料) 、苗木主材的风险除外) ； ⑤包括清除地下障碍物(单体体积大于2m3 且埋深超过3M 的地下障碍物除外)费用； ⑥包括因承包人原因造成工期、费用增加的风险；⑦包括采购文件中明示和暗示的风险费用； ⑧法律、法规、条例中规定的其他风险。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12.1.1.1 调整范围：</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①施工图变化而引起的设计变更、不属于承包商责任范围内场地条件变化引起的现场签证、发包人认可的材料代用 (材料代用引起的量差和价差) 、发包人认可的材料认质认价 (指定材料品牌及样式的定向采购) ； ②单体体积大于 2m3 且埋深超过 3M 的地下障碍物； ③发包人确认的其他费用； ④人工工资调整执行苏建价【2012】633 号文。</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12.1.1.2 调整的办法：</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①签证、变更、变动后的子目或漏项的综合单价，按 10.4.1 调整。</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②承包人在施工过程中发生的变更、签证，应严格按发包人的变更、签证管理流程进行申报，其人工、机械、材料、管理费、利润均按照投标时优惠率和费率。</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③总承包服务费及配合费：服务范围包括但不限于</w:t>
      </w:r>
      <w:r>
        <w:rPr>
          <w:rFonts w:hint="eastAsia" w:ascii="宋体" w:hAnsi="宋体" w:cs="宋体"/>
          <w:color w:val="auto"/>
          <w:szCs w:val="21"/>
          <w:highlight w:val="none"/>
          <w:u w:val="single"/>
          <w:lang w:val="zh-CN"/>
        </w:rPr>
        <w:t xml:space="preserve">南京审计大学浦口校区电力改造项目</w:t>
      </w:r>
      <w:r>
        <w:rPr>
          <w:rFonts w:hint="eastAsia" w:ascii="宋体" w:hAnsi="宋体" w:cs="宋体"/>
          <w:color w:val="auto"/>
          <w:szCs w:val="21"/>
          <w:highlight w:val="none"/>
          <w:u w:val="single"/>
        </w:rPr>
        <w:t xml:space="preserve">等，具体以委托方书面通知为准。费率由投标人根据自身情况自行报价，结算时按实际服务范围的专业工程最终结算金额乘以投标报价中的服务费费率调整结算价款，过程不予计量。</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④除因工程变更造成施工方案变更，引起措施项目发生变化时，措施项目费的调整，执行苏建价【2014】448 号文，其他措施费不予调整。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536" w:name="_Toc297216213"/>
      <w:r/>
      <w:bookmarkStart w:id="537" w:name="_Toc304295581"/>
      <w:r/>
      <w:bookmarkStart w:id="538" w:name="_Toc312678042"/>
      <w:r/>
      <w:bookmarkStart w:id="539" w:name="_Toc303539161"/>
      <w:r/>
      <w:bookmarkStart w:id="540" w:name="_Toc300935004"/>
      <w:r/>
      <w:bookmarkStart w:id="541" w:name="_Toc297123554"/>
      <w:r/>
      <w:bookmarkStart w:id="542" w:name="_Toc297048393"/>
      <w:r/>
      <w:bookmarkStart w:id="543" w:name="_Toc292559412"/>
      <w:r/>
      <w:bookmarkStart w:id="544" w:name="_Toc296347206"/>
      <w:r/>
      <w:bookmarkStart w:id="545" w:name="_Toc296891247"/>
      <w:r/>
      <w:bookmarkStart w:id="546" w:name="_Toc296944546"/>
      <w:r/>
      <w:bookmarkStart w:id="547" w:name="_Toc296503207"/>
      <w:r/>
      <w:bookmarkStart w:id="548" w:name="_Toc296891035"/>
      <w:r/>
      <w:bookmarkStart w:id="549" w:name="_Toc296346708"/>
      <w:r/>
      <w:bookmarkStart w:id="550" w:name="_Toc297120507"/>
      <w:r/>
      <w:bookmarkStart w:id="551" w:name="_Toc292559917"/>
      <w:r>
        <w:rPr>
          <w:rFonts w:hint="eastAsia" w:ascii="宋体" w:hAnsi="宋体" w:cs="宋体"/>
          <w:color w:val="auto"/>
          <w:szCs w:val="21"/>
          <w:highlight w:val="none"/>
        </w:rPr>
        <w:t xml:space="preserve">12.2 预付款</w:t>
      </w:r>
      <w:bookmarkEnd w:id="536"/>
      <w:r/>
      <w:bookmarkEnd w:id="537"/>
      <w:r/>
      <w:bookmarkEnd w:id="538"/>
      <w:r/>
      <w:bookmarkEnd w:id="539"/>
      <w:r/>
      <w:bookmarkEnd w:id="540"/>
      <w:r/>
      <w:bookmarkEnd w:id="54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12.2.1 预付款的支付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合同价（扣除暂列金额）的 30 %；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双方合同签订后，承包人材料及人员进场并满足开工条件后两周内</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 预付款担保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542"/>
      <w:r/>
      <w:bookmarkEnd w:id="543"/>
      <w:r/>
      <w:bookmarkEnd w:id="544"/>
      <w:r/>
      <w:bookmarkEnd w:id="545"/>
      <w:r/>
      <w:bookmarkEnd w:id="546"/>
      <w:r/>
      <w:bookmarkEnd w:id="547"/>
      <w:r/>
      <w:bookmarkEnd w:id="548"/>
      <w:r/>
      <w:bookmarkEnd w:id="549"/>
      <w:r/>
      <w:bookmarkEnd w:id="550"/>
      <w:r/>
      <w:bookmarkEnd w:id="55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 计量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12.3.1 计量原则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      国家标准《建设工程工程量清单计价规范》  (GB50500-2013)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 计量周期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       按月进行计量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按发包人确认的格式将已完成工作量提交发包人。本工程所有涉及确定工程造价方面的资料 (含所有的变更签证资料) 必须经过发包人关于签证、变更相关流程确认后方可作为竣工之后价款结算的依据。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除合同约定可以调整的情形外，合同总价或总价与单价组合式合同中的总价部分不予调整</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w:t>
      </w:r>
      <w:r>
        <w:rPr>
          <w:rFonts w:hint="eastAsia" w:ascii="宋体" w:hAnsi="宋体" w:cs="宋体"/>
          <w:color w:val="auto"/>
          <w:szCs w:val="21"/>
          <w:highlight w:val="none"/>
        </w:rPr>
        <w:t xml:space="preserve">12.3.4 </w:t>
      </w:r>
      <w:r>
        <w:rPr>
          <w:rFonts w:hint="eastAsia" w:ascii="宋体" w:hAnsi="宋体" w:cs="宋体"/>
          <w:color w:val="auto"/>
          <w:szCs w:val="21"/>
          <w:highlight w:val="none"/>
        </w:rPr>
        <w:t xml:space="preserve">项</w:t>
      </w:r>
      <w:r>
        <w:rPr>
          <w:rFonts w:hint="eastAsia" w:ascii="宋体" w:hAnsi="宋体" w:cs="宋体"/>
          <w:color w:val="auto"/>
          <w:szCs w:val="21"/>
          <w:highlight w:val="none"/>
        </w:rPr>
        <w:t xml:space="preserve">〔总价合同的计量〕</w:t>
      </w:r>
      <w:r>
        <w:rPr>
          <w:rFonts w:hint="eastAsia" w:ascii="宋体" w:hAnsi="宋体" w:cs="宋体"/>
          <w:color w:val="auto"/>
          <w:szCs w:val="21"/>
          <w:highlight w:val="none"/>
        </w:rPr>
        <w:t xml:space="preserve">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 工程进度款支付</w:t>
      </w:r>
      <w:r/>
    </w:p>
    <w:p>
      <w:pPr>
        <w:ind w:firstLine="420"/>
        <w:jc w:val="left"/>
        <w:spacing w:line="360" w:lineRule="auto"/>
        <w:rPr>
          <w:rFonts w:ascii="宋体" w:hAnsi="宋体" w:cs="宋体"/>
          <w:color w:val="auto"/>
          <w:szCs w:val="21"/>
          <w:highlight w:val="none"/>
        </w:rPr>
      </w:pPr>
      <w:r/>
      <w:bookmarkStart w:id="552" w:name="_Toc303539163"/>
      <w:r/>
      <w:bookmarkStart w:id="553" w:name="_Toc297048397"/>
      <w:r/>
      <w:bookmarkStart w:id="554" w:name="_Toc296891039"/>
      <w:r/>
      <w:bookmarkStart w:id="555" w:name="_Toc300935006"/>
      <w:r/>
      <w:bookmarkStart w:id="556" w:name="_Toc296346712"/>
      <w:r/>
      <w:bookmarkStart w:id="557" w:name="_Toc296347210"/>
      <w:r/>
      <w:bookmarkStart w:id="558" w:name="_Toc292559416"/>
      <w:r/>
      <w:bookmarkStart w:id="559" w:name="_Toc296891251"/>
      <w:r/>
      <w:bookmarkStart w:id="560" w:name="_Toc297123556"/>
      <w:r/>
      <w:bookmarkStart w:id="561" w:name="_Toc296503211"/>
      <w:r/>
      <w:bookmarkStart w:id="562" w:name="_Toc297216215"/>
      <w:r/>
      <w:bookmarkStart w:id="563" w:name="_Toc292559921"/>
      <w:r/>
      <w:bookmarkStart w:id="564" w:name="_Toc296944550"/>
      <w:r/>
      <w:bookmarkStart w:id="565" w:name="_Toc297120511"/>
      <w:r>
        <w:rPr>
          <w:rFonts w:hint="eastAsia" w:ascii="宋体" w:hAnsi="宋体" w:cs="宋体"/>
          <w:color w:val="auto"/>
          <w:szCs w:val="21"/>
          <w:highlight w:val="none"/>
        </w:rPr>
        <w:t xml:space="preserve">12.4.1 付款周期</w:t>
      </w:r>
      <w:bookmarkEnd w:id="392"/>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20"/>
        <w:jc w:val="left"/>
        <w:spacing w:line="360" w:lineRule="auto"/>
        <w:rPr>
          <w:rFonts w:ascii="宋体" w:hAnsi="宋体" w:cs="宋体"/>
          <w:color w:val="auto"/>
          <w:szCs w:val="21"/>
          <w:highlight w:val="none"/>
          <w:u w:val="single"/>
        </w:rPr>
      </w:pPr>
      <w:r/>
      <w:bookmarkStart w:id="566" w:name="_Toc351203645"/>
      <w:r/>
      <w:bookmarkStart w:id="567" w:name="_Toc297123564"/>
      <w:r/>
      <w:bookmarkStart w:id="568" w:name="_Toc312678053"/>
      <w:r/>
      <w:bookmarkStart w:id="569" w:name="_Toc292559424"/>
      <w:r/>
      <w:bookmarkStart w:id="570" w:name="_Toc297216223"/>
      <w:r/>
      <w:bookmarkStart w:id="571" w:name="_Toc296503219"/>
      <w:r/>
      <w:bookmarkStart w:id="572" w:name="_Toc296944558"/>
      <w:r/>
      <w:bookmarkStart w:id="573" w:name="_Toc304295593"/>
      <w:r/>
      <w:bookmarkStart w:id="574" w:name="_Toc296891047"/>
      <w:r/>
      <w:bookmarkStart w:id="575" w:name="_Toc297048405"/>
      <w:r/>
      <w:bookmarkStart w:id="576" w:name="_Toc296347218"/>
      <w:r/>
      <w:bookmarkStart w:id="577" w:name="_Toc303539172"/>
      <w:r/>
      <w:bookmarkStart w:id="578" w:name="_Toc292559929"/>
      <w:r/>
      <w:bookmarkStart w:id="579" w:name="_Toc300935015"/>
      <w:r/>
      <w:bookmarkStart w:id="580" w:name="_Toc296891259"/>
      <w:r/>
      <w:bookmarkStart w:id="581" w:name="_Toc296346720"/>
      <w:r/>
      <w:bookmarkStart w:id="582" w:name="_Toc297120519"/>
      <w:r>
        <w:rPr>
          <w:rFonts w:hint="eastAsia" w:ascii="宋体" w:hAnsi="宋体" w:cs="宋体"/>
          <w:color w:val="auto"/>
          <w:szCs w:val="21"/>
          <w:highlight w:val="none"/>
          <w:u w:val="single"/>
        </w:rPr>
        <w:t xml:space="preserve">1.本项目实行履约担保制度，承包人在施工合同签订前，必须向发包人提交成交金额10%作为履约保证金。履约保证金缴纳形式为转帐支票（或汇票、电汇，银行保函），履约保证金递交后，承包人交纳清单控制价编制服务费拿到结清证明后，方可签订施工合同。</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2.承包人材料及人员进场并满足开工条件后两周内，发包人支付合同总价（扣除暂列金额）的30%作为预付款。</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3.工程竣工验收合格后，承包人提供竣工资料交采购人后，发包人付至合同价（扣除暂列金额）的80%，同时无息退还合同履约保证金。</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4.工程竣工验收合格，并经审计后1个月内，发包人支付至工程审定价(扣除甲供材、施工用水电费、审计费用等如有）的97%。</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5.缺陷责任期结束后，如本工程无任何质量问题，承包人提交申请，发包人15日内向承包人退还工程审定价的3%质保金。</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6.每次付款时，承包人应分别开具符合税务机关规定的增值税发票给发包人，作为付款前提条件之一。</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 验收和工程试车</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 分部分项工程验收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 xml:space="preserve">小时提交书面延期要求。</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 xml:space="preserve">小时。</w:t>
      </w:r>
      <w:r/>
    </w:p>
    <w:p>
      <w:pPr>
        <w:ind w:firstLine="420"/>
        <w:spacing w:line="360" w:lineRule="auto"/>
        <w:rPr>
          <w:rFonts w:ascii="宋体" w:hAnsi="宋体" w:cs="宋体"/>
          <w:color w:val="auto"/>
          <w:szCs w:val="21"/>
          <w:highlight w:val="none"/>
        </w:rPr>
      </w:pPr>
      <w:r/>
      <w:bookmarkStart w:id="583" w:name="_Toc304295596"/>
      <w:r/>
      <w:bookmarkStart w:id="584" w:name="_Toc296503223"/>
      <w:r/>
      <w:bookmarkStart w:id="585" w:name="_Toc296891051"/>
      <w:r/>
      <w:bookmarkStart w:id="586" w:name="_Toc292559933"/>
      <w:r/>
      <w:bookmarkStart w:id="587" w:name="_Toc296944562"/>
      <w:r/>
      <w:bookmarkStart w:id="588" w:name="_Toc296891263"/>
      <w:r/>
      <w:bookmarkStart w:id="589" w:name="_Toc297048409"/>
      <w:r/>
      <w:bookmarkStart w:id="590" w:name="_Toc296347222"/>
      <w:r/>
      <w:bookmarkStart w:id="591" w:name="_Toc297123565"/>
      <w:r/>
      <w:bookmarkStart w:id="592" w:name="_Toc292559428"/>
      <w:r/>
      <w:bookmarkStart w:id="593" w:name="_Toc297120523"/>
      <w:r/>
      <w:bookmarkStart w:id="594" w:name="_Toc296346724"/>
      <w:r/>
      <w:bookmarkStart w:id="595" w:name="_Toc300935016"/>
      <w:r/>
      <w:bookmarkStart w:id="596" w:name="_Toc303539173"/>
      <w:r/>
      <w:bookmarkStart w:id="597" w:name="_Toc312678056"/>
      <w:r/>
      <w:bookmarkStart w:id="598" w:name="_Toc297216224"/>
      <w:r/>
      <w:bookmarkStart w:id="599" w:name="_Toc267251471"/>
      <w:r/>
      <w:bookmarkStart w:id="600" w:name="_Toc267251475"/>
      <w:r/>
      <w:bookmarkStart w:id="601" w:name="_Toc267251476"/>
      <w:r/>
      <w:bookmarkStart w:id="602" w:name="_Toc267251473"/>
      <w:r/>
      <w:bookmarkStart w:id="603" w:name="_Toc267251474"/>
      <w:r/>
      <w:bookmarkStart w:id="604" w:name="_Toc267251470"/>
      <w:r/>
      <w:bookmarkStart w:id="605" w:name="_Toc267251472"/>
      <w:r>
        <w:rPr>
          <w:rFonts w:hint="eastAsia" w:ascii="宋体" w:hAnsi="宋体" w:cs="宋体"/>
          <w:color w:val="auto"/>
          <w:szCs w:val="21"/>
          <w:highlight w:val="none"/>
        </w:rPr>
        <w:t xml:space="preserve">13.2 竣工验收</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ind w:firstLine="420"/>
        <w:jc w:val="left"/>
        <w:spacing w:line="360" w:lineRule="auto"/>
        <w:rPr>
          <w:rFonts w:ascii="宋体" w:hAnsi="宋体" w:cs="宋体"/>
          <w:color w:val="auto"/>
          <w:szCs w:val="21"/>
          <w:highlight w:val="none"/>
        </w:rPr>
      </w:pPr>
      <w:r/>
      <w:bookmarkStart w:id="606" w:name="_Toc280868704"/>
      <w:r/>
      <w:bookmarkStart w:id="607" w:name="_Toc280868705"/>
      <w:r/>
      <w:bookmarkStart w:id="608" w:name="_Toc280868706"/>
      <w:r/>
      <w:bookmarkStart w:id="609" w:name="_Toc280868707"/>
      <w:r/>
      <w:bookmarkStart w:id="610" w:name="_Toc280868708"/>
      <w:r/>
      <w:bookmarkStart w:id="611" w:name="_Toc280868709"/>
      <w:r>
        <w:rPr>
          <w:rFonts w:hint="eastAsia" w:ascii="宋体" w:hAnsi="宋体" w:cs="宋体"/>
          <w:color w:val="auto"/>
          <w:szCs w:val="21"/>
          <w:highlight w:val="none"/>
        </w:rPr>
        <w:t xml:space="preserve">13.2.2竣工验收程序</w:t>
      </w:r>
      <w:bookmarkEnd w:id="60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 通用条款13.2.2 </w:t>
      </w:r>
      <w:r>
        <w:rPr>
          <w:rFonts w:hint="eastAsia" w:ascii="宋体" w:hAnsi="宋体" w:cs="宋体"/>
          <w:color w:val="auto"/>
          <w:szCs w:val="21"/>
          <w:highlight w:val="none"/>
        </w:rPr>
        <w:t xml:space="preserve">。</w:t>
      </w:r>
      <w:bookmarkEnd w:id="60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bookmarkEnd w:id="608"/>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    承包人应在竣工验收合格之日起20天内具备移交条件，并随时办理移交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   发包人按承包人因此产生的实际费用适当分担   </w:t>
      </w:r>
      <w:r>
        <w:rPr>
          <w:rFonts w:hint="eastAsia" w:ascii="宋体" w:hAnsi="宋体" w:cs="宋体"/>
          <w:color w:val="auto"/>
          <w:szCs w:val="21"/>
          <w:highlight w:val="none"/>
        </w:rPr>
        <w:t xml:space="preserve">。</w:t>
      </w:r>
      <w:bookmarkEnd w:id="60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 发包人保留强行清退场的权利，造成的费用和损失由承包人承担。否则，发包人将按承包人占用的建筑面积范围收取100元/平方米·天的占用费 </w:t>
      </w:r>
      <w:r>
        <w:rPr>
          <w:rFonts w:hint="eastAsia" w:ascii="宋体" w:hAnsi="宋体" w:cs="宋体"/>
          <w:color w:val="auto"/>
          <w:szCs w:val="21"/>
          <w:highlight w:val="none"/>
        </w:rPr>
        <w:t xml:space="preserve">。</w:t>
      </w:r>
      <w:bookmarkEnd w:id="610"/>
      <w:r/>
      <w:r/>
    </w:p>
    <w:p>
      <w:pPr>
        <w:numPr>
          <w:ilvl w:val="3"/>
          <w:numId w:val="1"/>
        </w:numPr>
        <w:keepLines/>
        <w:keepNext/>
        <w:spacing w:line="360" w:lineRule="auto"/>
        <w:rPr>
          <w:rFonts w:ascii="宋体" w:hAnsi="宋体" w:cs="宋体"/>
          <w:bCs/>
          <w:color w:val="auto"/>
          <w:szCs w:val="21"/>
          <w:highlight w:val="none"/>
        </w:rPr>
        <w:outlineLvl w:val="3"/>
      </w:pPr>
      <w:r/>
      <w:bookmarkStart w:id="612" w:name="_Toc351203646"/>
      <w:r>
        <w:rPr>
          <w:rFonts w:hint="eastAsia" w:ascii="宋体" w:hAnsi="宋体" w:cs="宋体"/>
          <w:bCs/>
          <w:color w:val="auto"/>
          <w:szCs w:val="21"/>
          <w:highlight w:val="none"/>
        </w:rPr>
        <w:t xml:space="preserve">14. 竣工结算</w:t>
      </w:r>
      <w:bookmarkEnd w:id="61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 竣工结算申请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     按发包人及建设相关方的要求办理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   按发包人及建设相关方的要求办理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613" w:name="_Toc16400"/>
      <w:r>
        <w:rPr>
          <w:rFonts w:hint="eastAsia" w:ascii="宋体" w:hAnsi="宋体" w:cs="宋体"/>
          <w:color w:val="auto"/>
          <w:szCs w:val="21"/>
          <w:highlight w:val="none"/>
        </w:rPr>
        <w:t xml:space="preserve">14.2 竣工结算审核</w:t>
      </w:r>
      <w:bookmarkEnd w:id="613"/>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    1、承包人应该在竣工验收后 60 天内提交完整的竣工结算报告及结算资料。否则造成发包人、监理单位管理费用的增加和审核时间的延长，责任由承包人承担。</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2、发包人收到承包人递交完整的竣工结算报告及结算资料后 30 天内送审。结算审计流程及时间按发包人及建设相关方有关要求执行。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      按照 12.4 执行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  按发包人及建设相关方的要求办理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 最终结清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     陆份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1、承包人应该在竣工验收后 60 天内提交完整的竣工结算报告及结算资料。否则造成发包人、监理单位、跟踪审计单位管理费用的增加和审核时间的延长，责任由承包人承担。</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2、发包人收到承包人递交完整的竣工结算报告及结算资料后 30 天内送审。结算审计流程及时间按发包人及建设相关方有关要求执行。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3、承包人必须提高工程结算的准确性，审计费用《南京审计大学建设工程项目审计实施办法》规定执行，其中 单项工程核减率在8%—10%（含10%）之间的，其审计费用由建设单位承担20%，施工单位承担80%；单项工程核减率在5%—8%（含8%）之间的，其审计费用由施工单位承担20%，建设单位承担80%。</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bookmarkEnd w:id="599"/>
      <w:r/>
      <w:bookmarkEnd w:id="600"/>
      <w:r/>
      <w:bookmarkEnd w:id="601"/>
      <w:r/>
      <w:bookmarkEnd w:id="602"/>
      <w:r/>
      <w:bookmarkEnd w:id="603"/>
      <w:r/>
      <w:bookmarkEnd w:id="604"/>
      <w:r/>
      <w:bookmarkEnd w:id="605"/>
      <w:r/>
      <w:bookmarkEnd w:id="611"/>
      <w:r/>
      <w:r/>
    </w:p>
    <w:p>
      <w:pPr>
        <w:numPr>
          <w:ilvl w:val="3"/>
          <w:numId w:val="1"/>
        </w:numPr>
        <w:keepLines/>
        <w:keepNext/>
        <w:spacing w:line="360" w:lineRule="auto"/>
        <w:rPr>
          <w:rFonts w:ascii="宋体" w:hAnsi="宋体" w:cs="宋体"/>
          <w:bCs/>
          <w:color w:val="auto"/>
          <w:szCs w:val="21"/>
          <w:highlight w:val="none"/>
        </w:rPr>
        <w:outlineLvl w:val="3"/>
      </w:pPr>
      <w:r/>
      <w:bookmarkStart w:id="614" w:name="_Toc351203647"/>
      <w:r/>
      <w:bookmarkStart w:id="615" w:name="_Toc267251483"/>
      <w:r/>
      <w:bookmarkStart w:id="616" w:name="_Toc267251484"/>
      <w:r/>
      <w:bookmarkStart w:id="617" w:name="_Toc267251482"/>
      <w:r/>
      <w:bookmarkStart w:id="618" w:name="_Toc267251485"/>
      <w:r/>
      <w:bookmarkStart w:id="619" w:name="_Toc267251489"/>
      <w:r/>
      <w:bookmarkStart w:id="620" w:name="_Toc267251488"/>
      <w:r/>
      <w:bookmarkStart w:id="621" w:name="_Toc267251486"/>
      <w:r/>
      <w:bookmarkStart w:id="622" w:name="_Toc267251490"/>
      <w:r/>
      <w:bookmarkStart w:id="623" w:name="_Toc267251501"/>
      <w:r/>
      <w:bookmarkStart w:id="624" w:name="_Toc267251492"/>
      <w:r/>
      <w:bookmarkStart w:id="625" w:name="_Toc267251498"/>
      <w:r/>
      <w:bookmarkStart w:id="626" w:name="_Toc267251494"/>
      <w:r/>
      <w:bookmarkStart w:id="627" w:name="_Toc267251502"/>
      <w:r/>
      <w:bookmarkStart w:id="628" w:name="_Toc267251496"/>
      <w:r/>
      <w:bookmarkStart w:id="629" w:name="_Toc267251497"/>
      <w:r/>
      <w:bookmarkStart w:id="630" w:name="_Toc267251503"/>
      <w:r/>
      <w:bookmarkStart w:id="631" w:name="_Toc267251493"/>
      <w:r/>
      <w:bookmarkStart w:id="632" w:name="_Toc267251499"/>
      <w:r/>
      <w:bookmarkStart w:id="633" w:name="_Toc267251495"/>
      <w:r/>
      <w:bookmarkStart w:id="634" w:name="_Toc267251491"/>
      <w:r/>
      <w:bookmarkStart w:id="635" w:name="_Toc267251506"/>
      <w:r/>
      <w:bookmarkStart w:id="636" w:name="_Toc267251504"/>
      <w:r/>
      <w:bookmarkStart w:id="637" w:name="_Toc267251507"/>
      <w:r/>
      <w:bookmarkStart w:id="638" w:name="_Toc267251508"/>
      <w:r/>
      <w:bookmarkStart w:id="639" w:name="_Toc267251510"/>
      <w:r/>
      <w:bookmarkStart w:id="640" w:name="_Toc267251514"/>
      <w:r/>
      <w:bookmarkStart w:id="641" w:name="_Toc267251509"/>
      <w:r/>
      <w:bookmarkStart w:id="642" w:name="_Toc267251513"/>
      <w:r/>
      <w:bookmarkStart w:id="643" w:name="_Toc267251515"/>
      <w:r/>
      <w:bookmarkStart w:id="644" w:name="_Toc267251511"/>
      <w:r>
        <w:rPr>
          <w:rFonts w:hint="eastAsia" w:ascii="宋体" w:hAnsi="宋体" w:cs="宋体"/>
          <w:bCs/>
          <w:color w:val="auto"/>
          <w:szCs w:val="21"/>
          <w:highlight w:val="none"/>
        </w:rPr>
        <w:t xml:space="preserve">15. 缺陷责任期与保修</w:t>
      </w:r>
      <w:bookmarkEnd w:id="614"/>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15.1 工程保修原则</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15.2缺陷责任期</w:t>
      </w:r>
      <w:bookmarkEnd w:id="61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   自竣工验收之日起2年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645" w:name="_Toc374"/>
      <w:r>
        <w:rPr>
          <w:rFonts w:hint="eastAsia" w:ascii="宋体" w:hAnsi="宋体" w:cs="宋体"/>
          <w:color w:val="auto"/>
          <w:szCs w:val="21"/>
          <w:highlight w:val="none"/>
        </w:rPr>
        <w:t xml:space="preserve">15.3 质量保证金</w:t>
      </w:r>
      <w:bookmarkEnd w:id="64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   扣留质量保证金   </w:t>
      </w: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420"/>
        <w:jc w:val="left"/>
        <w:spacing w:line="360" w:lineRule="auto"/>
        <w:rPr>
          <w:rFonts w:ascii="宋体" w:hAnsi="宋体" w:cs="宋体"/>
          <w:color w:val="auto"/>
          <w:szCs w:val="21"/>
          <w:highlight w:val="none"/>
        </w:rPr>
        <w:outlineLvl w:val="0"/>
      </w:pPr>
      <w:r/>
      <w:bookmarkStart w:id="646" w:name="_Toc32674"/>
      <w:r>
        <w:rPr>
          <w:rFonts w:hint="eastAsia" w:ascii="宋体" w:hAnsi="宋体" w:cs="宋体"/>
          <w:color w:val="auto"/>
          <w:szCs w:val="21"/>
          <w:highlight w:val="none"/>
        </w:rPr>
        <w:t xml:space="preserve">15.3.1 承包人提供质量保证金的方式</w:t>
      </w:r>
      <w:bookmarkEnd w:id="64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%的工程款；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outlineLvl w:val="0"/>
      </w:pPr>
      <w:r/>
      <w:bookmarkStart w:id="647" w:name="_Toc16500"/>
      <w:r>
        <w:rPr>
          <w:rFonts w:hint="eastAsia" w:ascii="宋体" w:hAnsi="宋体" w:cs="宋体"/>
          <w:color w:val="auto"/>
          <w:szCs w:val="21"/>
          <w:highlight w:val="none"/>
        </w:rPr>
        <w:t xml:space="preserve">15.3.2 质量保证金的扣留</w:t>
      </w:r>
      <w:bookmarkEnd w:id="647"/>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宋体"/>
          <w:color w:val="auto"/>
          <w:szCs w:val="21"/>
          <w:highlight w:val="none"/>
        </w:rPr>
        <w:outlineLvl w:val="0"/>
      </w:pPr>
      <w:r/>
      <w:bookmarkStart w:id="648" w:name="_Toc1195"/>
      <w:r>
        <w:rPr>
          <w:rFonts w:hint="eastAsia" w:ascii="宋体" w:hAnsi="宋体" w:cs="宋体"/>
          <w:color w:val="auto"/>
          <w:szCs w:val="21"/>
          <w:highlight w:val="none"/>
        </w:rPr>
        <w:t xml:space="preserve">（2）工程竣工结算时一次性扣留质量保证金；</w:t>
      </w:r>
      <w:bookmarkEnd w:id="648"/>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616"/>
      <w:r/>
      <w:bookmarkEnd w:id="61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15.4保修</w:t>
      </w:r>
      <w:bookmarkEnd w:id="618"/>
      <w:r/>
      <w:r/>
    </w:p>
    <w:p>
      <w:pPr>
        <w:ind w:firstLine="40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15.4.1 保修责任</w:t>
      </w:r>
      <w:r/>
    </w:p>
    <w:p>
      <w:pPr>
        <w:ind w:firstLine="40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     在工程移交发包人后，因承包人原因产生的质量缺陷，承包人应承担质量缺陷责任和保修义务。缺陷责任期届满，承包人仍应按合同约定的各部位保修年限承担保修义务    </w:t>
      </w:r>
      <w:r>
        <w:rPr>
          <w:rFonts w:hint="eastAsia" w:ascii="宋体" w:hAnsi="宋体" w:cs="宋体"/>
          <w:color w:val="auto"/>
          <w:szCs w:val="21"/>
          <w:highlight w:val="none"/>
        </w:rPr>
        <w:t xml:space="preserve">。</w:t>
      </w:r>
      <w:r/>
    </w:p>
    <w:p>
      <w:pPr>
        <w:ind w:firstLine="40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15.4.3 修复通知</w:t>
      </w:r>
      <w:r/>
    </w:p>
    <w:p>
      <w:pPr>
        <w:ind w:firstLine="40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bookmarkEnd w:id="619"/>
      <w:r/>
      <w:bookmarkEnd w:id="620"/>
      <w:r/>
      <w:bookmarkEnd w:id="621"/>
      <w:r/>
      <w:bookmarkEnd w:id="622"/>
      <w:r/>
      <w:r/>
    </w:p>
    <w:p>
      <w:pPr>
        <w:numPr>
          <w:ilvl w:val="3"/>
          <w:numId w:val="1"/>
        </w:numPr>
        <w:keepLines/>
        <w:keepNext/>
        <w:spacing w:line="360" w:lineRule="auto"/>
        <w:rPr>
          <w:rFonts w:ascii="宋体" w:hAnsi="宋体" w:cs="宋体"/>
          <w:bCs/>
          <w:color w:val="auto"/>
          <w:szCs w:val="21"/>
          <w:highlight w:val="none"/>
        </w:rPr>
        <w:outlineLvl w:val="3"/>
      </w:pPr>
      <w:r/>
      <w:bookmarkStart w:id="649" w:name="_Toc351203648"/>
      <w:r/>
      <w:bookmarkStart w:id="650" w:name="_Toc280868717"/>
      <w:r/>
      <w:bookmarkStart w:id="651" w:name="_Toc280868718"/>
      <w:r>
        <w:rPr>
          <w:rFonts w:hint="eastAsia" w:ascii="宋体" w:hAnsi="宋体" w:cs="宋体"/>
          <w:bCs/>
          <w:color w:val="auto"/>
          <w:szCs w:val="21"/>
          <w:highlight w:val="none"/>
        </w:rPr>
        <w:t xml:space="preserve">16. 违约</w:t>
      </w:r>
      <w:bookmarkEnd w:id="649"/>
      <w:r/>
      <w:r/>
    </w:p>
    <w:p>
      <w:pPr>
        <w:ind w:firstLine="420"/>
        <w:spacing w:line="360" w:lineRule="auto"/>
        <w:rPr>
          <w:rFonts w:ascii="宋体" w:hAnsi="宋体" w:cs="宋体"/>
          <w:color w:val="auto"/>
          <w:szCs w:val="21"/>
          <w:highlight w:val="none"/>
        </w:rPr>
        <w:outlineLvl w:val="0"/>
      </w:pPr>
      <w:r/>
      <w:bookmarkStart w:id="652" w:name="_Toc14832"/>
      <w:r>
        <w:rPr>
          <w:rFonts w:hint="eastAsia" w:ascii="宋体" w:hAnsi="宋体" w:cs="宋体"/>
          <w:color w:val="auto"/>
          <w:szCs w:val="21"/>
          <w:highlight w:val="none"/>
        </w:rPr>
        <w:t xml:space="preserve">16.1 发包人违约</w:t>
      </w:r>
      <w:bookmarkEnd w:id="652"/>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r/>
    </w:p>
    <w:p>
      <w:pPr>
        <w:ind w:left="1050" w:hanging="105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16.1.2 发包人违约的责任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 应按照中国人民银行发布的同期同类存款基准利率支付违约金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    产生的费用由发包人承担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  工期相应顺延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   按5000元/天支付违约金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     另行协商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  28  </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420"/>
        <w:spacing w:line="360" w:lineRule="auto"/>
        <w:rPr>
          <w:rFonts w:ascii="宋体" w:hAnsi="宋体" w:cs="宋体"/>
          <w:color w:val="auto"/>
          <w:szCs w:val="21"/>
          <w:highlight w:val="none"/>
        </w:rPr>
        <w:outlineLvl w:val="0"/>
      </w:pPr>
      <w:r/>
      <w:bookmarkStart w:id="653" w:name="_Toc4756"/>
      <w:r>
        <w:rPr>
          <w:rFonts w:hint="eastAsia" w:ascii="宋体" w:hAnsi="宋体" w:cs="宋体"/>
          <w:color w:val="auto"/>
          <w:szCs w:val="21"/>
          <w:highlight w:val="none"/>
        </w:rPr>
        <w:t xml:space="preserve">16.2 承包人违约</w:t>
      </w:r>
      <w:bookmarkEnd w:id="65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    1、承包人借故拖延工程进度、导致工程停工超过 15 日；2、承包人未按要求投入人员、机械设备及资金造成工期延误；3、因承包人原因造成的质量问题；4、因承包人原因造成的安全文明生产责任事故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    因承包人原因导致单体工程竣工验收时间延误</w:t>
      </w:r>
      <w:r>
        <w:rPr>
          <w:rFonts w:hint="eastAsia" w:ascii="宋体" w:hAnsi="宋体" w:cs="宋体"/>
          <w:color w:val="auto"/>
          <w:szCs w:val="21"/>
          <w:highlight w:val="none"/>
          <w:u w:val="single"/>
        </w:rPr>
        <w:t xml:space="preserve">，每延误一天承包人向发包人支付违约金人民币贰万元；因承包人原因导致项目整体竣工验收时间延误，每延误一天承包人向发包人支付违约金人民币伍万元；如单体和整体同时延误，则一并处罚，除非承包人能够证明工期的延误系因不可抗力及发包人单方直接原因导致；当承包人的违约金累计支付至工程造价的 3%时，发包人有权解除合同，并按照本条的相关约定追究承包人的违约责任。此赔偿费的支付并不解除乙方应完成工程的义务或合同规定应完成的其他义务。如因承包人原因，承包人累计延误工期达 60 天，则发包人有权解除合同，并追究承包人的违约责任。</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因不可抗力导致合同解除的，承包人的施工人员、材料、设备必须在收到发包人通知之日起二十天内全部退出现场，每延迟一天退场由承包人向发包人支付 10000 元违约金，所遗留现场的材料、设备视为承包人自愿放弃所有权，发包人有权自行处理，处理费用由承包人承担。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因承包人原因工程质量达不到约定的质量标准，承包人承担违约责任：承包人承包工程的质量必须符合国家质量验收标准及图纸要求，如不符合国家质量验收标准及图纸要求，所发生的一切返工费用以及由此给发包人造成的经济损失均由承包人承担，并按返工部分的工程造价的 10%予以处罚，此项赔偿并不能解除承包人完成工程的责任以及合同规定的其他责任。如因施工质量导致安全事故，承包人承担事故处理的一切费用、工程的恢复费用及因此而造成后续工程延误费用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双方约定的承包人其他违约责任：</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(1)未按投标计划投入施工机械的，属于违约。承包人向发包人支付违约金 20000 元，由此而引起的工期延误另行处罚。</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(2)未做到投标时承诺条件的，属于违约，承包人承担违约责任，向发包人支付合同总价款 1％的违约金；情况严重发包人有权将承包人清退出施工场地并向建设行政主管部门报告。</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(3)承包方未经发包人认可，擅自购置使用的材料，必须无条件更换，并承担由此造成的一切损失。</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(4)所有违约金和赔偿金的支付不减轻承包人合同项下的任何责任和义务。</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(5)双方在确定竣工日期及各项控制工期时，已充分考虑 可能出现的各种形式的雨雪、冰雹、台风、高温天气、停水、停电、节假日、扰民和民扰、道路施工影响等不利因素及发包人分包工程的合理工期，因此，承包人不得以此等事由为由要求延长工期。</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(6)由于承包人的原因引发的安全事故，发生一起安全事故，承包人向发包人支付违约金 10000 元/ 次；若发生一般事故 (国务院第 493 号令) 规定，承包人应承担违约金 5 万元/次，同时承担一切经济赔偿费用，工期不予顺延，发包人有权解除合同，并按相关法律法规的规定进行处理；如因施工质量事故导致的安全事故，承包人应承担事故造成的一切损失，工期不予顺延。</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(7)如承包人有不能完成即定目标 (包括工期、质量、安全文明施工目标) 的迹象，不服从发包人 管理，未采取相应措施时，发包人对承包人有经济处罚、更换承包人人员，直至调整承包人承包范围、清退承包人出场的权利。</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(8)在施工过程中以及工程移交的质量保修期内， 由于承包人出现的质量问题、安全事故或其它原因，受到报纸、电视等媒体的曝光或政府有关部门的通报，给本工程的社会形象造成严重负面影响时，承包人承担不少于人民币 50000 元的违约金，发包人可在当期工程款中或质量保修金中扣除。</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(9)上述赔偿的支付并不能解除承包人应完成工程的责任或合同的其他责任。如工期连续延误超过二十日的，则发包人还有权解除本合同。承包人在收到发包人的解除通知后应立即退出施工现场，否则发包人有权强行将承包人清出施工现场。但发包人应在力所能及的范围内给予协助。</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(10)承包方未经发包人和监理认可，擅自购置使用的材料，必须无条件更换，并承担由此造成的一切损失。所有违约金和赔偿金的支付不减轻承包人合同项下的任何责任和义务。</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  ①承包人在施工过程中擅自停工、窝工行为，经发包人书面催告后 5 日内仍不正常施工的，或其他因承包人之原因致使合同约定的工期根本无法达到要求的；</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②承包人施工质量无法达到合格要求，经监理工程师要求整改却无正当理由拒绝整改的或者整改后仍不合格的；</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③承包人擅自更换本工程项目经理的，经发包人提出异议后七日内不予纠正的。</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④若承包人没有在规定时间之内执行发包人指令，而在收到发包人催促执行的书面通知后 7 日之内，承包人仍未执行。发包人有权解除合同，造成发包人直接损失或间接损失的，作为债务向承包人追讨。</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⑤因承包人原因工程出现死亡事故，承包人承担违约金 15 万元， 自行单方向死者家属承担一切经济赔偿费用，并不得延长工期。如发现人员死亡、火灾等工程建设重大事故，发包人有权解除合同。</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⑥承包人不得以任何理由 (非发包人原因) 擅自停工，对发包人的复工通知应积极响应，连续收到三次复工通知书拒不复工的，发包人将与其解除合同关系，并拒付工程款，并追究承包人相应经济和法律责任。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⑦承包人因主要机械和主要材料延迟进场超过 10 日，经发包方催告后 7 日内仍未进场的；或者承包方未按投标计划投入施工机械及人工，经发包方催告后 7 日内仍未解决的；或者非发包方原因，承包人累计延误工期达 30 天的。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  发包人提出解除之日起 24 小时内，承包人需一次性向发包人同时提供材料采购合同，如超过 24 小时，发包人仍未提供材料采购合同等未来将据此索赔的合同，发包人将不再确认该合同的有效性。</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承包人违反本合同专用条款第 16.2 条约定，发包人依约解除合同的，承包人因此给发包人造成损失的 (包括但不限于发包人重新招标或者直接发包给第三人发生的费用、发包人自己或者第三人完成本合同内容需要支付的材料款、工程款、需要额外增加的赶工费、需要额外增加的材料采购费等费用) ，发包人有权自承包人应付未付款中予以直接扣减，不足部份，承包人应予以全额赔偿。</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合同解除后，承包人应于接到发包人通知后 15 日内做好现场安全、质量保护并退出工程现场。如逾期仍未撤离完毕，应赔偿发包人每日 1 万元的赔偿金。同时，发包人有权采取强制手段清理现场。为此发生的费用从未付工程款中扣除。</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合同的解除并不解除承包人对已完工工程的质量责任和保修责任以及合同履行过程中的违约责任。</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无论何种原因导致合同解除的，承包人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作出任何处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因承包人原因不按合同约定履行义务或终止履行合同义务时，发包人有权向承包人索赔合同价款的20%的违约金并且承包人承担因此给发包人造成的一切经济损失和责任。一方违约后，另一方要求违约方继续履行合同时，违约方承担上述违约责任后仍应继续履行合同  </w:t>
      </w:r>
      <w:r>
        <w:rPr>
          <w:rFonts w:hint="eastAsia" w:ascii="宋体" w:hAnsi="宋体" w:cs="宋体"/>
          <w:color w:val="auto"/>
          <w:szCs w:val="21"/>
          <w:highlight w:val="none"/>
        </w:rPr>
        <w:t xml:space="preserve">。</w:t>
      </w:r>
      <w:r/>
    </w:p>
    <w:p>
      <w:pPr>
        <w:numPr>
          <w:ilvl w:val="3"/>
          <w:numId w:val="1"/>
        </w:numPr>
        <w:keepLines/>
        <w:keepNext/>
        <w:spacing w:line="360" w:lineRule="auto"/>
        <w:rPr>
          <w:rFonts w:ascii="宋体" w:hAnsi="宋体" w:cs="宋体"/>
          <w:bCs/>
          <w:color w:val="auto"/>
          <w:szCs w:val="21"/>
          <w:highlight w:val="none"/>
        </w:rPr>
        <w:outlineLvl w:val="3"/>
      </w:pPr>
      <w:r/>
      <w:bookmarkStart w:id="654" w:name="_Toc351203649"/>
      <w:r>
        <w:rPr>
          <w:rFonts w:hint="eastAsia" w:ascii="宋体" w:hAnsi="宋体" w:cs="宋体"/>
          <w:bCs/>
          <w:color w:val="auto"/>
          <w:szCs w:val="21"/>
          <w:highlight w:val="none"/>
        </w:rPr>
        <w:t xml:space="preserve">17. 不可抗力</w:t>
      </w:r>
      <w:bookmarkEnd w:id="654"/>
      <w:r>
        <w:rPr>
          <w:rFonts w:hint="eastAsia" w:ascii="宋体" w:hAnsi="宋体" w:cs="宋体"/>
          <w:bCs/>
          <w:color w:val="auto"/>
          <w:szCs w:val="21"/>
          <w:highlight w:val="none"/>
        </w:rPr>
        <w:t xml:space="preserve"> </w:t>
      </w:r>
      <w:bookmarkEnd w:id="65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除通用合同条款约定的不可抗力事件之外，视为不可抗力的其他情形： </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655" w:name="_Toc25792"/>
      <w:r>
        <w:rPr>
          <w:rFonts w:hint="eastAsia" w:ascii="宋体" w:hAnsi="宋体" w:cs="宋体"/>
          <w:color w:val="auto"/>
          <w:szCs w:val="21"/>
          <w:highlight w:val="none"/>
        </w:rPr>
        <w:t xml:space="preserve">17.4 因不可抗力解除合同</w:t>
      </w:r>
      <w:bookmarkEnd w:id="65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  28  </w:t>
      </w:r>
      <w:r>
        <w:rPr>
          <w:rFonts w:hint="eastAsia" w:ascii="宋体" w:hAnsi="宋体" w:cs="宋体"/>
          <w:color w:val="auto"/>
          <w:szCs w:val="21"/>
          <w:highlight w:val="none"/>
        </w:rPr>
        <w:t xml:space="preserve">天内完成款项的支付。</w:t>
      </w:r>
      <w:r/>
    </w:p>
    <w:p>
      <w:pPr>
        <w:numPr>
          <w:ilvl w:val="3"/>
          <w:numId w:val="1"/>
        </w:numPr>
        <w:keepLines/>
        <w:keepNext/>
        <w:spacing w:line="360" w:lineRule="auto"/>
        <w:rPr>
          <w:rFonts w:ascii="宋体" w:hAnsi="宋体" w:cs="宋体"/>
          <w:bCs/>
          <w:color w:val="auto"/>
          <w:szCs w:val="21"/>
          <w:highlight w:val="none"/>
        </w:rPr>
        <w:outlineLvl w:val="3"/>
      </w:pPr>
      <w:r/>
      <w:bookmarkStart w:id="656" w:name="_Toc351203650"/>
      <w:r>
        <w:rPr>
          <w:rFonts w:hint="eastAsia" w:ascii="宋体" w:hAnsi="宋体" w:cs="宋体"/>
          <w:bCs/>
          <w:color w:val="auto"/>
          <w:szCs w:val="21"/>
          <w:highlight w:val="none"/>
        </w:rPr>
        <w:t xml:space="preserve">18. 保险</w:t>
      </w:r>
      <w:bookmarkEnd w:id="656"/>
      <w:r/>
      <w:bookmarkEnd w:id="65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 工程保险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      由承包人购买，费用在投标报价中自行考虑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657" w:name="_Toc18851"/>
      <w:r>
        <w:rPr>
          <w:rFonts w:hint="eastAsia" w:ascii="宋体" w:hAnsi="宋体" w:cs="宋体"/>
          <w:color w:val="auto"/>
          <w:szCs w:val="21"/>
          <w:highlight w:val="none"/>
        </w:rPr>
        <w:t xml:space="preserve">18.3 其他保险</w:t>
      </w:r>
      <w:bookmarkEnd w:id="65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按专用条款第 18.1 条执行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18.7 通知义务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   变更前 3 天通知  </w:t>
      </w:r>
      <w:r>
        <w:rPr>
          <w:rFonts w:hint="eastAsia" w:ascii="宋体" w:hAnsi="宋体" w:cs="宋体"/>
          <w:color w:val="auto"/>
          <w:szCs w:val="21"/>
          <w:highlight w:val="none"/>
        </w:rPr>
        <w:t xml:space="preserve">。</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numPr>
          <w:ilvl w:val="3"/>
          <w:numId w:val="1"/>
        </w:numPr>
        <w:keepLines/>
        <w:keepNext/>
        <w:spacing w:line="360" w:lineRule="auto"/>
        <w:rPr>
          <w:rFonts w:ascii="宋体" w:hAnsi="宋体" w:cs="宋体"/>
          <w:bCs/>
          <w:color w:val="auto"/>
          <w:szCs w:val="21"/>
          <w:highlight w:val="none"/>
        </w:rPr>
        <w:outlineLvl w:val="3"/>
      </w:pPr>
      <w:r/>
      <w:bookmarkStart w:id="658" w:name="_Toc351203651"/>
      <w:r>
        <w:rPr>
          <w:rFonts w:hint="eastAsia" w:ascii="宋体" w:hAnsi="宋体" w:cs="宋体"/>
          <w:bCs/>
          <w:color w:val="auto"/>
          <w:szCs w:val="21"/>
          <w:highlight w:val="none"/>
        </w:rPr>
        <w:t xml:space="preserve">20. 争议解决</w:t>
      </w:r>
      <w:bookmarkEnd w:id="658"/>
      <w:r/>
      <w:bookmarkEnd w:id="635"/>
      <w:r/>
      <w:bookmarkEnd w:id="636"/>
      <w:r/>
      <w:r/>
    </w:p>
    <w:p>
      <w:pPr>
        <w:ind w:firstLine="420"/>
        <w:spacing w:line="360" w:lineRule="auto"/>
        <w:rPr>
          <w:rFonts w:ascii="宋体" w:hAnsi="宋体" w:cs="宋体"/>
          <w:color w:val="auto"/>
          <w:szCs w:val="21"/>
          <w:highlight w:val="none"/>
        </w:rPr>
        <w:outlineLvl w:val="0"/>
      </w:pPr>
      <w:r/>
      <w:bookmarkStart w:id="659" w:name="_Toc31157"/>
      <w:r>
        <w:rPr>
          <w:rFonts w:hint="eastAsia" w:ascii="宋体" w:hAnsi="宋体" w:cs="宋体"/>
          <w:color w:val="auto"/>
          <w:szCs w:val="21"/>
          <w:highlight w:val="none"/>
        </w:rPr>
        <w:t xml:space="preserve">20.3 争</w:t>
      </w:r>
      <w:bookmarkEnd w:id="637"/>
      <w:r>
        <w:rPr>
          <w:rFonts w:hint="eastAsia" w:ascii="宋体" w:hAnsi="宋体" w:cs="宋体"/>
          <w:color w:val="auto"/>
          <w:szCs w:val="21"/>
          <w:highlight w:val="none"/>
        </w:rPr>
        <w:t xml:space="preserve">议评审</w:t>
      </w:r>
      <w:bookmarkEnd w:id="659"/>
      <w:r/>
      <w:r/>
    </w:p>
    <w:p>
      <w:pPr>
        <w:ind w:left="149"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   不同意  </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outlineLvl w:val="0"/>
      </w:pPr>
      <w:r/>
      <w:bookmarkStart w:id="660" w:name="_Toc14977"/>
      <w:r>
        <w:rPr>
          <w:rFonts w:hint="eastAsia" w:ascii="宋体" w:hAnsi="宋体" w:cs="宋体"/>
          <w:color w:val="auto"/>
          <w:szCs w:val="21"/>
          <w:highlight w:val="none"/>
        </w:rPr>
        <w:t xml:space="preserve">20.3.1 争议评审小组的确定</w:t>
      </w:r>
      <w:bookmarkEnd w:id="660"/>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另行协商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outlineLvl w:val="0"/>
      </w:pPr>
      <w:r/>
      <w:bookmarkStart w:id="661" w:name="_Toc32130"/>
      <w:r>
        <w:rPr>
          <w:rFonts w:hint="eastAsia" w:ascii="宋体" w:hAnsi="宋体" w:cs="宋体"/>
          <w:color w:val="auto"/>
          <w:szCs w:val="21"/>
          <w:highlight w:val="none"/>
        </w:rPr>
        <w:t xml:space="preserve">20.3.2 争议评审小组的决定</w:t>
      </w:r>
      <w:bookmarkEnd w:id="66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0"/>
      </w:pPr>
      <w:r/>
      <w:bookmarkStart w:id="662" w:name="_Toc31486"/>
      <w:r>
        <w:rPr>
          <w:rFonts w:hint="eastAsia" w:ascii="宋体" w:hAnsi="宋体" w:cs="宋体"/>
          <w:color w:val="auto"/>
          <w:szCs w:val="21"/>
          <w:highlight w:val="none"/>
        </w:rPr>
        <w:t xml:space="preserve">20.4仲裁或诉讼</w:t>
      </w:r>
      <w:bookmarkEnd w:id="638"/>
      <w:r/>
      <w:bookmarkEnd w:id="66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种方式解决：</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      工程所在地     </w:t>
      </w:r>
      <w:r>
        <w:rPr>
          <w:rFonts w:hint="eastAsia" w:ascii="宋体" w:hAnsi="宋体" w:cs="宋体"/>
          <w:color w:val="auto"/>
          <w:szCs w:val="21"/>
          <w:highlight w:val="none"/>
        </w:rPr>
        <w:t xml:space="preserve">人民法院起诉</w:t>
      </w:r>
      <w:bookmarkEnd w:id="639"/>
      <w:r/>
      <w:bookmarkEnd w:id="640"/>
      <w:r/>
      <w:bookmarkEnd w:id="641"/>
      <w:r/>
      <w:bookmarkEnd w:id="642"/>
      <w:r/>
      <w:bookmarkEnd w:id="643"/>
      <w:r/>
      <w:bookmarkEnd w:id="644"/>
      <w:r>
        <w:rPr>
          <w:rFonts w:hint="eastAsia" w:ascii="宋体" w:hAnsi="宋体" w:cs="宋体"/>
          <w:color w:val="auto"/>
          <w:szCs w:val="21"/>
          <w:highlight w:val="none"/>
        </w:rPr>
        <w:t xml:space="preserve">。</w:t>
      </w:r>
      <w:r/>
    </w:p>
    <w:p>
      <w:pPr>
        <w:rPr>
          <w:rFonts w:ascii="宋体" w:hAnsi="宋体" w:cs="宋体"/>
          <w:color w:val="auto"/>
          <w:sz w:val="22"/>
          <w:szCs w:val="22"/>
          <w:highlight w:val="none"/>
        </w:rPr>
      </w:pPr>
      <w:r>
        <w:rPr>
          <w:rFonts w:hint="eastAsia" w:ascii="宋体" w:hAnsi="宋体" w:cs="宋体"/>
          <w:color w:val="auto"/>
          <w:sz w:val="22"/>
          <w:szCs w:val="22"/>
          <w:highlight w:val="none"/>
        </w:rPr>
        <w:br w:type="page" w:clear="all"/>
      </w:r>
      <w:r/>
    </w:p>
    <w:p>
      <w:pPr>
        <w:ind w:left="26"/>
        <w:jc w:val="left"/>
        <w:spacing w:before="106"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 1：</w:t>
      </w:r>
      <w:r/>
    </w:p>
    <w:p>
      <w:p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工程质量保修书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发包人(全称)：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承包人(全称)：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南京审计大学润园运动场改造项目施工</w:t>
      </w:r>
      <w:r>
        <w:rPr>
          <w:rFonts w:hint="eastAsia" w:ascii="宋体" w:hAnsi="宋体" w:cs="宋体"/>
          <w:color w:val="auto"/>
          <w:szCs w:val="21"/>
          <w:highlight w:val="none"/>
        </w:rPr>
        <w:t xml:space="preserve">(工程全称) 签订工程质量保修书。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 以及双方约定的其他项目。具体保修的内容，双方约定如下：</w:t>
      </w:r>
      <w:r>
        <w:rPr>
          <w:rFonts w:hint="eastAsia" w:ascii="宋体" w:hAnsi="宋体" w:cs="宋体"/>
          <w:color w:val="auto"/>
          <w:szCs w:val="21"/>
          <w:highlight w:val="none"/>
          <w:u w:val="single"/>
        </w:rPr>
        <w:t xml:space="preserve">承包人承包范围内属于承包人责任而引起的质量保修，由承包人负责。</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2．屋面防水工程、有防水要求的卫生间、房间和外墙面的防渗为5 年；</w:t>
      </w:r>
      <w:r/>
    </w:p>
    <w:p>
      <w:pPr>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3．装修工程为2年；</w:t>
      </w:r>
      <w:r/>
    </w:p>
    <w:p>
      <w:pPr>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4．电气管线、给排水管道、设备安装工程为2 年；</w:t>
      </w:r>
      <w:r/>
    </w:p>
    <w:p>
      <w:pPr>
        <w:ind w:firstLine="420"/>
        <w:jc w:val="left"/>
        <w:spacing w:line="300" w:lineRule="auto"/>
        <w:tabs>
          <w:tab w:val="left" w:pos="5148" w:leader="none"/>
        </w:tabs>
        <w:rPr>
          <w:rFonts w:ascii="宋体" w:hAnsi="宋体" w:cs="宋体"/>
          <w:color w:val="auto"/>
          <w:szCs w:val="21"/>
          <w:highlight w:val="none"/>
        </w:rPr>
      </w:pPr>
      <w:r>
        <w:rPr>
          <w:rFonts w:hint="eastAsia" w:ascii="宋体" w:hAnsi="宋体" w:cs="宋体"/>
          <w:color w:val="auto"/>
          <w:szCs w:val="21"/>
          <w:highlight w:val="none"/>
        </w:rPr>
        <w:t xml:space="preserve">5．供热与供冷系统为2个采暖期、供冷期；</w:t>
      </w:r>
      <w:r>
        <w:rPr>
          <w:rFonts w:hint="eastAsia" w:ascii="宋体" w:hAnsi="宋体" w:cs="宋体"/>
          <w:color w:val="auto"/>
          <w:szCs w:val="21"/>
          <w:highlight w:val="none"/>
        </w:rPr>
        <w:tab/>
      </w:r>
      <w:r/>
    </w:p>
    <w:p>
      <w:pPr>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6．住宅小区内的给排水设施、道路等配套工程为2年；</w:t>
      </w:r>
      <w:r/>
    </w:p>
    <w:p>
      <w:pPr>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工程缺陷责任期为24个月，缺陷责任期自工程通过竣工验收之日起计算。单位工程先于全部工程进行验收，单位工程缺陷责任期自单位工程验收合格之日起算。</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1．属于保修范围、内容的项目，承包人应当在接到保修通知之日起24小时内派人保修。承包人不在约定期限内派人保修的，发包人可以委托他人修理。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1、我司在质量保修期内，按照合同和有关法律、法规、规章的管理规定以及双方的其它约定，承担合同约定的所有施工承包范围内工程质量的保修责任。</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发生质量问题并给发包人或业主造成经济损失的，按给发包人或业主造成经济损失的双倍支付违约金。此款在工程保修金中扣除。保修金不足以支付违约金的，由我司另行赔偿。并负责及时维修至业主满意为止。</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3、同一地点同一质量问题，我司经两次整改未能解决的，发包人认为有必要的，在通报我司后，可委托其他成交供应商修整，其费用由我司承担。</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4、若我司累计三次接到发包人报修通知后未能按期参加维修，发包人有权不经我司同意而直接扣除全部保修金，同时不解除我司的相关责任和向我司提出其他索赔的权利。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5、如保修期内发生较为严重的漏水、电路短路、断路等情况并造成业主投诉超过20次，发包人有权不经我司同意而直接扣除全部质保金，同时不解除我司的相关责任和向我司提出其他索赔的权利。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工程质量承诺书由我司在工程竣工验收前签署，作为施工合同附件，其有效期限至保修期满。</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承包人（盖章）： </w:t>
      </w:r>
      <w:r/>
    </w:p>
    <w:p>
      <w:pPr>
        <w:ind w:firstLine="67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法定代表人（盖章）：</w:t>
      </w:r>
      <w:r/>
    </w:p>
    <w:p>
      <w:pPr>
        <w:ind w:firstLine="67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w:t>
      </w:r>
      <w:r/>
    </w:p>
    <w:p>
      <w:pPr>
        <w:ind w:firstLine="210"/>
        <w:spacing w:after="120" w:line="360" w:lineRule="auto"/>
        <w:rPr>
          <w:rFonts w:ascii="宋体" w:hAnsi="宋体" w:cs="宋体"/>
          <w:color w:val="auto"/>
          <w:highlight w:val="none"/>
        </w:rPr>
      </w:pPr>
      <w:r>
        <w:rPr>
          <w:rFonts w:ascii="宋体" w:hAnsi="宋体" w:cs="宋体"/>
          <w:color w:val="auto"/>
          <w:highlight w:val="none"/>
        </w:rPr>
      </w:r>
      <w:r/>
    </w:p>
    <w:p>
      <w:pPr>
        <w:ind w:firstLine="210"/>
        <w:spacing w:after="120" w:line="360" w:lineRule="auto"/>
        <w:rPr>
          <w:rFonts w:ascii="宋体" w:hAnsi="宋体" w:cs="宋体"/>
          <w:color w:val="auto"/>
          <w:highlight w:val="none"/>
        </w:rPr>
      </w:pPr>
      <w:r>
        <w:rPr>
          <w:rFonts w:ascii="宋体" w:hAnsi="宋体" w:cs="宋体"/>
          <w:color w:val="auto"/>
          <w:highlight w:val="none"/>
        </w:rPr>
      </w:r>
      <w:r/>
    </w:p>
    <w:p>
      <w:pPr>
        <w:ind w:firstLine="210"/>
        <w:spacing w:after="120"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color w:val="auto"/>
          <w:sz w:val="20"/>
          <w:szCs w:val="20"/>
          <w:highlight w:val="none"/>
        </w:rPr>
      </w:pPr>
      <w:r>
        <w:rPr>
          <w:rFonts w:ascii="宋体" w:hAnsi="宋体" w:cs="宋体"/>
          <w:color w:val="auto"/>
          <w:sz w:val="20"/>
          <w:szCs w:val="20"/>
          <w:highlight w:val="none"/>
        </w:rPr>
      </w:r>
      <w:r/>
    </w:p>
    <w:p>
      <w:pPr>
        <w:jc w:val="left"/>
        <w:spacing w:line="360" w:lineRule="auto"/>
        <w:widowControl/>
        <w:rPr>
          <w:rFonts w:ascii="宋体" w:hAnsi="宋体" w:cs="宋体"/>
          <w:color w:val="auto"/>
          <w:sz w:val="20"/>
          <w:szCs w:val="20"/>
          <w:highlight w:val="none"/>
        </w:rPr>
      </w:pPr>
      <w:r>
        <w:rPr>
          <w:rFonts w:ascii="宋体" w:hAnsi="宋体" w:cs="宋体"/>
          <w:color w:val="auto"/>
          <w:sz w:val="20"/>
          <w:szCs w:val="20"/>
          <w:highlight w:val="none"/>
        </w:rPr>
      </w:r>
      <w:r/>
    </w:p>
    <w:p>
      <w:pPr>
        <w:jc w:val="left"/>
        <w:spacing w:line="360" w:lineRule="auto"/>
        <w:widowControl/>
        <w:rPr>
          <w:rFonts w:ascii="宋体" w:hAnsi="宋体" w:cs="宋体"/>
          <w:color w:val="auto"/>
          <w:sz w:val="20"/>
          <w:szCs w:val="20"/>
          <w:highlight w:val="none"/>
        </w:rPr>
      </w:pPr>
      <w:r>
        <w:rPr>
          <w:rFonts w:ascii="宋体" w:hAnsi="宋体" w:cs="宋体"/>
          <w:color w:val="auto"/>
          <w:sz w:val="20"/>
          <w:szCs w:val="20"/>
          <w:highlight w:val="none"/>
        </w:rPr>
      </w:r>
      <w:r/>
    </w:p>
    <w:p>
      <w:pPr>
        <w:jc w:val="left"/>
        <w:spacing w:line="360" w:lineRule="auto"/>
        <w:widowControl/>
        <w:rPr>
          <w:rFonts w:ascii="宋体" w:hAnsi="宋体" w:cs="宋体"/>
          <w:color w:val="auto"/>
          <w:sz w:val="20"/>
          <w:szCs w:val="20"/>
          <w:highlight w:val="none"/>
        </w:rPr>
      </w:pPr>
      <w:r>
        <w:rPr>
          <w:rFonts w:ascii="宋体" w:hAnsi="宋体" w:cs="宋体"/>
          <w:color w:val="auto"/>
          <w:sz w:val="20"/>
          <w:szCs w:val="20"/>
          <w:highlight w:val="none"/>
        </w:rPr>
      </w:r>
      <w:r/>
    </w:p>
    <w:p>
      <w:pP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br w:type="page" w:clear="all"/>
      </w:r>
      <w:r/>
    </w:p>
    <w:p>
      <w:pPr>
        <w:jc w:val="left"/>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 2</w:t>
      </w:r>
      <w:r/>
    </w:p>
    <w:p>
      <w:pPr>
        <w:ind w:firstLine="435"/>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安全生产责任协议书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为落实安全生产的管理要求，确保工程建设的顺利进行，经甲乙双方共同协商，一致同意如下：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二、甲方可以组织和督促乙方开展安全达标活动；及时传达和部署上级的有关安全生产精神和要求，定期听取乙方的意见和要求。加强安全生产的指导和协调。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处罚 200—500元不等。对未按要求限期整改的或整改不力、情节严重并造成一定后果的，对责任单位每次处罚1000元-2000元不等。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凡工地内发生生产事故或重大人员伤亡的，甲方派员参与劳动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五、乙方要严格贯彻执行国家和本市颁发的有关安全生产的法律、法规严格按照中华人民共和国建设部《关于印发&lt;2009 年工程建设标准规范制订、修订计划&gt;的通知》（建标[2009]88 号）要求修订后的《建筑施工安全检查标准》 （编号 JGJ59-2011）的要求加强内部安全管理，落实各项安全防护措施，确保工程建设中不发生重大伤亡事故。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七、乙方进入工地后应明确落实施工现</w:t>
      </w:r>
      <w:r>
        <w:rPr>
          <w:rFonts w:hint="eastAsia" w:ascii="宋体" w:hAnsi="宋体" w:cs="宋体"/>
          <w:color w:val="auto"/>
          <w:szCs w:val="21"/>
          <w:highlight w:val="none"/>
        </w:rPr>
        <w:t xml:space="preserve">场安全生产第一责任人。根据建设部办公厅 2000 年10 号文件要求配置专职安全管理人员。即施工人员超过 50 人的工地必须配置专职安全管理人员；工程造价在 1000 万元以上的工地，必须配置 2—3 名管理安全生产工作人员；工程造价在 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九、乙方要按照“安全自查，隐患自改、责任自负”的原则加强对施工责任区的日常安全检查。及时制止和处理各类违章违法行为。对查获的隐患要及时落实整改措施，消除隐患。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十一、乙方因疏于管理违章违法作业发生安全事故或造成人员伤亡的，应在积极抢救受伤人员、保护现场的同时，严格按安全事故上报的规定时限向甲方和当地劳动行政部门汇报，不得迟报瞒报。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十二、本协议中未涉及的有关条款，甲乙双方可根据需要协商补充修改。如遇有国家和本市的有关法规不符的，应按国家和本市的有关法规执行。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十三、本协议作为甲乙双方工程合同的附件，在工程合同签约后生效，与工程合同具有同等法律效力。工程合同期满，本协议终止。</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 方：（盖章）                             乙 方：（盖章）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                                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                                     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                                     电 话：</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年 月 日                                    年 月 日</w:t>
      </w:r>
      <w:r/>
    </w:p>
    <w:p>
      <w:pPr>
        <w:ind w:left="1260"/>
        <w:spacing w:line="360" w:lineRule="auto"/>
        <w:rPr>
          <w:rFonts w:ascii="宋体" w:hAnsi="宋体" w:cs="宋体"/>
          <w:color w:val="auto"/>
          <w:highlight w:val="none"/>
        </w:rPr>
        <w:sectPr>
          <w:footerReference w:type="default" r:id="rId14"/>
          <w:footnotePr/>
          <w:endnotePr/>
          <w:type w:val="nextPage"/>
          <w:pgSz w:w="11910" w:h="16840" w:orient="portrait"/>
          <w:pgMar w:top="1134" w:right="1134" w:bottom="1134" w:left="1134" w:header="850" w:footer="722" w:gutter="0"/>
          <w:cols w:num="1" w:sep="0" w:space="720" w:equalWidth="1"/>
          <w:docGrid w:linePitch="360"/>
        </w:sectPr>
      </w:pPr>
      <w:r>
        <w:rPr>
          <w:rFonts w:ascii="宋体" w:hAnsi="宋体" w:cs="宋体"/>
          <w:color w:val="auto"/>
          <w:highlight w:val="none"/>
        </w:rPr>
      </w:r>
      <w:r/>
    </w:p>
    <w:p>
      <w:pPr>
        <w:ind w:left="53"/>
        <w:jc w:val="left"/>
        <w:spacing w:before="106"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 3</w:t>
      </w:r>
      <w:r/>
    </w:p>
    <w:p>
      <w:pPr>
        <w:ind w:firstLine="435"/>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建设工程项目廉政责任书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 ：南京审计大学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了在工程建设中保持廉洁自律的工作作风，防止各种违法违纪行为的发生，根据国家建设部、监察部《关于在工程建设中深入开展反对腐败和反对不正当竞争的通知》的精神和省市有关建设工程承包和廉政建设的各项规定，结合工程建设的特点，特签订建设工程廉政责任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一、甲乙双方应当自觉遵守国家和南京市有关建设工程承发包工作规则，以及廉政建设的各项规定。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二、甲方工作人员应当保持与乙方的正常业务来往，不得接受乙方赠送的礼品、礼金和各种有价证券、信用卡及其他支付凭证；不得参加可能对公正执行公务有影响的宴请和娱乐活动。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三、甲方工作人员不得接受乙方任何好处费及工程回扣；不得向乙方报销任何应甲方支付或由个人支付的费用。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四、甲方工作人员不得向乙方介绍家属或亲友从事与甲方工作有关的材料设备供应、工程分包等经济活动；不得要求或接受乙方为其住房装修、婚丧嫁娶、家属和子女的工作安排以及出国等提供方便。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五、甲方人员向乙方索取，被乙方检举、经纪检监察机关立案查处认定的，甲方将向乙方奖励被贿款额的1-3倍作为奖金。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乙方应当通过正常途径开展相应的业务工作，不得为获取某些不正当利益而向甲方工作人员赠送礼品、礼金、各种有价证券、信用卡及其他支付凭证；不得以洽谈业务，签订经济合同为借口，邀请甲方工作人员外出旅游和进入营业性高档娱乐场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七、乙方不得为谋取私利擅自与甲方工作人员就工程承包、工程费用、材料设备供应、工程量变动、工程验收、工程质量问题等进行私下商谈或者达成默契。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八、乙方不得为甲方个人购置或者提供通讯工具、交通工具、家电、高档办公用品等物品。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乙方如发现甲方工作人员有违反上述条款者，应向甲方领导或者甲方上级单位举报，甲方不得找任何借口对乙方进行报复，甲方对举报属实和严格遵守廉政责任书的乙方，在同等条件下给予承接后续工程的优先邀请投标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十、甲方发现乙方有违反本责任书或者采取不正当的手段行贿甲方工作人员，甲方根据具体情节和造成的后果追究乙方工程合同造价 1-5%的违约金。由此给甲方单位造成的损失均由乙方承担，乙方用不正当手段获取的非法所得由甲方单位予以追缴。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十一、本廉政责任书为承发包合同的附件，与工程承发包合同具有同等法律效力。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十二、本责任书经甲乙双方盖章后生效。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 方：（盖章）                              乙 方：（盖章）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                     法定代表人或委托代理人：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                                      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                                      电 话：</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年 月 日                                     年 月 日</w:t>
      </w:r>
      <w:r/>
    </w:p>
    <w:p>
      <w:pPr>
        <w:spacing w:line="360" w:lineRule="auto"/>
        <w:rPr>
          <w:rFonts w:ascii="宋体" w:hAnsi="宋体" w:cs="宋体"/>
          <w:color w:val="auto"/>
          <w:szCs w:val="21"/>
          <w:highlight w:val="none"/>
        </w:rPr>
        <w:sectPr>
          <w:headerReference w:type="default" r:id="rId11"/>
          <w:footerReference w:type="default" r:id="rId15"/>
          <w:footnotePr/>
          <w:endnotePr/>
          <w:type w:val="nextPage"/>
          <w:pgSz w:w="11910" w:h="16840" w:orient="portrait"/>
          <w:pgMar w:top="1134" w:right="1134" w:bottom="1134" w:left="1134" w:header="768" w:footer="722" w:gutter="0"/>
          <w:cols w:num="1" w:sep="0" w:space="720" w:equalWidth="1"/>
          <w:docGrid w:linePitch="360"/>
        </w:sectPr>
      </w:pPr>
      <w:r>
        <w:rPr>
          <w:rFonts w:ascii="宋体" w:hAnsi="宋体" w:cs="宋体"/>
          <w:color w:val="auto"/>
          <w:szCs w:val="21"/>
          <w:highlight w:val="none"/>
        </w:rPr>
      </w:r>
      <w:r/>
    </w:p>
    <w:p>
      <w:pPr>
        <w:jc w:val="left"/>
        <w:spacing w:line="360" w:lineRule="auto"/>
        <w:tabs>
          <w:tab w:val="left" w:pos="3210" w:leader="none"/>
          <w:tab w:val="left" w:pos="3420" w:leader="none"/>
        </w:tabs>
        <w:rPr>
          <w:rStyle w:val="1285"/>
          <w:rFonts w:ascii="宋体" w:hAnsi="宋体" w:cs="宋体"/>
          <w:color w:val="auto"/>
          <w:szCs w:val="21"/>
          <w:highlight w:val="none"/>
        </w:rPr>
      </w:pPr>
      <w:r/>
      <w:bookmarkStart w:id="663" w:name="_Hlk137109971"/>
      <w:r>
        <w:rPr>
          <w:rFonts w:hint="eastAsia" w:ascii="宋体" w:hAnsi="宋体" w:cs="宋体"/>
          <w:color w:val="auto"/>
          <w:sz w:val="22"/>
          <w:szCs w:val="22"/>
          <w:highlight w:val="none"/>
        </w:rPr>
        <w:t xml:space="preserve">附件 4：</w:t>
      </w:r>
      <w:bookmarkEnd w:id="663"/>
      <w:r>
        <w:rPr>
          <w:rStyle w:val="1285"/>
          <w:rFonts w:hint="eastAsia" w:ascii="宋体" w:hAnsi="宋体" w:cs="宋体"/>
          <w:color w:val="auto"/>
          <w:szCs w:val="21"/>
          <w:highlight w:val="none"/>
        </w:rPr>
        <w:t xml:space="preserve">南京审计大学建设工程项目审计实施办法</w:t>
      </w:r>
      <w:r/>
    </w:p>
    <w:p>
      <w:pPr>
        <w:jc w:val="center"/>
        <w:spacing w:line="360" w:lineRule="auto"/>
        <w:tabs>
          <w:tab w:val="left" w:pos="3210" w:leader="none"/>
          <w:tab w:val="left" w:pos="3420" w:leader="none"/>
        </w:tabs>
        <w:rPr>
          <w:rStyle w:val="1285"/>
          <w:rFonts w:ascii="宋体" w:hAnsi="宋体" w:cs="宋体"/>
          <w:color w:val="auto"/>
          <w:szCs w:val="21"/>
          <w:highlight w:val="none"/>
        </w:rPr>
      </w:pPr>
      <w:r>
        <w:rPr>
          <w:rStyle w:val="1285"/>
          <w:rFonts w:hint="eastAsia" w:ascii="宋体" w:hAnsi="宋体" w:cs="宋体"/>
          <w:b/>
          <w:bCs/>
          <w:color w:val="auto"/>
          <w:szCs w:val="21"/>
          <w:highlight w:val="none"/>
        </w:rPr>
        <w:t xml:space="preserve">南京审计大学建设工程项目审计实施办法</w:t>
      </w:r>
      <w:r/>
    </w:p>
    <w:p>
      <w:pPr>
        <w:jc w:val="center"/>
        <w:spacing w:line="360" w:lineRule="auto"/>
        <w:tabs>
          <w:tab w:val="left" w:pos="3210" w:leader="none"/>
          <w:tab w:val="left" w:pos="3420" w:leader="none"/>
        </w:tabs>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第一章  总  则</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第一条</w:t>
      </w:r>
      <w:r>
        <w:rPr>
          <w:rStyle w:val="1285"/>
          <w:rFonts w:hint="eastAsia" w:ascii="宋体" w:hAnsi="宋体" w:cs="宋体"/>
          <w:color w:val="auto"/>
          <w:szCs w:val="21"/>
          <w:highlight w:val="none"/>
        </w:rPr>
        <w:t xml:space="preserve"> 为加强学校建设工程项目（以下简称建设项目）的审计监督，提高审计工作质量，根据《审计署关于内部审计工作的规定》、教育部《教育系统内部审计工作规定》、《江苏省内部审计工作规定》、《江苏省省属高校建设工程项目审计实施办法》、江苏省教育厅《关于做好省属高校建设工程项目复审工作的通知》等法律法规，结合我校实际，制定本办法。</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第二条</w:t>
      </w:r>
      <w:r>
        <w:rPr>
          <w:rStyle w:val="1285"/>
          <w:rFonts w:hint="eastAsia" w:ascii="宋体" w:hAnsi="宋体" w:cs="宋体"/>
          <w:color w:val="auto"/>
          <w:szCs w:val="21"/>
          <w:highlight w:val="none"/>
        </w:rPr>
        <w:t xml:space="preserve"> 本办法所称建设项目是指学校以财政拨款、自筹资金和其他资金投资新建、扩建、改建的基本建设工程、修缮工程和园林绿化工程等项目。</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第三条 </w:t>
      </w:r>
      <w:r>
        <w:rPr>
          <w:rStyle w:val="1285"/>
          <w:rFonts w:hint="eastAsia" w:ascii="宋体" w:hAnsi="宋体" w:cs="宋体"/>
          <w:color w:val="auto"/>
          <w:szCs w:val="21"/>
          <w:highlight w:val="none"/>
        </w:rPr>
        <w:t xml:space="preserve">本办法所称建设项目审计是指学校审计部依据有关法律法规和制度规范，对建设项目各阶段业务管理活动的合法性、适当性、有效性进行的监督和评价活动。</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第四条 </w:t>
      </w:r>
      <w:r>
        <w:rPr>
          <w:rStyle w:val="1285"/>
          <w:rFonts w:hint="eastAsia" w:ascii="宋体" w:hAnsi="宋体" w:cs="宋体"/>
          <w:color w:val="auto"/>
          <w:szCs w:val="21"/>
          <w:highlight w:val="none"/>
        </w:rPr>
        <w:t xml:space="preserve">建设项目审计的目的是有效控制工程造价和改善工程管理，促进学校建设工程目标的实现。</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第五条 </w:t>
      </w:r>
      <w:r>
        <w:rPr>
          <w:rStyle w:val="1285"/>
          <w:rFonts w:hint="eastAsia" w:ascii="宋体" w:hAnsi="宋体" w:cs="宋体"/>
          <w:color w:val="auto"/>
          <w:szCs w:val="21"/>
          <w:highlight w:val="none"/>
        </w:rPr>
        <w:t xml:space="preserve">建设项目审计应遵循以下原则和方法：</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（一）事前审计、事中审计和事后审计相结合；</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（二）技术经济审查与审计控制、审计评价相结合；</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（三）控制工程造价与促进工程管理相结合；</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（四）加强与建设工程管理部门、工程监理等机构的协调与沟通。</w:t>
      </w:r>
      <w:r/>
    </w:p>
    <w:p>
      <w:pPr>
        <w:ind w:firstLine="645"/>
        <w:jc w:val="left"/>
        <w:spacing w:line="360" w:lineRule="auto"/>
        <w:rPr>
          <w:rStyle w:val="1285"/>
          <w:rFonts w:ascii="宋体" w:hAnsi="宋体" w:cs="宋体"/>
          <w:b/>
          <w:bCs/>
          <w:color w:val="auto"/>
          <w:szCs w:val="21"/>
          <w:highlight w:val="none"/>
        </w:rPr>
      </w:pPr>
      <w:r>
        <w:rPr>
          <w:rFonts w:hint="eastAsia" w:ascii="宋体" w:hAnsi="宋体" w:cs="宋体"/>
          <w:b/>
          <w:bCs/>
          <w:color w:val="auto"/>
          <w:szCs w:val="21"/>
          <w:highlight w:val="none"/>
        </w:rPr>
        <w:t xml:space="preserve">第六条 </w:t>
      </w:r>
      <w:r>
        <w:rPr>
          <w:rStyle w:val="1285"/>
          <w:rFonts w:hint="eastAsia" w:ascii="宋体" w:hAnsi="宋体" w:cs="宋体"/>
          <w:color w:val="auto"/>
          <w:szCs w:val="21"/>
          <w:highlight w:val="none"/>
        </w:rPr>
        <w:t xml:space="preserve">建设项目审计应严格遵循审计程序，执行审计纪律，做到依法审计、客观公正、实事求是。</w:t>
      </w:r>
      <w:r/>
    </w:p>
    <w:p>
      <w:pPr>
        <w:jc w:val="center"/>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第二章  审计内容</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第七条 </w:t>
      </w:r>
      <w:r>
        <w:rPr>
          <w:rStyle w:val="1285"/>
          <w:rFonts w:hint="eastAsia" w:ascii="宋体" w:hAnsi="宋体" w:cs="宋体"/>
          <w:color w:val="auto"/>
          <w:szCs w:val="21"/>
          <w:highlight w:val="none"/>
        </w:rPr>
        <w:t xml:space="preserve">建设项目审计的内容包括对工程项目投资立项、勘察设计、施工准备、施工过程、竣工验收等各阶段业务管理活动的审查、确认和评价。</w:t>
      </w:r>
      <w:r/>
    </w:p>
    <w:p>
      <w:pPr>
        <w:ind w:firstLine="413"/>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第八条 </w:t>
      </w:r>
      <w:r>
        <w:rPr>
          <w:rStyle w:val="1285"/>
          <w:rFonts w:hint="eastAsia" w:ascii="宋体" w:hAnsi="宋体" w:cs="宋体"/>
          <w:color w:val="auto"/>
          <w:szCs w:val="21"/>
          <w:highlight w:val="none"/>
        </w:rPr>
        <w:t xml:space="preserve">投资立项阶段审计。审查与评价拟上报可行性研究报告或项目申请报告的真实性、完整性，规避投资风险，提高投资效益，为领导层决策提供参考。</w:t>
      </w:r>
      <w:r/>
    </w:p>
    <w:p>
      <w:pPr>
        <w:ind w:firstLine="411"/>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投资立项阶段审计的主要内容：可行性研究前期工作的审查与评价，可行性研究报告或项目申请报告真实性的审查与评价，可行性研究报告或项目申请报告完整性的审查与评价等。</w:t>
      </w:r>
      <w:r/>
    </w:p>
    <w:p>
      <w:pPr>
        <w:ind w:firstLine="211"/>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第九条</w:t>
      </w:r>
      <w:r>
        <w:rPr>
          <w:rStyle w:val="1285"/>
          <w:rFonts w:hint="eastAsia" w:ascii="宋体" w:hAnsi="宋体" w:cs="宋体"/>
          <w:color w:val="auto"/>
          <w:szCs w:val="21"/>
          <w:highlight w:val="none"/>
        </w:rPr>
        <w:t xml:space="preserve">勘察设计阶段审计。审查和评价勘察、设计阶段各环节业务管理活动，提高内部控制及风险管理的适当性和有效性。</w:t>
      </w:r>
      <w:r/>
    </w:p>
    <w:p>
      <w:pPr>
        <w:ind w:firstLine="411"/>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勘察设计阶段审计的主要内容：工程勘察的审查与评价，工程设计的审查与评价。</w:t>
      </w:r>
      <w:r/>
    </w:p>
    <w:p>
      <w:pPr>
        <w:ind w:firstLine="413"/>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第十条  </w:t>
      </w:r>
      <w:r>
        <w:rPr>
          <w:rStyle w:val="1285"/>
          <w:rFonts w:hint="eastAsia" w:ascii="宋体" w:hAnsi="宋体" w:cs="宋体"/>
          <w:color w:val="auto"/>
          <w:szCs w:val="21"/>
          <w:highlight w:val="none"/>
        </w:rPr>
        <w:t xml:space="preserve">施工准备阶段审计。审查与评价工程项目建设前期各环节业务管理活动的真实性、合法性和效益性，促进规范征地拆迁、工程发包和合同管理，促进各环节内部控制及风险管理的有效性。</w:t>
      </w:r>
      <w:r/>
    </w:p>
    <w:p>
      <w:pPr>
        <w:ind w:firstLine="61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施工准备阶段审计的主要内容：征地、拆迁等审查与评价，施工、监理、主要材料和设备招投标的审查与评价，合同的审查与评价等。</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第十一条</w:t>
      </w:r>
      <w:r>
        <w:rPr>
          <w:rStyle w:val="1285"/>
          <w:rFonts w:hint="eastAsia" w:ascii="宋体" w:hAnsi="宋体" w:cs="宋体"/>
          <w:color w:val="auto"/>
          <w:szCs w:val="21"/>
          <w:highlight w:val="none"/>
        </w:rPr>
        <w:t xml:space="preserve"> 施工阶段审计。审查和评价建设项目实施过程中各环节业务管理活动的真实性、合法性和效益性，促进和规范施工过程管理，有效控制工程造价。</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施工阶段审计的主要内容：主要隐蔽工程勘验的审查与评价，主要材料及设备规格、价格的审查与评价，工程进度款支付的审查与评价，设计变更和施工签证的审查与评价，索赔费用的审查与评价等。</w:t>
      </w:r>
      <w:r/>
    </w:p>
    <w:p>
      <w:pPr>
        <w:ind w:firstLine="61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第十二条 </w:t>
      </w:r>
      <w:r>
        <w:rPr>
          <w:rStyle w:val="1285"/>
          <w:rFonts w:hint="eastAsia" w:ascii="宋体" w:hAnsi="宋体" w:cs="宋体"/>
          <w:color w:val="auto"/>
          <w:szCs w:val="21"/>
          <w:highlight w:val="none"/>
        </w:rPr>
        <w:t xml:space="preserve">竣工验收阶段审计。审查和评价建设项目合同履行、工程结算和工程项目决算等业务管理活动的真实性、合法性，保证工程项目结算和决算的真实、完整、准确，防止虚列工程、弄虚作假、高估冒算等行为发生，监督合同有效执行，维护高校合法权益。</w:t>
      </w:r>
      <w:r/>
    </w:p>
    <w:p>
      <w:pPr>
        <w:ind w:firstLine="61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竣工验收阶段审计的主要内容：工程结算的审查与评价，</w:t>
      </w:r>
      <w:r/>
    </w:p>
    <w:p>
      <w:pPr>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合同履行、变更和终止的审查与评价，工程竣工财务决算的审查与评价等。</w:t>
      </w:r>
      <w:r/>
    </w:p>
    <w:p>
      <w:pPr>
        <w:ind w:firstLine="630"/>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第十三条 </w:t>
      </w:r>
      <w:r>
        <w:rPr>
          <w:rStyle w:val="1285"/>
          <w:rFonts w:hint="eastAsia" w:ascii="宋体" w:hAnsi="宋体" w:cs="宋体"/>
          <w:color w:val="auto"/>
          <w:szCs w:val="21"/>
          <w:highlight w:val="none"/>
        </w:rPr>
        <w:t xml:space="preserve">审计部应根据各阶段审计发现的主要问题，及时与建设工程管理部门、监理机构等沟通，定期或不定期出具审计意见书，提出加强和改进管理的建议。</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建设项目审计结束时，应对工程投资概算执行、造价控制、项目效益、工期目标实现、内部管理等情况进行分析和评价，分析产生偏差的原因，找出薄弱环节，提出加强和改进管理的建议意见，并出具审计报告。</w:t>
      </w:r>
      <w:r/>
    </w:p>
    <w:p>
      <w:pPr>
        <w:jc w:val="center"/>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第三章  审计实施</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第十四条 </w:t>
      </w:r>
      <w:r>
        <w:rPr>
          <w:rStyle w:val="1285"/>
          <w:rFonts w:hint="eastAsia" w:ascii="宋体" w:hAnsi="宋体" w:cs="宋体"/>
          <w:color w:val="auto"/>
          <w:szCs w:val="21"/>
          <w:highlight w:val="none"/>
        </w:rPr>
        <w:t xml:space="preserve">建设项目审计工作由学校审计部自行实施或委托具有相应资质的社会中介机构实施。委托社会中介机构审计的，应当按照国家和高校有关规定办理，委托费用列入工程建设成本。审计部应加强对受托社会中介机构的管理和监督。</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第十五条</w:t>
      </w:r>
      <w:r>
        <w:rPr>
          <w:rStyle w:val="1285"/>
          <w:rFonts w:hint="eastAsia" w:ascii="宋体" w:hAnsi="宋体" w:cs="宋体"/>
          <w:color w:val="auto"/>
          <w:szCs w:val="21"/>
          <w:highlight w:val="none"/>
        </w:rPr>
        <w:t xml:space="preserve">学校单项工程投资1000万元以上（含1000万元）的建设项目，必须对建设项目各阶段开展全过程审计；单项工程投资小于1000万元的建设项目，由审计部根据重要性和成本效益原则，结合具体情况，可对部分阶段或环节进行审计。</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第十六条</w:t>
      </w:r>
      <w:r>
        <w:rPr>
          <w:rStyle w:val="1285"/>
          <w:rFonts w:hint="eastAsia" w:ascii="宋体" w:hAnsi="宋体" w:cs="宋体"/>
          <w:color w:val="auto"/>
          <w:szCs w:val="21"/>
          <w:highlight w:val="none"/>
        </w:rPr>
        <w:t xml:space="preserve">学校所有单项工程投资（项目预算或结算价）在3万元以上（含3万元）的建设项目，必须进行工程结算审计；未按规定进行工程结算审计的，不得办理工程费用结算和财务决算手续。3万元以下的项目，由审计部视具体情况决定是否进行工程结算审计。</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第十七条</w:t>
      </w:r>
      <w:r>
        <w:rPr>
          <w:rStyle w:val="1285"/>
          <w:rFonts w:hint="eastAsia" w:ascii="宋体" w:hAnsi="宋体" w:cs="宋体"/>
          <w:color w:val="auto"/>
          <w:szCs w:val="21"/>
          <w:highlight w:val="none"/>
        </w:rPr>
        <w:t xml:space="preserve"> 学校实行工程结算审计复审制度。复审的建设项目，其结算造价以复审核定金额为最终依据。</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第十八条 </w:t>
      </w:r>
      <w:r>
        <w:rPr>
          <w:rStyle w:val="1285"/>
          <w:rFonts w:hint="eastAsia" w:ascii="宋体" w:hAnsi="宋体" w:cs="宋体"/>
          <w:color w:val="auto"/>
          <w:szCs w:val="21"/>
          <w:highlight w:val="none"/>
        </w:rPr>
        <w:t xml:space="preserve">复审分为上报教育厅复审与学校复审两类。</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单项工程实际投资1000万元以上（含1000万元）的建设项目，根据有关规定报省教育厅进行复审。</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单项工程实际投资300万元（含300万元）至1000万元以下的项目由审计部委托中介机构进行复审； 300万元以下的项目由审计部根据具体情况抽取部分项目委托中介机构或自行组织人员进行复审。</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第十九条 </w:t>
      </w:r>
      <w:r>
        <w:rPr>
          <w:rStyle w:val="1285"/>
          <w:rFonts w:hint="eastAsia" w:ascii="宋体" w:hAnsi="宋体" w:cs="宋体"/>
          <w:color w:val="auto"/>
          <w:szCs w:val="21"/>
          <w:highlight w:val="none"/>
        </w:rPr>
        <w:t xml:space="preserve">需要复审的项目应在工程结算初审意见出具后15个工作日内，向省教育厅或复审机构报送相关审计资料。复审项目必须留足工程尾款，工程尾款一般为工程结算初审金额的15%，同时要扣回工程预付款、甲供材料款等。</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复审项目的结算要求应写入学校与成交供应商签订的合同中。</w:t>
      </w:r>
      <w:r/>
    </w:p>
    <w:p>
      <w:pPr>
        <w:jc w:val="center"/>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第四章   审计费用的承担与支付</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第二十条 </w:t>
      </w:r>
      <w:r>
        <w:rPr>
          <w:rStyle w:val="1285"/>
          <w:rFonts w:hint="eastAsia" w:ascii="宋体" w:hAnsi="宋体" w:cs="宋体"/>
          <w:color w:val="auto"/>
          <w:szCs w:val="21"/>
          <w:highlight w:val="none"/>
        </w:rPr>
        <w:t xml:space="preserve">学校建设项目结算审计，按照以下列规定承担审计费用：</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（一）单项工程核减率超过10%的，其审计费用全部由成交供应商承担，并由建设单位从成交供应商工程款中扣除（下同）；</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（二）单项工程核减率在8%—10%（含10%）之间的，其审计费用由建设单位承担20%，成交供应商承担80%；</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（三）单项工程核减率在5%—8%（含8%）之间的，其审计费用由成交供应商承担20%，建设单位承担80%；</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（四）单项工程核减率在5%及其以下的，其审计费用由建设单位承担。</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非复审项目的核减率按照审计核减额/成交供应商申报的决算额*100%计算；</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复审项目的核减率按照（初审核减额+复审核减额）/成交供应商申报的决算额*100%计算。</w:t>
      </w:r>
      <w:r/>
    </w:p>
    <w:p>
      <w:pPr>
        <w:ind w:firstLine="645"/>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上述审计核减率的计算以及审计费用承担条款应写入学校与成交供应商签订的有关合同中。</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第二十一条 </w:t>
      </w:r>
      <w:r>
        <w:rPr>
          <w:rStyle w:val="1285"/>
          <w:rFonts w:hint="eastAsia" w:ascii="宋体" w:hAnsi="宋体" w:cs="宋体"/>
          <w:color w:val="auto"/>
          <w:szCs w:val="21"/>
          <w:highlight w:val="none"/>
        </w:rPr>
        <w:t xml:space="preserve">复审项目应预留30%的初审费用作为审计质量保证金，待复审结束后符合支付条件的，再予以支付。</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第二十二条 </w:t>
      </w:r>
      <w:r>
        <w:rPr>
          <w:rStyle w:val="1285"/>
          <w:rFonts w:hint="eastAsia" w:ascii="宋体" w:hAnsi="宋体" w:cs="宋体"/>
          <w:color w:val="auto"/>
          <w:szCs w:val="21"/>
          <w:highlight w:val="none"/>
        </w:rPr>
        <w:t xml:space="preserve">委托社会中介机构实施工程结算初审的项目，按以下规则扣减审计质量保证金：</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复审核减率在1%以下（含1%）的，不扣除该初审中介机构的审计质量保证金；</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复审核减率在1%（不含1%）-2%（含2%）的，应扣除该初审中介机构审计质量保证金的1/3；</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复审核减率在2%（不含2%）-3%（含3%）的，应扣除该初审中介机构审计质量保证金的2/3；</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复审核减率在3% 以上的，应扣除该初审中介机构的全部审计质量保证金。</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复审核减率按复审核减额/成交供应商申报的决算额*100%计算。</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上述复审核减率的计算方式、预留审计质量保证金及其扣减规则应写入学校与中介机构的审计服务合同中。</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第二十三条 </w:t>
      </w:r>
      <w:r>
        <w:rPr>
          <w:rStyle w:val="1285"/>
          <w:rFonts w:hint="eastAsia" w:ascii="宋体" w:hAnsi="宋体" w:cs="宋体"/>
          <w:color w:val="auto"/>
          <w:szCs w:val="21"/>
          <w:highlight w:val="none"/>
        </w:rPr>
        <w:t xml:space="preserve">复审费用按照以下方式承担：</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（一）报省教育厅复审项目：复审核减额大于或等于审计费用的，审计费用由高校承担并列入工程建设成本；复审核减额不足以支付审计费的，其差额部分由省教育厅承担。</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（二）审计部委托中介机构复审和审计部自行复审的费用由学校承担，并按有关规定计入工程成本。</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第二十四条</w:t>
      </w:r>
      <w:r>
        <w:rPr>
          <w:rStyle w:val="1285"/>
          <w:rFonts w:hint="eastAsia" w:ascii="宋体" w:hAnsi="宋体" w:cs="宋体"/>
          <w:color w:val="auto"/>
          <w:szCs w:val="21"/>
          <w:highlight w:val="none"/>
        </w:rPr>
        <w:t xml:space="preserve">基本建设工程项目结算审计结束后，高校财务管理部门应根据结算审计报告（复审的项目以复审报告为准）及时编制工程竣工财务决算，审计部应及时组织工程竣工财务决算审计，资产管理部门应及时办理固定资产入账手续。</w:t>
      </w:r>
      <w:r/>
    </w:p>
    <w:p>
      <w:pPr>
        <w:ind w:firstLine="422"/>
        <w:jc w:val="center"/>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第五章  责任追究</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第二十五条 </w:t>
      </w:r>
      <w:r>
        <w:rPr>
          <w:rStyle w:val="1285"/>
          <w:rFonts w:hint="eastAsia" w:ascii="宋体" w:hAnsi="宋体" w:cs="宋体"/>
          <w:color w:val="auto"/>
          <w:szCs w:val="21"/>
          <w:highlight w:val="none"/>
        </w:rPr>
        <w:t xml:space="preserve">学校建设管理等部门应积极配合审计部开展审计工作，并按要求及时提供审计所需要的相关资料。</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第二十六条 </w:t>
      </w:r>
      <w:r>
        <w:rPr>
          <w:rStyle w:val="1285"/>
          <w:rFonts w:hint="eastAsia" w:ascii="宋体" w:hAnsi="宋体" w:cs="宋体"/>
          <w:color w:val="auto"/>
          <w:szCs w:val="21"/>
          <w:highlight w:val="none"/>
        </w:rPr>
        <w:t xml:space="preserve">对违反本办法，弄虚作假，隐瞒事实真相，拒绝或拖延提供审计资料及其他材料、拒绝执行审计报告和审计决定、阻扰审计人员行使职权的，由学校党委、主要负责人责令改正，并对有关责任人员依法依规给予处理。</w:t>
      </w:r>
      <w:r/>
    </w:p>
    <w:p>
      <w:pPr>
        <w:ind w:firstLine="422"/>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第二十七条 </w:t>
      </w:r>
      <w:r>
        <w:rPr>
          <w:rStyle w:val="1285"/>
          <w:rFonts w:hint="eastAsia" w:ascii="宋体" w:hAnsi="宋体" w:cs="宋体"/>
          <w:color w:val="auto"/>
          <w:szCs w:val="21"/>
          <w:highlight w:val="none"/>
        </w:rPr>
        <w:t xml:space="preserve">审计部发现违反财经纪律行为或损害学校权益行为的，应当向学校主要负责人汇报并提出处理意见；构成犯罪的，依法移交司法机关处理。</w:t>
      </w:r>
      <w:r/>
    </w:p>
    <w:p>
      <w:pPr>
        <w:ind w:firstLine="660"/>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第二十八条 </w:t>
      </w:r>
      <w:r>
        <w:rPr>
          <w:rStyle w:val="1285"/>
          <w:rFonts w:hint="eastAsia" w:ascii="宋体" w:hAnsi="宋体" w:cs="宋体"/>
          <w:color w:val="auto"/>
          <w:szCs w:val="21"/>
          <w:highlight w:val="none"/>
        </w:rPr>
        <w:t xml:space="preserve">对审计人员忠于职守、依法审计，取得显著成绩的，应当予以表扬和奖励；对滥用职权，徇私舞弊，玩忽职守，给国家和学校造成经济损失的，由其主管部门给予行政处分或提请纪检、监察等部门处理；构成犯罪的，依法移交司法机关处理。对于学校所聘中介机构的审计人员有违规违法行为的，学校还应根据合同或有关法律法规追究中介机构的经济赔偿责任。</w:t>
      </w:r>
      <w:r/>
    </w:p>
    <w:p>
      <w:pPr>
        <w:jc w:val="center"/>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第六章  附  则</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第二十九条 </w:t>
      </w:r>
      <w:r>
        <w:rPr>
          <w:rStyle w:val="1285"/>
          <w:rFonts w:hint="eastAsia" w:ascii="宋体" w:hAnsi="宋体" w:cs="宋体"/>
          <w:color w:val="auto"/>
          <w:szCs w:val="21"/>
          <w:highlight w:val="none"/>
        </w:rPr>
        <w:t xml:space="preserve">本办法由审计部负责解释。</w:t>
      </w:r>
      <w:r/>
    </w:p>
    <w:p>
      <w:pPr>
        <w:ind w:firstLine="645"/>
        <w:jc w:val="left"/>
        <w:spacing w:line="360" w:lineRule="auto"/>
        <w:rPr>
          <w:rStyle w:val="1285"/>
          <w:rFonts w:ascii="宋体" w:hAnsi="宋体" w:cs="宋体"/>
          <w:color w:val="auto"/>
          <w:szCs w:val="21"/>
          <w:highlight w:val="none"/>
        </w:rPr>
      </w:pPr>
      <w:r>
        <w:rPr>
          <w:rFonts w:hint="eastAsia" w:ascii="宋体" w:hAnsi="宋体" w:cs="宋体"/>
          <w:b/>
          <w:bCs/>
          <w:color w:val="auto"/>
          <w:szCs w:val="21"/>
          <w:highlight w:val="none"/>
        </w:rPr>
        <w:t xml:space="preserve">第三十条 </w:t>
      </w:r>
      <w:r>
        <w:rPr>
          <w:rStyle w:val="1285"/>
          <w:rFonts w:hint="eastAsia" w:ascii="宋体" w:hAnsi="宋体" w:cs="宋体"/>
          <w:color w:val="auto"/>
          <w:szCs w:val="21"/>
          <w:highlight w:val="none"/>
        </w:rPr>
        <w:t xml:space="preserve">本办法自发布之日起施行，原《南京审计学院基建和维修工程结算审计规则》（南审党纪〔2002〕3号）同时废止。</w:t>
      </w:r>
      <w:r/>
    </w:p>
    <w:p>
      <w:pPr>
        <w:spacing w:line="360" w:lineRule="auto"/>
        <w:rPr>
          <w:rStyle w:val="1285"/>
          <w:rFonts w:ascii="宋体" w:hAnsi="宋体" w:cs="宋体"/>
          <w:bCs/>
          <w:color w:val="auto"/>
          <w:szCs w:val="21"/>
          <w:highlight w:val="none"/>
        </w:rPr>
      </w:pPr>
      <w:r>
        <w:rPr>
          <w:rStyle w:val="1285"/>
          <w:rFonts w:hint="eastAsia" w:ascii="宋体" w:hAnsi="宋体" w:cs="宋体"/>
          <w:bCs/>
          <w:color w:val="auto"/>
          <w:szCs w:val="21"/>
          <w:highlight w:val="none"/>
        </w:rPr>
        <w:br w:type="page" w:clear="all"/>
      </w:r>
      <w:r/>
    </w:p>
    <w:p>
      <w:pPr>
        <w:jc w:val="left"/>
        <w:spacing w:line="360" w:lineRule="auto"/>
        <w:rPr>
          <w:rStyle w:val="1285"/>
          <w:rFonts w:ascii="宋体" w:hAnsi="宋体" w:cs="宋体"/>
          <w:bCs/>
          <w:color w:val="auto"/>
          <w:szCs w:val="21"/>
          <w:highlight w:val="none"/>
        </w:rPr>
      </w:pPr>
      <w:r>
        <w:rPr>
          <w:rStyle w:val="1285"/>
          <w:rFonts w:hint="eastAsia" w:ascii="宋体" w:hAnsi="宋体" w:cs="宋体"/>
          <w:bCs/>
          <w:color w:val="auto"/>
          <w:szCs w:val="21"/>
          <w:highlight w:val="none"/>
        </w:rPr>
        <w:t xml:space="preserve">附件5：南京审计大学建设项目审计的补充规范</w:t>
      </w:r>
      <w:r/>
    </w:p>
    <w:p>
      <w:pPr>
        <w:jc w:val="center"/>
        <w:spacing w:line="360" w:lineRule="auto"/>
        <w:tabs>
          <w:tab w:val="left" w:pos="3210" w:leader="none"/>
          <w:tab w:val="left" w:pos="3420" w:leader="none"/>
        </w:tabs>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南京审计大学</w:t>
      </w:r>
      <w:r/>
    </w:p>
    <w:p>
      <w:pPr>
        <w:jc w:val="center"/>
        <w:spacing w:line="360" w:lineRule="auto"/>
        <w:tabs>
          <w:tab w:val="left" w:pos="3210" w:leader="none"/>
          <w:tab w:val="left" w:pos="3420" w:leader="none"/>
        </w:tabs>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关于建设工程项目审计的补充规定</w:t>
      </w:r>
      <w:r/>
    </w:p>
    <w:p>
      <w:pPr>
        <w:pStyle w:val="1286"/>
        <w:spacing w:line="360" w:lineRule="auto"/>
        <w:rPr>
          <w:rStyle w:val="1285"/>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根据《审计署关于内部审计工作的规定》、《江苏省审 计厅关于进一步完善和规范投资审计工作的实施意见》和《江苏省教育厅关于进一步完善和规范省属高校工程项目管理审计的意见》等文件精神，为进一步完善和规范我校工程项目审计工作，制定本规定。</w:t>
      </w:r>
      <w:r/>
    </w:p>
    <w:p>
      <w:pPr>
        <w:ind w:firstLine="422"/>
        <w:jc w:val="left"/>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一、工程项目审计的目的</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工程项目审计是对建设工程业务活动及其内部控制的适 当性、有效性进行的确认和评价活动。新形势下，建设工程 审计应突出审计重点，抓住关键环节，创新审计机制，促进 完善内部控制、促进落实管理责任、促进提高资源绩效。</w:t>
      </w:r>
      <w:r/>
    </w:p>
    <w:p>
      <w:pPr>
        <w:ind w:firstLine="422"/>
        <w:jc w:val="left"/>
        <w:spacing w:line="360" w:lineRule="auto"/>
        <w:rPr>
          <w:rStyle w:val="1285"/>
          <w:rFonts w:ascii="宋体" w:hAnsi="宋体" w:cs="宋体"/>
          <w:color w:val="auto"/>
          <w:szCs w:val="21"/>
          <w:highlight w:val="none"/>
        </w:rPr>
      </w:pPr>
      <w:r>
        <w:rPr>
          <w:rStyle w:val="1285"/>
          <w:rFonts w:hint="eastAsia" w:ascii="宋体" w:hAnsi="宋体" w:cs="宋体"/>
          <w:b/>
          <w:bCs/>
          <w:color w:val="auto"/>
          <w:szCs w:val="21"/>
          <w:highlight w:val="none"/>
        </w:rPr>
        <w:t xml:space="preserve">二、工程项目审计的范围与重点</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除省政府办公厅“苏政办发[2018]41 号”文件规定的集中建设项目外，学校各类资金来源的新建、改扩建及修缮工程均应纳入审计范围。建设工程的投资立项、勘察设计、施工准备、施工过程、竣工验收等各阶段的业务和管理活动均应纳入审计范围。</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审计工作要围绕项目审批、工程招投标、物资采购与管理使用、工程结算、资金管理、投资绩效等关键环节，突出内部控制审计、造价审计、招标审计、付款审计等重点工作， 发挥审计监督作用。</w:t>
      </w:r>
      <w:r/>
    </w:p>
    <w:p>
      <w:pPr>
        <w:numPr>
          <w:ilvl w:val="0"/>
          <w:numId w:val="5"/>
        </w:numPr>
        <w:ind w:firstLine="422"/>
        <w:jc w:val="left"/>
        <w:spacing w:line="360" w:lineRule="auto"/>
        <w:rPr>
          <w:rStyle w:val="1285"/>
          <w:rFonts w:ascii="宋体" w:hAnsi="宋体" w:cs="宋体"/>
          <w:color w:val="auto"/>
          <w:szCs w:val="21"/>
          <w:highlight w:val="none"/>
        </w:rPr>
      </w:pPr>
      <w:r>
        <w:rPr>
          <w:rStyle w:val="1285"/>
          <w:rFonts w:hint="eastAsia" w:ascii="宋体" w:hAnsi="宋体" w:cs="宋体"/>
          <w:b/>
          <w:bCs/>
          <w:color w:val="auto"/>
          <w:szCs w:val="21"/>
          <w:highlight w:val="none"/>
        </w:rPr>
        <w:t xml:space="preserve">工程项目审计的金额起点要求</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（一）学校单项工程投资 1000 万元以上（含 1000 万元） 的建设项目，必须对建设项目各阶段开展全过程审计；单项工程投资小于 1000 万元的建设项目，根据重要性和成本效益原则，结合具体情况，可对部分阶段或环节进行审计。</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（二）学校所有单项工程投资（项目预算或结算价）在  3 万元以上（含 3 万元）的建设项目，必须进行工程结算审计；未按规定进行工程结算审计的，不得办理工程费用结算 和财务决算手续。3 万元以下的项目，视具体情况决定是否进行工程结算审计。</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（三）单项工程实际投资 300 万元（含 300 万元）以上及 300 万元以下但超出概算 10%以上的项目，要进行工程竣工财务决算审计。其余项目根据具体情况抽取部分进行审计。</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（四） 单项工程实际投资 300 万元（含 300 万元）以上的项目，其工程竣工结算审计要进行复审； 300 万元以下的项目，根据具体情况抽取部分项目进行复审。</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（五） 单项工程实际投资 300 万元（含 300 万元）以上的项目要进行预算审计； 300 万元以下项目，根据具体情况抽取部分项目进行审计。</w:t>
      </w:r>
      <w:r/>
    </w:p>
    <w:p>
      <w:pPr>
        <w:ind w:firstLine="422"/>
        <w:jc w:val="left"/>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四、工程项目审计的组织与实施</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除集中建设项目外，学校工程项目审计由审计部组织实 施。根据工作需要并经分管校领导同意后，审计部可以委托 具有相应资质的中介机构实施，委托费用按照规定列入工程 建设成本。审计部应加强对中介机构的管理和监督。</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审计部应厘清建设工程项目审计的边界，把握好审计监督的范围、环节、深度和方式方法。不得介入项目管理与决策，不得实施或参与《江苏省审计厅办公室关于印发投资审计操作指引（试行）的通知》（苏审办发[2018]17 号）所列《投资审计负面清单》范围内的事项（详见附件）。</w:t>
      </w:r>
      <w:r/>
    </w:p>
    <w:p>
      <w:pPr>
        <w:ind w:firstLine="422"/>
        <w:jc w:val="left"/>
        <w:spacing w:line="360" w:lineRule="auto"/>
        <w:rPr>
          <w:rStyle w:val="1285"/>
          <w:rFonts w:ascii="宋体" w:hAnsi="宋体" w:cs="宋体"/>
          <w:b/>
          <w:bCs/>
          <w:color w:val="auto"/>
          <w:szCs w:val="21"/>
          <w:highlight w:val="none"/>
        </w:rPr>
      </w:pPr>
      <w:r>
        <w:rPr>
          <w:rStyle w:val="1285"/>
          <w:rFonts w:hint="eastAsia" w:ascii="宋体" w:hAnsi="宋体" w:cs="宋体"/>
          <w:b/>
          <w:bCs/>
          <w:color w:val="auto"/>
          <w:szCs w:val="21"/>
          <w:highlight w:val="none"/>
        </w:rPr>
        <w:t xml:space="preserve">五、工程项目审计的结果运用</w:t>
      </w:r>
      <w:r/>
    </w:p>
    <w:p>
      <w:pPr>
        <w:ind w:firstLine="420"/>
        <w:jc w:val="left"/>
        <w:spacing w:line="36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学校建立健全内部审计部门与组织、人事、纪检监察部门的工作协调机制，把审计监督与党管干部、纪律检查、追 责问责结合起来。审计部对于建设工程审计中发现的内部控 制缺陷，应及时出具审计意见书，督促有关部门进行整改； 对于发现的违纪违法问题线索，应及时移送纪检监察部核实 查处；对于发现的典型性、普遍性问题，应及时提出审计建 议，提交有关部门研究解决。学校有关部门要按照审计意见 和建议，认真落实整改，对整改不力、屡审屡犯、造成损失 的，要严格追责问责。</w:t>
      </w:r>
      <w:r/>
    </w:p>
    <w:p>
      <w:pPr>
        <w:ind w:firstLine="422"/>
        <w:jc w:val="left"/>
        <w:spacing w:line="360" w:lineRule="auto"/>
        <w:rPr>
          <w:rStyle w:val="1285"/>
          <w:rFonts w:ascii="宋体" w:hAnsi="宋体" w:cs="宋体"/>
          <w:color w:val="auto"/>
          <w:szCs w:val="21"/>
          <w:highlight w:val="none"/>
        </w:rPr>
      </w:pPr>
      <w:r>
        <w:rPr>
          <w:rStyle w:val="1285"/>
          <w:rFonts w:hint="eastAsia" w:ascii="宋体" w:hAnsi="宋体" w:cs="宋体"/>
          <w:b/>
          <w:bCs/>
          <w:color w:val="auto"/>
          <w:szCs w:val="21"/>
          <w:highlight w:val="none"/>
        </w:rPr>
        <w:t xml:space="preserve">六、本规定自发布之日起实施，学校之前发布的文件规定与本规定不一致的，以本规定为准。</w:t>
      </w:r>
      <w:r/>
    </w:p>
    <w:p>
      <w:pPr>
        <w:jc w:val="left"/>
        <w:spacing w:before="100" w:beforeAutospacing="1" w:after="100" w:afterAutospacing="1" w:line="300" w:lineRule="auto"/>
        <w:rPr>
          <w:rStyle w:val="1285"/>
          <w:rFonts w:ascii="宋体" w:hAnsi="宋体" w:cs="宋体"/>
          <w:color w:val="auto"/>
          <w:szCs w:val="21"/>
          <w:highlight w:val="none"/>
        </w:rPr>
      </w:pPr>
      <w:r>
        <w:rPr>
          <w:rStyle w:val="1285"/>
          <w:rFonts w:hint="eastAsia" w:ascii="宋体" w:hAnsi="宋体" w:cs="宋体"/>
          <w:color w:val="auto"/>
          <w:szCs w:val="21"/>
          <w:highlight w:val="none"/>
        </w:rPr>
        <w:br w:type="page" w:clear="all"/>
      </w:r>
      <w:r>
        <w:rPr>
          <w:rStyle w:val="1285"/>
          <w:rFonts w:hint="eastAsia" w:ascii="宋体" w:hAnsi="宋体" w:cs="宋体"/>
          <w:color w:val="auto"/>
          <w:szCs w:val="21"/>
          <w:highlight w:val="none"/>
        </w:rPr>
        <w:t xml:space="preserve">附件： 投资审计负面清单</w:t>
      </w:r>
      <w:r/>
    </w:p>
    <w:p>
      <w:pPr>
        <w:jc w:val="center"/>
        <w:spacing w:before="100" w:beforeAutospacing="1" w:after="100" w:afterAutospacing="1" w:line="300" w:lineRule="auto"/>
        <w:rPr>
          <w:rStyle w:val="1285"/>
          <w:rFonts w:ascii="宋体" w:hAnsi="宋体" w:cs="宋体"/>
          <w:color w:val="auto"/>
          <w:szCs w:val="21"/>
          <w:highlight w:val="none"/>
        </w:rPr>
      </w:pPr>
      <w:r>
        <w:rPr>
          <w:rStyle w:val="1285"/>
          <w:rFonts w:hint="eastAsia" w:ascii="宋体" w:hAnsi="宋体" w:cs="宋体"/>
          <w:color w:val="auto"/>
          <w:szCs w:val="21"/>
          <w:highlight w:val="none"/>
        </w:rPr>
        <w:t xml:space="preserve">投资审计负面清单</w:t>
      </w:r>
      <w:r/>
    </w:p>
    <w:tbl>
      <w:tblPr>
        <w:tblStyle w:val="109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8"/>
        <w:gridCol w:w="1392"/>
        <w:gridCol w:w="6452"/>
        <w:gridCol w:w="646"/>
      </w:tblGrid>
      <w:tr>
        <w:trPr>
          <w:jc w:val="center"/>
          <w:trHeight w:val="609"/>
        </w:trPr>
        <w:tc>
          <w:tcPr>
            <w:tcW w:w="998"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项目阶段</w:t>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环节</w:t>
            </w:r>
            <w:r/>
          </w:p>
        </w:tc>
        <w:tc>
          <w:tcPr>
            <w:tcW w:w="5561" w:type="dxa"/>
            <w:vAlign w:val="center"/>
            <w:textDirection w:val="lrTb"/>
            <w:noWrap w:val="false"/>
          </w:tcPr>
          <w:p>
            <w:pPr>
              <w:pStyle w:val="1287"/>
              <w:jc w:val="center"/>
              <w:spacing w:line="360" w:lineRule="auto"/>
              <w:tabs>
                <w:tab w:val="left" w:pos="662" w:leader="none"/>
              </w:tabs>
              <w:rPr>
                <w:rStyle w:val="1285"/>
                <w:rFonts w:cs="宋体"/>
                <w:color w:val="auto"/>
                <w:szCs w:val="21"/>
                <w:highlight w:val="none"/>
              </w:rPr>
            </w:pPr>
            <w:r>
              <w:rPr>
                <w:rStyle w:val="1285"/>
                <w:rFonts w:hint="eastAsia" w:cs="宋体"/>
                <w:color w:val="auto"/>
                <w:szCs w:val="21"/>
                <w:highlight w:val="none"/>
              </w:rPr>
              <w:t xml:space="preserve">内容</w:t>
            </w:r>
            <w:r/>
          </w:p>
        </w:tc>
        <w:tc>
          <w:tcPr>
            <w:tcW w:w="557"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备注</w:t>
            </w:r>
            <w:r/>
          </w:p>
        </w:tc>
      </w:tr>
      <w:tr>
        <w:trPr>
          <w:jc w:val="center"/>
          <w:trHeight w:val="1346"/>
        </w:trPr>
        <w:tc>
          <w:tcPr>
            <w:tcW w:w="998" w:type="dxa"/>
            <w:vAlign w:val="center"/>
            <w:vMerge w:val="restart"/>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项目前期准备阶段</w:t>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建设程序执行</w:t>
            </w:r>
            <w:r/>
          </w:p>
        </w:tc>
        <w:tc>
          <w:tcPr>
            <w:tcW w:w="5561" w:type="dxa"/>
            <w:vAlign w:val="center"/>
            <w:textDirection w:val="lrTb"/>
            <w:noWrap w:val="false"/>
          </w:tcPr>
          <w:p>
            <w:pPr>
              <w:pStyle w:val="1287"/>
              <w:numPr>
                <w:ilvl w:val="0"/>
                <w:numId w:val="6"/>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不参与项目立项决策。</w:t>
            </w:r>
            <w:r/>
          </w:p>
          <w:p>
            <w:pPr>
              <w:pStyle w:val="1287"/>
              <w:numPr>
                <w:ilvl w:val="0"/>
                <w:numId w:val="6"/>
              </w:numPr>
              <w:jc w:val="left"/>
              <w:spacing w:line="360" w:lineRule="auto"/>
              <w:tabs>
                <w:tab w:val="left" w:pos="342" w:leader="none"/>
              </w:tabs>
              <w:rPr>
                <w:rStyle w:val="1285"/>
                <w:rFonts w:cs="宋体"/>
                <w:color w:val="auto"/>
                <w:szCs w:val="21"/>
                <w:highlight w:val="none"/>
              </w:rPr>
            </w:pPr>
            <w:r>
              <w:rPr>
                <w:rStyle w:val="1285"/>
                <w:rFonts w:hint="eastAsia" w:cs="宋体"/>
                <w:color w:val="auto"/>
                <w:szCs w:val="21"/>
                <w:highlight w:val="none"/>
              </w:rPr>
              <w:t xml:space="preserve">不参与项目建议书、可行性研究报告、概算编制及前置审核等工作</w:t>
            </w:r>
            <w:r/>
          </w:p>
          <w:p>
            <w:pPr>
              <w:pStyle w:val="1287"/>
              <w:numPr>
                <w:ilvl w:val="0"/>
                <w:numId w:val="6"/>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不参与项目审批、核准、备案等工作环节。</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1734"/>
        </w:trPr>
        <w:tc>
          <w:tcPr>
            <w:tcW w:w="998" w:type="dxa"/>
            <w:vAlign w:val="center"/>
            <w:vMerge w:val="continue"/>
            <w:textDirection w:val="lrTb"/>
            <w:noWrap w:val="false"/>
          </w:tcPr>
          <w:p>
            <w:pPr>
              <w:jc w:val="center"/>
              <w:spacing w:line="360" w:lineRule="auto"/>
              <w:rPr>
                <w:rStyle w:val="1285"/>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房屋征收与补偿</w:t>
            </w:r>
            <w:r/>
          </w:p>
        </w:tc>
        <w:tc>
          <w:tcPr>
            <w:tcW w:w="5561" w:type="dxa"/>
            <w:vAlign w:val="center"/>
            <w:textDirection w:val="lrTb"/>
            <w:noWrap w:val="false"/>
          </w:tcPr>
          <w:p>
            <w:pPr>
              <w:pStyle w:val="1287"/>
              <w:numPr>
                <w:ilvl w:val="0"/>
                <w:numId w:val="7"/>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不参与征收补偿方案的确认。</w:t>
            </w:r>
            <w:r/>
          </w:p>
          <w:p>
            <w:pPr>
              <w:pStyle w:val="1287"/>
              <w:numPr>
                <w:ilvl w:val="0"/>
                <w:numId w:val="7"/>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不参与对被征收内容的清点核量和确权。</w:t>
            </w:r>
            <w:r/>
          </w:p>
          <w:p>
            <w:pPr>
              <w:pStyle w:val="1287"/>
              <w:numPr>
                <w:ilvl w:val="0"/>
                <w:numId w:val="7"/>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不参与评估报告的编制及前置审核。</w:t>
            </w:r>
            <w:r/>
          </w:p>
          <w:p>
            <w:pPr>
              <w:pStyle w:val="1287"/>
              <w:numPr>
                <w:ilvl w:val="0"/>
                <w:numId w:val="7"/>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不参与特殊补贴、奖励和“一事一议”的前置审核。</w:t>
            </w:r>
            <w:r/>
          </w:p>
          <w:p>
            <w:pPr>
              <w:pStyle w:val="1287"/>
              <w:numPr>
                <w:ilvl w:val="0"/>
                <w:numId w:val="7"/>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不参与补偿协议的谈判和确认。</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1915"/>
        </w:trPr>
        <w:tc>
          <w:tcPr>
            <w:tcW w:w="998" w:type="dxa"/>
            <w:vAlign w:val="center"/>
            <w:vMerge w:val="continue"/>
            <w:textDirection w:val="lrTb"/>
            <w:noWrap w:val="false"/>
          </w:tcPr>
          <w:p>
            <w:pPr>
              <w:jc w:val="center"/>
              <w:spacing w:line="360" w:lineRule="auto"/>
              <w:rPr>
                <w:rStyle w:val="1285"/>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招投标及政府采购</w:t>
            </w:r>
            <w:r/>
          </w:p>
        </w:tc>
        <w:tc>
          <w:tcPr>
            <w:tcW w:w="5561" w:type="dxa"/>
            <w:vAlign w:val="center"/>
            <w:textDirection w:val="lrTb"/>
            <w:noWrap w:val="false"/>
          </w:tcPr>
          <w:p>
            <w:pPr>
              <w:pStyle w:val="1287"/>
              <w:numPr>
                <w:ilvl w:val="0"/>
                <w:numId w:val="8"/>
              </w:numPr>
              <w:jc w:val="left"/>
              <w:spacing w:line="360" w:lineRule="auto"/>
              <w:tabs>
                <w:tab w:val="left" w:pos="339" w:leader="none"/>
              </w:tabs>
              <w:rPr>
                <w:rStyle w:val="1285"/>
                <w:rFonts w:cs="宋体"/>
                <w:color w:val="auto"/>
                <w:szCs w:val="21"/>
                <w:highlight w:val="none"/>
              </w:rPr>
            </w:pPr>
            <w:r>
              <w:rPr>
                <w:rStyle w:val="1285"/>
                <w:rFonts w:hint="eastAsia" w:cs="宋体"/>
                <w:color w:val="auto"/>
                <w:szCs w:val="21"/>
                <w:highlight w:val="none"/>
              </w:rPr>
              <w:t xml:space="preserve">不参与招标文件的编制及前置审核。</w:t>
            </w:r>
            <w:r/>
          </w:p>
          <w:p>
            <w:pPr>
              <w:pStyle w:val="1287"/>
              <w:numPr>
                <w:ilvl w:val="0"/>
                <w:numId w:val="8"/>
              </w:numPr>
              <w:jc w:val="left"/>
              <w:spacing w:line="360" w:lineRule="auto"/>
              <w:tabs>
                <w:tab w:val="left" w:pos="450" w:leader="none"/>
              </w:tabs>
              <w:rPr>
                <w:rStyle w:val="1285"/>
                <w:rFonts w:cs="宋体"/>
                <w:color w:val="auto"/>
                <w:szCs w:val="21"/>
                <w:highlight w:val="none"/>
              </w:rPr>
            </w:pPr>
            <w:r>
              <w:rPr>
                <w:rStyle w:val="1285"/>
                <w:rFonts w:hint="eastAsia" w:cs="宋体"/>
                <w:color w:val="auto"/>
                <w:szCs w:val="21"/>
                <w:highlight w:val="none"/>
              </w:rPr>
              <w:t xml:space="preserve">不参与招标资格预审。</w:t>
            </w:r>
            <w:r/>
          </w:p>
          <w:p>
            <w:pPr>
              <w:pStyle w:val="1287"/>
              <w:numPr>
                <w:ilvl w:val="0"/>
                <w:numId w:val="8"/>
              </w:numPr>
              <w:jc w:val="left"/>
              <w:spacing w:line="360" w:lineRule="auto"/>
              <w:tabs>
                <w:tab w:val="left" w:pos="450" w:leader="none"/>
              </w:tabs>
              <w:rPr>
                <w:rStyle w:val="1285"/>
                <w:rFonts w:cs="宋体"/>
                <w:color w:val="auto"/>
                <w:szCs w:val="21"/>
                <w:highlight w:val="none"/>
              </w:rPr>
            </w:pPr>
            <w:r>
              <w:rPr>
                <w:rStyle w:val="1285"/>
                <w:rFonts w:hint="eastAsia" w:cs="宋体"/>
                <w:color w:val="auto"/>
                <w:szCs w:val="21"/>
                <w:highlight w:val="none"/>
              </w:rPr>
              <w:t xml:space="preserve">不参与评标、开标监督。</w:t>
            </w:r>
            <w:r/>
          </w:p>
          <w:p>
            <w:pPr>
              <w:pStyle w:val="1287"/>
              <w:numPr>
                <w:ilvl w:val="0"/>
                <w:numId w:val="8"/>
              </w:numPr>
              <w:jc w:val="left"/>
              <w:spacing w:line="360" w:lineRule="auto"/>
              <w:tabs>
                <w:tab w:val="left" w:pos="450" w:leader="none"/>
              </w:tabs>
              <w:rPr>
                <w:rStyle w:val="1285"/>
                <w:rFonts w:cs="宋体"/>
                <w:color w:val="auto"/>
                <w:szCs w:val="21"/>
                <w:highlight w:val="none"/>
              </w:rPr>
            </w:pPr>
            <w:r>
              <w:rPr>
                <w:rStyle w:val="1285"/>
                <w:rFonts w:hint="eastAsia" w:cs="宋体"/>
                <w:color w:val="auto"/>
                <w:szCs w:val="21"/>
                <w:highlight w:val="none"/>
              </w:rPr>
              <w:t xml:space="preserve">不参与中标结果的确认。</w:t>
            </w:r>
            <w:r/>
          </w:p>
          <w:p>
            <w:pPr>
              <w:pStyle w:val="1287"/>
              <w:numPr>
                <w:ilvl w:val="0"/>
                <w:numId w:val="8"/>
              </w:numPr>
              <w:jc w:val="left"/>
              <w:spacing w:line="360" w:lineRule="auto"/>
              <w:tabs>
                <w:tab w:val="left" w:pos="446" w:leader="none"/>
              </w:tabs>
              <w:rPr>
                <w:rStyle w:val="1285"/>
                <w:rFonts w:cs="宋体"/>
                <w:color w:val="auto"/>
                <w:szCs w:val="21"/>
                <w:highlight w:val="none"/>
              </w:rPr>
            </w:pPr>
            <w:r>
              <w:rPr>
                <w:rStyle w:val="1285"/>
                <w:rFonts w:hint="eastAsia" w:cs="宋体"/>
                <w:color w:val="auto"/>
                <w:szCs w:val="21"/>
                <w:highlight w:val="none"/>
              </w:rPr>
              <w:t xml:space="preserve">不参与各类材料设备的规格、品牌和供应商的选择及价格的确认或前置审核。</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923"/>
        </w:trPr>
        <w:tc>
          <w:tcPr>
            <w:tcW w:w="998" w:type="dxa"/>
            <w:vAlign w:val="center"/>
            <w:vMerge w:val="continue"/>
            <w:textDirection w:val="lrTb"/>
            <w:noWrap w:val="false"/>
          </w:tcPr>
          <w:p>
            <w:pPr>
              <w:jc w:val="center"/>
              <w:spacing w:line="360" w:lineRule="auto"/>
              <w:rPr>
                <w:rStyle w:val="1285"/>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合同或协议的签订</w:t>
            </w:r>
            <w:r/>
          </w:p>
        </w:tc>
        <w:tc>
          <w:tcPr>
            <w:tcW w:w="5561" w:type="dxa"/>
            <w:vAlign w:val="center"/>
            <w:textDirection w:val="lrTb"/>
            <w:noWrap w:val="false"/>
          </w:tcPr>
          <w:p>
            <w:pPr>
              <w:pStyle w:val="1287"/>
              <w:numPr>
                <w:ilvl w:val="0"/>
                <w:numId w:val="9"/>
              </w:numPr>
              <w:jc w:val="left"/>
              <w:spacing w:line="360" w:lineRule="auto"/>
              <w:tabs>
                <w:tab w:val="left" w:pos="450" w:leader="none"/>
              </w:tabs>
              <w:rPr>
                <w:rStyle w:val="1285"/>
                <w:rFonts w:cs="宋体"/>
                <w:color w:val="auto"/>
                <w:szCs w:val="21"/>
                <w:highlight w:val="none"/>
              </w:rPr>
            </w:pPr>
            <w:r>
              <w:rPr>
                <w:rStyle w:val="1285"/>
                <w:rFonts w:hint="eastAsia" w:cs="宋体"/>
                <w:color w:val="auto"/>
                <w:szCs w:val="21"/>
                <w:highlight w:val="none"/>
              </w:rPr>
              <w:t xml:space="preserve">不参与竞争性谈判及其他商务谈判。</w:t>
            </w:r>
            <w:r/>
          </w:p>
          <w:p>
            <w:pPr>
              <w:pStyle w:val="1287"/>
              <w:numPr>
                <w:ilvl w:val="0"/>
                <w:numId w:val="9"/>
              </w:numPr>
              <w:jc w:val="left"/>
              <w:spacing w:line="360" w:lineRule="auto"/>
              <w:tabs>
                <w:tab w:val="left" w:pos="450" w:leader="none"/>
              </w:tabs>
              <w:rPr>
                <w:rStyle w:val="1285"/>
                <w:rFonts w:cs="宋体"/>
                <w:color w:val="auto"/>
                <w:szCs w:val="21"/>
                <w:highlight w:val="none"/>
              </w:rPr>
            </w:pPr>
            <w:r>
              <w:rPr>
                <w:rStyle w:val="1285"/>
                <w:rFonts w:hint="eastAsia" w:cs="宋体"/>
                <w:color w:val="auto"/>
                <w:szCs w:val="21"/>
                <w:highlight w:val="none"/>
              </w:rPr>
              <w:t xml:space="preserve">不参与合同或协议的起草及前置审核。</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731"/>
        </w:trPr>
        <w:tc>
          <w:tcPr>
            <w:tcW w:w="998" w:type="dxa"/>
            <w:vAlign w:val="center"/>
            <w:vMerge w:val="restart"/>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项目实施阶段</w:t>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变更及索赔</w:t>
            </w:r>
            <w:r/>
          </w:p>
        </w:tc>
        <w:tc>
          <w:tcPr>
            <w:tcW w:w="5561" w:type="dxa"/>
            <w:vAlign w:val="center"/>
            <w:textDirection w:val="lrTb"/>
            <w:noWrap w:val="false"/>
          </w:tcPr>
          <w:p>
            <w:pPr>
              <w:pStyle w:val="1287"/>
              <w:jc w:val="left"/>
              <w:spacing w:line="360" w:lineRule="auto"/>
              <w:rPr>
                <w:rStyle w:val="1285"/>
                <w:rFonts w:cs="宋体"/>
                <w:color w:val="auto"/>
                <w:szCs w:val="21"/>
                <w:highlight w:val="none"/>
              </w:rPr>
            </w:pPr>
            <w:r>
              <w:rPr>
                <w:rStyle w:val="1285"/>
                <w:rFonts w:hint="eastAsia" w:cs="宋体"/>
                <w:color w:val="auto"/>
                <w:szCs w:val="21"/>
                <w:highlight w:val="none"/>
              </w:rPr>
              <w:t xml:space="preserve">16．不参与各类变更、索赔等事项的确认及前置审核。</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774"/>
        </w:trPr>
        <w:tc>
          <w:tcPr>
            <w:tcW w:w="998" w:type="dxa"/>
            <w:vAlign w:val="center"/>
            <w:vMerge w:val="continue"/>
            <w:textDirection w:val="lrTb"/>
            <w:noWrap w:val="false"/>
          </w:tcPr>
          <w:p>
            <w:pPr>
              <w:jc w:val="center"/>
              <w:spacing w:line="360" w:lineRule="auto"/>
              <w:rPr>
                <w:rStyle w:val="1285"/>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工程签证</w:t>
            </w:r>
            <w:r/>
          </w:p>
        </w:tc>
        <w:tc>
          <w:tcPr>
            <w:tcW w:w="5561" w:type="dxa"/>
            <w:vAlign w:val="center"/>
            <w:textDirection w:val="lrTb"/>
            <w:noWrap w:val="false"/>
          </w:tcPr>
          <w:p>
            <w:pPr>
              <w:pStyle w:val="1287"/>
              <w:spacing w:line="360" w:lineRule="auto"/>
              <w:rPr>
                <w:rStyle w:val="1285"/>
                <w:rFonts w:cs="宋体"/>
                <w:color w:val="auto"/>
                <w:szCs w:val="21"/>
                <w:highlight w:val="none"/>
              </w:rPr>
            </w:pPr>
            <w:r>
              <w:rPr>
                <w:rStyle w:val="1285"/>
                <w:rFonts w:hint="eastAsia" w:cs="宋体"/>
                <w:color w:val="auto"/>
                <w:szCs w:val="21"/>
                <w:highlight w:val="none"/>
              </w:rPr>
              <w:t xml:space="preserve">17．不参与施工方案调整、现场签证和隐蔽工程量等事项的确认及前置审核。</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624"/>
        </w:trPr>
        <w:tc>
          <w:tcPr>
            <w:tcW w:w="998" w:type="dxa"/>
            <w:vAlign w:val="center"/>
            <w:vMerge w:val="continue"/>
            <w:textDirection w:val="lrTb"/>
            <w:noWrap w:val="false"/>
          </w:tcPr>
          <w:p>
            <w:pPr>
              <w:jc w:val="center"/>
              <w:spacing w:line="360" w:lineRule="auto"/>
              <w:rPr>
                <w:rStyle w:val="1285"/>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工程计量</w:t>
            </w:r>
            <w:r/>
          </w:p>
        </w:tc>
        <w:tc>
          <w:tcPr>
            <w:tcW w:w="5561" w:type="dxa"/>
            <w:vAlign w:val="center"/>
            <w:textDirection w:val="lrTb"/>
            <w:noWrap w:val="false"/>
          </w:tcPr>
          <w:p>
            <w:pPr>
              <w:pStyle w:val="1287"/>
              <w:spacing w:line="360" w:lineRule="auto"/>
              <w:rPr>
                <w:rStyle w:val="1285"/>
                <w:rFonts w:cs="宋体"/>
                <w:color w:val="auto"/>
                <w:szCs w:val="21"/>
                <w:highlight w:val="none"/>
              </w:rPr>
            </w:pPr>
            <w:r>
              <w:rPr>
                <w:rStyle w:val="1285"/>
                <w:rFonts w:hint="eastAsia" w:cs="宋体"/>
                <w:color w:val="auto"/>
                <w:szCs w:val="21"/>
                <w:highlight w:val="none"/>
              </w:rPr>
              <w:t xml:space="preserve">18．不参与工程计量款前置审核。</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1247"/>
        </w:trPr>
        <w:tc>
          <w:tcPr>
            <w:tcW w:w="998" w:type="dxa"/>
            <w:vAlign w:val="center"/>
            <w:vMerge w:val="restart"/>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项目竣工交付阶段</w:t>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工程结算</w:t>
            </w:r>
            <w:r/>
          </w:p>
        </w:tc>
        <w:tc>
          <w:tcPr>
            <w:tcW w:w="5561" w:type="dxa"/>
            <w:vAlign w:val="center"/>
            <w:textDirection w:val="lrTb"/>
            <w:noWrap w:val="false"/>
          </w:tcPr>
          <w:p>
            <w:pPr>
              <w:pStyle w:val="1287"/>
              <w:numPr>
                <w:ilvl w:val="0"/>
                <w:numId w:val="10"/>
              </w:numPr>
              <w:jc w:val="left"/>
              <w:spacing w:line="360" w:lineRule="auto"/>
              <w:tabs>
                <w:tab w:val="left" w:pos="450" w:leader="none"/>
              </w:tabs>
              <w:rPr>
                <w:rStyle w:val="1285"/>
                <w:rFonts w:cs="宋体"/>
                <w:color w:val="auto"/>
                <w:szCs w:val="21"/>
                <w:highlight w:val="none"/>
              </w:rPr>
            </w:pPr>
            <w:r>
              <w:rPr>
                <w:rStyle w:val="1285"/>
                <w:rFonts w:hint="eastAsia" w:cs="宋体"/>
                <w:color w:val="auto"/>
                <w:szCs w:val="21"/>
                <w:highlight w:val="none"/>
              </w:rPr>
              <w:t xml:space="preserve">不参与竣工验收及各类单项工程验收签字。</w:t>
            </w:r>
            <w:r/>
          </w:p>
          <w:p>
            <w:pPr>
              <w:pStyle w:val="1287"/>
              <w:numPr>
                <w:ilvl w:val="0"/>
                <w:numId w:val="10"/>
              </w:numPr>
              <w:jc w:val="left"/>
              <w:spacing w:line="360" w:lineRule="auto"/>
              <w:tabs>
                <w:tab w:val="left" w:pos="450" w:leader="none"/>
              </w:tabs>
              <w:rPr>
                <w:rStyle w:val="1285"/>
                <w:rFonts w:cs="宋体"/>
                <w:color w:val="auto"/>
                <w:szCs w:val="21"/>
                <w:highlight w:val="none"/>
              </w:rPr>
            </w:pPr>
            <w:r>
              <w:rPr>
                <w:rStyle w:val="1285"/>
                <w:rFonts w:hint="eastAsia" w:cs="宋体"/>
                <w:color w:val="auto"/>
                <w:szCs w:val="21"/>
                <w:highlight w:val="none"/>
              </w:rPr>
              <w:t xml:space="preserve">不参与项目竣工结算前置审核，不对未经建设单位确认的工程结算进行审计。</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640"/>
        </w:trPr>
        <w:tc>
          <w:tcPr>
            <w:tcW w:w="998" w:type="dxa"/>
            <w:vAlign w:val="center"/>
            <w:vMerge w:val="continue"/>
            <w:textDirection w:val="lrTb"/>
            <w:noWrap w:val="false"/>
          </w:tcPr>
          <w:p>
            <w:pPr>
              <w:jc w:val="center"/>
              <w:spacing w:line="360" w:lineRule="auto"/>
              <w:rPr>
                <w:rStyle w:val="1285"/>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工程财务</w:t>
            </w:r>
            <w:r/>
          </w:p>
        </w:tc>
        <w:tc>
          <w:tcPr>
            <w:tcW w:w="5561" w:type="dxa"/>
            <w:vAlign w:val="center"/>
            <w:textDirection w:val="lrTb"/>
            <w:noWrap w:val="false"/>
          </w:tcPr>
          <w:p>
            <w:pPr>
              <w:pStyle w:val="1287"/>
              <w:spacing w:line="360" w:lineRule="auto"/>
              <w:rPr>
                <w:rStyle w:val="1285"/>
                <w:rFonts w:cs="宋体"/>
                <w:color w:val="auto"/>
                <w:szCs w:val="21"/>
                <w:highlight w:val="none"/>
              </w:rPr>
            </w:pPr>
            <w:r>
              <w:rPr>
                <w:rStyle w:val="1285"/>
                <w:rFonts w:hint="eastAsia" w:cs="宋体"/>
                <w:color w:val="auto"/>
                <w:szCs w:val="21"/>
                <w:highlight w:val="none"/>
              </w:rPr>
              <w:t xml:space="preserve">21．不参与资金拨付的前置审核环节。</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685"/>
        </w:trPr>
        <w:tc>
          <w:tcPr>
            <w:tcW w:w="998" w:type="dxa"/>
            <w:vAlign w:val="center"/>
            <w:vMerge w:val="continue"/>
            <w:textDirection w:val="lrTb"/>
            <w:noWrap w:val="false"/>
          </w:tcPr>
          <w:p>
            <w:pPr>
              <w:jc w:val="center"/>
              <w:spacing w:line="360" w:lineRule="auto"/>
              <w:rPr>
                <w:rStyle w:val="1285"/>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竣工决算</w:t>
            </w:r>
            <w:r/>
          </w:p>
        </w:tc>
        <w:tc>
          <w:tcPr>
            <w:tcW w:w="5561" w:type="dxa"/>
            <w:vAlign w:val="center"/>
            <w:textDirection w:val="lrTb"/>
            <w:noWrap w:val="false"/>
          </w:tcPr>
          <w:p>
            <w:pPr>
              <w:pStyle w:val="1287"/>
              <w:jc w:val="left"/>
              <w:spacing w:line="360" w:lineRule="auto"/>
              <w:rPr>
                <w:rStyle w:val="1285"/>
                <w:rFonts w:cs="宋体"/>
                <w:color w:val="auto"/>
                <w:szCs w:val="21"/>
                <w:highlight w:val="none"/>
              </w:rPr>
            </w:pPr>
            <w:r>
              <w:rPr>
                <w:rStyle w:val="1285"/>
                <w:rFonts w:hint="eastAsia" w:cs="宋体"/>
                <w:color w:val="auto"/>
                <w:szCs w:val="21"/>
                <w:highlight w:val="none"/>
              </w:rPr>
              <w:t xml:space="preserve">22．不参与项目竣工决算编制。</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r>
        <w:trPr>
          <w:jc w:val="center"/>
          <w:trHeight w:val="955"/>
        </w:trPr>
        <w:tc>
          <w:tcPr>
            <w:gridSpan w:val="2"/>
            <w:tcW w:w="2198" w:type="dxa"/>
            <w:vAlign w:val="center"/>
            <w:textDirection w:val="lrTb"/>
            <w:noWrap w:val="false"/>
          </w:tcPr>
          <w:p>
            <w:pPr>
              <w:pStyle w:val="1287"/>
              <w:jc w:val="center"/>
              <w:spacing w:line="360" w:lineRule="auto"/>
              <w:rPr>
                <w:rStyle w:val="1285"/>
                <w:rFonts w:cs="宋体"/>
                <w:color w:val="auto"/>
                <w:szCs w:val="21"/>
                <w:highlight w:val="none"/>
              </w:rPr>
            </w:pPr>
            <w:r>
              <w:rPr>
                <w:rStyle w:val="1285"/>
                <w:rFonts w:hint="eastAsia" w:cs="宋体"/>
                <w:color w:val="auto"/>
                <w:szCs w:val="21"/>
                <w:highlight w:val="none"/>
              </w:rPr>
              <w:t xml:space="preserve">项目全过程</w:t>
            </w:r>
            <w:r/>
          </w:p>
        </w:tc>
        <w:tc>
          <w:tcPr>
            <w:tcW w:w="5561" w:type="dxa"/>
            <w:vAlign w:val="center"/>
            <w:textDirection w:val="lrTb"/>
            <w:noWrap w:val="false"/>
          </w:tcPr>
          <w:p>
            <w:pPr>
              <w:pStyle w:val="1287"/>
              <w:spacing w:line="360" w:lineRule="auto"/>
              <w:rPr>
                <w:rStyle w:val="1285"/>
                <w:rFonts w:cs="宋体"/>
                <w:color w:val="auto"/>
                <w:szCs w:val="21"/>
                <w:highlight w:val="none"/>
              </w:rPr>
            </w:pPr>
            <w:r>
              <w:rPr>
                <w:rStyle w:val="1285"/>
                <w:rFonts w:hint="eastAsia" w:cs="宋体"/>
                <w:color w:val="auto"/>
                <w:szCs w:val="21"/>
                <w:highlight w:val="none"/>
              </w:rPr>
              <w:t xml:space="preserve">不参与各类与审计法定职责无关的、可能影响依法独立进行审计监督的议事协调机构或工作，不参加项目决策、管理、咨询、评审等会议发表意见并签署会议纪要。</w:t>
            </w:r>
            <w:r/>
          </w:p>
        </w:tc>
        <w:tc>
          <w:tcPr>
            <w:tcW w:w="557" w:type="dxa"/>
            <w:vAlign w:val="center"/>
            <w:textDirection w:val="lrTb"/>
            <w:noWrap w:val="false"/>
          </w:tcPr>
          <w:p>
            <w:pPr>
              <w:pStyle w:val="1287"/>
              <w:spacing w:line="360" w:lineRule="auto"/>
              <w:rPr>
                <w:rStyle w:val="1285"/>
                <w:rFonts w:cs="宋体"/>
                <w:color w:val="auto"/>
                <w:szCs w:val="21"/>
                <w:highlight w:val="none"/>
              </w:rPr>
            </w:pPr>
            <w:r>
              <w:rPr>
                <w:rFonts w:cs="宋体"/>
                <w:color w:val="auto"/>
                <w:szCs w:val="21"/>
                <w:highlight w:val="none"/>
              </w:rPr>
            </w:r>
            <w:r/>
          </w:p>
        </w:tc>
      </w:tr>
    </w:tbl>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32"/>
          <w:szCs w:val="44"/>
          <w:highlight w:val="none"/>
          <w:lang w:val="zh-CN"/>
        </w:rPr>
      </w:pPr>
      <w:r>
        <w:rPr>
          <w:rFonts w:ascii="宋体" w:hAnsi="宋体" w:cs="宋体"/>
          <w:b/>
          <w:bCs/>
          <w:color w:val="auto"/>
          <w:sz w:val="32"/>
          <w:szCs w:val="44"/>
          <w:highlight w:val="none"/>
          <w:lang w:val="zh-CN"/>
        </w:rPr>
      </w:r>
      <w:r/>
    </w:p>
    <w:p>
      <w:pPr>
        <w:jc w:val="left"/>
        <w:widowControl/>
        <w:rPr>
          <w:rFonts w:ascii="宋体" w:hAnsi="宋体" w:cs="宋体"/>
          <w:b/>
          <w:bCs/>
          <w:color w:val="auto"/>
          <w:sz w:val="32"/>
          <w:szCs w:val="44"/>
          <w:highlight w:val="none"/>
          <w:lang w:val="zh-CN"/>
        </w:rPr>
      </w:pPr>
      <w:r>
        <w:rPr>
          <w:rFonts w:ascii="宋体" w:hAnsi="宋体" w:cs="宋体"/>
          <w:b/>
          <w:bCs/>
          <w:color w:val="auto"/>
          <w:sz w:val="32"/>
          <w:szCs w:val="44"/>
          <w:highlight w:val="none"/>
          <w:lang w:val="zh-CN"/>
        </w:rPr>
      </w:r>
      <w:r/>
    </w:p>
    <w:p>
      <w:pPr>
        <w:jc w:val="left"/>
        <w:widowControl/>
        <w:rPr>
          <w:rFonts w:ascii="宋体" w:hAnsi="宋体" w:cs="宋体"/>
          <w:b/>
          <w:bCs/>
          <w:color w:val="auto"/>
          <w:sz w:val="32"/>
          <w:szCs w:val="44"/>
          <w:highlight w:val="none"/>
          <w:lang w:val="zh-CN"/>
        </w:rPr>
      </w:pPr>
      <w:r>
        <w:rPr>
          <w:rFonts w:ascii="宋体" w:hAnsi="宋体" w:cs="宋体"/>
          <w:b/>
          <w:bCs/>
          <w:color w:val="auto"/>
          <w:sz w:val="32"/>
          <w:szCs w:val="44"/>
          <w:highlight w:val="none"/>
          <w:lang w:val="zh-CN"/>
        </w:rPr>
      </w:r>
      <w:r/>
    </w:p>
    <w:p>
      <w:pPr>
        <w:jc w:val="left"/>
        <w:widowControl/>
        <w:rPr>
          <w:rFonts w:ascii="宋体" w:hAnsi="宋体" w:cs="宋体"/>
          <w:b/>
          <w:bCs/>
          <w:color w:val="auto"/>
          <w:sz w:val="32"/>
          <w:szCs w:val="44"/>
          <w:highlight w:val="none"/>
          <w:lang w:val="zh-CN"/>
        </w:rPr>
      </w:pPr>
      <w:r>
        <w:rPr>
          <w:rFonts w:ascii="宋体" w:hAnsi="宋体" w:cs="宋体"/>
          <w:b/>
          <w:bCs/>
          <w:color w:val="auto"/>
          <w:sz w:val="32"/>
          <w:szCs w:val="44"/>
          <w:highlight w:val="none"/>
          <w:lang w:val="zh-CN"/>
        </w:rPr>
      </w:r>
      <w:r/>
    </w:p>
    <w:p>
      <w:pPr>
        <w:jc w:val="left"/>
        <w:widowControl/>
        <w:rPr>
          <w:rFonts w:ascii="宋体" w:hAnsi="宋体" w:cs="宋体"/>
          <w:b/>
          <w:bCs/>
          <w:color w:val="auto"/>
          <w:sz w:val="32"/>
          <w:szCs w:val="44"/>
          <w:highlight w:val="none"/>
          <w:lang w:val="zh-CN"/>
        </w:rPr>
      </w:pPr>
      <w:r>
        <w:rPr>
          <w:rFonts w:ascii="宋体" w:hAnsi="宋体" w:cs="宋体"/>
          <w:b/>
          <w:bCs/>
          <w:color w:val="auto"/>
          <w:sz w:val="32"/>
          <w:szCs w:val="44"/>
          <w:highlight w:val="none"/>
          <w:lang w:val="zh-CN"/>
        </w:rPr>
      </w:r>
      <w:r/>
    </w:p>
    <w:p>
      <w:pPr>
        <w:jc w:val="left"/>
        <w:widowControl/>
        <w:rPr>
          <w:rFonts w:ascii="宋体" w:hAnsi="宋体" w:cs="宋体"/>
          <w:b/>
          <w:bCs/>
          <w:color w:val="auto"/>
          <w:sz w:val="32"/>
          <w:szCs w:val="44"/>
          <w:highlight w:val="none"/>
          <w:lang w:val="zh-CN"/>
        </w:rPr>
      </w:pPr>
      <w:r>
        <w:rPr>
          <w:rFonts w:ascii="宋体" w:hAnsi="宋体" w:cs="宋体"/>
          <w:b/>
          <w:bCs/>
          <w:color w:val="auto"/>
          <w:sz w:val="32"/>
          <w:szCs w:val="44"/>
          <w:highlight w:val="none"/>
          <w:lang w:val="zh-CN"/>
        </w:rPr>
      </w:r>
      <w:bookmarkEnd w:id="133"/>
      <w:r/>
      <w:r/>
    </w:p>
    <w:p>
      <w:pPr>
        <w:rPr>
          <w:rFonts w:ascii="宋体" w:hAnsi="宋体" w:cs="宋体"/>
          <w:color w:val="auto"/>
          <w:highlight w:val="none"/>
        </w:rPr>
      </w:pPr>
      <w:r/>
      <w:bookmarkStart w:id="664" w:name="_Toc176529672"/>
      <w:r>
        <w:rPr>
          <w:rFonts w:hint="eastAsia" w:ascii="宋体" w:hAnsi="宋体" w:cs="宋体"/>
          <w:color w:val="auto"/>
          <w:highlight w:val="none"/>
        </w:rPr>
        <w:br w:type="page" w:clear="all"/>
      </w:r>
      <w:r/>
    </w:p>
    <w:p>
      <w:pPr>
        <w:pStyle w:val="1086"/>
        <w:numPr>
          <w:ilvl w:val="0"/>
          <w:numId w:val="0"/>
        </w:numPr>
        <w:rPr>
          <w:rFonts w:ascii="宋体" w:hAnsi="宋体" w:cs="宋体"/>
          <w:color w:val="auto"/>
          <w:highlight w:val="none"/>
        </w:rPr>
      </w:pPr>
      <w:r>
        <w:rPr>
          <w:rFonts w:hint="eastAsia" w:ascii="宋体" w:hAnsi="宋体" w:cs="宋体"/>
          <w:color w:val="auto"/>
          <w:highlight w:val="none"/>
        </w:rPr>
        <w:t xml:space="preserve">第六章 投标文件格式</w:t>
      </w:r>
      <w:bookmarkEnd w:id="134"/>
      <w:r/>
      <w:bookmarkEnd w:id="664"/>
      <w:r/>
      <w:r/>
    </w:p>
    <w:p>
      <w:pPr>
        <w:jc w:val="left"/>
        <w:spacing w:line="240" w:lineRule="atLeast"/>
        <w:widowControl/>
        <w:rPr>
          <w:rFonts w:ascii="宋体" w:hAnsi="宋体" w:cs="宋体"/>
          <w:b/>
          <w:bCs/>
          <w:color w:val="auto"/>
          <w:szCs w:val="21"/>
          <w:highlight w:val="none"/>
        </w:rPr>
      </w:pPr>
      <w:r>
        <w:rPr>
          <w:rFonts w:ascii="宋体" w:hAnsi="宋体" w:cs="宋体"/>
          <w:b/>
          <w:bCs/>
          <w:color w:val="auto"/>
          <w:szCs w:val="21"/>
          <w:highlight w:val="none"/>
        </w:rPr>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spacing w:line="440" w:lineRule="exact"/>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1084"/>
        <w:rPr>
          <w:rFonts w:ascii="宋体" w:hAnsi="宋体" w:cs="宋体"/>
          <w:b/>
          <w:color w:val="auto"/>
          <w:sz w:val="36"/>
          <w:szCs w:val="21"/>
          <w:highlight w:val="none"/>
        </w:rPr>
      </w:pPr>
      <w:r>
        <w:rPr>
          <w:rFonts w:hint="eastAsia" w:ascii="宋体" w:hAnsi="宋体" w:cs="宋体"/>
          <w:b/>
          <w:color w:val="auto"/>
          <w:sz w:val="36"/>
          <w:szCs w:val="21"/>
          <w:highlight w:val="none"/>
        </w:rPr>
        <w:t xml:space="preserve">项 目 名 称：</w:t>
      </w:r>
      <w:r>
        <w:rPr>
          <w:rFonts w:hint="eastAsia" w:ascii="宋体" w:hAnsi="宋体" w:cs="宋体"/>
          <w:b/>
          <w:color w:val="auto"/>
          <w:sz w:val="36"/>
          <w:szCs w:val="21"/>
          <w:highlight w:val="none"/>
          <w:u w:val="single"/>
        </w:rPr>
        <w:t xml:space="preserve">                   </w:t>
      </w:r>
      <w:r/>
    </w:p>
    <w:p>
      <w:pPr>
        <w:ind w:firstLine="1084"/>
        <w:rPr>
          <w:rFonts w:ascii="宋体" w:hAnsi="宋体" w:cs="宋体"/>
          <w:b/>
          <w:color w:val="auto"/>
          <w:sz w:val="36"/>
          <w:szCs w:val="21"/>
          <w:highlight w:val="none"/>
          <w:u w:val="single"/>
        </w:rPr>
      </w:pPr>
      <w:r>
        <w:rPr>
          <w:rFonts w:hint="eastAsia" w:ascii="宋体" w:hAnsi="宋体" w:cs="宋体"/>
          <w:b/>
          <w:color w:val="auto"/>
          <w:sz w:val="36"/>
          <w:szCs w:val="21"/>
          <w:highlight w:val="none"/>
        </w:rPr>
        <w:t xml:space="preserve">项 目 编 号：</w:t>
      </w:r>
      <w:r>
        <w:rPr>
          <w:rFonts w:hint="eastAsia" w:ascii="宋体" w:hAnsi="宋体" w:cs="宋体"/>
          <w:b/>
          <w:color w:val="auto"/>
          <w:sz w:val="36"/>
          <w:szCs w:val="21"/>
          <w:highlight w:val="none"/>
          <w:u w:val="single"/>
        </w:rPr>
        <w:t xml:space="preserve">                   </w:t>
      </w:r>
      <w:r/>
    </w:p>
    <w:p>
      <w:pPr>
        <w:rPr>
          <w:rFonts w:ascii="宋体" w:hAnsi="宋体" w:cs="宋体"/>
          <w:b/>
          <w:color w:val="auto"/>
          <w:sz w:val="36"/>
          <w:szCs w:val="21"/>
          <w:highlight w:val="none"/>
          <w:u w:val="single"/>
        </w:rPr>
      </w:pPr>
      <w:r>
        <w:rPr>
          <w:rFonts w:hint="eastAsia" w:ascii="宋体" w:hAnsi="宋体" w:cs="宋体"/>
          <w:b/>
          <w:color w:val="auto"/>
          <w:sz w:val="36"/>
          <w:szCs w:val="21"/>
          <w:highlight w:val="none"/>
        </w:rPr>
        <w:t xml:space="preserve">      投标人名称 ：</w:t>
      </w:r>
      <w:r>
        <w:rPr>
          <w:rFonts w:hint="eastAsia" w:ascii="宋体" w:hAnsi="宋体" w:cs="宋体"/>
          <w:b/>
          <w:color w:val="auto"/>
          <w:sz w:val="36"/>
          <w:szCs w:val="21"/>
          <w:highlight w:val="none"/>
          <w:u w:val="single"/>
        </w:rPr>
        <w:t xml:space="preserve">（加盖电子公章）   </w:t>
      </w:r>
      <w:r/>
    </w:p>
    <w:p>
      <w:pPr>
        <w:rPr>
          <w:rFonts w:ascii="宋体" w:hAnsi="宋体" w:cs="宋体"/>
          <w:b/>
          <w:color w:val="auto"/>
          <w:sz w:val="36"/>
          <w:szCs w:val="21"/>
          <w:highlight w:val="none"/>
          <w:u w:val="single"/>
        </w:rPr>
      </w:pPr>
      <w:r>
        <w:rPr>
          <w:rFonts w:hint="eastAsia" w:ascii="宋体" w:hAnsi="宋体" w:cs="宋体"/>
          <w:b/>
          <w:color w:val="auto"/>
          <w:sz w:val="36"/>
          <w:szCs w:val="21"/>
          <w:highlight w:val="none"/>
        </w:rPr>
        <w:t xml:space="preserve">      日      期 ：</w:t>
      </w:r>
      <w:r>
        <w:rPr>
          <w:rFonts w:hint="eastAsia" w:ascii="宋体" w:hAnsi="宋体" w:cs="宋体"/>
          <w:b/>
          <w:color w:val="auto"/>
          <w:sz w:val="36"/>
          <w:szCs w:val="21"/>
          <w:highlight w:val="none"/>
          <w:u w:val="single"/>
        </w:rPr>
        <w:t xml:space="preserve">                   </w:t>
      </w: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1097"/>
        <w:rPr>
          <w:rFonts w:hint="eastAsia"/>
          <w:color w:val="auto"/>
          <w:highlight w:val="none"/>
          <w:lang w:eastAsia="zh-CN"/>
        </w:rPr>
      </w:pPr>
      <w:r>
        <w:rPr>
          <w:rFonts w:hint="eastAsia"/>
          <w:color w:val="auto"/>
          <w:highlight w:val="none"/>
          <w:lang w:eastAsia="zh-CN"/>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color w:val="auto"/>
          <w:highlight w:val="none"/>
        </w:rPr>
      </w:pPr>
      <w:r/>
      <w:bookmarkStart w:id="665" w:name="_Toc43917771"/>
      <w:r/>
      <w:bookmarkStart w:id="666" w:name="_Toc66375424"/>
      <w:r>
        <w:rPr>
          <w:rFonts w:hint="eastAsia" w:ascii="宋体" w:hAnsi="宋体" w:cs="宋体"/>
          <w:color w:val="auto"/>
          <w:highlight w:val="none"/>
        </w:rPr>
        <w:br w:type="page" w:clear="all"/>
      </w:r>
      <w:r/>
    </w:p>
    <w:p>
      <w:pPr>
        <w:pStyle w:val="1087"/>
        <w:numPr>
          <w:ilvl w:val="1"/>
          <w:numId w:val="0"/>
        </w:numPr>
        <w:rPr>
          <w:rFonts w:ascii="宋体" w:hAnsi="宋体" w:cs="宋体"/>
          <w:color w:val="auto"/>
          <w:highlight w:val="none"/>
        </w:rPr>
      </w:pPr>
      <w:r>
        <w:rPr>
          <w:rFonts w:hint="eastAsia" w:ascii="宋体" w:hAnsi="宋体" w:cs="宋体"/>
          <w:color w:val="auto"/>
          <w:highlight w:val="none"/>
        </w:rPr>
        <w:t xml:space="preserve">附件一、投标函</w:t>
      </w:r>
      <w:bookmarkEnd w:id="665"/>
      <w:r/>
      <w:bookmarkEnd w:id="666"/>
      <w:r/>
      <w:r/>
    </w:p>
    <w:p>
      <w:pPr>
        <w:jc w:val="center"/>
        <w:rPr>
          <w:rFonts w:ascii="宋体" w:hAnsi="宋体" w:cs="宋体"/>
          <w:color w:val="auto"/>
          <w:szCs w:val="21"/>
          <w:highlight w:val="none"/>
        </w:rPr>
      </w:pPr>
      <w:r>
        <w:rPr>
          <w:rFonts w:hint="eastAsia" w:ascii="宋体" w:hAnsi="宋体" w:cs="宋体"/>
          <w:b/>
          <w:color w:val="auto"/>
          <w:sz w:val="32"/>
          <w:szCs w:val="32"/>
          <w:highlight w:val="none"/>
        </w:rPr>
        <w:t xml:space="preserve">投标函</w:t>
      </w:r>
      <w:r/>
    </w:p>
    <w:p>
      <w:p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致：南京审计大学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江苏国采工程咨询有限公司</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（项目编号）投标邀请，正式授权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（投标人名称），提交投标文件并宣布同意如下内容：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1.按招标文件规定的各项要求，向采购人提供所需工程。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2.我们已详细审核全部招标文件及其有效补充文件。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7.与本投标有关的正式联系方式为：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360" w:lineRule="auto"/>
        <w:shd w:val="clear" w:color="auto" w:fill="ffffff"/>
        <w:widowControl/>
        <w:rPr>
          <w:rFonts w:ascii="宋体" w:hAnsi="宋体" w:cs="宋体"/>
          <w:color w:val="auto"/>
          <w:szCs w:val="21"/>
          <w:highlight w:val="none"/>
          <w:u w:val="singl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0"/>
        <w:spacing w:line="360" w:lineRule="auto"/>
        <w:shd w:val="clear" w:color="auto" w:fill="ffffff"/>
        <w:widowControl/>
        <w:rPr>
          <w:rFonts w:ascii="宋体" w:hAnsi="宋体" w:cs="宋体"/>
          <w:color w:val="auto"/>
          <w:szCs w:val="21"/>
          <w:highlight w:val="none"/>
          <w:u w:val="single"/>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rPr>
        <w:t xml:space="preserve">                                               </w:t>
      </w:r>
      <w:r/>
    </w:p>
    <w:p>
      <w:pPr>
        <w:rPr>
          <w:rFonts w:ascii="宋体" w:hAnsi="宋体" w:cs="宋体"/>
          <w:color w:val="auto"/>
          <w:highlight w:val="none"/>
        </w:rPr>
      </w:pPr>
      <w:r/>
      <w:bookmarkStart w:id="667" w:name="_Toc66375425"/>
      <w:r/>
      <w:bookmarkStart w:id="668" w:name="_Toc43917772"/>
      <w:r>
        <w:rPr>
          <w:rFonts w:hint="eastAsia" w:ascii="宋体" w:hAnsi="宋体" w:cs="宋体"/>
          <w:color w:val="auto"/>
          <w:highlight w:val="none"/>
        </w:rPr>
        <w:br w:type="page" w:clear="all"/>
      </w:r>
      <w:r/>
    </w:p>
    <w:p>
      <w:pPr>
        <w:pStyle w:val="1087"/>
        <w:rPr>
          <w:rFonts w:ascii="宋体" w:hAnsi="宋体" w:cs="宋体"/>
          <w:color w:val="auto"/>
          <w:highlight w:val="none"/>
        </w:rPr>
      </w:pPr>
      <w:r>
        <w:rPr>
          <w:rFonts w:hint="eastAsia" w:ascii="宋体" w:hAnsi="宋体" w:cs="宋体"/>
          <w:color w:val="auto"/>
          <w:highlight w:val="none"/>
        </w:rPr>
        <w:t xml:space="preserve">附件二、法定代表人授权委托书</w:t>
      </w:r>
      <w:bookmarkEnd w:id="667"/>
      <w:r/>
      <w:bookmarkEnd w:id="668"/>
      <w:r/>
      <w:r/>
    </w:p>
    <w:p>
      <w:pPr>
        <w:ind w:firstLine="720"/>
        <w:jc w:val="center"/>
        <w:spacing w:line="360" w:lineRule="auto"/>
        <w:shd w:val="clear" w:color="auto" w:fill="ffffff"/>
        <w:widowControl/>
        <w:rPr>
          <w:rFonts w:ascii="宋体" w:hAnsi="宋体" w:cs="宋体"/>
          <w:color w:val="auto"/>
          <w:sz w:val="36"/>
          <w:szCs w:val="36"/>
          <w:highlight w:val="none"/>
        </w:rPr>
      </w:pPr>
      <w:r>
        <w:rPr>
          <w:rFonts w:ascii="宋体" w:hAnsi="宋体" w:cs="宋体"/>
          <w:color w:val="auto"/>
          <w:sz w:val="36"/>
          <w:szCs w:val="36"/>
          <w:highlight w:val="none"/>
        </w:rPr>
      </w:r>
      <w:r/>
    </w:p>
    <w:p>
      <w:pPr>
        <w:ind w:firstLine="720"/>
        <w:jc w:val="center"/>
        <w:spacing w:line="360" w:lineRule="auto"/>
        <w:shd w:val="clear" w:color="auto" w:fill="ffffff"/>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法定代表人授权委托书</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致：南京审计大学</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江苏国采工程咨询有限公司</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（投标人住址）的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（法定代表人姓名、职务）代表本公司授权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（投标人代表姓名、职务）为本公司的合法代理人，就贵方组织的</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（项目编号）投标，以本公司名义处理一切与之有关的事务。</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本授权书于    年  月  </w:t>
      </w:r>
      <w:bookmarkStart w:id="669" w:name="_Hlk176528397"/>
      <w:r>
        <w:rPr>
          <w:rFonts w:hint="eastAsia" w:ascii="宋体" w:hAnsi="宋体" w:cs="宋体"/>
          <w:color w:val="auto"/>
          <w:szCs w:val="21"/>
          <w:highlight w:val="none"/>
        </w:rPr>
        <w:t xml:space="preserve">日加盖电子公章</w:t>
      </w:r>
      <w:bookmarkEnd w:id="669"/>
      <w:r>
        <w:rPr>
          <w:rFonts w:hint="eastAsia" w:ascii="宋体" w:hAnsi="宋体" w:cs="宋体"/>
          <w:color w:val="auto"/>
          <w:szCs w:val="21"/>
          <w:highlight w:val="none"/>
        </w:rPr>
        <w:t xml:space="preserve">生效，特此声明。</w:t>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bookmarkStart w:id="670" w:name="_Hlk176254280"/>
      <w:r>
        <w:rPr>
          <w:rFonts w:hint="eastAsia" w:ascii="宋体" w:hAnsi="宋体" w:cs="宋体"/>
          <w:color w:val="auto"/>
          <w:szCs w:val="21"/>
          <w:highlight w:val="none"/>
        </w:rPr>
        <w:t xml:space="preserve">投标人（</w:t>
      </w:r>
      <w:bookmarkStart w:id="671" w:name="OLE_LINK3"/>
      <w:r>
        <w:rPr>
          <w:rFonts w:hint="eastAsia" w:ascii="宋体" w:hAnsi="宋体" w:cs="宋体"/>
          <w:color w:val="auto"/>
          <w:szCs w:val="21"/>
          <w:highlight w:val="none"/>
        </w:rPr>
        <w:t xml:space="preserve">加盖电子公章</w:t>
      </w:r>
      <w:bookmarkEnd w:id="671"/>
      <w:r>
        <w:rPr>
          <w:rFonts w:hint="eastAsia" w:ascii="宋体" w:hAnsi="宋体" w:cs="宋体"/>
          <w:color w:val="auto"/>
          <w:szCs w:val="21"/>
          <w:highlight w:val="none"/>
        </w:rPr>
        <w:t xml:space="preserve">）： </w:t>
      </w:r>
      <w:bookmarkEnd w:id="670"/>
      <w:r>
        <w:rPr>
          <w:rFonts w:hint="eastAsia" w:ascii="宋体" w:hAnsi="宋体" w:cs="宋体"/>
          <w:color w:val="auto"/>
          <w:szCs w:val="21"/>
          <w:highlight w:val="none"/>
        </w:rPr>
        <w:t xml:space="preserve">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bookmarkStart w:id="672" w:name="_Hlk45291991"/>
      <w:r>
        <w:rPr>
          <w:rFonts w:hint="eastAsia" w:ascii="宋体" w:hAnsi="宋体" w:cs="宋体"/>
          <w:color w:val="auto"/>
          <w:szCs w:val="21"/>
          <w:highlight w:val="none"/>
        </w:rPr>
        <w:t xml:space="preserve">法定代表人身份证的复印件:</w:t>
      </w:r>
      <w:bookmarkEnd w:id="672"/>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委托代理人身份证的复印件:</w:t>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84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84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84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pStyle w:val="1087"/>
        <w:rPr>
          <w:rFonts w:ascii="宋体" w:hAnsi="宋体" w:cs="宋体"/>
          <w:color w:val="auto"/>
          <w:highlight w:val="none"/>
        </w:rPr>
      </w:pPr>
      <w:r/>
      <w:bookmarkStart w:id="673" w:name="_Toc66375435"/>
      <w:r/>
      <w:bookmarkStart w:id="674" w:name="_Toc43917782"/>
      <w:r>
        <w:rPr>
          <w:rFonts w:hint="eastAsia" w:ascii="宋体" w:hAnsi="宋体" w:cs="宋体"/>
          <w:color w:val="auto"/>
          <w:highlight w:val="none"/>
        </w:rPr>
        <w:t xml:space="preserve">附件三、 资格证明文件</w:t>
      </w:r>
      <w:bookmarkEnd w:id="673"/>
      <w:r/>
      <w:bookmarkEnd w:id="674"/>
      <w:r/>
      <w:r/>
    </w:p>
    <w:p>
      <w:pPr>
        <w:ind w:firstLine="420"/>
        <w:spacing w:line="360" w:lineRule="auto"/>
        <w:rPr>
          <w:rFonts w:ascii="宋体" w:hAnsi="宋体" w:cs="宋体"/>
          <w:bCs/>
          <w:color w:val="auto"/>
          <w:szCs w:val="21"/>
          <w:highlight w:val="none"/>
        </w:rPr>
      </w:pPr>
      <w:r/>
      <w:bookmarkStart w:id="675" w:name="_Hlk168584506"/>
      <w:r/>
      <w:bookmarkStart w:id="676" w:name="_Hlk168674857"/>
      <w:r>
        <w:rPr>
          <w:rFonts w:hint="eastAsia" w:ascii="宋体" w:hAnsi="宋体" w:cs="宋体"/>
          <w:bCs/>
          <w:color w:val="auto"/>
          <w:szCs w:val="21"/>
          <w:highlight w:val="none"/>
        </w:rPr>
        <w:t xml:space="preserve">1. 第一章招标公告中二、申请人的资格要求（一）《中华人民共和国政府采购法》规定的资格证明文件；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 第一章招标公告中二、申请人的资格要求（二）落实政府采购政策需满足的资格要求相关材料；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 第一章招标公告中二、申请人的资格要求（三）本项目特定资格要求证明文件（如有）；</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4. </w:t>
      </w:r>
      <w:r>
        <w:rPr>
          <w:rFonts w:hint="eastAsia" w:ascii="宋体" w:hAnsi="宋体" w:cs="宋体"/>
          <w:bCs/>
          <w:color w:val="auto"/>
          <w:szCs w:val="21"/>
          <w:highlight w:val="none"/>
        </w:rPr>
        <w:t xml:space="preserve">投标人未被“信用中国”网站（www.creditchina.gov.cn）、“中国政府采购网”(www.ccgp.gov.cn)列入失信被执行人、重大税收违法案件当事人名单、政府采购严重违法失信行为记录名单证明文件。</w:t>
      </w:r>
      <w:bookmarkEnd w:id="675"/>
      <w:r/>
      <w:bookmarkEnd w:id="676"/>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1087"/>
        <w:rPr>
          <w:rFonts w:ascii="宋体" w:hAnsi="宋体" w:cs="宋体"/>
          <w:color w:val="auto"/>
          <w:highlight w:val="none"/>
          <w:lang w:val="zh-CN"/>
        </w:rPr>
      </w:pPr>
      <w:r/>
      <w:bookmarkStart w:id="677" w:name="_Toc26810"/>
      <w:r/>
      <w:bookmarkStart w:id="678" w:name="_Toc66375426"/>
      <w:r/>
      <w:bookmarkStart w:id="679" w:name="_Toc43917773"/>
      <w:r/>
      <w:bookmarkStart w:id="680" w:name="OLE_LINK38"/>
      <w:r>
        <w:rPr>
          <w:rFonts w:hint="eastAsia" w:ascii="宋体" w:hAnsi="宋体" w:cs="宋体"/>
          <w:color w:val="auto"/>
          <w:highlight w:val="none"/>
          <w:lang w:val="zh-CN"/>
        </w:rPr>
        <w:t xml:space="preserve">附件四、</w:t>
      </w:r>
      <w:bookmarkEnd w:id="677"/>
      <w:r/>
      <w:bookmarkEnd w:id="678"/>
      <w:r/>
      <w:bookmarkEnd w:id="679"/>
      <w:r>
        <w:rPr>
          <w:rFonts w:hint="eastAsia" w:ascii="宋体" w:hAnsi="宋体" w:cs="宋体"/>
          <w:color w:val="auto"/>
          <w:highlight w:val="none"/>
          <w:lang w:val="zh-CN"/>
        </w:rPr>
        <w:t xml:space="preserve">开标一览表</w:t>
      </w:r>
      <w:bookmarkEnd w:id="680"/>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开标一览表</w:t>
      </w:r>
      <w:r/>
    </w:p>
    <w:p>
      <w:pPr>
        <w:pStyle w:val="1101"/>
        <w:ind w:firstLine="210"/>
        <w:spacing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项目编号：                                        货币单位：人民币元</w:t>
      </w:r>
      <w:r/>
    </w:p>
    <w:tbl>
      <w:tblPr>
        <w:tblStyle w:val="109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p>
        </w:tc>
        <w:tc>
          <w:tcPr>
            <w:tcW w:w="273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项目内容</w:t>
            </w:r>
            <w:r/>
          </w:p>
        </w:tc>
        <w:tc>
          <w:tcPr>
            <w:tcW w:w="42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273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详见投标文件</w:t>
            </w:r>
            <w:r/>
          </w:p>
        </w:tc>
        <w:tc>
          <w:tcPr>
            <w:tcW w:w="4282" w:type="dxa"/>
            <w:vAlign w:val="center"/>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cantSplit/>
          <w:trHeight w:val="725"/>
        </w:trPr>
        <w:tc>
          <w:tcPr>
            <w:tcW w:w="2735" w:type="dxa"/>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总价（大写）：</w:t>
            </w:r>
            <w:r/>
          </w:p>
        </w:tc>
        <w:tc>
          <w:tcPr>
            <w:gridSpan w:val="2"/>
            <w:tcW w:w="7017" w:type="dxa"/>
            <w:vAlign w:val="center"/>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bookmarkStart w:id="681" w:name="_Hlk44577819"/>
      <w:r>
        <w:rPr>
          <w:rFonts w:hint="eastAsia" w:ascii="宋体" w:hAnsi="宋体" w:cs="宋体"/>
          <w:color w:val="auto"/>
          <w:szCs w:val="21"/>
          <w:highlight w:val="none"/>
        </w:rPr>
        <w:t xml:space="preserve">说明:</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2、报价以总价为准，大小写不一致以大写为准。</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bookmarkEnd w:id="681"/>
      <w:r/>
      <w:r/>
    </w:p>
    <w:p>
      <w:pPr>
        <w:jc w:val="left"/>
        <w:spacing w:line="360" w:lineRule="auto"/>
        <w:shd w:val="clear" w:color="auto" w:fill="ffffff"/>
        <w:widowControl/>
        <w:rPr>
          <w:rFonts w:ascii="宋体" w:hAnsi="宋体" w:cs="宋体"/>
          <w:color w:val="auto"/>
          <w:szCs w:val="21"/>
          <w:highlight w:val="none"/>
          <w:u w:val="single"/>
        </w:rPr>
      </w:pPr>
      <w:r/>
      <w:bookmarkStart w:id="682" w:name="_Hlk175836563"/>
      <w:r>
        <w:rPr>
          <w:rFonts w:hint="eastAsia" w:ascii="宋体" w:hAnsi="宋体" w:cs="宋体"/>
          <w:color w:val="auto"/>
          <w:szCs w:val="21"/>
          <w:highlight w:val="none"/>
        </w:rPr>
        <w:t xml:space="preserve">投标人（</w:t>
      </w:r>
      <w:bookmarkStart w:id="683" w:name="_Hlk176254322"/>
      <w:r>
        <w:rPr>
          <w:rFonts w:hint="eastAsia" w:ascii="宋体" w:hAnsi="宋体" w:cs="宋体"/>
          <w:color w:val="auto"/>
          <w:szCs w:val="21"/>
          <w:highlight w:val="none"/>
        </w:rPr>
        <w:t xml:space="preserve">加盖电子公章</w:t>
      </w:r>
      <w:bookmarkEnd w:id="683"/>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shd w:val="clear" w:color="auto" w:fill="ffffff"/>
        <w:widowControl/>
        <w:rPr>
          <w:rFonts w:ascii="宋体" w:hAnsi="宋体" w:cs="宋体"/>
          <w:color w:val="auto"/>
          <w:szCs w:val="21"/>
          <w:highlight w:val="none"/>
          <w:u w:val="single"/>
        </w:rPr>
      </w:pPr>
      <w:r>
        <w:rPr>
          <w:rFonts w:ascii="宋体" w:hAnsi="宋体" w:cs="宋体"/>
          <w:color w:val="auto"/>
          <w:szCs w:val="21"/>
          <w:highlight w:val="none"/>
          <w:u w:val="single"/>
        </w:rPr>
      </w:r>
      <w:bookmarkEnd w:id="682"/>
      <w:r/>
      <w:r/>
    </w:p>
    <w:p>
      <w:pPr>
        <w:pStyle w:val="1087"/>
        <w:rPr>
          <w:rFonts w:ascii="宋体" w:hAnsi="宋体" w:cs="宋体"/>
          <w:color w:val="auto"/>
          <w:highlight w:val="none"/>
          <w:lang w:val="zh-CN"/>
        </w:rPr>
      </w:pPr>
      <w:r/>
      <w:bookmarkStart w:id="684" w:name="_Toc66375427"/>
      <w:r/>
      <w:bookmarkStart w:id="685" w:name="_Toc12264"/>
      <w:r/>
      <w:bookmarkStart w:id="686" w:name="_Toc43917774"/>
      <w:r>
        <w:rPr>
          <w:rFonts w:hint="eastAsia" w:ascii="宋体" w:hAnsi="宋体" w:cs="宋体"/>
          <w:color w:val="auto"/>
          <w:highlight w:val="none"/>
          <w:lang w:val="zh-CN"/>
        </w:rPr>
        <w:t xml:space="preserve">附件五、已标价的工程量清单</w:t>
      </w:r>
      <w:bookmarkEnd w:id="684"/>
      <w:r/>
      <w:bookmarkEnd w:id="685"/>
      <w:r/>
      <w:bookmarkEnd w:id="686"/>
      <w:r/>
      <w:r/>
    </w:p>
    <w:p>
      <w:pPr>
        <w:ind w:firstLine="211"/>
        <w:jc w:val="left"/>
        <w:spacing w:line="360" w:lineRule="auto"/>
        <w:shd w:val="clear" w:color="auto" w:fill="ffffff"/>
        <w:widowControl/>
        <w:rPr>
          <w:rFonts w:ascii="宋体" w:hAnsi="宋体" w:cs="宋体"/>
          <w:color w:val="auto"/>
          <w:szCs w:val="21"/>
          <w:highlight w:val="none"/>
        </w:rPr>
      </w:pPr>
      <w:r/>
      <w:bookmarkStart w:id="687" w:name="_Toc8953"/>
      <w:r>
        <w:rPr>
          <w:rFonts w:hint="eastAsia" w:ascii="宋体" w:hAnsi="宋体" w:cs="宋体"/>
          <w:b/>
          <w:bCs/>
          <w:color w:val="auto"/>
          <w:szCs w:val="21"/>
          <w:highlight w:val="none"/>
        </w:rPr>
        <w:t xml:space="preserve">投标人根据《</w:t>
      </w:r>
      <w:r>
        <w:rPr>
          <w:color w:val="auto"/>
          <w:highlight w:val="none"/>
        </w:rPr>
        <w:fldChar w:fldCharType="begin"/>
      </w:r>
      <w:r>
        <w:rPr>
          <w:color w:val="auto"/>
          <w:highlight w:val="none"/>
        </w:rPr>
        <w:instrText xml:space="preserve"> HYPERLINK "https://www.so.com/link?m=bTuh78H2poH3Kucj5qyE1MiAPRuuOZvbfJ7jUnc5vzbSWhANqC</w:instrText>
      </w:r>
      <w:r>
        <w:rPr>
          <w:color w:val="auto"/>
          <w:highlight w:val="none"/>
        </w:rPr>
        <w:instrText xml:space="preserve">Ltj81kpgGfMx8UxNV1KhQxyQyICR53VUmqEWYn3t/NhDTigeb+auyi8azZv9A4tJH/G4giGaBX6bbvgUjTL7eWzhETJ8RupwOpGXCim7/kIIyogw/nwscg7rqcLE4JUrCs9bj5Ed246yBakoVH7jpIhU3L6CeC7jWSYy4XS5I+RyjgCiOv1K9EEzjEBtBBrb8g6b2+1TOnxhvwOH05StLf9vH36+9VP" \t "https://www.so.com/_blank" </w:instrText>
      </w:r>
      <w:r>
        <w:rPr>
          <w:color w:val="auto"/>
          <w:highlight w:val="none"/>
        </w:rPr>
        <w:fldChar w:fldCharType="separate"/>
      </w:r>
      <w:r>
        <w:rPr>
          <w:rFonts w:hint="eastAsia" w:ascii="宋体" w:hAnsi="宋体" w:cs="宋体"/>
          <w:b/>
          <w:bCs/>
          <w:color w:val="auto"/>
          <w:szCs w:val="21"/>
          <w:highlight w:val="none"/>
        </w:rPr>
        <w:t xml:space="preserve">建设工程工程量清单计价规范</w:t>
      </w:r>
      <w:r>
        <w:rPr>
          <w:rFonts w:hint="eastAsia" w:ascii="宋体" w:hAnsi="宋体" w:cs="宋体"/>
          <w:b/>
          <w:bCs/>
          <w:color w:val="auto"/>
          <w:szCs w:val="21"/>
          <w:highlight w:val="none"/>
        </w:rPr>
        <w:fldChar w:fldCharType="end"/>
      </w:r>
      <w:r>
        <w:rPr>
          <w:rFonts w:hint="eastAsia" w:ascii="宋体" w:hAnsi="宋体" w:cs="宋体"/>
          <w:b/>
          <w:bCs/>
          <w:color w:val="auto"/>
          <w:szCs w:val="21"/>
          <w:highlight w:val="none"/>
        </w:rPr>
        <w:t xml:space="preserve">》，按照招标文件附件招标工程量清单进行报价</w:t>
      </w:r>
      <w:bookmarkEnd w:id="687"/>
      <w:r>
        <w:rPr>
          <w:rFonts w:hint="eastAsia" w:ascii="宋体" w:hAnsi="宋体" w:cs="宋体"/>
          <w:b/>
          <w:bCs/>
          <w:color w:val="auto"/>
          <w:szCs w:val="21"/>
          <w:highlight w:val="none"/>
        </w:rPr>
        <w:t xml:space="preserve">。</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pStyle w:val="1087"/>
        <w:rPr>
          <w:rFonts w:ascii="宋体" w:hAnsi="宋体" w:cs="宋体"/>
          <w:color w:val="auto"/>
          <w:highlight w:val="none"/>
          <w:lang w:val="zh-CN"/>
        </w:rPr>
      </w:pPr>
      <w:r>
        <w:rPr>
          <w:rFonts w:hint="eastAsia" w:ascii="宋体" w:hAnsi="宋体" w:cs="宋体"/>
          <w:color w:val="auto"/>
          <w:szCs w:val="21"/>
          <w:highlight w:val="none"/>
        </w:rPr>
        <w:br w:type="page" w:clear="all"/>
      </w:r>
      <w:bookmarkStart w:id="688" w:name="_Toc66375428"/>
      <w:r/>
      <w:bookmarkStart w:id="689" w:name="_Toc43917775"/>
      <w:r>
        <w:rPr>
          <w:rFonts w:hint="eastAsia" w:ascii="宋体" w:hAnsi="宋体" w:cs="宋体"/>
          <w:color w:val="auto"/>
          <w:highlight w:val="none"/>
          <w:lang w:val="zh-CN"/>
        </w:rPr>
        <w:t xml:space="preserve">附件六、</w:t>
      </w:r>
      <w:bookmarkStart w:id="690" w:name="_Hlk176528721"/>
      <w:r>
        <w:rPr>
          <w:rFonts w:hint="eastAsia" w:ascii="宋体" w:hAnsi="宋体" w:cs="宋体"/>
          <w:color w:val="auto"/>
          <w:highlight w:val="none"/>
          <w:lang w:val="zh-CN"/>
        </w:rPr>
        <w:t xml:space="preserve">技术要求响应及偏离表</w:t>
      </w:r>
      <w:bookmarkEnd w:id="688"/>
      <w:r/>
      <w:bookmarkEnd w:id="689"/>
      <w:r/>
      <w:bookmarkEnd w:id="690"/>
      <w:r/>
      <w:r/>
    </w:p>
    <w:p>
      <w:pPr>
        <w:ind w:left="435"/>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24"/>
          <w:highlight w:val="none"/>
        </w:rPr>
        <w:t xml:space="preserve"> </w:t>
      </w:r>
      <w:r/>
    </w:p>
    <w:p>
      <w:pPr>
        <w:jc w:val="center"/>
        <w:spacing w:line="360" w:lineRule="auto"/>
        <w:shd w:val="clear" w:color="auto" w:fill="ffffff"/>
        <w:widowControl/>
        <w:rPr>
          <w:rFonts w:ascii="宋体" w:hAnsi="宋体" w:cs="宋体"/>
          <w:color w:val="auto"/>
          <w:szCs w:val="21"/>
          <w:highlight w:val="none"/>
        </w:rPr>
      </w:pPr>
      <w:r/>
      <w:bookmarkStart w:id="691" w:name="_Hlk176528733"/>
      <w:r>
        <w:rPr>
          <w:rFonts w:hint="eastAsia" w:ascii="宋体" w:hAnsi="宋体" w:cs="宋体"/>
          <w:b/>
          <w:color w:val="auto"/>
          <w:sz w:val="32"/>
          <w:szCs w:val="32"/>
          <w:highlight w:val="none"/>
        </w:rPr>
        <w:t xml:space="preserve">技术要求响应及偏离表</w:t>
      </w:r>
      <w:r/>
    </w:p>
    <w:p>
      <w:pPr>
        <w:ind w:firstLine="294"/>
        <w:jc w:val="left"/>
        <w:spacing w:line="360" w:lineRule="auto"/>
        <w:widowControl/>
        <w:tabs>
          <w:tab w:val="left" w:pos="5397"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w:t>
      </w:r>
      <w:r/>
    </w:p>
    <w:tbl>
      <w:tblPr>
        <w:tblStyle w:val="1096"/>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4"/>
        <w:gridCol w:w="6420"/>
        <w:gridCol w:w="1215"/>
        <w:gridCol w:w="1179"/>
      </w:tblGrid>
      <w:tr>
        <w:trPr>
          <w:jc w:val="center"/>
          <w:trHeight w:val="1876"/>
        </w:trPr>
        <w:tc>
          <w:tcPr>
            <w:tcMar>
              <w:left w:w="10" w:type="dxa"/>
              <w:top w:w="0" w:type="dxa"/>
              <w:right w:w="10" w:type="dxa"/>
              <w:bottom w:w="0" w:type="dxa"/>
            </w:tcMar>
            <w:tcW w:w="604" w:type="dxa"/>
            <w:vAlign w:val="center"/>
            <w:textDirection w:val="lrTb"/>
            <w:noWrap w:val="false"/>
          </w:tcPr>
          <w:p>
            <w:pPr>
              <w:jc w:val="center"/>
              <w:spacing w:line="360" w:lineRule="auto"/>
              <w:widowControl/>
              <w:rPr>
                <w:rFonts w:ascii="宋体" w:hAnsi="宋体" w:cs="宋体"/>
                <w:b/>
                <w:color w:val="auto"/>
                <w:szCs w:val="21"/>
                <w:highlight w:val="none"/>
              </w:rPr>
            </w:pPr>
            <w:r/>
            <w:bookmarkStart w:id="692" w:name="_Hlk66784099"/>
            <w:r>
              <w:rPr>
                <w:rFonts w:hint="eastAsia" w:ascii="宋体" w:hAnsi="宋体" w:cs="宋体"/>
                <w:b/>
                <w:color w:val="auto"/>
                <w:szCs w:val="21"/>
                <w:highlight w:val="none"/>
              </w:rPr>
              <w:t xml:space="preserve">序号</w:t>
            </w:r>
            <w:r/>
          </w:p>
        </w:tc>
        <w:tc>
          <w:tcPr>
            <w:tcMar>
              <w:left w:w="10" w:type="dxa"/>
              <w:top w:w="0" w:type="dxa"/>
              <w:right w:w="10" w:type="dxa"/>
              <w:bottom w:w="0" w:type="dxa"/>
            </w:tcMar>
            <w:tcW w:w="6420"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招标文件的技术要求</w:t>
            </w:r>
            <w:r/>
          </w:p>
        </w:tc>
        <w:tc>
          <w:tcPr>
            <w:tcMar>
              <w:left w:w="10" w:type="dxa"/>
              <w:top w:w="0" w:type="dxa"/>
              <w:right w:w="10" w:type="dxa"/>
              <w:bottom w:w="0" w:type="dxa"/>
            </w:tcMar>
            <w:tcW w:w="1215"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投标响应</w:t>
            </w:r>
            <w:r/>
          </w:p>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(响应或不响应)</w:t>
            </w:r>
            <w:r/>
          </w:p>
        </w:tc>
        <w:tc>
          <w:tcPr>
            <w:tcMar>
              <w:left w:w="10" w:type="dxa"/>
              <w:top w:w="0" w:type="dxa"/>
              <w:right w:w="10" w:type="dxa"/>
              <w:bottom w:w="0" w:type="dxa"/>
            </w:tcMar>
            <w:tcW w:w="1179" w:type="dxa"/>
            <w:vAlign w:val="center"/>
            <w:textDirection w:val="lrTb"/>
            <w:noWrap w:val="false"/>
          </w:tcPr>
          <w:p>
            <w:pPr>
              <w:jc w:val="center"/>
              <w:spacing w:line="360" w:lineRule="auto"/>
              <w:widowControl/>
              <w:rPr>
                <w:rFonts w:ascii="宋体" w:hAnsi="宋体" w:cs="宋体"/>
                <w:b/>
                <w:color w:val="auto"/>
                <w:szCs w:val="21"/>
                <w:highlight w:val="none"/>
              </w:rPr>
            </w:pPr>
            <w:r/>
            <w:bookmarkStart w:id="693" w:name="OLE_LINK53"/>
            <w:r>
              <w:rPr>
                <w:rFonts w:hint="eastAsia" w:ascii="宋体" w:hAnsi="宋体" w:cs="宋体"/>
                <w:b/>
                <w:color w:val="auto"/>
                <w:szCs w:val="21"/>
                <w:highlight w:val="none"/>
              </w:rPr>
              <w:t xml:space="preserve">偏离情况</w:t>
            </w:r>
            <w:r/>
          </w:p>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（正偏离、无偏离或负偏离）</w:t>
            </w:r>
            <w:bookmarkEnd w:id="693"/>
            <w:r/>
            <w:r/>
          </w:p>
        </w:tc>
      </w:tr>
      <w:tr>
        <w:trPr>
          <w:jc w:val="center"/>
          <w:trHeight w:val="634"/>
        </w:trPr>
        <w:tc>
          <w:tcPr>
            <w:tcMar>
              <w:left w:w="10" w:type="dxa"/>
              <w:top w:w="0" w:type="dxa"/>
              <w:right w:w="10" w:type="dxa"/>
              <w:bottom w:w="0" w:type="dxa"/>
            </w:tcMar>
            <w:tcW w:w="604"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Mar>
              <w:left w:w="10" w:type="dxa"/>
              <w:top w:w="0" w:type="dxa"/>
              <w:right w:w="10" w:type="dxa"/>
              <w:bottom w:w="0" w:type="dxa"/>
            </w:tcMar>
            <w:tcW w:w="6420" w:type="dxa"/>
            <w:vAlign w:val="center"/>
            <w:textDirection w:val="lrTb"/>
            <w:noWrap w:val="false"/>
          </w:tcPr>
          <w:p>
            <w:pPr>
              <w:ind w:firstLine="422"/>
              <w:keepLines w:val="0"/>
              <w:keepNext w:val="0"/>
              <w:pageBreakBefore w:val="0"/>
              <w:spacing w:beforeAutospacing="0" w:afterAutospacing="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（一）混合型聚氨酯塑胶跑道面层</w:t>
            </w:r>
            <w:r/>
          </w:p>
          <w:p>
            <w:pPr>
              <w:pStyle w:val="1097"/>
              <w:keepLines w:val="0"/>
              <w:keepNext w:val="0"/>
              <w:pageBreakBefore w:val="0"/>
              <w:spacing w:beforeAutospacing="0" w:after="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翻新施工技术要求：</w:t>
            </w:r>
            <w:r/>
          </w:p>
          <w:p>
            <w:pPr>
              <w:pStyle w:val="1097"/>
              <w:keepLines w:val="0"/>
              <w:keepNext w:val="0"/>
              <w:pageBreakBefore w:val="0"/>
              <w:spacing w:beforeAutospacing="0" w:after="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1.1技术要求详见施工图。</w:t>
            </w:r>
            <w:r/>
          </w:p>
          <w:p>
            <w:pPr>
              <w:pStyle w:val="1097"/>
              <w:keepLines w:val="0"/>
              <w:keepNext w:val="0"/>
              <w:pageBreakBefore w:val="0"/>
              <w:spacing w:beforeAutospacing="0" w:after="0" w:afterAutospacing="0" w:line="360" w:lineRule="auto"/>
              <w:rPr>
                <w:rFonts w:ascii="宋体" w:hAnsi="宋体" w:cs="宋体"/>
                <w:color w:val="auto"/>
                <w:sz w:val="24"/>
                <w:szCs w:val="21"/>
                <w:highlight w:val="none"/>
              </w:rPr>
            </w:pPr>
            <w:r>
              <w:rPr>
                <w:rFonts w:hint="eastAsia" w:ascii="宋体" w:hAnsi="宋体" w:cs="宋体"/>
                <w:color w:val="auto"/>
                <w:szCs w:val="21"/>
                <w:highlight w:val="none"/>
              </w:rPr>
              <w:t xml:space="preserve">1.2为确保塑胶跑道面层的质量，保护师生身心健康，跑道塑胶面层不得有明显的臭味、异味，跑道中有害物质限量须符合GB36246-2018标准要求。</w:t>
            </w:r>
            <w:r/>
          </w:p>
          <w:p>
            <w:pPr>
              <w:ind w:firstLine="420"/>
              <w:keepLines w:val="0"/>
              <w:keepNext w:val="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1.3参考品牌：杰锐、江苏长诺、长河、柏胜等同档次品牌</w:t>
            </w:r>
            <w:r>
              <w:rPr>
                <w:rFonts w:hint="eastAsia" w:ascii="宋体" w:hAnsi="宋体" w:cs="宋体"/>
                <w:color w:val="auto"/>
                <w:szCs w:val="21"/>
                <w:highlight w:val="none"/>
                <w:lang w:eastAsia="zh-CN"/>
              </w:rPr>
              <w:t xml:space="preserve">。</w:t>
            </w:r>
            <w:r/>
          </w:p>
          <w:p>
            <w:pPr>
              <w:ind w:firstLine="420"/>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材料说明及技术要求：</w:t>
            </w:r>
            <w:r/>
          </w:p>
          <w:p>
            <w:pPr>
              <w:ind w:firstLine="422"/>
              <w:keepLines w:val="0"/>
              <w:keepNext w:val="0"/>
              <w:pageBreakBefore w:val="0"/>
              <w:spacing w:beforeAutospacing="0" w:afterAutospacing="0" w:line="360" w:lineRule="auto"/>
              <w:rPr>
                <w:rFonts w:ascii="宋体" w:hAnsi="宋体" w:cs="宋体"/>
                <w:b/>
                <w:bCs/>
                <w:color w:val="auto"/>
                <w:sz w:val="24"/>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2.1</w:t>
            </w:r>
            <w:r>
              <w:rPr>
                <w:rFonts w:hint="eastAsia" w:ascii="宋体" w:hAnsi="宋体" w:cs="宋体"/>
                <w:b/>
                <w:bCs/>
                <w:color w:val="auto"/>
                <w:szCs w:val="21"/>
                <w:highlight w:val="none"/>
              </w:rPr>
              <w:t xml:space="preserve">塑胶跑道面层（非渗水型）物理性能符合 GB36246-2018《中小学合成材料面层运动场地》的要求</w:t>
            </w:r>
            <w:r>
              <w:rPr>
                <w:rFonts w:hint="eastAsia" w:eastAsia="宋体"/>
                <w:b/>
                <w:bCs/>
                <w:color w:val="auto"/>
                <w:highlight w:val="none"/>
                <w:lang w:eastAsia="zh-CN"/>
              </w:rPr>
              <w:t xml:space="preserve">（</w:t>
            </w:r>
            <w:r>
              <w:rPr>
                <w:rFonts w:hint="eastAsia" w:ascii="Times New Roman" w:eastAsia="宋体"/>
                <w:b/>
                <w:bCs/>
                <w:color w:val="auto"/>
                <w:highlight w:val="none"/>
                <w:lang w:val="en-US" w:eastAsia="zh-CN"/>
              </w:rPr>
              <w:t xml:space="preserve">投标人须在投标文件提供符合要求的检测报告，未提供将作为无效投标</w:t>
            </w:r>
            <w:r>
              <w:rPr>
                <w:rFonts w:hint="eastAsia" w:eastAsia="宋体"/>
                <w:b/>
                <w:bCs/>
                <w:color w:val="auto"/>
                <w:highlight w:val="none"/>
                <w:lang w:eastAsia="zh-CN"/>
              </w:rPr>
              <w:t xml:space="preserve">）</w:t>
            </w:r>
            <w:r>
              <w:rPr>
                <w:rFonts w:hint="eastAsia" w:ascii="宋体" w:hAnsi="宋体" w:cs="宋体"/>
                <w:b/>
                <w:bCs/>
                <w:color w:val="auto"/>
                <w:szCs w:val="21"/>
                <w:highlight w:val="none"/>
              </w:rPr>
              <w:t xml:space="preserve">：</w:t>
            </w:r>
            <w:r/>
          </w:p>
          <w:tbl>
            <w:tblPr>
              <w:tblStyle w:val="1096"/>
              <w:tblW w:w="5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8"/>
              <w:gridCol w:w="2827"/>
              <w:gridCol w:w="1934"/>
            </w:tblGrid>
            <w:tr>
              <w:trPr>
                <w:jc w:val="center"/>
                <w:trHeight w:val="550"/>
              </w:trPr>
              <w:tc>
                <w:tcPr>
                  <w:gridSpan w:val="2"/>
                  <w:tcW w:w="3865" w:type="dxa"/>
                  <w:vAlign w:val="center"/>
                  <w:textDirection w:val="lrTb"/>
                  <w:noWrap w:val="false"/>
                </w:tcPr>
                <w:p>
                  <w:pPr>
                    <w:ind w:left="0" w:right="0"/>
                    <w:jc w:val="center"/>
                    <w:keepLines w:val="0"/>
                    <w:keepNext w:val="0"/>
                    <w:pageBreakBefore w:val="0"/>
                    <w:spacing w:beforeAutospacing="0" w:afterAutospacing="0" w:line="360" w:lineRule="auto"/>
                    <w:widowControl w:val="off"/>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检测项目</w:t>
                  </w:r>
                  <w:r/>
                </w:p>
              </w:tc>
              <w:tc>
                <w:tcPr>
                  <w:tcW w:w="1934" w:type="dxa"/>
                  <w:vAlign w:val="center"/>
                  <w:textDirection w:val="lrTb"/>
                  <w:noWrap w:val="false"/>
                </w:tcPr>
                <w:p>
                  <w:pPr>
                    <w:ind w:left="0" w:right="0"/>
                    <w:jc w:val="center"/>
                    <w:keepLines w:val="0"/>
                    <w:keepNext w:val="0"/>
                    <w:pageBreakBefore w:val="0"/>
                    <w:spacing w:beforeAutospacing="0" w:afterAutospacing="0" w:line="360" w:lineRule="auto"/>
                    <w:widowControl w:val="off"/>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技术要求</w:t>
                  </w:r>
                  <w:r/>
                </w:p>
              </w:tc>
            </w:tr>
            <w:tr>
              <w:trPr>
                <w:jc w:val="center"/>
                <w:trHeight w:val="550"/>
              </w:trPr>
              <w:tc>
                <w:tcPr>
                  <w:tcW w:w="1038" w:type="dxa"/>
                  <w:vAlign w:val="center"/>
                  <w:textDirection w:val="lrTb"/>
                  <w:noWrap w:val="false"/>
                </w:tcPr>
                <w:p>
                  <w:pPr>
                    <w:ind w:left="107"/>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厚度</w:t>
                  </w:r>
                  <w:r/>
                </w:p>
              </w:tc>
              <w:tc>
                <w:tcPr>
                  <w:tcW w:w="2827"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田径场地</w:t>
                  </w:r>
                  <w:r/>
                </w:p>
              </w:tc>
              <w:tc>
                <w:tcPr>
                  <w:tcW w:w="1934"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≥13mm</w:t>
                  </w:r>
                  <w:r/>
                </w:p>
              </w:tc>
            </w:tr>
            <w:tr>
              <w:trPr>
                <w:jc w:val="center"/>
                <w:trHeight w:val="552"/>
              </w:trPr>
              <w:tc>
                <w:tcPr>
                  <w:tcW w:w="1038" w:type="dxa"/>
                  <w:vAlign w:val="center"/>
                  <w:vMerge w:val="restart"/>
                  <w:textDirection w:val="lrTb"/>
                  <w:noWrap w:val="false"/>
                </w:tcPr>
                <w:p>
                  <w:pPr>
                    <w:ind w:right="94"/>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现浇型物理机械性能</w:t>
                  </w:r>
                  <w:r/>
                </w:p>
              </w:tc>
              <w:tc>
                <w:tcPr>
                  <w:tcW w:w="2827"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冲击吸收/（%）：田径场地</w:t>
                  </w:r>
                  <w:r/>
                </w:p>
              </w:tc>
              <w:tc>
                <w:tcPr>
                  <w:tcW w:w="1934"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35～50</w:t>
                  </w:r>
                  <w:r/>
                </w:p>
              </w:tc>
            </w:tr>
            <w:tr>
              <w:trPr>
                <w:jc w:val="center"/>
                <w:trHeight w:val="550"/>
              </w:trPr>
              <w:tc>
                <w:tcPr>
                  <w:tcBorders>
                    <w:top w:val="none" w:color="000000" w:sz="4" w:space="0"/>
                  </w:tcBorders>
                  <w:tcW w:w="1038"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2827"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抗滑值/（BPN，20℃）：田径场地</w:t>
                  </w:r>
                  <w:r/>
                </w:p>
              </w:tc>
              <w:tc>
                <w:tcPr>
                  <w:tcW w:w="1934"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≥47（湿测）</w:t>
                  </w:r>
                  <w:r/>
                </w:p>
              </w:tc>
            </w:tr>
            <w:tr>
              <w:trPr>
                <w:jc w:val="center"/>
                <w:trHeight w:val="552"/>
              </w:trPr>
              <w:tc>
                <w:tcPr>
                  <w:tcBorders>
                    <w:top w:val="none" w:color="000000" w:sz="4" w:space="0"/>
                  </w:tcBorders>
                  <w:tcW w:w="1038"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2827"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拉伸强度/（MPa）：非渗水型</w:t>
                  </w:r>
                  <w:r/>
                </w:p>
              </w:tc>
              <w:tc>
                <w:tcPr>
                  <w:tcW w:w="1934"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w:t>
                  </w:r>
                  <w:r>
                    <w:rPr>
                      <w:rFonts w:hint="eastAsia" w:ascii="宋体" w:hAnsi="宋体" w:cs="宋体"/>
                      <w:color w:val="auto"/>
                      <w:highlight w:val="none"/>
                    </w:rPr>
                    <w:t xml:space="preserve">5</w:t>
                  </w:r>
                  <w:r/>
                </w:p>
              </w:tc>
            </w:tr>
            <w:tr>
              <w:trPr>
                <w:jc w:val="center"/>
                <w:trHeight w:val="550"/>
              </w:trPr>
              <w:tc>
                <w:tcPr>
                  <w:tcBorders>
                    <w:top w:val="none" w:color="000000" w:sz="4" w:space="0"/>
                  </w:tcBorders>
                  <w:tcW w:w="1038"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2827"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垂直变形/(mm)</w:t>
                  </w:r>
                  <w:r/>
                </w:p>
              </w:tc>
              <w:tc>
                <w:tcPr>
                  <w:tcW w:w="1934"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0.6～3.0</w:t>
                  </w:r>
                  <w:r/>
                </w:p>
              </w:tc>
            </w:tr>
            <w:tr>
              <w:trPr>
                <w:jc w:val="center"/>
                <w:trHeight w:val="552"/>
              </w:trPr>
              <w:tc>
                <w:tcPr>
                  <w:tcBorders>
                    <w:top w:val="none" w:color="000000" w:sz="4" w:space="0"/>
                  </w:tcBorders>
                  <w:tcW w:w="1038"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2827"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拉断伸长率/（%）</w:t>
                  </w:r>
                  <w:r/>
                </w:p>
              </w:tc>
              <w:tc>
                <w:tcPr>
                  <w:tcW w:w="1934"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≥40</w:t>
                  </w:r>
                  <w:r/>
                </w:p>
              </w:tc>
            </w:tr>
            <w:tr>
              <w:trPr>
                <w:jc w:val="center"/>
                <w:trHeight w:val="560"/>
              </w:trPr>
              <w:tc>
                <w:tcPr>
                  <w:tcBorders>
                    <w:top w:val="none" w:color="000000" w:sz="4" w:space="0"/>
                  </w:tcBorders>
                  <w:tcW w:w="1038"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2827"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阻燃性能/（级）</w:t>
                  </w:r>
                  <w:r/>
                </w:p>
              </w:tc>
              <w:tc>
                <w:tcPr>
                  <w:tcW w:w="1934" w:type="dxa"/>
                  <w:vAlign w:val="center"/>
                  <w:textDirection w:val="lrTb"/>
                  <w:noWrap w:val="false"/>
                </w:tcPr>
                <w:p>
                  <w:pPr>
                    <w:ind w:left="108"/>
                    <w:jc w:val="center"/>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Ⅰ</w:t>
                  </w:r>
                  <w:r/>
                </w:p>
              </w:tc>
            </w:tr>
          </w:tbl>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★2.2塑胶跑道（非渗水型）面层符合 GB36246-2018《中小学合成材料面层运动场地》成品中有害物质限量要求</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投标人须在投标文件提供符合要求的检测报告，未提供将作为无效投标</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tbl>
            <w:tblPr>
              <w:tblStyle w:val="1096"/>
              <w:tblW w:w="5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7"/>
              <w:gridCol w:w="4071"/>
              <w:gridCol w:w="801"/>
            </w:tblGrid>
            <w:tr>
              <w:trPr>
                <w:jc w:val="center"/>
                <w:trHeight w:val="876"/>
              </w:trPr>
              <w:tc>
                <w:tcPr>
                  <w:gridSpan w:val="2"/>
                  <w:tcW w:w="4738" w:type="dxa"/>
                  <w:vAlign w:val="center"/>
                  <w:textDirection w:val="lrTb"/>
                  <w:noWrap w:val="false"/>
                </w:tcPr>
                <w:p>
                  <w:pPr>
                    <w:ind w:left="0" w:right="0"/>
                    <w:jc w:val="center"/>
                    <w:keepLines w:val="0"/>
                    <w:keepNext w:val="0"/>
                    <w:pageBreakBefore w:val="0"/>
                    <w:spacing w:beforeAutospacing="0" w:afterAutospacing="0" w:line="360" w:lineRule="auto"/>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检测项目</w:t>
                  </w:r>
                  <w:r/>
                </w:p>
              </w:tc>
              <w:tc>
                <w:tcPr>
                  <w:tcW w:w="801" w:type="dxa"/>
                  <w:vAlign w:val="center"/>
                  <w:textDirection w:val="lrTb"/>
                  <w:noWrap w:val="false"/>
                </w:tcPr>
                <w:p>
                  <w:pPr>
                    <w:ind w:left="0"/>
                    <w:jc w:val="center"/>
                    <w:keepLines w:val="0"/>
                    <w:keepNext w:val="0"/>
                    <w:pageBreakBefore w:val="0"/>
                    <w:spacing w:beforeAutospacing="0" w:afterAutospacing="0" w:line="360" w:lineRule="auto"/>
                    <w:rPr>
                      <w:rFonts w:ascii="宋体" w:hAnsi="宋体" w:cs="宋体"/>
                      <w:b/>
                      <w:bCs/>
                      <w:color w:val="auto"/>
                      <w:sz w:val="22"/>
                      <w:highlight w:val="none"/>
                      <w:lang w:eastAsia="en-US"/>
                    </w:rPr>
                  </w:pPr>
                  <w:r>
                    <w:rPr>
                      <w:rFonts w:hint="eastAsia" w:ascii="宋体" w:hAnsi="宋体" w:cs="宋体"/>
                      <w:b/>
                      <w:bCs/>
                      <w:color w:val="auto"/>
                      <w:highlight w:val="none"/>
                      <w:lang w:eastAsia="en-US"/>
                    </w:rPr>
                    <w:t xml:space="preserve">技术要求</w:t>
                  </w:r>
                  <w:r/>
                </w:p>
              </w:tc>
            </w:tr>
            <w:tr>
              <w:trPr>
                <w:jc w:val="center"/>
                <w:trHeight w:val="876"/>
              </w:trPr>
              <w:tc>
                <w:tcPr>
                  <w:tcW w:w="667" w:type="dxa"/>
                  <w:vMerge w:val="restart"/>
                  <w:textDirection w:val="lrTb"/>
                  <w:noWrap w:val="false"/>
                </w:tcPr>
                <w:p>
                  <w:pPr>
                    <w:ind w:righ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有害物质含量</w:t>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3 种邻苯二甲酸酯类化合物（DBP、BBP、DEHP）总和 </w:t>
                  </w:r>
                  <w:r>
                    <w:rPr>
                      <w:rFonts w:hint="eastAsia" w:ascii="宋体" w:hAnsi="宋体" w:cs="宋体"/>
                      <w:color w:val="auto"/>
                      <w:position w:val="11"/>
                      <w:sz w:val="11"/>
                      <w:highlight w:val="none"/>
                      <w:lang w:eastAsia="en-US"/>
                    </w:rPr>
                    <w:t xml:space="preserve">a</w:t>
                  </w:r>
                  <w:r>
                    <w:rPr>
                      <w:rFonts w:hint="eastAsia" w:ascii="宋体" w:hAnsi="宋体" w:cs="宋体"/>
                      <w:color w:val="auto"/>
                      <w:highlight w:val="none"/>
                      <w:lang w:eastAsia="en-US"/>
                    </w:rPr>
                    <w:t xml:space="preserve">/（g/kg）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876"/>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3 种邻苯二甲酸酯类化合物（DNOP、DINP、DIDP）总和 </w:t>
                  </w:r>
                  <w:r>
                    <w:rPr>
                      <w:rFonts w:hint="eastAsia" w:ascii="宋体" w:hAnsi="宋体" w:cs="宋体"/>
                      <w:color w:val="auto"/>
                      <w:position w:val="11"/>
                      <w:sz w:val="11"/>
                      <w:highlight w:val="none"/>
                      <w:lang w:eastAsia="en-US"/>
                    </w:rPr>
                    <w:t xml:space="preserve">a</w:t>
                  </w:r>
                  <w:r>
                    <w:rPr>
                      <w:rFonts w:hint="eastAsia" w:ascii="宋体" w:hAnsi="宋体" w:cs="宋体"/>
                      <w:color w:val="auto"/>
                      <w:highlight w:val="none"/>
                      <w:lang w:eastAsia="en-US"/>
                    </w:rPr>
                    <w:t xml:space="preserve">/（g/kg）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40"/>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18 种多环芳烃总和 /（mg/kg）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w:t>
                  </w:r>
                  <w:r>
                    <w:rPr>
                      <w:rFonts w:hint="eastAsia" w:ascii="宋体" w:hAnsi="宋体" w:cs="宋体"/>
                      <w:color w:val="auto"/>
                      <w:highlight w:val="none"/>
                    </w:rPr>
                    <w:t xml:space="preserve">20</w:t>
                  </w:r>
                  <w:r/>
                </w:p>
              </w:tc>
            </w:tr>
            <w:tr>
              <w:trPr>
                <w:jc w:val="center"/>
                <w:trHeight w:val="535"/>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Borders>
                    <w:bottom w:val="single" w:color="000000" w:sz="6" w:space="0"/>
                  </w:tcBorders>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苯并[a]芘/（mg/kg）</w:t>
                  </w:r>
                  <w:r/>
                </w:p>
              </w:tc>
              <w:tc>
                <w:tcPr>
                  <w:tcBorders>
                    <w:bottom w:val="single" w:color="000000" w:sz="6" w:space="0"/>
                  </w:tcBorders>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47"/>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Borders>
                    <w:top w:val="single" w:color="000000" w:sz="6" w:space="0"/>
                  </w:tcBorders>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position w:val="1"/>
                      <w:highlight w:val="none"/>
                      <w:lang w:eastAsia="en-US"/>
                    </w:rPr>
                    <w:t xml:space="preserve">短链氯化石腊（C</w:t>
                  </w:r>
                  <w:r>
                    <w:rPr>
                      <w:rFonts w:hint="eastAsia" w:ascii="宋体" w:hAnsi="宋体" w:cs="宋体"/>
                      <w:color w:val="auto"/>
                      <w:sz w:val="11"/>
                      <w:highlight w:val="none"/>
                      <w:lang w:eastAsia="en-US"/>
                    </w:rPr>
                    <w:t xml:space="preserve">10</w:t>
                  </w:r>
                  <w:r>
                    <w:rPr>
                      <w:rFonts w:hint="eastAsia" w:ascii="宋体" w:hAnsi="宋体" w:cs="宋体"/>
                      <w:color w:val="auto"/>
                      <w:position w:val="1"/>
                      <w:highlight w:val="none"/>
                      <w:lang w:eastAsia="en-US"/>
                    </w:rPr>
                    <w:t xml:space="preserve">-C</w:t>
                  </w:r>
                  <w:r>
                    <w:rPr>
                      <w:rFonts w:hint="eastAsia" w:ascii="宋体" w:hAnsi="宋体" w:cs="宋体"/>
                      <w:color w:val="auto"/>
                      <w:sz w:val="11"/>
                      <w:highlight w:val="none"/>
                      <w:lang w:eastAsia="en-US"/>
                    </w:rPr>
                    <w:t xml:space="preserve">13</w:t>
                  </w:r>
                  <w:r>
                    <w:rPr>
                      <w:rFonts w:hint="eastAsia" w:ascii="宋体" w:hAnsi="宋体" w:cs="宋体"/>
                      <w:color w:val="auto"/>
                      <w:position w:val="1"/>
                      <w:highlight w:val="none"/>
                      <w:lang w:eastAsia="en-US"/>
                    </w:rPr>
                    <w:t xml:space="preserve">）/（g/kg）</w:t>
                  </w:r>
                  <w:r/>
                </w:p>
              </w:tc>
              <w:tc>
                <w:tcPr>
                  <w:tcBorders>
                    <w:top w:val="single" w:color="000000" w:sz="6" w:space="0"/>
                  </w:tcBorders>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≤1.5</w:t>
                  </w:r>
                  <w:r/>
                </w:p>
              </w:tc>
            </w:tr>
            <w:tr>
              <w:trPr>
                <w:jc w:val="center"/>
                <w:trHeight w:val="876"/>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eastAsia="en-US"/>
                    </w:rPr>
                    <w:t xml:space="preserve">4</w:t>
                  </w:r>
                  <w:r>
                    <w:rPr>
                      <w:rFonts w:hint="eastAsia" w:ascii="宋体" w:hAnsi="宋体" w:cs="宋体"/>
                      <w:color w:val="auto"/>
                      <w:position w:val="11"/>
                      <w:sz w:val="11"/>
                      <w:highlight w:val="none"/>
                      <w:lang w:eastAsia="zh-CN"/>
                    </w:rPr>
                    <w:t xml:space="preserve">，</w:t>
                  </w:r>
                  <w:r>
                    <w:rPr>
                      <w:rFonts w:hint="eastAsia" w:ascii="宋体" w:hAnsi="宋体" w:cs="宋体"/>
                      <w:color w:val="auto"/>
                      <w:highlight w:val="none"/>
                      <w:lang w:eastAsia="en-US"/>
                    </w:rPr>
                    <w:t xml:space="preserve">-二氨基-3</w:t>
                  </w:r>
                  <w:r>
                    <w:rPr>
                      <w:rFonts w:hint="eastAsia" w:ascii="宋体" w:hAnsi="宋体" w:cs="宋体"/>
                      <w:color w:val="auto"/>
                      <w:highlight w:val="none"/>
                      <w:lang w:eastAsia="zh-CN"/>
                    </w:rPr>
                    <w:t xml:space="preserve">，</w:t>
                  </w:r>
                  <w:r>
                    <w:rPr>
                      <w:rFonts w:hint="eastAsia" w:ascii="宋体" w:hAnsi="宋体" w:cs="宋体"/>
                      <w:color w:val="auto"/>
                      <w:highlight w:val="none"/>
                      <w:lang w:eastAsia="en-US"/>
                    </w:rPr>
                    <w:t xml:space="preserve">3</w:t>
                  </w:r>
                  <w:r>
                    <w:rPr>
                      <w:rFonts w:hint="eastAsia" w:ascii="宋体" w:hAnsi="宋体" w:cs="宋体"/>
                      <w:color w:val="auto"/>
                      <w:position w:val="11"/>
                      <w:sz w:val="11"/>
                      <w:highlight w:val="none"/>
                      <w:lang w:eastAsia="zh-CN"/>
                    </w:rPr>
                    <w:t xml:space="preserve">，</w:t>
                  </w:r>
                  <w:r>
                    <w:rPr>
                      <w:rFonts w:hint="eastAsia" w:ascii="宋体" w:hAnsi="宋体" w:cs="宋体"/>
                      <w:color w:val="auto"/>
                      <w:highlight w:val="none"/>
                      <w:lang w:eastAsia="en-US"/>
                    </w:rPr>
                    <w:t xml:space="preserve">-二氯二苯甲烷（MOCA）/（g/kg）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1309"/>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游离甲苯二异氰酸酯（TDI）和游离六亚甲基二异氰酸酯（HDI）总和</w:t>
                  </w:r>
                  <w:r/>
                </w:p>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≤0.2</w:t>
                  </w:r>
                  <w:r/>
                </w:p>
              </w:tc>
            </w:tr>
            <w:tr>
              <w:trPr>
                <w:jc w:val="center"/>
                <w:trHeight w:val="876"/>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游离二苯基甲烷二异氰酸酯（MDI）/（g/kg）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38"/>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可溶性铅/（mg/kg）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≤50</w:t>
                  </w:r>
                  <w:r/>
                </w:p>
              </w:tc>
            </w:tr>
            <w:tr>
              <w:trPr>
                <w:jc w:val="center"/>
                <w:trHeight w:val="540"/>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可溶性镉/（mg/kg）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38"/>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可溶性铬/（mg/kg）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≤10</w:t>
                  </w:r>
                  <w:r/>
                </w:p>
              </w:tc>
            </w:tr>
            <w:tr>
              <w:trPr>
                <w:jc w:val="center"/>
                <w:trHeight w:val="540"/>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可溶性汞/（mg/kg）</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≤2</w:t>
                  </w:r>
                  <w:r/>
                </w:p>
              </w:tc>
            </w:tr>
            <w:tr>
              <w:trPr>
                <w:jc w:val="center"/>
                <w:trHeight w:val="540"/>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highlight w:val="none"/>
                      <w:lang w:eastAsia="en-US"/>
                    </w:rPr>
                  </w:pPr>
                  <w:r>
                    <w:rPr>
                      <w:rFonts w:hint="eastAsia" w:ascii="宋体" w:hAnsi="宋体" w:cs="宋体"/>
                      <w:color w:val="auto"/>
                      <w:highlight w:val="none"/>
                    </w:rPr>
                    <w:t xml:space="preserve">气味等级b/级</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highlight w:val="none"/>
                      <w:lang w:eastAsia="en-US"/>
                    </w:rPr>
                  </w:pPr>
                  <w:r>
                    <w:rPr>
                      <w:rFonts w:hint="eastAsia" w:ascii="宋体" w:hAnsi="宋体" w:cs="宋体"/>
                      <w:color w:val="auto"/>
                      <w:highlight w:val="none"/>
                    </w:rPr>
                    <w:t xml:space="preserve">≤</w:t>
                  </w:r>
                  <w:r>
                    <w:rPr>
                      <w:rFonts w:hint="eastAsia" w:ascii="宋体" w:hAnsi="宋体" w:cs="宋体"/>
                      <w:color w:val="auto"/>
                      <w:highlight w:val="none"/>
                      <w:lang w:eastAsia="en-US"/>
                    </w:rPr>
                    <w:t xml:space="preserve">3</w:t>
                  </w:r>
                  <w:r/>
                </w:p>
              </w:tc>
            </w:tr>
            <w:tr>
              <w:trPr>
                <w:jc w:val="center"/>
                <w:trHeight w:val="537"/>
              </w:trPr>
              <w:tc>
                <w:tcPr>
                  <w:tcW w:w="667" w:type="dxa"/>
                  <w:vMerge w:val="restart"/>
                  <w:textDirection w:val="lrTb"/>
                  <w:noWrap w:val="false"/>
                </w:tcPr>
                <w:p>
                  <w:pPr>
                    <w:ind w:righ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有害物质释放量</w:t>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总挥发性有机化合物（TV0C）/（mg/(m</w:t>
                  </w:r>
                  <w:r>
                    <w:rPr>
                      <w:rFonts w:hint="eastAsia" w:ascii="宋体" w:hAnsi="宋体" w:cs="宋体"/>
                      <w:color w:val="auto"/>
                      <w:position w:val="11"/>
                      <w:sz w:val="11"/>
                      <w:highlight w:val="none"/>
                    </w:rPr>
                    <w:t xml:space="preserve">2</w:t>
                  </w:r>
                  <w:r>
                    <w:rPr>
                      <w:rFonts w:hint="eastAsia" w:ascii="宋体" w:hAnsi="宋体" w:cs="宋体"/>
                      <w:color w:val="auto"/>
                      <w:highlight w:val="none"/>
                    </w:rPr>
                    <w:t xml:space="preserve">·h）)</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≤5.0</w:t>
                  </w:r>
                  <w:r/>
                </w:p>
              </w:tc>
            </w:tr>
            <w:tr>
              <w:trPr>
                <w:jc w:val="center"/>
                <w:trHeight w:val="538"/>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甲醛/（mg/(m</w:t>
                  </w:r>
                  <w:r>
                    <w:rPr>
                      <w:rFonts w:hint="eastAsia" w:ascii="宋体" w:hAnsi="宋体" w:cs="宋体"/>
                      <w:color w:val="auto"/>
                      <w:position w:val="11"/>
                      <w:sz w:val="11"/>
                      <w:highlight w:val="none"/>
                      <w:lang w:eastAsia="en-US"/>
                    </w:rPr>
                    <w:t xml:space="preserve">2</w:t>
                  </w:r>
                  <w:r>
                    <w:rPr>
                      <w:rFonts w:hint="eastAsia" w:ascii="宋体" w:hAnsi="宋体" w:cs="宋体"/>
                      <w:color w:val="auto"/>
                      <w:highlight w:val="none"/>
                      <w:lang w:eastAsia="en-US"/>
                    </w:rPr>
                    <w:t xml:space="preserve">·h）)</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≤0.4</w:t>
                  </w:r>
                  <w:r/>
                </w:p>
              </w:tc>
            </w:tr>
            <w:tr>
              <w:trPr>
                <w:jc w:val="center"/>
                <w:trHeight w:val="540"/>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苯/（mg/(m</w:t>
                  </w:r>
                  <w:r>
                    <w:rPr>
                      <w:rFonts w:hint="eastAsia" w:ascii="宋体" w:hAnsi="宋体" w:cs="宋体"/>
                      <w:color w:val="auto"/>
                      <w:position w:val="11"/>
                      <w:sz w:val="11"/>
                      <w:highlight w:val="none"/>
                      <w:lang w:eastAsia="en-US"/>
                    </w:rPr>
                    <w:t xml:space="preserve">2</w:t>
                  </w:r>
                  <w:r>
                    <w:rPr>
                      <w:rFonts w:hint="eastAsia" w:ascii="宋体" w:hAnsi="宋体" w:cs="宋体"/>
                      <w:color w:val="auto"/>
                      <w:highlight w:val="none"/>
                      <w:lang w:eastAsia="en-US"/>
                    </w:rPr>
                    <w:t xml:space="preserve">·h）)</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lang w:eastAsia="en-US"/>
                    </w:rPr>
                    <w:t xml:space="preserve">≤</w:t>
                  </w:r>
                  <w:r>
                    <w:rPr>
                      <w:rFonts w:hint="eastAsia" w:ascii="宋体" w:hAnsi="宋体" w:cs="宋体"/>
                      <w:color w:val="auto"/>
                      <w:highlight w:val="none"/>
                    </w:rPr>
                    <w:t xml:space="preserve">0.1</w:t>
                  </w:r>
                  <w:r/>
                </w:p>
              </w:tc>
            </w:tr>
            <w:tr>
              <w:trPr>
                <w:jc w:val="center"/>
                <w:trHeight w:val="558"/>
              </w:trPr>
              <w:tc>
                <w:tcPr>
                  <w:tcW w:w="667" w:type="dxa"/>
                  <w:vMerge w:val="continue"/>
                  <w:textDirection w:val="lrTb"/>
                  <w:noWrap w:val="false"/>
                </w:tcPr>
                <w:p>
                  <w:pPr>
                    <w:keepLines w:val="0"/>
                    <w:keepNext w:val="0"/>
                    <w:pageBreakBefore w:val="0"/>
                    <w:spacing w:beforeAutospacing="0" w:afterAutospacing="0" w:line="360" w:lineRule="auto"/>
                    <w:rPr>
                      <w:rFonts w:ascii="宋体" w:hAnsi="宋体" w:cs="宋体"/>
                      <w:color w:val="auto"/>
                      <w:sz w:val="2"/>
                      <w:szCs w:val="2"/>
                      <w:highlight w:val="none"/>
                    </w:rPr>
                  </w:pPr>
                  <w:r>
                    <w:rPr>
                      <w:rFonts w:ascii="宋体" w:hAnsi="宋体" w:cs="宋体"/>
                      <w:color w:val="auto"/>
                      <w:sz w:val="2"/>
                      <w:szCs w:val="2"/>
                      <w:highlight w:val="none"/>
                    </w:rPr>
                  </w:r>
                  <w:r/>
                </w:p>
              </w:tc>
              <w:tc>
                <w:tcPr>
                  <w:tcW w:w="407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rPr>
                  </w:pPr>
                  <w:r>
                    <w:rPr>
                      <w:rFonts w:hint="eastAsia" w:ascii="宋体" w:hAnsi="宋体" w:cs="宋体"/>
                      <w:color w:val="auto"/>
                      <w:highlight w:val="none"/>
                    </w:rPr>
                    <w:t xml:space="preserve">甲苯、二甲苯和乙苯总和（mg/(m</w:t>
                  </w:r>
                  <w:r>
                    <w:rPr>
                      <w:rFonts w:hint="eastAsia" w:ascii="宋体" w:hAnsi="宋体" w:cs="宋体"/>
                      <w:color w:val="auto"/>
                      <w:position w:val="11"/>
                      <w:sz w:val="11"/>
                      <w:highlight w:val="none"/>
                    </w:rPr>
                    <w:t xml:space="preserve">2</w:t>
                  </w:r>
                  <w:r>
                    <w:rPr>
                      <w:rFonts w:hint="eastAsia" w:ascii="宋体" w:hAnsi="宋体" w:cs="宋体"/>
                      <w:color w:val="auto"/>
                      <w:highlight w:val="none"/>
                    </w:rPr>
                    <w:t xml:space="preserve">·h）)</w:t>
                  </w:r>
                  <w:r/>
                </w:p>
              </w:tc>
              <w:tc>
                <w:tcPr>
                  <w:tcW w:w="801" w:type="dxa"/>
                  <w:textDirection w:val="lrTb"/>
                  <w:noWrap w:val="false"/>
                </w:tcPr>
                <w:p>
                  <w:pPr>
                    <w:ind w:left="0"/>
                    <w:jc w:val="left"/>
                    <w:keepLines w:val="0"/>
                    <w:keepNext w:val="0"/>
                    <w:pageBreakBefore w:val="0"/>
                    <w:spacing w:beforeAutospacing="0" w:afterAutospacing="0" w:line="360" w:lineRule="auto"/>
                    <w:rPr>
                      <w:rFonts w:ascii="宋体" w:hAnsi="宋体" w:cs="宋体"/>
                      <w:color w:val="auto"/>
                      <w:sz w:val="22"/>
                      <w:highlight w:val="none"/>
                      <w:lang w:eastAsia="en-US"/>
                    </w:rPr>
                  </w:pPr>
                  <w:r>
                    <w:rPr>
                      <w:rFonts w:hint="eastAsia" w:ascii="宋体" w:hAnsi="宋体" w:cs="宋体"/>
                      <w:color w:val="auto"/>
                      <w:highlight w:val="none"/>
                    </w:rPr>
                    <w:t xml:space="preserve">≤1.0</w:t>
                  </w:r>
                  <w:r/>
                </w:p>
              </w:tc>
            </w:tr>
          </w:tbl>
          <w:p>
            <w:pPr>
              <w:ind w:firstLine="422"/>
              <w:keepLines w:val="0"/>
              <w:keepNext w:val="0"/>
              <w:pageBreakBefore w:val="0"/>
              <w:spacing w:beforeAutospacing="0" w:afterAutospacing="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（二）人造草坪面层材料</w:t>
            </w:r>
            <w:r/>
          </w:p>
          <w:p>
            <w:pPr>
              <w:ind w:firstLine="420"/>
              <w:keepLines w:val="0"/>
              <w:keepNext w:val="0"/>
              <w:pageBreakBefore w:val="0"/>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参考品牌：CCG共创、青禾、泰山人造草坪等同档次品牌。</w:t>
            </w:r>
            <w:r/>
          </w:p>
          <w:p>
            <w:pPr>
              <w:ind w:firstLine="420"/>
              <w:keepLines w:val="0"/>
              <w:keepNext w:val="0"/>
              <w:pageBreakBefore w:val="0"/>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材料说明及技术要求： </w:t>
            </w:r>
            <w:r/>
          </w:p>
          <w:p>
            <w:pPr>
              <w:ind w:firstLine="422"/>
              <w:jc w:val="left"/>
              <w:spacing w:before="0" w:beforeAutospacing="0" w:after="0" w:afterAutospacing="0" w:line="360" w:lineRule="auto"/>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★2.1人造草坪化学性能应满足GB36246-2018《中小学合成材料面层运动场地》下表内容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投标人须在投标文件提供符合要求的检测报告，未提供将作为无效投标</w:t>
            </w:r>
            <w:r>
              <w:rPr>
                <w:rFonts w:hint="eastAsia" w:ascii="宋体" w:hAnsi="宋体" w:cs="宋体"/>
                <w:b/>
                <w:bCs/>
                <w:color w:val="auto"/>
                <w:szCs w:val="21"/>
                <w:highlight w:val="none"/>
                <w:lang w:eastAsia="zh-CN"/>
              </w:rPr>
              <w:t xml:space="preserve">）：</w:t>
            </w:r>
            <w:r/>
          </w:p>
          <w:tbl>
            <w:tblPr>
              <w:tblStyle w:val="1096"/>
              <w:tblW w:w="5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1523"/>
              <w:gridCol w:w="1521"/>
              <w:gridCol w:w="1435"/>
            </w:tblGrid>
            <w:tr>
              <w:trPr>
                <w:jc w:val="center"/>
              </w:trPr>
              <w:tc>
                <w:tcPr>
                  <w:gridSpan w:val="2"/>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检验检测项目</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有害物质含量</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3种邻苯二甲酸酯类化合物（DBP、BBP、DEHP）总和</w:t>
                  </w:r>
                  <w:r/>
                </w:p>
              </w:tc>
              <w:tc>
                <w:tcPr>
                  <w:tcBorders>
                    <w:top w:val="single" w:color="000000" w:sz="4" w:space="0"/>
                    <w:left w:val="single" w:color="000000" w:sz="4" w:space="0"/>
                    <w:bottom w:val="single" w:color="000000" w:sz="4" w:space="0"/>
                    <w:right w:val="single" w:color="000000" w:sz="4" w:space="0"/>
                  </w:tcBorders>
                  <w:tcW w:w="1521"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g/kg</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3种邻苯二甲酸酯类化合物（DNOP、DINP、DIDP）总和</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18种多环芳烃总和</w:t>
                  </w:r>
                  <w:r/>
                </w:p>
              </w:tc>
              <w:tc>
                <w:tcPr>
                  <w:tcBorders>
                    <w:top w:val="single" w:color="000000" w:sz="4" w:space="0"/>
                    <w:left w:val="single" w:color="000000" w:sz="4" w:space="0"/>
                    <w:bottom w:val="single" w:color="000000" w:sz="4" w:space="0"/>
                    <w:right w:val="single" w:color="000000" w:sz="4" w:space="0"/>
                  </w:tcBorders>
                  <w:tcW w:w="1521"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mg/kg</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苯并[a]芘</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可溶性铅</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可溶性铬</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可溶性镉</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可溶性汞</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有害物质释放量</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总挥发性有机化合物（TVOC）</w:t>
                  </w:r>
                  <w:r/>
                </w:p>
              </w:tc>
              <w:tc>
                <w:tcPr>
                  <w:tcBorders>
                    <w:top w:val="single" w:color="000000" w:sz="4" w:space="0"/>
                    <w:left w:val="single" w:color="000000" w:sz="4" w:space="0"/>
                    <w:bottom w:val="single" w:color="000000" w:sz="4" w:space="0"/>
                    <w:right w:val="single" w:color="000000" w:sz="4" w:space="0"/>
                  </w:tcBorders>
                  <w:tcW w:w="1521"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mg/（㎡▪h）</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甲醛</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≤0.4</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苯</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≤0.1</w:t>
                  </w:r>
                  <w:r/>
                </w:p>
              </w:tc>
            </w:tr>
            <w:tr>
              <w:trPr>
                <w:jc w:val="center"/>
              </w:trPr>
              <w:tc>
                <w:tcPr>
                  <w:tcBorders>
                    <w:top w:val="single" w:color="000000" w:sz="4" w:space="0"/>
                    <w:left w:val="single" w:color="000000" w:sz="4" w:space="0"/>
                    <w:bottom w:val="single" w:color="000000" w:sz="4" w:space="0"/>
                    <w:right w:val="single" w:color="000000" w:sz="4" w:space="0"/>
                  </w:tcBorders>
                  <w:tcW w:w="1359"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甲苯、二甲苯和乙苯总和</w:t>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bl>
          <w:p>
            <w:pPr>
              <w:ind w:firstLine="422"/>
              <w:jc w:val="left"/>
              <w:spacing w:before="100" w:beforeAutospacing="0" w:after="100" w:afterAutospacing="0"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★2.2人造草坪物理性能应满足GB36246-2018《中小学合成材料面层运动场地》下表内容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投标人须在投标文件提供符合要求的检测报告，未提供将作为无效投标</w:t>
            </w:r>
            <w:r>
              <w:rPr>
                <w:rFonts w:hint="eastAsia" w:ascii="宋体" w:hAnsi="宋体" w:cs="宋体"/>
                <w:b/>
                <w:bCs/>
                <w:color w:val="auto"/>
                <w:szCs w:val="21"/>
                <w:highlight w:val="none"/>
                <w:lang w:eastAsia="zh-CN"/>
              </w:rPr>
              <w:t xml:space="preserve">）：</w:t>
            </w:r>
            <w:r/>
          </w:p>
          <w:tbl>
            <w:tblPr>
              <w:tblStyle w:val="1096"/>
              <w:tblW w:w="6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1588"/>
              <w:gridCol w:w="1588"/>
              <w:gridCol w:w="1473"/>
            </w:tblGrid>
            <w:tr>
              <w:trPr>
                <w:jc w:val="center"/>
                <w:trHeight w:val="474"/>
              </w:trPr>
              <w:tc>
                <w:tcPr>
                  <w:gridSpan w:val="2"/>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检验检测项目</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r>
            <w:tr>
              <w:trPr>
                <w:jc w:val="center"/>
                <w:trHeight w:val="474"/>
              </w:trPr>
              <w:tc>
                <w:tcPr>
                  <w:gridSpan w:val="2"/>
                  <w:tcBorders>
                    <w:top w:val="single" w:color="000000" w:sz="4" w:space="0"/>
                    <w:left w:val="single" w:color="000000" w:sz="4" w:space="0"/>
                    <w:bottom w:val="single" w:color="000000" w:sz="4" w:space="0"/>
                    <w:right w:val="single" w:color="000000" w:sz="4" w:space="0"/>
                  </w:tcBorders>
                  <w:tcW w:w="2997"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冲击吸收，%</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473"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45-70</w:t>
                  </w:r>
                  <w:r/>
                </w:p>
              </w:tc>
            </w:tr>
            <w:tr>
              <w:trPr>
                <w:jc w:val="center"/>
                <w:trHeight w:val="474"/>
              </w:trPr>
              <w:tc>
                <w:tcPr>
                  <w:gridSpan w:val="2"/>
                  <w:tcBorders>
                    <w:top w:val="single" w:color="000000" w:sz="4" w:space="0"/>
                    <w:left w:val="single" w:color="000000" w:sz="4" w:space="0"/>
                    <w:bottom w:val="single" w:color="000000" w:sz="4" w:space="0"/>
                    <w:right w:val="single" w:color="000000" w:sz="4" w:space="0"/>
                  </w:tcBorders>
                  <w:tcW w:w="2997"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74"/>
              </w:trPr>
              <w:tc>
                <w:tcPr>
                  <w:gridSpan w:val="2"/>
                  <w:tcBorders>
                    <w:top w:val="single" w:color="000000" w:sz="4" w:space="0"/>
                    <w:left w:val="single" w:color="000000" w:sz="4" w:space="0"/>
                    <w:bottom w:val="single" w:color="000000" w:sz="4" w:space="0"/>
                    <w:right w:val="single" w:color="000000" w:sz="4" w:space="0"/>
                  </w:tcBorders>
                  <w:tcW w:w="2997"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74"/>
              </w:trPr>
              <w:tc>
                <w:tcPr>
                  <w:gridSpan w:val="2"/>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垂直变形</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mm</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4～11</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草丝拉断力</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单丝</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N</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484"/>
              </w:trPr>
              <w:tc>
                <w:tcPr>
                  <w:gridSpan w:val="2"/>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单簇草丝拔出力</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N</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r>
          </w:tbl>
          <w:p>
            <w:pPr>
              <w:ind w:firstLine="420"/>
              <w:jc w:val="left"/>
              <w:keepLines w:val="0"/>
              <w:keepNext w:val="0"/>
              <w:pageBreakBefore w:val="0"/>
              <w:spacing w:beforeAutospacing="0" w:afterAutospacing="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2.3草</w:t>
            </w:r>
            <w:r>
              <w:rPr>
                <w:rFonts w:hint="eastAsia" w:ascii="宋体" w:hAnsi="宋体" w:cs="宋体"/>
                <w:color w:val="auto"/>
                <w:szCs w:val="21"/>
                <w:highlight w:val="none"/>
                <w:shd w:val="clear" w:color="auto" w:fill="ffffff"/>
              </w:rPr>
              <w:t xml:space="preserve">坪技术参数</w:t>
            </w:r>
            <w:r/>
          </w:p>
          <w:tbl>
            <w:tblPr>
              <w:tblStyle w:val="1096"/>
              <w:tblW w:w="6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977"/>
              <w:gridCol w:w="4182"/>
            </w:tblGrid>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草丝形状及编织工艺</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挤出工艺耐磨PE单丝簇绒编织（不包纱）</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草丝颜色</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双色</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草丝来源</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国产（非进口）</w:t>
                  </w:r>
                  <w:r/>
                </w:p>
              </w:tc>
            </w:tr>
            <w:tr>
              <w:trPr>
                <w:jc w:val="center"/>
                <w:trHeight w:val="54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底布走针方式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簇绒法一形走针</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草高（不含底布高度）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50±1mm。</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磅重</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10000dtex(10根/簇)</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行距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5/8英寸</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织距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16.7针/10cm</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密度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不低于10500针/㎡</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草丝厚度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直单丝255um±10um</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草丝宽度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直单丝1.55mm±0.1mm</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底布材质</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双层</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背胶</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丁苯乳胶（必须是机器通过高温渗透）</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卷宽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4米（卷长：按场地实际需要）</w:t>
                  </w:r>
                  <w:r/>
                </w:p>
              </w:tc>
            </w:tr>
            <w:tr>
              <w:trPr>
                <w:jc w:val="center"/>
                <w:trHeight w:val="515"/>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977"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环保要求</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4182" w:type="dxa"/>
                  <w:vAlign w:val="center"/>
                  <w:textDirection w:val="lrTb"/>
                  <w:noWrap w:val="false"/>
                </w:tcPr>
                <w:p>
                  <w:pPr>
                    <w:jc w:val="center"/>
                    <w:keepLines w:val="0"/>
                    <w:keepNext w:val="0"/>
                    <w:pageBreakBefore w:val="0"/>
                    <w:spacing w:beforeAutospacing="0" w:after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持久性有机物合格、符合GB36246-2018</w:t>
                  </w:r>
                  <w:r/>
                </w:p>
              </w:tc>
            </w:tr>
          </w:tbl>
          <w:p>
            <w:pPr>
              <w:ind w:firstLine="422"/>
              <w:jc w:val="left"/>
              <w:keepLines w:val="0"/>
              <w:keepNext w:val="0"/>
              <w:pageBreakBefore w:val="0"/>
              <w:spacing w:beforeAutospacing="0" w:afterAutospacing="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上述品牌为参考产品品牌，是采购人根据项目所要实现的功能列出的品牌或型号，并不是限制条件。材料说明及技术要求详见施工图纸，投标人可以采用不低于参考的产品档次参与竞争，但是所有技术和功能不得低于采购要求，并保证整体功能的实现。</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四、报价要求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本项目施工现场、交通运输情况及自然地理条件由供应商自行现场勘察，应充分考虑本工程场地现状的特点，可能对工程施工造成的影响并由此增加的费用等，一并包含在投标报价中。投标人应按工程量清单及相关采购需求报价，投标报价应包括采购文件所确定的招标范围内所有设备、材料运抵采购人所在项目工地现场，施工、安装、调试、通过验收直至交付使用的价格。其包括但不限于投标人自制的或外购的全部设备及材料的价格、包装费、运杂费(运抵采购人工地现场)</w:t>
            </w:r>
            <w:r>
              <w:rPr>
                <w:rFonts w:hint="eastAsia" w:ascii="宋体" w:hAnsi="宋体" w:cs="宋体"/>
                <w:color w:val="auto"/>
                <w:szCs w:val="21"/>
                <w:highlight w:val="none"/>
              </w:rPr>
              <w:t xml:space="preserve">、运输保险费、随机提供的备品备件费及专用工具费、配套及辅助材料设备费、对图纸的深化设计（如需要）及为完成本工程图纸及为深化图纸而产生的必要相关工程的费用、上货费、卸货费、进退场费、施工费、安装调试费（含设备拆分及组装费用、所需水电等费用）、检测检验费、所需的各种检测验收费用、劳务费、资料费、培训费、质保期内维修保养费用、保证正常使用期间所需的检修、检测费用（含向相关质量监督部门交纳的费用）、保险、利润、税金及合同包含的风险、责任等各项应有费用以及投标人认为需要的其它费用等，直至交付采购人使用所含的一切费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投标人应到施工现场认真勘查以充分了解其施工环境，工地位置及任何其他足以影响承包价及工期的情况，采购人对于现有的施工环境及条件将不增加任何投入，请投标人自行考虑并计入投标报价中，结算时不作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（三）投标人应结合招标文件、设计施工图纸和现场勘察情况，并应当综合考虑施工规范、地方规章等的要求，将所产生的费用计入报价中。</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（四）投标报价必须按照采购文件附件中工程量清单报价表进行报价。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（五）招标文件未列明，而投标人认为必需的费用也需列入报价。</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五、安全要求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（一）认真贯彻执行《建筑法》《安全生产法》《建设工程安全生产管理条例》等安全生产法律法规，坚持“安全第一、预防为主”的方针，建立健全企业和项目部安全生产管理体系，并使之正常有效运转。</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（二）对建设单位支付的安全文明措施费用将足额用于施工安全防护用具及设施的采购和更新、安全施工措施的落实、安全生产条件的改善，决不挪作他用。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（三）坚持安全消防检查制度，发现隐患及时清除，防止工伤、火灾事故。</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六、质量要求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（一）所有设备材料均须附产品使用说明书、合格证、质保书、试验（调试）报告等必要材料，经双方检验，采购人认可，并经监理工程师书面确认后，方可用于施工。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（二）工程施工工艺严格按照国家有关标准执行，确保产品质量。并且完全符合合同规定的质量、规格和性能要求。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（三）品质说明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1.必须保证所有设备、材料及配件是合格品，且完全与投标文件所述的产地、品牌、质量、和性能相符，相关施工工艺需满足国家及行业的相关质量标准。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2.供应商所提供的设备、材料，如是国内企业或国内合资企业生产制造的，在交货时应提供出厂前的测试报告和产品合格证。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3.发生紧急抢修事故的，供应商在接到事故通知后，应当立即到达事故现场抢修。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 施工、安装要求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 设备、器材安装必须严格按照有关规范要求进行，在保证其技术性能指标符合有关规范要求。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 安装施工开始前，应将安装方案报监理、采购人，经批准后，方可施工。如未经与相关施工单位协商，擅自安装，不仅需按采购人裁定的方案进行返工，且损失自负。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 安装前对预埋件进行检查，合格后方可派员进行线路敷设及安装。安装、调试人员必须是经过专门培训、考核，并取得合格证书和上岗证，经验丰富的人员。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 安装进度必须保证工程总体进度要求，接受监理单位（采购人选定）对系统工程的管理管理与监督，每周向采购人和监理单位汇报工程的进展情况。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 在施工过程中如发现设计、设备、材料、施工等质量问题，应及时通知监理工程师（重大问题应同时向采购人报告）。其处理方法必须经监理工程师和采购人认可。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4.6符合采购人的项目需求及国家、地方相关质量验收标准。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5.质保及验收要求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5.1中标人应在合同约定的完工时间通过验收并办理相关手续，并向采购人交齐所有合格的竣工资料，如因中标人原因影响竣工验收或导致不能通过验收，则应赔偿采购人损失。</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5.2工程质量保修期：自工程竣工验收合格日期之日起工程质量保修期不少于2年。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6.质量保修责任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 属于保修范围和内容的项目，中标人应在接到采购人或物业通知后24小时内派维修人员到达现场进行处理。如未按时派人维修，采购人可委托其他人员修理，保修费用从质量保修金内扣除。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发生须紧急抢修事故，中标人接到事故通知后，应立即到达事故现场抢修。非中标人施工质量引起的事故，抢修费用由采购人承担。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6.3 在国家规定的工程合理使用期限内，因中标人原因致使工程在合理使用期限内造成人身和财产损害的，应承担损害赔偿责任。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 参考标准及验收规范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本项目要求必须通过中国田径协会二类田径场地及以上标准验收，并按国家相关工程质量要求，执行相关施工和验收规范、技术标准，主要包括：</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7.1 《合成材料跑道面层》GB/T14833-2020。</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 《中小学合成材料面层运动场地》GB36246-2018。</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 《体育场地使用要求及检验方法 第6部分：田径场地》GB/T22517.6-2020的相关规定。</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4</w:t>
            </w:r>
            <w:r>
              <w:rPr>
                <w:rFonts w:hint="eastAsia" w:ascii="宋体" w:hAnsi="宋体" w:cs="宋体"/>
                <w:b/>
                <w:bCs/>
                <w:color w:val="auto"/>
                <w:szCs w:val="21"/>
                <w:highlight w:val="none"/>
              </w:rPr>
              <w:t xml:space="preserve"> 其它国家工程建设相关法规、标准、图集，包括但不限于：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《建设工程质量管理条例》2017版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《建设工程安全生产管理条例》2004版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《建筑工程施工质量验收统一标准》（GB50300-2013）</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《中华人民共和国建材行业标准》（JC/T746-2007）</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《建筑施工安全检查标准》JGJ59-89</w:t>
            </w:r>
            <w:r/>
          </w:p>
          <w:p>
            <w:pPr>
              <w:ind w:firstLine="422"/>
              <w:jc w:val="left"/>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投标人</w:t>
            </w:r>
            <w:r>
              <w:rPr>
                <w:rFonts w:hint="eastAsia" w:ascii="宋体" w:hAnsi="宋体" w:cs="宋体"/>
                <w:b/>
                <w:bCs/>
                <w:color w:val="auto"/>
                <w:szCs w:val="21"/>
                <w:highlight w:val="none"/>
                <w:lang w:val="en-US" w:eastAsia="zh-CN"/>
              </w:rPr>
              <w:t xml:space="preserve">承诺：</w:t>
            </w:r>
            <w:r>
              <w:rPr>
                <w:rFonts w:hint="eastAsia" w:ascii="宋体" w:hAnsi="宋体" w:cs="宋体"/>
                <w:b/>
                <w:bCs/>
                <w:color w:val="auto"/>
                <w:szCs w:val="21"/>
                <w:highlight w:val="none"/>
              </w:rPr>
              <w:t xml:space="preserve">投标的混合型聚氨酯塑胶跑道产品，须提供符合GB36246-2018标准的CMA或CNAS检测合格的报告。如无法满足，学校不组织项目竣工验收，有权不支付剩余工程款，并要求施工方赔偿。（投标人须在投标文件中提供该项要求的承诺书，未提供按照无效投标处理。）</w:t>
            </w:r>
            <w:r/>
          </w:p>
          <w:p>
            <w:pPr>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★8.投标人</w:t>
            </w:r>
            <w:r>
              <w:rPr>
                <w:rFonts w:hint="eastAsia" w:ascii="宋体" w:hAnsi="宋体" w:cs="宋体"/>
                <w:b/>
                <w:bCs/>
                <w:color w:val="auto"/>
                <w:szCs w:val="21"/>
                <w:highlight w:val="none"/>
                <w:u w:val="single"/>
                <w:lang w:val="en-US" w:eastAsia="zh-CN"/>
              </w:rPr>
              <w:t xml:space="preserve">承诺：</w:t>
            </w:r>
            <w:r>
              <w:rPr>
                <w:rFonts w:hint="eastAsia" w:ascii="宋体" w:hAnsi="宋体" w:cs="宋体"/>
                <w:b/>
                <w:bCs/>
                <w:color w:val="auto"/>
                <w:szCs w:val="21"/>
                <w:highlight w:val="none"/>
                <w:u w:val="single"/>
              </w:rPr>
              <w:t xml:space="preserve">施工前均须报送小样及产品质量保证资料、环保资料封样确认，施工完成后采购人按规范及设计要求组织相关检测，供应商应做到无条件配合。（投标人须在投标文件中提供该项要求的承诺书，未提供按照无效投标处理。）</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（一）本项目成交后不得转包、分包，一经查实，采购人有权取消中标人中标资格。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（二）工程量变更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 中标人不得对原有工程设计进行变更，因中标人自身原因导致的工程量变更，中标人无权要求追加合同价款，并承担由此给采购人带来的一切损失。</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 项目施工期间因采购人提出的变更导致工程量增减，中标人提交的量、价申请报告须经采购人现场负责人核准、审查确认，任何后补签证的请求采购人有权拒绝。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（三）中标人成交后需提供详细阐述项目实施方案（包括人员配备、设备工具配置、进度计划、施工方案、安全措施等）。</w:t>
            </w:r>
            <w:r/>
          </w:p>
          <w:p>
            <w:pPr>
              <w:ind w:firstLine="422"/>
              <w:jc w:val="left"/>
              <w:spacing w:line="360" w:lineRule="auto"/>
              <w:rPr>
                <w:rFonts w:ascii="宋体" w:hAnsi="宋体" w:cs="宋体"/>
                <w:b/>
                <w:iCs/>
                <w:color w:val="auto"/>
                <w:szCs w:val="21"/>
                <w:highlight w:val="none"/>
                <w:u w:val="single"/>
              </w:rPr>
            </w:pPr>
            <w:r>
              <w:rPr>
                <w:rFonts w:hint="eastAsia" w:ascii="宋体" w:hAnsi="宋体" w:cs="宋体"/>
                <w:b/>
                <w:iCs/>
                <w:color w:val="auto"/>
                <w:szCs w:val="21"/>
                <w:highlight w:val="none"/>
                <w:u w:val="single"/>
              </w:rPr>
              <w:t xml:space="preserve">★（四）投标人</w:t>
            </w:r>
            <w:r>
              <w:rPr>
                <w:rFonts w:hint="eastAsia" w:ascii="宋体" w:hAnsi="宋体" w:cs="宋体"/>
                <w:b/>
                <w:iCs/>
                <w:color w:val="auto"/>
                <w:szCs w:val="21"/>
                <w:highlight w:val="none"/>
                <w:u w:val="single"/>
                <w:lang w:val="en-US" w:eastAsia="zh-CN"/>
              </w:rPr>
              <w:t xml:space="preserve">承诺：</w:t>
            </w:r>
            <w:r>
              <w:rPr>
                <w:rFonts w:hint="eastAsia" w:ascii="宋体" w:hAnsi="宋体" w:cs="宋体"/>
                <w:b/>
                <w:iCs/>
                <w:color w:val="auto"/>
                <w:szCs w:val="21"/>
                <w:highlight w:val="none"/>
                <w:u w:val="single"/>
              </w:rPr>
              <w:t xml:space="preserve">项目经理每周在现场不少于6天，每天不少于8小时，未经采购人批准不得更换。（投标人须在投标文件中提供该项要求的承诺书，未提供作废标处理。）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中标人必须建立考勤制度，所有民工出工必须有考勤，每周考勤经民工及班组长签字确认，施工期间生活费发放表均要留档备查。因中标人原因发生农民工采取堵门、各级上访等形式恶性讨薪事件，每发生1次处5万元罚款，直接从履约保证金或工程款中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（六）水电费按工程审计后总价千分之三扣除。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（七）因采购人导致工期延误，采购人仅能提供工期顺延，不能提出任何费用索赔。</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（八）本工程采购人不提供食宿，住宿由中标人自行在校外解决。</w:t>
            </w:r>
            <w:r/>
          </w:p>
          <w:p>
            <w:pPr>
              <w:jc w:val="both"/>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15"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17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bookmarkEnd w:id="692"/>
            <w:r/>
            <w:r/>
          </w:p>
        </w:tc>
      </w:tr>
    </w:tbl>
    <w:p>
      <w:pPr>
        <w:jc w:val="left"/>
        <w:spacing w:line="360" w:lineRule="auto"/>
        <w:widowControl/>
        <w:tabs>
          <w:tab w:val="left" w:pos="5397" w:leader="none"/>
        </w:tabs>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ind w:firstLine="211"/>
        <w:jc w:val="left"/>
        <w:spacing w:line="360" w:lineRule="auto"/>
        <w:shd w:val="clear" w:color="auto" w:fill="ffffff"/>
        <w:widowControl/>
        <w:rPr>
          <w:rFonts w:ascii="宋体" w:hAnsi="宋体" w:cs="宋体"/>
          <w:b/>
          <w:bCs/>
          <w:color w:val="auto"/>
          <w:szCs w:val="21"/>
          <w:highlight w:val="none"/>
        </w:rPr>
      </w:pPr>
      <w:r/>
      <w:bookmarkStart w:id="694" w:name="OLE_LINK37"/>
      <w:r>
        <w:rPr>
          <w:rFonts w:hint="eastAsia" w:ascii="宋体" w:hAnsi="宋体" w:cs="宋体"/>
          <w:b/>
          <w:bCs/>
          <w:color w:val="auto"/>
          <w:szCs w:val="21"/>
          <w:highlight w:val="none"/>
        </w:rPr>
        <w:t xml:space="preserve">1.</w:t>
      </w:r>
      <w:bookmarkStart w:id="695" w:name="OLE_LINK41"/>
      <w:r>
        <w:rPr>
          <w:rFonts w:hint="eastAsia" w:ascii="宋体" w:hAnsi="宋体" w:cs="宋体"/>
          <w:b/>
          <w:bCs/>
          <w:color w:val="auto"/>
          <w:highlight w:val="none"/>
        </w:rPr>
        <w:t xml:space="preserve">投标人</w:t>
      </w:r>
      <w:bookmarkEnd w:id="695"/>
      <w:r>
        <w:rPr>
          <w:rFonts w:hint="eastAsia" w:ascii="宋体" w:hAnsi="宋体" w:cs="宋体"/>
          <w:b/>
          <w:bCs/>
          <w:color w:val="auto"/>
          <w:szCs w:val="21"/>
          <w:highlight w:val="none"/>
        </w:rPr>
        <w:t xml:space="preserve">须对招标文件技术要求中的实质性要求（斜体且有下划线部分，或者打“★”“*”等其他文字说明的商务和技术要求）做出明确响应，</w:t>
      </w:r>
      <w:r>
        <w:rPr>
          <w:rFonts w:hint="eastAsia" w:ascii="宋体" w:hAnsi="宋体" w:cs="宋体"/>
          <w:b/>
          <w:bCs/>
          <w:color w:val="auto"/>
          <w:highlight w:val="none"/>
        </w:rPr>
        <w:t xml:space="preserve">投标人</w:t>
      </w:r>
      <w:r>
        <w:rPr>
          <w:rFonts w:hint="eastAsia" w:ascii="宋体" w:hAnsi="宋体" w:cs="宋体"/>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bookmarkEnd w:id="691"/>
      <w:r/>
      <w:bookmarkEnd w:id="694"/>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rPr>
          <w:rFonts w:hint="eastAsia" w:ascii="宋体" w:hAnsi="宋体" w:cs="宋体"/>
          <w:color w:val="auto"/>
          <w:highlight w:val="none"/>
        </w:rPr>
      </w:pPr>
      <w:r/>
      <w:bookmarkStart w:id="696" w:name="_Toc43917776"/>
      <w:r/>
      <w:bookmarkStart w:id="697" w:name="_Toc66375429"/>
      <w:r>
        <w:rPr>
          <w:rFonts w:hint="eastAsia" w:ascii="宋体" w:hAnsi="宋体" w:cs="宋体"/>
          <w:color w:val="auto"/>
          <w:highlight w:val="none"/>
        </w:rPr>
        <w:br w:type="page" w:clear="all"/>
      </w:r>
      <w:r/>
    </w:p>
    <w:p>
      <w:pPr>
        <w:pStyle w:val="1087"/>
        <w:numPr>
          <w:ilvl w:val="1"/>
          <w:numId w:val="0"/>
        </w:numPr>
        <w:rPr>
          <w:rFonts w:ascii="宋体" w:hAnsi="宋体" w:cs="宋体"/>
          <w:color w:val="auto"/>
          <w:highlight w:val="none"/>
        </w:rPr>
      </w:pPr>
      <w:r>
        <w:rPr>
          <w:rFonts w:hint="eastAsia" w:ascii="宋体" w:hAnsi="宋体" w:cs="宋体"/>
          <w:color w:val="auto"/>
          <w:highlight w:val="none"/>
        </w:rPr>
        <w:t xml:space="preserve">附件七、</w:t>
      </w:r>
      <w:bookmarkStart w:id="698" w:name="_Hlk176528748"/>
      <w:r>
        <w:rPr>
          <w:rFonts w:hint="eastAsia" w:ascii="宋体" w:hAnsi="宋体" w:cs="宋体"/>
          <w:color w:val="auto"/>
          <w:highlight w:val="none"/>
        </w:rPr>
        <w:t xml:space="preserve">商务要求响应及偏离表</w:t>
      </w:r>
      <w:bookmarkEnd w:id="696"/>
      <w:r/>
      <w:bookmarkEnd w:id="697"/>
      <w:r/>
      <w:bookmarkEnd w:id="698"/>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bookmarkStart w:id="699" w:name="_Hlk176528759"/>
      <w:r/>
      <w:r/>
    </w:p>
    <w:p>
      <w:pPr>
        <w:jc w:val="center"/>
        <w:spacing w:line="360" w:lineRule="auto"/>
        <w:shd w:val="clear" w:color="auto" w:fill="ffffff"/>
        <w:widowControl/>
        <w:rPr>
          <w:rFonts w:ascii="宋体" w:hAnsi="宋体" w:cs="宋体"/>
          <w:color w:val="auto"/>
          <w:szCs w:val="21"/>
          <w:highlight w:val="none"/>
        </w:rPr>
      </w:pPr>
      <w:r>
        <w:rPr>
          <w:rFonts w:hint="eastAsia" w:ascii="宋体" w:hAnsi="宋体" w:cs="宋体"/>
          <w:b/>
          <w:color w:val="auto"/>
          <w:sz w:val="32"/>
          <w:szCs w:val="32"/>
          <w:highlight w:val="none"/>
        </w:rPr>
        <w:t xml:space="preserve">商务要求响应及偏离表</w:t>
      </w:r>
      <w:r/>
    </w:p>
    <w:p>
      <w:pPr>
        <w:ind w:firstLine="306"/>
        <w:jc w:val="left"/>
        <w:spacing w:line="360" w:lineRule="auto"/>
        <w:widowControl/>
        <w:tabs>
          <w:tab w:val="left" w:pos="5366"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1096"/>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3"/>
        <w:gridCol w:w="6192"/>
        <w:gridCol w:w="1110"/>
        <w:gridCol w:w="1109"/>
      </w:tblGrid>
      <w:tr>
        <w:trPr>
          <w:jc w:val="center"/>
          <w:trHeight w:val="284"/>
        </w:trPr>
        <w:tc>
          <w:tcPr>
            <w:tcMar>
              <w:left w:w="10" w:type="dxa"/>
              <w:top w:w="0" w:type="dxa"/>
              <w:right w:w="10" w:type="dxa"/>
              <w:bottom w:w="0" w:type="dxa"/>
            </w:tcMar>
            <w:tcW w:w="933" w:type="dxa"/>
            <w:vAlign w:val="center"/>
            <w:textDirection w:val="lrTb"/>
            <w:noWrap w:val="false"/>
          </w:tcPr>
          <w:p>
            <w:pPr>
              <w:jc w:val="center"/>
              <w:spacing w:line="360" w:lineRule="auto"/>
              <w:widowControl/>
              <w:rPr>
                <w:rFonts w:ascii="宋体" w:hAnsi="宋体" w:cs="宋体"/>
                <w:b/>
                <w:color w:val="auto"/>
                <w:szCs w:val="21"/>
                <w:highlight w:val="none"/>
              </w:rPr>
            </w:pPr>
            <w:r/>
            <w:bookmarkStart w:id="700" w:name="_Hlk66784541"/>
            <w:r>
              <w:rPr>
                <w:rFonts w:hint="eastAsia" w:ascii="宋体" w:hAnsi="宋体" w:cs="宋体"/>
                <w:b/>
                <w:color w:val="auto"/>
                <w:szCs w:val="21"/>
                <w:highlight w:val="none"/>
              </w:rPr>
              <w:t xml:space="preserve">序号</w:t>
            </w:r>
            <w:r/>
          </w:p>
        </w:tc>
        <w:tc>
          <w:tcPr>
            <w:tcMar>
              <w:left w:w="10" w:type="dxa"/>
              <w:top w:w="0" w:type="dxa"/>
              <w:right w:w="10" w:type="dxa"/>
              <w:bottom w:w="0" w:type="dxa"/>
            </w:tcMar>
            <w:tcW w:w="6192"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招标文件的商务要求</w:t>
            </w:r>
            <w:r/>
          </w:p>
        </w:tc>
        <w:tc>
          <w:tcPr>
            <w:tcMar>
              <w:left w:w="10" w:type="dxa"/>
              <w:top w:w="0" w:type="dxa"/>
              <w:right w:w="10" w:type="dxa"/>
              <w:bottom w:w="0" w:type="dxa"/>
            </w:tcMar>
            <w:tcW w:w="1110"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投标响应</w:t>
            </w:r>
            <w:r/>
          </w:p>
          <w:p>
            <w:pPr>
              <w:jc w:val="center"/>
              <w:spacing w:line="360" w:lineRule="auto"/>
              <w:widowControl/>
              <w:rPr>
                <w:rFonts w:ascii="宋体" w:hAnsi="宋体" w:cs="宋体"/>
                <w:b/>
                <w:color w:val="auto"/>
                <w:szCs w:val="21"/>
                <w:highlight w:val="none"/>
              </w:rPr>
            </w:pPr>
            <w:r/>
            <w:bookmarkStart w:id="701" w:name="OLE_LINK54"/>
            <w:r>
              <w:rPr>
                <w:rFonts w:hint="eastAsia" w:ascii="宋体" w:hAnsi="宋体" w:cs="宋体"/>
                <w:b/>
                <w:color w:val="auto"/>
                <w:szCs w:val="21"/>
                <w:highlight w:val="none"/>
              </w:rPr>
              <w:t xml:space="preserve">(响应或不响应)</w:t>
            </w:r>
            <w:bookmarkEnd w:id="701"/>
            <w:r/>
            <w:r/>
          </w:p>
        </w:tc>
        <w:tc>
          <w:tcPr>
            <w:tcMar>
              <w:left w:w="10" w:type="dxa"/>
              <w:top w:w="0" w:type="dxa"/>
              <w:right w:w="10" w:type="dxa"/>
              <w:bottom w:w="0" w:type="dxa"/>
            </w:tcMar>
            <w:tcW w:w="1109"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偏离情况</w:t>
            </w:r>
            <w:r/>
          </w:p>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（正偏离、无偏离或负偏离）</w:t>
            </w:r>
            <w:r/>
          </w:p>
        </w:tc>
      </w:tr>
      <w:tr>
        <w:trPr>
          <w:jc w:val="center"/>
          <w:trHeight w:val="284"/>
        </w:trPr>
        <w:tc>
          <w:tcPr>
            <w:tcMar>
              <w:left w:w="10" w:type="dxa"/>
              <w:top w:w="0" w:type="dxa"/>
              <w:right w:w="10" w:type="dxa"/>
              <w:bottom w:w="0" w:type="dxa"/>
            </w:tcMar>
            <w:tcW w:w="933"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Mar>
              <w:left w:w="10" w:type="dxa"/>
              <w:top w:w="0" w:type="dxa"/>
              <w:right w:w="10" w:type="dxa"/>
              <w:bottom w:w="0" w:type="dxa"/>
            </w:tcMar>
            <w:tcW w:w="6192" w:type="dxa"/>
            <w:vAlign w:val="center"/>
            <w:textDirection w:val="lrTb"/>
            <w:noWrap w:val="false"/>
          </w:tcPr>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（一）履约保证金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实行履约担保制度，中标人在施工合同签订前，必须向采购人提交成交金额10%作为履约保证金。履约保证金缴纳形式为转帐支票（或汇票、电汇，银行保函），履约保证金递交后，中标人交纳清单控制价编制服务费拿到结清证明后，方可签订施工合同。工程结束经验收合格后10天内退还履约保证金（不计息）。</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（二）付款进度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1.中标人材料及人员进场并满足开工条件后两周内，采购人支付合同总价（扣除暂列金额）的30%作为预付款。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2.工程竣工验收合格后，中标人提供竣工资料交采购人后，采购人付至合同价（扣除暂列金额）的80%，同时无息退还合同履约保证金。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3.工程竣工验收合格，并经审计后1个月内，采购人支付至工程审定价(扣除甲供材、施工用水电费、审计费用等如有）的97%。</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4.缺陷责任期结束后，如本工程无任何质量问题，中标人提交申请，采购人15日内向承包人退还工程审定价的3%质保金。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5.每次付款时，中标人应分别开具符合税务机关规定的增值税发票给采购人，作为付款前提条件之一。</w:t>
            </w:r>
            <w:r/>
          </w:p>
        </w:tc>
        <w:tc>
          <w:tcPr>
            <w:tcMar>
              <w:left w:w="10" w:type="dxa"/>
              <w:top w:w="0" w:type="dxa"/>
              <w:right w:w="10" w:type="dxa"/>
              <w:bottom w:w="0" w:type="dxa"/>
            </w:tcMar>
            <w:tcW w:w="1110"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10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bookmarkEnd w:id="700"/>
            <w:r/>
            <w:r/>
          </w:p>
        </w:tc>
      </w:tr>
    </w:tbl>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pStyle w:val="1125"/>
        <w:ind w:firstLine="480"/>
        <w:spacing w:line="360" w:lineRule="auto"/>
        <w:rPr>
          <w:color w:val="auto"/>
          <w:sz w:val="21"/>
          <w:szCs w:val="21"/>
          <w:highlight w:val="none"/>
        </w:rPr>
      </w:pPr>
      <w:r>
        <w:rPr>
          <w:rFonts w:hint="eastAsia"/>
          <w:color w:val="auto"/>
          <w:sz w:val="21"/>
          <w:szCs w:val="21"/>
          <w:highlight w:val="none"/>
        </w:rPr>
        <w:t xml:space="preserve">说明：</w:t>
      </w:r>
      <w:r/>
    </w:p>
    <w:p>
      <w:pPr>
        <w:pStyle w:val="1125"/>
        <w:ind w:firstLine="422"/>
        <w:spacing w:line="360" w:lineRule="auto"/>
        <w:shd w:val="clear" w:color="auto" w:fill="ffffff"/>
        <w:rPr>
          <w:b/>
          <w:bCs/>
          <w:color w:val="auto"/>
          <w:szCs w:val="21"/>
          <w:highlight w:val="none"/>
        </w:rPr>
      </w:pPr>
      <w:r>
        <w:rPr>
          <w:rFonts w:hint="eastAsia"/>
          <w:b/>
          <w:bCs/>
          <w:color w:val="auto"/>
          <w:sz w:val="21"/>
          <w:szCs w:val="21"/>
          <w:highlight w:val="none"/>
        </w:rPr>
        <w:t xml:space="preserve">1.投标人须对招标文件商务要求中的实质性要求（斜体且有下划线部分，或者打“★”“*”等其他文字说明的商务和技术要求）做出明确响应，投标人未对实质性要求作出明确响应或有负偏离的，视为无效投标。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21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投标人（加盖电子公章）：</w:t>
      </w:r>
      <w:r>
        <w:rPr>
          <w:rFonts w:hint="eastAsia" w:ascii="宋体" w:hAnsi="宋体" w:cs="宋体"/>
          <w:color w:val="auto"/>
          <w:szCs w:val="21"/>
          <w:highlight w:val="none"/>
          <w:u w:val="single"/>
        </w:rPr>
        <w:t xml:space="preserve">                                </w:t>
      </w:r>
      <w:bookmarkEnd w:id="699"/>
      <w:r/>
      <w:r/>
    </w:p>
    <w:p>
      <w:pPr>
        <w:rPr>
          <w:rFonts w:ascii="宋体" w:hAnsi="宋体" w:cs="宋体"/>
          <w:color w:val="auto"/>
          <w:highlight w:val="none"/>
        </w:rPr>
      </w:pPr>
      <w:r/>
      <w:bookmarkStart w:id="702" w:name="_Toc43917778"/>
      <w:r/>
      <w:bookmarkStart w:id="703" w:name="_Toc66375431"/>
      <w:r>
        <w:rPr>
          <w:rFonts w:hint="eastAsia" w:ascii="宋体" w:hAnsi="宋体" w:cs="宋体"/>
          <w:color w:val="auto"/>
          <w:highlight w:val="none"/>
        </w:rPr>
        <w:br w:type="page" w:clear="all"/>
      </w:r>
      <w:r/>
    </w:p>
    <w:p>
      <w:pPr>
        <w:pStyle w:val="1087"/>
        <w:rPr>
          <w:rFonts w:ascii="宋体" w:hAnsi="宋体" w:cs="宋体"/>
          <w:color w:val="auto"/>
          <w:highlight w:val="none"/>
        </w:rPr>
      </w:pPr>
      <w:r>
        <w:rPr>
          <w:rFonts w:hint="eastAsia" w:ascii="宋体" w:hAnsi="宋体" w:cs="宋体"/>
          <w:color w:val="auto"/>
          <w:highlight w:val="none"/>
        </w:rPr>
        <w:t xml:space="preserve">附件八、拟参与本项目服务人员一览表</w:t>
      </w:r>
      <w:bookmarkEnd w:id="702"/>
      <w:r/>
      <w:bookmarkEnd w:id="703"/>
      <w:r/>
      <w:r/>
    </w:p>
    <w:p>
      <w:pPr>
        <w:spacing w:line="460" w:lineRule="atLeast"/>
        <w:widowControl/>
        <w:rPr>
          <w:rFonts w:ascii="宋体" w:hAnsi="宋体" w:cs="宋体"/>
          <w:b/>
          <w:bCs/>
          <w:color w:val="auto"/>
          <w:sz w:val="24"/>
          <w:highlight w:val="none"/>
        </w:rPr>
      </w:pPr>
      <w:r>
        <w:rPr>
          <w:rFonts w:ascii="宋体" w:hAnsi="宋体" w:cs="宋体"/>
          <w:b/>
          <w:bCs/>
          <w:color w:val="auto"/>
          <w:sz w:val="24"/>
          <w:highlight w:val="none"/>
        </w:rPr>
      </w:r>
      <w:r/>
    </w:p>
    <w:p>
      <w:pPr>
        <w:ind w:left="420"/>
        <w:jc w:val="center"/>
        <w:spacing w:line="360" w:lineRule="auto"/>
        <w:shd w:val="clear" w:color="auto" w:fill="ffffff"/>
        <w:widowControl/>
        <w:rPr>
          <w:rFonts w:ascii="宋体" w:hAnsi="宋体" w:cs="宋体"/>
          <w:b/>
          <w:color w:val="auto"/>
          <w:sz w:val="30"/>
          <w:szCs w:val="30"/>
          <w:highlight w:val="none"/>
        </w:rPr>
      </w:pPr>
      <w:r/>
      <w:bookmarkStart w:id="704" w:name="_Hlk67995747"/>
      <w:r>
        <w:rPr>
          <w:rFonts w:hint="eastAsia" w:ascii="宋体" w:hAnsi="宋体" w:cs="宋体"/>
          <w:b/>
          <w:color w:val="auto"/>
          <w:sz w:val="32"/>
          <w:szCs w:val="32"/>
          <w:highlight w:val="none"/>
        </w:rPr>
        <w:t xml:space="preserve">拟参与本项目服务人员一览表</w:t>
      </w:r>
      <w:bookmarkEnd w:id="704"/>
      <w:r/>
      <w:bookmarkStart w:id="705" w:name="_Hlk66378104"/>
      <w:r/>
      <w:bookmarkEnd w:id="705"/>
      <w:r/>
      <w:r/>
    </w:p>
    <w:p>
      <w:pPr>
        <w:jc w:val="center"/>
        <w:widowControl/>
        <w:rPr>
          <w:rFonts w:ascii="宋体" w:hAnsi="宋体" w:cs="宋体"/>
          <w:b/>
          <w:bCs/>
          <w:color w:val="auto"/>
          <w:sz w:val="24"/>
          <w:highlight w:val="none"/>
        </w:rPr>
      </w:pPr>
      <w:r>
        <w:rPr>
          <w:rFonts w:ascii="宋体" w:hAnsi="宋体" w:cs="宋体"/>
          <w:b/>
          <w:bCs/>
          <w:color w:val="auto"/>
          <w:sz w:val="24"/>
          <w:highlight w:val="none"/>
        </w:rPr>
      </w:r>
      <w:r/>
    </w:p>
    <w:p>
      <w:pPr>
        <w:widowControl/>
        <w:rPr>
          <w:rFonts w:ascii="宋体" w:hAnsi="宋体" w:cs="宋体"/>
          <w:color w:val="auto"/>
          <w:szCs w:val="21"/>
          <w:highlight w:val="none"/>
        </w:rPr>
      </w:pPr>
      <w:r/>
      <w:bookmarkStart w:id="706" w:name="_Hlk66784308"/>
      <w:r>
        <w:rPr>
          <w:rFonts w:hint="eastAsia" w:ascii="宋体" w:hAnsi="宋体" w:cs="宋体"/>
          <w:color w:val="auto"/>
          <w:szCs w:val="21"/>
          <w:highlight w:val="none"/>
        </w:rPr>
        <w:t xml:space="preserve">项目名称：                                 项目编号：</w:t>
      </w:r>
      <w:bookmarkEnd w:id="706"/>
      <w:r/>
      <w:r/>
    </w:p>
    <w:tbl>
      <w:tblPr>
        <w:tblStyle w:val="109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执业</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项目经理</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投标人（加盖电子公章）：</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087"/>
        <w:rPr>
          <w:rFonts w:ascii="宋体" w:hAnsi="宋体" w:cs="宋体"/>
          <w:color w:val="auto"/>
          <w:highlight w:val="none"/>
        </w:rPr>
      </w:pPr>
      <w:r/>
      <w:bookmarkStart w:id="707" w:name="_Toc66375432"/>
      <w:r/>
      <w:bookmarkStart w:id="708" w:name="_Toc43917779"/>
      <w:r>
        <w:rPr>
          <w:rFonts w:hint="eastAsia" w:ascii="宋体" w:hAnsi="宋体" w:cs="宋体"/>
          <w:color w:val="auto"/>
          <w:highlight w:val="none"/>
        </w:rPr>
        <w:t xml:space="preserve">附件九、投标人类似业绩情况表</w:t>
      </w:r>
      <w:bookmarkEnd w:id="707"/>
      <w:r/>
      <w:bookmarkEnd w:id="708"/>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投标人类似业绩情况表</w:t>
      </w:r>
      <w:r/>
    </w:p>
    <w:p>
      <w:pPr>
        <w:jc w:val="left"/>
        <w:spacing w:line="360" w:lineRule="auto"/>
        <w:rPr>
          <w:rFonts w:ascii="宋体" w:hAnsi="宋体" w:cs="宋体"/>
          <w:b/>
          <w:color w:val="auto"/>
          <w:sz w:val="32"/>
          <w:szCs w:val="32"/>
          <w:highlight w:val="none"/>
        </w:rPr>
      </w:pPr>
      <w:r>
        <w:rPr>
          <w:rFonts w:hint="eastAsia" w:ascii="宋体" w:hAnsi="宋体" w:cs="宋体"/>
          <w:color w:val="auto"/>
          <w:szCs w:val="21"/>
          <w:highlight w:val="none"/>
        </w:rPr>
        <w:t xml:space="preserve">项目名称：                                               项目编号：</w:t>
      </w:r>
      <w:r/>
    </w:p>
    <w:tbl>
      <w:tblPr>
        <w:tblStyle w:val="109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2310"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tcW w:w="2257"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采购单位</w:t>
            </w:r>
            <w:r/>
          </w:p>
        </w:tc>
        <w:tc>
          <w:tcPr>
            <w:tcW w:w="1255"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合同金额</w:t>
            </w:r>
            <w:r/>
          </w:p>
        </w:tc>
        <w:tc>
          <w:tcPr>
            <w:tcW w:w="1341" w:type="dxa"/>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合同签订</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时间</w:t>
            </w:r>
            <w:r/>
          </w:p>
        </w:tc>
        <w:tc>
          <w:tcPr>
            <w:tcW w:w="1211" w:type="dxa"/>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1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57" w:type="dxa"/>
            <w:textDirection w:val="lrTb"/>
            <w:noWrap w:val="false"/>
          </w:tcPr>
          <w:p>
            <w:pPr>
              <w:ind w:firstLine="120"/>
              <w:spacing w:line="360" w:lineRule="auto"/>
              <w:rPr>
                <w:rFonts w:ascii="宋体" w:hAnsi="宋体" w:cs="宋体"/>
                <w:color w:val="auto"/>
                <w:sz w:val="24"/>
                <w:highlight w:val="none"/>
              </w:rPr>
            </w:pPr>
            <w:r>
              <w:rPr>
                <w:rFonts w:ascii="宋体" w:hAnsi="宋体" w:cs="宋体"/>
                <w:color w:val="auto"/>
                <w:sz w:val="24"/>
                <w:highlight w:val="none"/>
              </w:rPr>
            </w:r>
            <w:r/>
          </w:p>
        </w:tc>
        <w:tc>
          <w:tcPr>
            <w:tcW w:w="125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4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1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3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1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57"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5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4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1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3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1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57"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5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4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1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3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1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57"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5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4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1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3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1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57"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5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4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1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3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1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57"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5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4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1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b/>
          <w:color w:val="auto"/>
          <w:sz w:val="24"/>
          <w:highlight w:val="none"/>
        </w:rPr>
      </w:pPr>
      <w:r/>
      <w:bookmarkStart w:id="709" w:name="_Hlk66784249"/>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说</w:t>
      </w:r>
      <w:r>
        <w:rPr>
          <w:rFonts w:hint="eastAsia" w:ascii="宋体" w:hAnsi="宋体" w:cs="宋体"/>
          <w:b/>
          <w:color w:val="auto"/>
          <w:szCs w:val="21"/>
          <w:highlight w:val="none"/>
        </w:rPr>
        <w:t xml:space="preserve">明：投标人如实填写业绩情况表，</w:t>
      </w:r>
      <w:bookmarkStart w:id="710" w:name="_Hlk66378132"/>
      <w:r>
        <w:rPr>
          <w:rFonts w:hint="eastAsia" w:ascii="宋体" w:hAnsi="宋体" w:cs="宋体"/>
          <w:b/>
          <w:color w:val="auto"/>
          <w:szCs w:val="21"/>
          <w:highlight w:val="none"/>
        </w:rPr>
        <w:t xml:space="preserve">并根据招标文件要求附业绩证明材料。</w:t>
      </w:r>
      <w:bookmarkEnd w:id="710"/>
      <w:r/>
      <w:bookmarkEnd w:id="709"/>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投标人（加盖电子公章）：</w:t>
      </w:r>
      <w:r>
        <w:rPr>
          <w:rFonts w:hint="eastAsia" w:ascii="宋体" w:hAnsi="宋体" w:cs="宋体"/>
          <w:color w:val="auto"/>
          <w:szCs w:val="21"/>
          <w:highlight w:val="none"/>
          <w:u w:val="single"/>
        </w:rPr>
        <w:t xml:space="preserve">                                      </w:t>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highlight w:val="none"/>
        </w:rPr>
      </w:pPr>
      <w:r>
        <w:rPr>
          <w:rFonts w:hint="eastAsia" w:ascii="宋体" w:hAnsi="宋体" w:cs="宋体"/>
          <w:color w:val="auto"/>
          <w:highlight w:val="none"/>
        </w:rPr>
        <w:br w:type="page" w:clear="all"/>
      </w:r>
      <w:r/>
    </w:p>
    <w:p>
      <w:pPr>
        <w:pStyle w:val="1087"/>
        <w:rPr>
          <w:rFonts w:ascii="宋体" w:hAnsi="宋体" w:cs="宋体"/>
          <w:color w:val="auto"/>
          <w:highlight w:val="none"/>
        </w:rPr>
      </w:pPr>
      <w:r/>
      <w:bookmarkStart w:id="711" w:name="_Toc43917780"/>
      <w:r/>
      <w:bookmarkStart w:id="712" w:name="_Toc66375433"/>
      <w:r>
        <w:rPr>
          <w:rFonts w:hint="eastAsia" w:ascii="宋体" w:hAnsi="宋体" w:cs="宋体"/>
          <w:color w:val="auto"/>
          <w:highlight w:val="none"/>
        </w:rPr>
        <w:t xml:space="preserve">附件十、企业声明函</w:t>
      </w:r>
      <w:bookmarkEnd w:id="711"/>
      <w:r/>
      <w:bookmarkEnd w:id="712"/>
      <w:r/>
      <w:r/>
    </w:p>
    <w:p>
      <w:pPr>
        <w:jc w:val="center"/>
        <w:spacing w:line="360" w:lineRule="auto"/>
        <w:rPr>
          <w:rFonts w:ascii="宋体" w:hAnsi="宋体" w:cs="宋体"/>
          <w:b/>
          <w:bCs/>
          <w:color w:val="auto"/>
          <w:sz w:val="28"/>
          <w:szCs w:val="28"/>
          <w:highlight w:val="none"/>
        </w:rPr>
      </w:pPr>
      <w:r/>
      <w:bookmarkStart w:id="713" w:name="_Hlk84581158"/>
      <w:r/>
      <w:bookmarkStart w:id="714" w:name="OLE_LINK13"/>
      <w:r/>
      <w:bookmarkStart w:id="715" w:name="OLE_LINK14"/>
      <w:r>
        <w:rPr>
          <w:rFonts w:hint="eastAsia" w:ascii="宋体" w:hAnsi="宋体" w:cs="宋体"/>
          <w:b/>
          <w:bCs/>
          <w:color w:val="auto"/>
          <w:sz w:val="28"/>
          <w:szCs w:val="28"/>
          <w:highlight w:val="none"/>
        </w:rPr>
        <w:t xml:space="preserve">中小企业声明函</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highlight w:val="none"/>
        </w:rPr>
        <w:t xml:space="preserve">本公司（联合体）郑重声明，根据《政府采购促进中小企业发展管理办法》（财库〔2020 ） 46号）的规定，本公司 （联合体）参加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采购活动，工程的施工单位全部为符合政策要求的中小企业。相关企业（含联合 体中的中小企业、签订分包意向协议的中小企业）的具体情况如下：</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建筑业</w:t>
      </w:r>
      <w:r>
        <w:rPr>
          <w:rFonts w:hint="eastAsia" w:ascii="宋体" w:hAnsi="宋体" w:cs="宋体"/>
          <w:color w:val="auto"/>
          <w:highlight w:val="none"/>
          <w:u w:val="single"/>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w:t>
      </w:r>
      <w:r>
        <w:rPr>
          <w:rFonts w:hint="eastAsia" w:ascii="宋体" w:hAnsi="宋体" w:cs="宋体"/>
          <w:color w:val="auto"/>
          <w:szCs w:val="21"/>
          <w:highlight w:val="none"/>
          <w:u w:val="single"/>
        </w:rPr>
        <w:t xml:space="preserve">□中型企业 □小型企业 □微型企业</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rPr>
          <w:rFonts w:hint="eastAsia" w:ascii="宋体" w:hAnsi="宋体" w:cs="宋体"/>
          <w:color w:val="auto"/>
          <w:highlight w:val="none"/>
        </w:rPr>
        <w:tab/>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right"/>
        <w:spacing w:line="440" w:lineRule="exact"/>
        <w:widowControl/>
        <w:rPr>
          <w:rFonts w:ascii="宋体" w:hAnsi="宋体" w:cs="宋体"/>
          <w:color w:val="auto"/>
          <w:highlight w:val="none"/>
        </w:rPr>
      </w:pPr>
      <w:r>
        <w:rPr>
          <w:rFonts w:hint="eastAsia" w:ascii="宋体" w:hAnsi="宋体" w:cs="宋体"/>
          <w:color w:val="auto"/>
          <w:highlight w:val="none"/>
        </w:rPr>
        <w:t xml:space="preserve">企业名称：（加盖电子公章）</w:t>
      </w:r>
      <w:r/>
    </w:p>
    <w:p>
      <w:pPr>
        <w:ind w:right="1890" w:firstLine="420"/>
        <w:jc w:val="right"/>
        <w:spacing w:line="440" w:lineRule="exact"/>
        <w:widowControl/>
        <w:rPr>
          <w:rFonts w:ascii="宋体" w:hAnsi="宋体" w:cs="宋体"/>
          <w:color w:val="auto"/>
          <w:highlight w:val="none"/>
        </w:rPr>
      </w:pPr>
      <w:r>
        <w:rPr>
          <w:rFonts w:hint="eastAsia" w:ascii="宋体" w:hAnsi="宋体" w:cs="宋体"/>
          <w:color w:val="auto"/>
          <w:highlight w:val="none"/>
        </w:rPr>
        <w:t xml:space="preserve">日  期：</w:t>
      </w:r>
      <w:r/>
    </w:p>
    <w:p>
      <w:pPr>
        <w:ind w:firstLine="422"/>
        <w:jc w:val="left"/>
        <w:spacing w:line="440" w:lineRule="exact"/>
        <w:widowControl/>
        <w:rPr>
          <w:rFonts w:ascii="宋体" w:hAnsi="宋体" w:cs="宋体"/>
          <w:b/>
          <w:bCs/>
          <w:color w:val="auto"/>
          <w:highlight w:val="none"/>
        </w:rPr>
      </w:pPr>
      <w:r>
        <w:rPr>
          <w:rFonts w:hint="eastAsia" w:ascii="宋体" w:hAnsi="宋体" w:cs="宋体"/>
          <w:b/>
          <w:bCs/>
          <w:color w:val="auto"/>
          <w:highlight w:val="none"/>
        </w:rPr>
        <w:t xml:space="preserve">备注：1. 投标人在所属企业类型前的</w:t>
      </w:r>
      <w:r>
        <w:rPr>
          <w:rFonts w:hint="eastAsia" w:ascii="宋体" w:hAnsi="宋体" w:cs="宋体"/>
          <w:b/>
          <w:bCs/>
          <w:color w:val="auto"/>
          <w:szCs w:val="21"/>
          <w:highlight w:val="none"/>
        </w:rPr>
        <w:t xml:space="preserve">□</w:t>
      </w:r>
      <w:r>
        <w:rPr>
          <w:rFonts w:hint="eastAsia" w:ascii="宋体" w:hAnsi="宋体" w:cs="宋体"/>
          <w:b/>
          <w:bCs/>
          <w:color w:val="auto"/>
          <w:highlight w:val="none"/>
        </w:rPr>
        <w:t xml:space="preserve">内打“√”。</w:t>
      </w:r>
      <w:r/>
    </w:p>
    <w:p>
      <w:pPr>
        <w:ind w:firstLine="1054"/>
        <w:jc w:val="left"/>
        <w:spacing w:line="440" w:lineRule="exact"/>
        <w:widowControl/>
        <w:rPr>
          <w:rFonts w:ascii="宋体" w:hAnsi="宋体" w:cs="宋体"/>
          <w:b/>
          <w:bCs/>
          <w:color w:val="auto"/>
          <w:highlight w:val="none"/>
        </w:rPr>
      </w:pPr>
      <w:r>
        <w:rPr>
          <w:rFonts w:hint="eastAsia" w:ascii="宋体" w:hAnsi="宋体" w:cs="宋体"/>
          <w:b/>
          <w:bCs/>
          <w:color w:val="auto"/>
          <w:highlight w:val="none"/>
        </w:rPr>
        <w:t xml:space="preserve">2.</w:t>
      </w:r>
      <w:bookmarkStart w:id="716" w:name="OLE_LINK59"/>
      <w:r>
        <w:rPr>
          <w:rFonts w:hint="eastAsia" w:ascii="宋体" w:hAnsi="宋体" w:cs="宋体"/>
          <w:b/>
          <w:bCs/>
          <w:color w:val="auto"/>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716"/>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bookmarkEnd w:id="713"/>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残疾人福利性单位声明函</w:t>
      </w:r>
      <w:bookmarkEnd w:id="714"/>
      <w:r/>
      <w:bookmarkEnd w:id="715"/>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630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单位名称：（加盖电子公章）</w:t>
      </w:r>
      <w:r/>
    </w:p>
    <w:p>
      <w:pPr>
        <w:ind w:firstLine="630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属于监狱企业的证明文件</w:t>
      </w:r>
      <w:r/>
    </w:p>
    <w:p>
      <w:pPr>
        <w:spacing w:line="360" w:lineRule="auto"/>
        <w:rPr>
          <w:rFonts w:ascii="宋体" w:hAnsi="宋体" w:cs="宋体"/>
          <w:color w:val="auto"/>
          <w:highlight w:val="none"/>
        </w:rPr>
      </w:pPr>
      <w:r>
        <w:rPr>
          <w:rFonts w:hint="eastAsia" w:ascii="宋体" w:hAnsi="宋体" w:cs="宋体"/>
          <w:color w:val="auto"/>
          <w:highlight w:val="none"/>
        </w:rPr>
        <w:t xml:space="preserve">（提供由省级以上监狱管理局、戒毒管理局(含新疆生产建设兵团)出具的属于监狱企业的证明文件）</w:t>
      </w:r>
      <w:r>
        <w:rPr>
          <w:rFonts w:hint="eastAsia" w:ascii="宋体" w:hAnsi="宋体" w:cs="宋体"/>
          <w:color w:val="auto"/>
          <w:highlight w:val="none"/>
        </w:rPr>
        <w:br w:type="page" w:clear="all"/>
      </w:r>
      <w:r/>
    </w:p>
    <w:p>
      <w:pPr>
        <w:pStyle w:val="1087"/>
        <w:rPr>
          <w:rFonts w:ascii="宋体" w:hAnsi="宋体" w:cs="宋体"/>
          <w:color w:val="auto"/>
          <w:highlight w:val="none"/>
        </w:rPr>
      </w:pPr>
      <w:r/>
      <w:bookmarkStart w:id="717" w:name="_Toc43917781"/>
      <w:r/>
      <w:bookmarkStart w:id="718" w:name="_Toc66375434"/>
      <w:r>
        <w:rPr>
          <w:rFonts w:hint="eastAsia" w:ascii="宋体" w:hAnsi="宋体" w:cs="宋体"/>
          <w:color w:val="auto"/>
          <w:highlight w:val="none"/>
        </w:rPr>
        <w:t xml:space="preserve">附件十一、无重大违法记录声明</w:t>
      </w:r>
      <w:bookmarkEnd w:id="717"/>
      <w:r/>
      <w:bookmarkEnd w:id="718"/>
      <w:r/>
      <w:r/>
    </w:p>
    <w:p>
      <w:pPr>
        <w:jc w:val="center"/>
        <w:spacing w:line="240" w:lineRule="atLeast"/>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240" w:lineRule="atLeas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无重大违法记录声明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rPr>
        <w:t xml:space="preserve">南京审计大学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江苏国采工程咨询有限公司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（投标人名称）郑重声明：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（在下划线上如实填写：有或没有）重大违法记录。</w:t>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5103"/>
        <w:spacing w:line="360" w:lineRule="auto"/>
        <w:rPr>
          <w:rFonts w:ascii="宋体" w:hAnsi="宋体" w:cs="宋体"/>
          <w:color w:val="auto"/>
          <w:highlight w:val="none"/>
        </w:rPr>
      </w:pPr>
      <w:r>
        <w:rPr>
          <w:rFonts w:hint="eastAsia" w:ascii="宋体" w:hAnsi="宋体" w:cs="宋体"/>
          <w:color w:val="auto"/>
          <w:highlight w:val="none"/>
        </w:rPr>
        <w:t xml:space="preserve">声明人： （</w:t>
      </w:r>
      <w:r>
        <w:rPr>
          <w:rFonts w:hint="eastAsia" w:ascii="宋体" w:hAnsi="宋体" w:cs="宋体"/>
          <w:color w:val="auto"/>
          <w:highlight w:val="none"/>
        </w:rPr>
        <w:t xml:space="preserve">加盖电子公章</w:t>
      </w:r>
      <w:r>
        <w:rPr>
          <w:rFonts w:hint="eastAsia" w:ascii="宋体" w:hAnsi="宋体" w:cs="宋体"/>
          <w:color w:val="auto"/>
          <w:highlight w:val="none"/>
        </w:rPr>
        <w:t xml:space="preserve">）</w:t>
      </w:r>
      <w:r/>
    </w:p>
    <w:p>
      <w:pPr>
        <w:ind w:firstLine="504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rPr>
          <w:rFonts w:hint="eastAsia" w:ascii="宋体" w:hAnsi="宋体" w:cs="宋体"/>
          <w:color w:val="auto"/>
          <w:szCs w:val="21"/>
          <w:highlight w:val="none"/>
          <w:lang w:val="zh-CN"/>
        </w:rPr>
        <w:br w:type="page" w:clear="all"/>
      </w:r>
      <w:r/>
    </w:p>
    <w:p>
      <w:pPr>
        <w:pStyle w:val="1087"/>
        <w:rPr>
          <w:rFonts w:ascii="宋体" w:hAnsi="宋体" w:cs="宋体"/>
          <w:color w:val="auto"/>
          <w:highlight w:val="none"/>
        </w:rPr>
      </w:pPr>
      <w:r/>
      <w:bookmarkStart w:id="719" w:name="_Toc1487"/>
      <w:r>
        <w:rPr>
          <w:rFonts w:hint="eastAsia" w:ascii="宋体" w:hAnsi="宋体" w:cs="宋体"/>
          <w:color w:val="auto"/>
          <w:highlight w:val="none"/>
        </w:rPr>
        <w:t xml:space="preserve">附件十二、具有履行合同所必需的设备和专业技术能力的声明</w:t>
      </w:r>
      <w:bookmarkEnd w:id="719"/>
      <w:r/>
      <w:r/>
    </w:p>
    <w:p>
      <w:pPr>
        <w:jc w:val="center"/>
        <w:spacing w:line="240" w:lineRule="atLeast"/>
        <w:rPr>
          <w:rFonts w:ascii="宋体" w:hAnsi="宋体" w:cs="宋体"/>
          <w:b/>
          <w:bCs/>
          <w:color w:val="auto"/>
          <w:sz w:val="32"/>
          <w:szCs w:val="32"/>
          <w:highlight w:val="none"/>
        </w:rPr>
      </w:pPr>
      <w:r/>
      <w:bookmarkStart w:id="720" w:name="_Toc3130"/>
      <w:r/>
      <w:r/>
    </w:p>
    <w:p>
      <w:pPr>
        <w:jc w:val="center"/>
        <w:spacing w:line="240" w:lineRule="atLeas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具有履行合同所必需的设备和专业技术能力的声明</w:t>
      </w:r>
      <w:bookmarkEnd w:id="720"/>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致：南京审计大学</w:t>
      </w:r>
      <w:r/>
    </w:p>
    <w:p>
      <w:pPr>
        <w:spacing w:line="360" w:lineRule="auto"/>
        <w:rPr>
          <w:rFonts w:ascii="宋体" w:hAnsi="宋体" w:cs="宋体"/>
          <w:color w:val="auto"/>
          <w:highlight w:val="none"/>
        </w:rPr>
      </w:pPr>
      <w:r>
        <w:rPr>
          <w:rFonts w:hint="eastAsia" w:ascii="宋体" w:hAnsi="宋体" w:cs="宋体"/>
          <w:color w:val="auto"/>
          <w:highlight w:val="none"/>
          <w:shd w:val="clear" w:color="auto" w:fill="ffffff"/>
          <w:lang w:val="zh-CN"/>
        </w:rPr>
        <w:t xml:space="preserve">    江苏国采工程咨询有限公司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（投标人名称）郑重声明：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主要设备有：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。（材料附后）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主要专业技术能力有：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。（材料附后）</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left="630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声明人：（</w:t>
      </w:r>
      <w:r>
        <w:rPr>
          <w:rFonts w:hint="eastAsia" w:ascii="宋体" w:hAnsi="宋体" w:cs="宋体"/>
          <w:color w:val="auto"/>
          <w:highlight w:val="none"/>
        </w:rPr>
        <w:t xml:space="preserve">加盖电子公章</w:t>
      </w:r>
      <w:r>
        <w:rPr>
          <w:rFonts w:hint="eastAsia" w:ascii="宋体" w:hAnsi="宋体" w:cs="宋体"/>
          <w:color w:val="auto"/>
          <w:szCs w:val="21"/>
          <w:highlight w:val="none"/>
        </w:rPr>
        <w:t xml:space="preserve">）</w:t>
      </w:r>
      <w:r/>
    </w:p>
    <w:p>
      <w:pPr>
        <w:ind w:left="630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504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rPr>
          <w:rFonts w:ascii="宋体" w:hAnsi="宋体" w:cs="宋体"/>
          <w:b/>
          <w:bCs/>
          <w:color w:val="auto"/>
          <w:highlight w:val="none"/>
        </w:rPr>
      </w:pPr>
      <w:r>
        <w:rPr>
          <w:rFonts w:ascii="宋体" w:hAnsi="宋体" w:cs="宋体"/>
          <w:b/>
          <w:bCs/>
          <w:color w:val="auto"/>
          <w:highlight w:val="none"/>
        </w:rPr>
      </w:r>
      <w:r/>
    </w:p>
    <w:sectPr>
      <w:footerReference w:type="default" r:id="rId16"/>
      <w:footerReference w:type="first" r:id="rId17"/>
      <w:footnotePr/>
      <w:endnotePr/>
      <w:type w:val="nextPage"/>
      <w:pgSz w:w="11906" w:h="16838" w:orient="portrait"/>
      <w:pgMar w:top="1134" w:right="1134" w:bottom="1134" w:left="1134"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Arial Unicode MS">
    <w:panose1 w:val="020B0604020202020204"/>
  </w:font>
  <w:font w:name="Symbol">
    <w:panose1 w:val="05050102010706020507"/>
  </w:font>
  <w:font w:name="Wingdings">
    <w:panose1 w:val="05000000000000000000"/>
  </w:font>
  <w:font w:name="楷体_GB2312">
    <w:panose1 w:val="02010609060101010101"/>
  </w:font>
  <w:font w:name="KNLe">
    <w:panose1 w:val="020B0503020202020204"/>
  </w:font>
  <w:font w:name="Courier New">
    <w:panose1 w:val="02070309020205020404"/>
  </w:font>
  <w:font w:name="Tahoma">
    <w:panose1 w:val="020B0604030504040204"/>
  </w:font>
  <w:font w:name="华文细黑">
    <w:panose1 w:val="0201060004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111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1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ascii="宋体" w:hAnsi="宋体" w:cs="宋体"/>
        <w:szCs w:val="21"/>
      </w:rPr>
      <w:t xml:space="preserve">26</w:t>
    </w:r>
    <w:r>
      <w:rPr>
        <w:rFonts w:hint="eastAsia" w:ascii="宋体" w:hAnsi="宋体" w:cs="宋体"/>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33985" cy="172720"/>
              <wp:effectExtent l="0" t="0" r="0" b="0"/>
              <wp:wrapNone/>
              <wp:docPr id="7" name="文本框 30"/>
              <wp:cNvGraphicFramePr/>
              <a:graphic xmlns:a="http://schemas.openxmlformats.org/drawingml/2006/main">
                <a:graphicData uri="http://schemas.microsoft.com/office/word/2010/wordprocessingShape">
                  <wps:wsp>
                    <wps:cNvPr id="0" name=""/>
                    <wps:cNvSpPr txBox="1"/>
                    <wps:spPr bwMode="auto">
                      <a:xfrm>
                        <a:off x="0" y="0"/>
                        <a:ext cx="133985" cy="172720"/>
                      </a:xfrm>
                      <a:prstGeom prst="rect">
                        <a:avLst/>
                      </a:prstGeom>
                      <a:noFill/>
                      <a:ln w="6350">
                        <a:noFill/>
                      </a:ln>
                      <a:effectLst/>
                    </wps:spPr>
                    <wps:txbx>
                      <w:txbxContent>
                        <w:p>
                          <w:pPr>
                            <w:jc w:val="left"/>
                            <w:rPr>
                              <w:rFonts w:ascii="宋体" w:cs="宋体"/>
                              <w:szCs w:val="21"/>
                            </w:rPr>
                          </w:pPr>
                          <w:r>
                            <w:rPr>
                              <w:rFonts w:ascii="宋体" w:hAnsi="宋体" w:cs="宋体"/>
                              <w:szCs w:val="21"/>
                            </w:rPr>
                            <w:fldChar w:fldCharType="begin"/>
                          </w:r>
                          <w:r>
                            <w:rPr>
                              <w:rFonts w:ascii="宋体" w:hAnsi="宋体" w:cs="宋体"/>
                              <w:szCs w:val="21"/>
                            </w:rPr>
                            <w:instrText xml:space="preserve"> PAGE  \* MERGEFORMAT </w:instrText>
                          </w:r>
                          <w:r>
                            <w:rPr>
                              <w:rFonts w:ascii="宋体" w:hAnsi="宋体" w:cs="宋体"/>
                              <w:szCs w:val="21"/>
                            </w:rPr>
                            <w:fldChar w:fldCharType="separate"/>
                          </w:r>
                          <w:r>
                            <w:rPr>
                              <w:rFonts w:ascii="宋体" w:hAnsi="宋体" w:cs="宋体"/>
                              <w:szCs w:val="21"/>
                            </w:rPr>
                            <w:t xml:space="preserve">43</w:t>
                          </w:r>
                          <w:r>
                            <w:rPr>
                              <w:rFonts w:ascii="宋体" w:hAnsi="宋体" w:cs="宋体"/>
                              <w:szCs w:val="21"/>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0.5pt;height:13.6pt;mso-wrap-distance-left:9.0pt;mso-wrap-distance-top:0.0pt;mso-wrap-distance-right:9.0pt;mso-wrap-distance-bottom:0.0pt;visibility:visible;" filled="f" stroked="f" strokeweight="0.50pt">
              <v:textbox inset="0,0,0,0">
                <w:txbxContent>
                  <w:p>
                    <w:pPr>
                      <w:jc w:val="left"/>
                      <w:rPr>
                        <w:rFonts w:ascii="宋体" w:cs="宋体"/>
                        <w:szCs w:val="21"/>
                      </w:rPr>
                    </w:pPr>
                    <w:r>
                      <w:rPr>
                        <w:rFonts w:ascii="宋体" w:hAnsi="宋体" w:cs="宋体"/>
                        <w:szCs w:val="21"/>
                      </w:rPr>
                      <w:fldChar w:fldCharType="begin"/>
                    </w:r>
                    <w:r>
                      <w:rPr>
                        <w:rFonts w:ascii="宋体" w:hAnsi="宋体" w:cs="宋体"/>
                        <w:szCs w:val="21"/>
                      </w:rPr>
                      <w:instrText xml:space="preserve"> PAGE  \* MERGEFORMAT </w:instrText>
                    </w:r>
                    <w:r>
                      <w:rPr>
                        <w:rFonts w:ascii="宋体" w:hAnsi="宋体" w:cs="宋体"/>
                        <w:szCs w:val="21"/>
                      </w:rPr>
                      <w:fldChar w:fldCharType="separate"/>
                    </w:r>
                    <w:r>
                      <w:rPr>
                        <w:rFonts w:ascii="宋体" w:hAnsi="宋体" w:cs="宋体"/>
                        <w:szCs w:val="21"/>
                      </w:rPr>
                      <w:t xml:space="preserve">43</w:t>
                    </w:r>
                    <w:r>
                      <w:rPr>
                        <w:rFonts w:ascii="宋体" w:hAnsi="宋体" w:cs="宋体"/>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54</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54</w:t>
                    </w:r>
                    <w:r>
                      <w:rPr>
                        <w:rFonts w:hint="eastAsia" w:ascii="宋体" w:hAnsi="宋体" w:eastAsia="宋体" w:cs="宋体"/>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54</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54</w:t>
                    </w:r>
                    <w:r>
                      <w:rPr>
                        <w:rFonts w:hint="eastAsia" w:ascii="宋体" w:hAnsi="宋体" w:eastAsia="宋体" w:cs="宋体"/>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28" w:lineRule="auto"/>
      <w:widowControl/>
      <w:rPr>
        <w:rFonts w:ascii="宋体" w:cs="宋体"/>
        <w:color w:val="000000"/>
        <w:sz w:val="19"/>
        <w:szCs w:val="19"/>
      </w:rPr>
      <w:pBdr>
        <w:bottom w:val="single" w:color="auto" w:sz="4" w:space="0"/>
      </w:pBdr>
    </w:pPr>
    <w:r>
      <w:rPr>
        <w:rFonts w:ascii="宋体" w:cs="宋体"/>
        <w:color w:val="000000"/>
        <w:sz w:val="19"/>
        <w:szCs w:val="19"/>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374015</wp:posOffset>
              </wp:positionH>
              <wp:positionV relativeFrom="paragraph">
                <wp:posOffset>-147320</wp:posOffset>
              </wp:positionV>
              <wp:extent cx="2110105" cy="299085"/>
              <wp:effectExtent l="0" t="0" r="4445" b="5080"/>
              <wp:wrapNone/>
              <wp:docPr id="5"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29.4pt;mso-position-horizontal:absolute;mso-position-vertical-relative:text;margin-top:-11.6pt;mso-position-vertical:absolute;width:166.2pt;height:23.5pt;mso-wrap-distance-left:9.0pt;mso-wrap-distance-top:0.0pt;mso-wrap-distance-right:9.0pt;mso-wrap-distance-bottom:0.0pt;" stroked="f" strokeweight="0.75pt">
              <v:path textboxrect="0,0,0,0"/>
              <v:imagedata r:id="rId1" o:title=""/>
            </v:shape>
          </w:pict>
        </mc:Fallback>
      </mc:AlternateContent>
    </w:r>
    <w:r>
      <w:rPr>
        <w:rFonts w:ascii="宋体" w:cs="宋体"/>
        <w:color w:val="000000"/>
        <w:sz w:val="19"/>
        <w:szCs w:val="19"/>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24130</wp:posOffset>
              </wp:positionH>
              <wp:positionV relativeFrom="paragraph">
                <wp:posOffset>-128905</wp:posOffset>
              </wp:positionV>
              <wp:extent cx="326390" cy="259080"/>
              <wp:effectExtent l="0" t="0" r="16510" b="7620"/>
              <wp:wrapNone/>
              <wp:docPr id="6"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1.9pt;mso-position-horizontal:absolute;mso-position-vertical-relative:text;margin-top:-10.2pt;mso-position-vertical:absolute;width:25.7pt;height:20.4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449" w:hanging="441"/>
      </w:pPr>
      <w:rPr>
        <w:rFonts w:ascii="宋体" w:hAnsi="宋体" w:eastAsia="宋体"/>
        <w:spacing w:val="-3"/>
        <w:sz w:val="20"/>
        <w:szCs w:val="20"/>
        <w:lang w:val="zh-CN" w:eastAsia="zh-CN" w:bidi="zh-CN"/>
      </w:rPr>
    </w:lvl>
    <w:lvl w:ilvl="1">
      <w:start w:val="0"/>
      <w:numFmt w:val="bullet"/>
      <w:isLgl w:val="false"/>
      <w:suff w:val="tab"/>
      <w:lvlText w:val="•"/>
      <w:lvlJc w:val="left"/>
      <w:pPr>
        <w:ind w:left="1061" w:hanging="441"/>
      </w:pPr>
      <w:rPr>
        <w:lang w:val="zh-CN" w:eastAsia="zh-CN" w:bidi="zh-CN"/>
      </w:rPr>
    </w:lvl>
    <w:lvl w:ilvl="2">
      <w:start w:val="0"/>
      <w:numFmt w:val="bullet"/>
      <w:isLgl w:val="false"/>
      <w:suff w:val="tab"/>
      <w:lvlText w:val="•"/>
      <w:lvlJc w:val="left"/>
      <w:pPr>
        <w:ind w:left="1682" w:hanging="441"/>
      </w:pPr>
      <w:rPr>
        <w:lang w:val="zh-CN" w:eastAsia="zh-CN" w:bidi="zh-CN"/>
      </w:rPr>
    </w:lvl>
    <w:lvl w:ilvl="3">
      <w:start w:val="0"/>
      <w:numFmt w:val="bullet"/>
      <w:isLgl w:val="false"/>
      <w:suff w:val="tab"/>
      <w:lvlText w:val="•"/>
      <w:lvlJc w:val="left"/>
      <w:pPr>
        <w:ind w:left="2303" w:hanging="441"/>
      </w:pPr>
      <w:rPr>
        <w:lang w:val="zh-CN" w:eastAsia="zh-CN" w:bidi="zh-CN"/>
      </w:rPr>
    </w:lvl>
    <w:lvl w:ilvl="4">
      <w:start w:val="0"/>
      <w:numFmt w:val="bullet"/>
      <w:isLgl w:val="false"/>
      <w:suff w:val="tab"/>
      <w:lvlText w:val="•"/>
      <w:lvlJc w:val="left"/>
      <w:pPr>
        <w:ind w:left="2924" w:hanging="441"/>
      </w:pPr>
      <w:rPr>
        <w:lang w:val="zh-CN" w:eastAsia="zh-CN" w:bidi="zh-CN"/>
      </w:rPr>
    </w:lvl>
    <w:lvl w:ilvl="5">
      <w:start w:val="0"/>
      <w:numFmt w:val="bullet"/>
      <w:isLgl w:val="false"/>
      <w:suff w:val="tab"/>
      <w:lvlText w:val="•"/>
      <w:lvlJc w:val="left"/>
      <w:pPr>
        <w:ind w:left="3546" w:hanging="441"/>
      </w:pPr>
      <w:rPr>
        <w:lang w:val="zh-CN" w:eastAsia="zh-CN" w:bidi="zh-CN"/>
      </w:rPr>
    </w:lvl>
    <w:lvl w:ilvl="6">
      <w:start w:val="0"/>
      <w:numFmt w:val="bullet"/>
      <w:isLgl w:val="false"/>
      <w:suff w:val="tab"/>
      <w:lvlText w:val="•"/>
      <w:lvlJc w:val="left"/>
      <w:pPr>
        <w:ind w:left="4167" w:hanging="441"/>
      </w:pPr>
      <w:rPr>
        <w:lang w:val="zh-CN" w:eastAsia="zh-CN" w:bidi="zh-CN"/>
      </w:rPr>
    </w:lvl>
    <w:lvl w:ilvl="7">
      <w:start w:val="0"/>
      <w:numFmt w:val="bullet"/>
      <w:isLgl w:val="false"/>
      <w:suff w:val="tab"/>
      <w:lvlText w:val="•"/>
      <w:lvlJc w:val="left"/>
      <w:pPr>
        <w:ind w:left="4788" w:hanging="441"/>
      </w:pPr>
      <w:rPr>
        <w:lang w:val="zh-CN" w:eastAsia="zh-CN" w:bidi="zh-CN"/>
      </w:rPr>
    </w:lvl>
    <w:lvl w:ilvl="8">
      <w:start w:val="0"/>
      <w:numFmt w:val="bullet"/>
      <w:isLgl w:val="false"/>
      <w:suff w:val="tab"/>
      <w:lvlText w:val="•"/>
      <w:lvlJc w:val="left"/>
      <w:pPr>
        <w:ind w:left="5409" w:hanging="441"/>
      </w:pPr>
      <w:rPr>
        <w:lang w:val="zh-CN" w:eastAsia="zh-CN" w:bidi="zh-CN"/>
      </w:rPr>
    </w:lvl>
  </w:abstractNum>
  <w:abstractNum w:abstractNumId="1">
    <w:multiLevelType w:val="hybridMultilevel"/>
    <w:lvl w:ilvl="0">
      <w:start w:val="14"/>
      <w:numFmt w:val="decimal"/>
      <w:isLgl w:val="false"/>
      <w:suff w:val="tab"/>
      <w:lvlText w:val="%1."/>
      <w:lvlJc w:val="left"/>
      <w:pPr>
        <w:ind w:left="449" w:hanging="441"/>
      </w:pPr>
      <w:rPr>
        <w:rFonts w:ascii="宋体" w:hAnsi="宋体" w:eastAsia="宋体"/>
        <w:spacing w:val="-3"/>
        <w:sz w:val="20"/>
        <w:szCs w:val="20"/>
        <w:lang w:val="zh-CN" w:eastAsia="zh-CN" w:bidi="zh-CN"/>
      </w:rPr>
    </w:lvl>
    <w:lvl w:ilvl="1">
      <w:start w:val="0"/>
      <w:numFmt w:val="bullet"/>
      <w:isLgl w:val="false"/>
      <w:suff w:val="tab"/>
      <w:lvlText w:val="•"/>
      <w:lvlJc w:val="left"/>
      <w:pPr>
        <w:ind w:left="1061" w:hanging="441"/>
      </w:pPr>
      <w:rPr>
        <w:lang w:val="zh-CN" w:eastAsia="zh-CN" w:bidi="zh-CN"/>
      </w:rPr>
    </w:lvl>
    <w:lvl w:ilvl="2">
      <w:start w:val="0"/>
      <w:numFmt w:val="bullet"/>
      <w:isLgl w:val="false"/>
      <w:suff w:val="tab"/>
      <w:lvlText w:val="•"/>
      <w:lvlJc w:val="left"/>
      <w:pPr>
        <w:ind w:left="1682" w:hanging="441"/>
      </w:pPr>
      <w:rPr>
        <w:lang w:val="zh-CN" w:eastAsia="zh-CN" w:bidi="zh-CN"/>
      </w:rPr>
    </w:lvl>
    <w:lvl w:ilvl="3">
      <w:start w:val="0"/>
      <w:numFmt w:val="bullet"/>
      <w:isLgl w:val="false"/>
      <w:suff w:val="tab"/>
      <w:lvlText w:val="•"/>
      <w:lvlJc w:val="left"/>
      <w:pPr>
        <w:ind w:left="2303" w:hanging="441"/>
      </w:pPr>
      <w:rPr>
        <w:lang w:val="zh-CN" w:eastAsia="zh-CN" w:bidi="zh-CN"/>
      </w:rPr>
    </w:lvl>
    <w:lvl w:ilvl="4">
      <w:start w:val="0"/>
      <w:numFmt w:val="bullet"/>
      <w:isLgl w:val="false"/>
      <w:suff w:val="tab"/>
      <w:lvlText w:val="•"/>
      <w:lvlJc w:val="left"/>
      <w:pPr>
        <w:ind w:left="2924" w:hanging="441"/>
      </w:pPr>
      <w:rPr>
        <w:lang w:val="zh-CN" w:eastAsia="zh-CN" w:bidi="zh-CN"/>
      </w:rPr>
    </w:lvl>
    <w:lvl w:ilvl="5">
      <w:start w:val="0"/>
      <w:numFmt w:val="bullet"/>
      <w:isLgl w:val="false"/>
      <w:suff w:val="tab"/>
      <w:lvlText w:val="•"/>
      <w:lvlJc w:val="left"/>
      <w:pPr>
        <w:ind w:left="3546" w:hanging="441"/>
      </w:pPr>
      <w:rPr>
        <w:lang w:val="zh-CN" w:eastAsia="zh-CN" w:bidi="zh-CN"/>
      </w:rPr>
    </w:lvl>
    <w:lvl w:ilvl="6">
      <w:start w:val="0"/>
      <w:numFmt w:val="bullet"/>
      <w:isLgl w:val="false"/>
      <w:suff w:val="tab"/>
      <w:lvlText w:val="•"/>
      <w:lvlJc w:val="left"/>
      <w:pPr>
        <w:ind w:left="4167" w:hanging="441"/>
      </w:pPr>
      <w:rPr>
        <w:lang w:val="zh-CN" w:eastAsia="zh-CN" w:bidi="zh-CN"/>
      </w:rPr>
    </w:lvl>
    <w:lvl w:ilvl="7">
      <w:start w:val="0"/>
      <w:numFmt w:val="bullet"/>
      <w:isLgl w:val="false"/>
      <w:suff w:val="tab"/>
      <w:lvlText w:val="•"/>
      <w:lvlJc w:val="left"/>
      <w:pPr>
        <w:ind w:left="4788" w:hanging="441"/>
      </w:pPr>
      <w:rPr>
        <w:lang w:val="zh-CN" w:eastAsia="zh-CN" w:bidi="zh-CN"/>
      </w:rPr>
    </w:lvl>
    <w:lvl w:ilvl="8">
      <w:start w:val="0"/>
      <w:numFmt w:val="bullet"/>
      <w:isLgl w:val="false"/>
      <w:suff w:val="tab"/>
      <w:lvlText w:val="•"/>
      <w:lvlJc w:val="left"/>
      <w:pPr>
        <w:ind w:left="5409" w:hanging="441"/>
      </w:pPr>
      <w:rPr>
        <w:lang w:val="zh-CN" w:eastAsia="zh-CN" w:bidi="zh-CN"/>
      </w:rPr>
    </w:lvl>
  </w:abstractNum>
  <w:abstractNum w:abstractNumId="2">
    <w:multiLevelType w:val="hybridMultilevel"/>
    <w:lvl w:ilvl="0">
      <w:start w:val="4"/>
      <w:numFmt w:val="decimal"/>
      <w:isLgl w:val="false"/>
      <w:suff w:val="tab"/>
      <w:lvlText w:val="%1."/>
      <w:lvlJc w:val="left"/>
      <w:pPr>
        <w:ind w:left="338" w:hanging="331"/>
      </w:pPr>
      <w:rPr>
        <w:rFonts w:ascii="宋体" w:hAnsi="宋体" w:eastAsia="宋体"/>
        <w:spacing w:val="-3"/>
        <w:sz w:val="20"/>
        <w:szCs w:val="20"/>
        <w:lang w:val="zh-CN" w:eastAsia="zh-CN" w:bidi="zh-CN"/>
      </w:rPr>
    </w:lvl>
    <w:lvl w:ilvl="1">
      <w:start w:val="0"/>
      <w:numFmt w:val="bullet"/>
      <w:isLgl w:val="false"/>
      <w:suff w:val="tab"/>
      <w:lvlText w:val="•"/>
      <w:lvlJc w:val="left"/>
      <w:pPr>
        <w:ind w:left="971" w:hanging="331"/>
      </w:pPr>
      <w:rPr>
        <w:lang w:val="zh-CN" w:eastAsia="zh-CN" w:bidi="zh-CN"/>
      </w:rPr>
    </w:lvl>
    <w:lvl w:ilvl="2">
      <w:start w:val="0"/>
      <w:numFmt w:val="bullet"/>
      <w:isLgl w:val="false"/>
      <w:suff w:val="tab"/>
      <w:lvlText w:val="•"/>
      <w:lvlJc w:val="left"/>
      <w:pPr>
        <w:ind w:left="1602" w:hanging="331"/>
      </w:pPr>
      <w:rPr>
        <w:lang w:val="zh-CN" w:eastAsia="zh-CN" w:bidi="zh-CN"/>
      </w:rPr>
    </w:lvl>
    <w:lvl w:ilvl="3">
      <w:start w:val="0"/>
      <w:numFmt w:val="bullet"/>
      <w:isLgl w:val="false"/>
      <w:suff w:val="tab"/>
      <w:lvlText w:val="•"/>
      <w:lvlJc w:val="left"/>
      <w:pPr>
        <w:ind w:left="2233" w:hanging="331"/>
      </w:pPr>
      <w:rPr>
        <w:lang w:val="zh-CN" w:eastAsia="zh-CN" w:bidi="zh-CN"/>
      </w:rPr>
    </w:lvl>
    <w:lvl w:ilvl="4">
      <w:start w:val="0"/>
      <w:numFmt w:val="bullet"/>
      <w:isLgl w:val="false"/>
      <w:suff w:val="tab"/>
      <w:lvlText w:val="•"/>
      <w:lvlJc w:val="left"/>
      <w:pPr>
        <w:ind w:left="2864" w:hanging="331"/>
      </w:pPr>
      <w:rPr>
        <w:lang w:val="zh-CN" w:eastAsia="zh-CN" w:bidi="zh-CN"/>
      </w:rPr>
    </w:lvl>
    <w:lvl w:ilvl="5">
      <w:start w:val="0"/>
      <w:numFmt w:val="bullet"/>
      <w:isLgl w:val="false"/>
      <w:suff w:val="tab"/>
      <w:lvlText w:val="•"/>
      <w:lvlJc w:val="left"/>
      <w:pPr>
        <w:ind w:left="3496" w:hanging="331"/>
      </w:pPr>
      <w:rPr>
        <w:lang w:val="zh-CN" w:eastAsia="zh-CN" w:bidi="zh-CN"/>
      </w:rPr>
    </w:lvl>
    <w:lvl w:ilvl="6">
      <w:start w:val="0"/>
      <w:numFmt w:val="bullet"/>
      <w:isLgl w:val="false"/>
      <w:suff w:val="tab"/>
      <w:lvlText w:val="•"/>
      <w:lvlJc w:val="left"/>
      <w:pPr>
        <w:ind w:left="4127" w:hanging="331"/>
      </w:pPr>
      <w:rPr>
        <w:lang w:val="zh-CN" w:eastAsia="zh-CN" w:bidi="zh-CN"/>
      </w:rPr>
    </w:lvl>
    <w:lvl w:ilvl="7">
      <w:start w:val="0"/>
      <w:numFmt w:val="bullet"/>
      <w:isLgl w:val="false"/>
      <w:suff w:val="tab"/>
      <w:lvlText w:val="•"/>
      <w:lvlJc w:val="left"/>
      <w:pPr>
        <w:ind w:left="4758" w:hanging="331"/>
      </w:pPr>
      <w:rPr>
        <w:lang w:val="zh-CN" w:eastAsia="zh-CN" w:bidi="zh-CN"/>
      </w:rPr>
    </w:lvl>
    <w:lvl w:ilvl="8">
      <w:start w:val="0"/>
      <w:numFmt w:val="bullet"/>
      <w:isLgl w:val="false"/>
      <w:suff w:val="tab"/>
      <w:lvlText w:val="•"/>
      <w:lvlJc w:val="left"/>
      <w:pPr>
        <w:ind w:left="5389" w:hanging="331"/>
      </w:pPr>
      <w:rPr>
        <w:lang w:val="zh-CN" w:eastAsia="zh-CN" w:bidi="zh-CN"/>
      </w:rPr>
    </w:lvl>
  </w:abstractNum>
  <w:abstractNum w:abstractNumId="3">
    <w:multiLevelType w:val="hybridMultilevel"/>
    <w:lvl w:ilvl="0">
      <w:start w:val="1"/>
      <w:numFmt w:val="chineseCountingThousand"/>
      <w:pStyle w:val="1086"/>
      <w:isLgl w:val="false"/>
      <w:suff w:val="nothing"/>
      <w:lvlText w:val="第%1章"/>
      <w:lvlJc w:val="left"/>
      <w:pPr>
        <w:ind w:left="567" w:firstLine="0"/>
      </w:pPr>
    </w:lvl>
    <w:lvl w:ilvl="1">
      <w:start w:val="1"/>
      <w:numFmt w:val="none"/>
      <w:pStyle w:val="1087"/>
      <w:isLgl w:val="false"/>
      <w:suff w:val="nothing"/>
      <w:lvlText w:val=""/>
      <w:lvlJc w:val="left"/>
      <w:pPr>
        <w:ind w:left="0" w:firstLine="0"/>
      </w:pPr>
    </w:lvl>
    <w:lvl w:ilvl="2">
      <w:start w:val="1"/>
      <w:numFmt w:val="none"/>
      <w:pStyle w:val="1088"/>
      <w:isLgl w:val="false"/>
      <w:suff w:val="nothing"/>
      <w:lvlText w:val=""/>
      <w:lvlJc w:val="left"/>
      <w:pPr>
        <w:ind w:left="0" w:firstLine="0"/>
      </w:pPr>
    </w:lvl>
    <w:lvl w:ilvl="3">
      <w:start w:val="1"/>
      <w:numFmt w:val="none"/>
      <w:pStyle w:val="1089"/>
      <w:isLgl w:val="false"/>
      <w:suff w:val="nothing"/>
      <w:lvlText w:val=""/>
      <w:lvlJc w:val="left"/>
      <w:pPr>
        <w:ind w:left="0" w:firstLine="0"/>
      </w:pPr>
    </w:lvl>
    <w:lvl w:ilvl="4">
      <w:start w:val="1"/>
      <w:numFmt w:val="none"/>
      <w:pStyle w:val="1090"/>
      <w:isLgl w:val="false"/>
      <w:suff w:val="nothing"/>
      <w:lvlText w:val=""/>
      <w:lvlJc w:val="left"/>
      <w:pPr>
        <w:ind w:left="0" w:firstLine="0"/>
      </w:pPr>
    </w:lvl>
    <w:lvl w:ilvl="5">
      <w:start w:val="1"/>
      <w:numFmt w:val="none"/>
      <w:pStyle w:val="1091"/>
      <w:isLgl w:val="false"/>
      <w:suff w:val="nothing"/>
      <w:lvlText w:val=""/>
      <w:lvlJc w:val="left"/>
      <w:pPr>
        <w:ind w:left="0" w:firstLine="0"/>
      </w:pPr>
    </w:lvl>
    <w:lvl w:ilvl="6">
      <w:start w:val="1"/>
      <w:numFmt w:val="none"/>
      <w:pStyle w:val="1092"/>
      <w:isLgl w:val="false"/>
      <w:suff w:val="nothing"/>
      <w:lvlText w:val=""/>
      <w:lvlJc w:val="left"/>
      <w:pPr>
        <w:ind w:left="0" w:firstLine="0"/>
      </w:pPr>
    </w:lvl>
    <w:lvl w:ilvl="7">
      <w:start w:val="1"/>
      <w:numFmt w:val="none"/>
      <w:pStyle w:val="1093"/>
      <w:isLgl w:val="false"/>
      <w:suff w:val="nothing"/>
      <w:lvlText w:val=""/>
      <w:lvlJc w:val="left"/>
      <w:pPr>
        <w:ind w:left="0" w:firstLine="0"/>
      </w:pPr>
    </w:lvl>
    <w:lvl w:ilvl="8">
      <w:start w:val="1"/>
      <w:numFmt w:val="none"/>
      <w:pStyle w:val="1094"/>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ind w:left="338" w:hanging="331"/>
      </w:pPr>
      <w:rPr>
        <w:rFonts w:ascii="宋体" w:hAnsi="宋体" w:eastAsia="宋体"/>
        <w:spacing w:val="-3"/>
        <w:sz w:val="20"/>
        <w:szCs w:val="20"/>
        <w:lang w:val="zh-CN" w:eastAsia="zh-CN" w:bidi="zh-CN"/>
      </w:rPr>
    </w:lvl>
    <w:lvl w:ilvl="1">
      <w:start w:val="0"/>
      <w:numFmt w:val="bullet"/>
      <w:isLgl w:val="false"/>
      <w:suff w:val="tab"/>
      <w:lvlText w:val="•"/>
      <w:lvlJc w:val="left"/>
      <w:pPr>
        <w:ind w:left="971" w:hanging="331"/>
      </w:pPr>
      <w:rPr>
        <w:lang w:val="zh-CN" w:eastAsia="zh-CN" w:bidi="zh-CN"/>
      </w:rPr>
    </w:lvl>
    <w:lvl w:ilvl="2">
      <w:start w:val="0"/>
      <w:numFmt w:val="bullet"/>
      <w:isLgl w:val="false"/>
      <w:suff w:val="tab"/>
      <w:lvlText w:val="•"/>
      <w:lvlJc w:val="left"/>
      <w:pPr>
        <w:ind w:left="1602" w:hanging="331"/>
      </w:pPr>
      <w:rPr>
        <w:lang w:val="zh-CN" w:eastAsia="zh-CN" w:bidi="zh-CN"/>
      </w:rPr>
    </w:lvl>
    <w:lvl w:ilvl="3">
      <w:start w:val="0"/>
      <w:numFmt w:val="bullet"/>
      <w:isLgl w:val="false"/>
      <w:suff w:val="tab"/>
      <w:lvlText w:val="•"/>
      <w:lvlJc w:val="left"/>
      <w:pPr>
        <w:ind w:left="2233" w:hanging="331"/>
      </w:pPr>
      <w:rPr>
        <w:lang w:val="zh-CN" w:eastAsia="zh-CN" w:bidi="zh-CN"/>
      </w:rPr>
    </w:lvl>
    <w:lvl w:ilvl="4">
      <w:start w:val="0"/>
      <w:numFmt w:val="bullet"/>
      <w:isLgl w:val="false"/>
      <w:suff w:val="tab"/>
      <w:lvlText w:val="•"/>
      <w:lvlJc w:val="left"/>
      <w:pPr>
        <w:ind w:left="2864" w:hanging="331"/>
      </w:pPr>
      <w:rPr>
        <w:lang w:val="zh-CN" w:eastAsia="zh-CN" w:bidi="zh-CN"/>
      </w:rPr>
    </w:lvl>
    <w:lvl w:ilvl="5">
      <w:start w:val="0"/>
      <w:numFmt w:val="bullet"/>
      <w:isLgl w:val="false"/>
      <w:suff w:val="tab"/>
      <w:lvlText w:val="•"/>
      <w:lvlJc w:val="left"/>
      <w:pPr>
        <w:ind w:left="3496" w:hanging="331"/>
      </w:pPr>
      <w:rPr>
        <w:lang w:val="zh-CN" w:eastAsia="zh-CN" w:bidi="zh-CN"/>
      </w:rPr>
    </w:lvl>
    <w:lvl w:ilvl="6">
      <w:start w:val="0"/>
      <w:numFmt w:val="bullet"/>
      <w:isLgl w:val="false"/>
      <w:suff w:val="tab"/>
      <w:lvlText w:val="•"/>
      <w:lvlJc w:val="left"/>
      <w:pPr>
        <w:ind w:left="4127" w:hanging="331"/>
      </w:pPr>
      <w:rPr>
        <w:lang w:val="zh-CN" w:eastAsia="zh-CN" w:bidi="zh-CN"/>
      </w:rPr>
    </w:lvl>
    <w:lvl w:ilvl="7">
      <w:start w:val="0"/>
      <w:numFmt w:val="bullet"/>
      <w:isLgl w:val="false"/>
      <w:suff w:val="tab"/>
      <w:lvlText w:val="•"/>
      <w:lvlJc w:val="left"/>
      <w:pPr>
        <w:ind w:left="4758" w:hanging="331"/>
      </w:pPr>
      <w:rPr>
        <w:lang w:val="zh-CN" w:eastAsia="zh-CN" w:bidi="zh-CN"/>
      </w:rPr>
    </w:lvl>
    <w:lvl w:ilvl="8">
      <w:start w:val="0"/>
      <w:numFmt w:val="bullet"/>
      <w:isLgl w:val="false"/>
      <w:suff w:val="tab"/>
      <w:lvlText w:val="•"/>
      <w:lvlJc w:val="left"/>
      <w:pPr>
        <w:ind w:left="5389" w:hanging="331"/>
      </w:pPr>
      <w:rPr>
        <w:lang w:val="zh-CN" w:eastAsia="zh-CN" w:bidi="zh-CN"/>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15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76"/>
      <w:isLgl/>
      <w:suff w:val="tab"/>
      <w:lvlText w:val="%1.%2"/>
      <w:lvlJc w:val="left"/>
      <w:pPr>
        <w:ind w:left="425" w:hanging="425"/>
      </w:pPr>
      <w:rPr>
        <w:rFonts w:hint="eastAsia" w:ascii="Arial Unicode MS" w:hAnsi="Arial Unicode MS" w:eastAsia="微软雅黑"/>
        <w:b/>
        <w:i w:val="0"/>
      </w:rPr>
    </w:lvl>
    <w:lvl w:ilvl="2">
      <w:start w:val="1"/>
      <w:numFmt w:val="decimal"/>
      <w:pStyle w:val="119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79"/>
      <w:isLgl w:val="false"/>
      <w:suff w:val="tab"/>
      <w:lvlText w:val="%6."/>
      <w:lvlJc w:val="left"/>
      <w:pPr>
        <w:ind w:left="4320" w:hanging="360"/>
        <w:tabs>
          <w:tab w:val="left" w:pos="4320" w:leader="none"/>
        </w:tabs>
      </w:pPr>
    </w:lvl>
    <w:lvl w:ilvl="6">
      <w:start w:val="1"/>
      <w:numFmt w:val="decimal"/>
      <w:pStyle w:val="1280"/>
      <w:isLgl w:val="false"/>
      <w:suff w:val="tab"/>
      <w:lvlText w:val="%7."/>
      <w:lvlJc w:val="left"/>
      <w:pPr>
        <w:ind w:left="5040" w:hanging="360"/>
        <w:tabs>
          <w:tab w:val="left" w:pos="5040" w:leader="none"/>
        </w:tabs>
      </w:pPr>
    </w:lvl>
    <w:lvl w:ilvl="7">
      <w:start w:val="1"/>
      <w:numFmt w:val="decimal"/>
      <w:pStyle w:val="1281"/>
      <w:isLgl w:val="false"/>
      <w:suff w:val="tab"/>
      <w:lvlText w:val="%8."/>
      <w:lvlJc w:val="left"/>
      <w:pPr>
        <w:ind w:left="5760" w:hanging="360"/>
        <w:tabs>
          <w:tab w:val="left" w:pos="5760" w:leader="none"/>
        </w:tabs>
      </w:pPr>
    </w:lvl>
    <w:lvl w:ilvl="8">
      <w:start w:val="1"/>
      <w:numFmt w:val="decimal"/>
      <w:pStyle w:val="1282"/>
      <w:isLgl w:val="false"/>
      <w:suff w:val="tab"/>
      <w:lvlText w:val="%9."/>
      <w:lvlJc w:val="left"/>
      <w:pPr>
        <w:ind w:left="6480" w:hanging="360"/>
        <w:tabs>
          <w:tab w:val="left" w:pos="6480" w:leader="none"/>
        </w:tabs>
      </w:pPr>
    </w:lvl>
  </w:abstractNum>
  <w:abstractNum w:abstractNumId="8">
    <w:multiLevelType w:val="hybridMultilevel"/>
    <w:lvl w:ilvl="0">
      <w:start w:val="9"/>
      <w:numFmt w:val="decimal"/>
      <w:isLgl w:val="false"/>
      <w:suff w:val="tab"/>
      <w:lvlText w:val="%1."/>
      <w:lvlJc w:val="left"/>
      <w:pPr>
        <w:ind w:left="338" w:hanging="331"/>
      </w:pPr>
      <w:rPr>
        <w:rFonts w:ascii="宋体" w:hAnsi="宋体" w:eastAsia="宋体"/>
        <w:spacing w:val="-3"/>
        <w:sz w:val="20"/>
        <w:szCs w:val="20"/>
        <w:lang w:val="zh-CN" w:eastAsia="zh-CN" w:bidi="zh-CN"/>
      </w:rPr>
    </w:lvl>
    <w:lvl w:ilvl="1">
      <w:start w:val="0"/>
      <w:numFmt w:val="bullet"/>
      <w:isLgl w:val="false"/>
      <w:suff w:val="tab"/>
      <w:lvlText w:val="•"/>
      <w:lvlJc w:val="left"/>
      <w:pPr>
        <w:ind w:left="971" w:hanging="331"/>
      </w:pPr>
      <w:rPr>
        <w:lang w:val="zh-CN" w:eastAsia="zh-CN" w:bidi="zh-CN"/>
      </w:rPr>
    </w:lvl>
    <w:lvl w:ilvl="2">
      <w:start w:val="0"/>
      <w:numFmt w:val="bullet"/>
      <w:isLgl w:val="false"/>
      <w:suff w:val="tab"/>
      <w:lvlText w:val="•"/>
      <w:lvlJc w:val="left"/>
      <w:pPr>
        <w:ind w:left="1602" w:hanging="331"/>
      </w:pPr>
      <w:rPr>
        <w:lang w:val="zh-CN" w:eastAsia="zh-CN" w:bidi="zh-CN"/>
      </w:rPr>
    </w:lvl>
    <w:lvl w:ilvl="3">
      <w:start w:val="0"/>
      <w:numFmt w:val="bullet"/>
      <w:isLgl w:val="false"/>
      <w:suff w:val="tab"/>
      <w:lvlText w:val="•"/>
      <w:lvlJc w:val="left"/>
      <w:pPr>
        <w:ind w:left="2233" w:hanging="331"/>
      </w:pPr>
      <w:rPr>
        <w:lang w:val="zh-CN" w:eastAsia="zh-CN" w:bidi="zh-CN"/>
      </w:rPr>
    </w:lvl>
    <w:lvl w:ilvl="4">
      <w:start w:val="0"/>
      <w:numFmt w:val="bullet"/>
      <w:isLgl w:val="false"/>
      <w:suff w:val="tab"/>
      <w:lvlText w:val="•"/>
      <w:lvlJc w:val="left"/>
      <w:pPr>
        <w:ind w:left="2864" w:hanging="331"/>
      </w:pPr>
      <w:rPr>
        <w:lang w:val="zh-CN" w:eastAsia="zh-CN" w:bidi="zh-CN"/>
      </w:rPr>
    </w:lvl>
    <w:lvl w:ilvl="5">
      <w:start w:val="0"/>
      <w:numFmt w:val="bullet"/>
      <w:isLgl w:val="false"/>
      <w:suff w:val="tab"/>
      <w:lvlText w:val="•"/>
      <w:lvlJc w:val="left"/>
      <w:pPr>
        <w:ind w:left="3496" w:hanging="331"/>
      </w:pPr>
      <w:rPr>
        <w:lang w:val="zh-CN" w:eastAsia="zh-CN" w:bidi="zh-CN"/>
      </w:rPr>
    </w:lvl>
    <w:lvl w:ilvl="6">
      <w:start w:val="0"/>
      <w:numFmt w:val="bullet"/>
      <w:isLgl w:val="false"/>
      <w:suff w:val="tab"/>
      <w:lvlText w:val="•"/>
      <w:lvlJc w:val="left"/>
      <w:pPr>
        <w:ind w:left="4127" w:hanging="331"/>
      </w:pPr>
      <w:rPr>
        <w:lang w:val="zh-CN" w:eastAsia="zh-CN" w:bidi="zh-CN"/>
      </w:rPr>
    </w:lvl>
    <w:lvl w:ilvl="7">
      <w:start w:val="0"/>
      <w:numFmt w:val="bullet"/>
      <w:isLgl w:val="false"/>
      <w:suff w:val="tab"/>
      <w:lvlText w:val="•"/>
      <w:lvlJc w:val="left"/>
      <w:pPr>
        <w:ind w:left="4758" w:hanging="331"/>
      </w:pPr>
      <w:rPr>
        <w:lang w:val="zh-CN" w:eastAsia="zh-CN" w:bidi="zh-CN"/>
      </w:rPr>
    </w:lvl>
    <w:lvl w:ilvl="8">
      <w:start w:val="0"/>
      <w:numFmt w:val="bullet"/>
      <w:isLgl w:val="false"/>
      <w:suff w:val="tab"/>
      <w:lvlText w:val="•"/>
      <w:lvlJc w:val="left"/>
      <w:pPr>
        <w:ind w:left="5389" w:hanging="331"/>
      </w:pPr>
      <w:rPr>
        <w:lang w:val="zh-CN" w:eastAsia="zh-CN" w:bidi="zh-C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7"/>
  </w:num>
  <w:num w:numId="4">
    <w:abstractNumId w:val="9"/>
  </w:num>
  <w:num w:numId="5">
    <w:abstractNumId w:val="5"/>
  </w:num>
  <w:num w:numId="6">
    <w:abstractNumId w:val="4"/>
  </w:num>
  <w:num w:numId="7">
    <w:abstractNumId w:val="2"/>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3">
    <w:name w:val="Heading 1 Char"/>
    <w:basedOn w:val="1095"/>
    <w:link w:val="1086"/>
    <w:uiPriority w:val="9"/>
    <w:rPr>
      <w:rFonts w:ascii="Arial" w:hAnsi="Arial" w:eastAsia="Arial" w:cs="Arial"/>
      <w:sz w:val="40"/>
      <w:szCs w:val="40"/>
    </w:rPr>
  </w:style>
  <w:style w:type="character" w:styleId="934">
    <w:name w:val="Heading 2 Char"/>
    <w:basedOn w:val="1095"/>
    <w:link w:val="1087"/>
    <w:uiPriority w:val="9"/>
    <w:rPr>
      <w:rFonts w:ascii="Arial" w:hAnsi="Arial" w:eastAsia="Arial" w:cs="Arial"/>
      <w:sz w:val="34"/>
    </w:rPr>
  </w:style>
  <w:style w:type="character" w:styleId="935">
    <w:name w:val="Heading 3 Char"/>
    <w:basedOn w:val="1095"/>
    <w:link w:val="1088"/>
    <w:uiPriority w:val="9"/>
    <w:rPr>
      <w:rFonts w:ascii="Arial" w:hAnsi="Arial" w:eastAsia="Arial" w:cs="Arial"/>
      <w:sz w:val="30"/>
      <w:szCs w:val="30"/>
    </w:rPr>
  </w:style>
  <w:style w:type="character" w:styleId="936">
    <w:name w:val="Heading 4 Char"/>
    <w:basedOn w:val="1095"/>
    <w:link w:val="1089"/>
    <w:uiPriority w:val="9"/>
    <w:rPr>
      <w:rFonts w:ascii="Arial" w:hAnsi="Arial" w:eastAsia="Arial" w:cs="Arial"/>
      <w:b/>
      <w:bCs/>
      <w:sz w:val="26"/>
      <w:szCs w:val="26"/>
    </w:rPr>
  </w:style>
  <w:style w:type="character" w:styleId="937">
    <w:name w:val="Heading 5 Char"/>
    <w:basedOn w:val="1095"/>
    <w:link w:val="1090"/>
    <w:uiPriority w:val="9"/>
    <w:rPr>
      <w:rFonts w:ascii="Arial" w:hAnsi="Arial" w:eastAsia="Arial" w:cs="Arial"/>
      <w:b/>
      <w:bCs/>
      <w:sz w:val="24"/>
      <w:szCs w:val="24"/>
    </w:rPr>
  </w:style>
  <w:style w:type="character" w:styleId="938">
    <w:name w:val="Heading 6 Char"/>
    <w:basedOn w:val="1095"/>
    <w:link w:val="1091"/>
    <w:uiPriority w:val="9"/>
    <w:rPr>
      <w:rFonts w:ascii="Arial" w:hAnsi="Arial" w:eastAsia="Arial" w:cs="Arial"/>
      <w:b/>
      <w:bCs/>
      <w:sz w:val="22"/>
      <w:szCs w:val="22"/>
    </w:rPr>
  </w:style>
  <w:style w:type="character" w:styleId="939">
    <w:name w:val="Heading 7 Char"/>
    <w:basedOn w:val="1095"/>
    <w:link w:val="1092"/>
    <w:uiPriority w:val="9"/>
    <w:rPr>
      <w:rFonts w:ascii="Arial" w:hAnsi="Arial" w:eastAsia="Arial" w:cs="Arial"/>
      <w:b/>
      <w:bCs/>
      <w:i/>
      <w:iCs/>
      <w:sz w:val="22"/>
      <w:szCs w:val="22"/>
    </w:rPr>
  </w:style>
  <w:style w:type="character" w:styleId="940">
    <w:name w:val="Heading 8 Char"/>
    <w:basedOn w:val="1095"/>
    <w:link w:val="1093"/>
    <w:uiPriority w:val="9"/>
    <w:rPr>
      <w:rFonts w:ascii="Arial" w:hAnsi="Arial" w:eastAsia="Arial" w:cs="Arial"/>
      <w:i/>
      <w:iCs/>
      <w:sz w:val="22"/>
      <w:szCs w:val="22"/>
    </w:rPr>
  </w:style>
  <w:style w:type="character" w:styleId="941">
    <w:name w:val="Heading 9 Char"/>
    <w:basedOn w:val="1095"/>
    <w:link w:val="1094"/>
    <w:uiPriority w:val="9"/>
    <w:rPr>
      <w:rFonts w:ascii="Arial" w:hAnsi="Arial" w:eastAsia="Arial" w:cs="Arial"/>
      <w:i/>
      <w:iCs/>
      <w:sz w:val="21"/>
      <w:szCs w:val="21"/>
    </w:rPr>
  </w:style>
  <w:style w:type="paragraph" w:styleId="942">
    <w:name w:val="No Spacing"/>
    <w:uiPriority w:val="1"/>
    <w:qFormat/>
    <w:pPr>
      <w:spacing w:before="0" w:after="0" w:line="240" w:lineRule="auto"/>
    </w:pPr>
  </w:style>
  <w:style w:type="character" w:styleId="943">
    <w:name w:val="Title Char"/>
    <w:basedOn w:val="1095"/>
    <w:link w:val="1127"/>
    <w:uiPriority w:val="10"/>
    <w:rPr>
      <w:sz w:val="48"/>
      <w:szCs w:val="48"/>
    </w:rPr>
  </w:style>
  <w:style w:type="character" w:styleId="944">
    <w:name w:val="Subtitle Char"/>
    <w:basedOn w:val="1095"/>
    <w:link w:val="1119"/>
    <w:uiPriority w:val="11"/>
    <w:rPr>
      <w:sz w:val="24"/>
      <w:szCs w:val="24"/>
    </w:rPr>
  </w:style>
  <w:style w:type="paragraph" w:styleId="945">
    <w:name w:val="Quote"/>
    <w:basedOn w:val="1085"/>
    <w:next w:val="1085"/>
    <w:link w:val="946"/>
    <w:uiPriority w:val="29"/>
    <w:qFormat/>
    <w:pPr>
      <w:ind w:left="720" w:right="720"/>
    </w:pPr>
    <w:rPr>
      <w:i/>
    </w:rPr>
  </w:style>
  <w:style w:type="character" w:styleId="946">
    <w:name w:val="Quote Char"/>
    <w:link w:val="945"/>
    <w:uiPriority w:val="29"/>
    <w:rPr>
      <w:i/>
    </w:rPr>
  </w:style>
  <w:style w:type="paragraph" w:styleId="947">
    <w:name w:val="Intense Quote"/>
    <w:basedOn w:val="1085"/>
    <w:next w:val="1085"/>
    <w:link w:val="9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name w:val="Intense Quote Char"/>
    <w:link w:val="947"/>
    <w:uiPriority w:val="30"/>
    <w:rPr>
      <w:i/>
    </w:rPr>
  </w:style>
  <w:style w:type="character" w:styleId="949">
    <w:name w:val="Header Char"/>
    <w:basedOn w:val="1095"/>
    <w:link w:val="1116"/>
    <w:uiPriority w:val="99"/>
  </w:style>
  <w:style w:type="character" w:styleId="950">
    <w:name w:val="Footer Char"/>
    <w:basedOn w:val="1095"/>
    <w:link w:val="1115"/>
    <w:uiPriority w:val="99"/>
  </w:style>
  <w:style w:type="character" w:styleId="951">
    <w:name w:val="Caption Char"/>
    <w:basedOn w:val="1102"/>
    <w:link w:val="1115"/>
    <w:uiPriority w:val="99"/>
  </w:style>
  <w:style w:type="table" w:styleId="952">
    <w:name w:val="Table Grid Light"/>
    <w:basedOn w:val="10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3">
    <w:name w:val="Plain Table 1"/>
    <w:basedOn w:val="10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2"/>
    <w:basedOn w:val="10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name w:val="Plain Table 3"/>
    <w:basedOn w:val="10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name w:val="Plain Table 4"/>
    <w:basedOn w:val="10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name w:val="Plain Table 5"/>
    <w:basedOn w:val="10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8">
    <w:name w:val="Grid Table 1 Light"/>
    <w:basedOn w:val="10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9">
    <w:name w:val="Grid Table 1 Light - Accent 1"/>
    <w:basedOn w:val="10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0">
    <w:name w:val="Grid Table 1 Light - Accent 2"/>
    <w:basedOn w:val="10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1">
    <w:name w:val="Grid Table 1 Light - Accent 3"/>
    <w:basedOn w:val="10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2">
    <w:name w:val="Grid Table 1 Light - Accent 4"/>
    <w:basedOn w:val="10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3">
    <w:name w:val="Grid Table 1 Light - Accent 5"/>
    <w:basedOn w:val="10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4">
    <w:name w:val="Grid Table 1 Light - Accent 6"/>
    <w:basedOn w:val="10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5">
    <w:name w:val="Grid Table 2"/>
    <w:basedOn w:val="10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6">
    <w:name w:val="Grid Table 2 - Accent 1"/>
    <w:basedOn w:val="10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7">
    <w:name w:val="Grid Table 2 - Accent 2"/>
    <w:basedOn w:val="10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2 - Accent 3"/>
    <w:basedOn w:val="10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2 - Accent 4"/>
    <w:basedOn w:val="10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2 - Accent 5"/>
    <w:basedOn w:val="10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1">
    <w:name w:val="Grid Table 2 - Accent 6"/>
    <w:basedOn w:val="10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2">
    <w:name w:val="Grid Table 3"/>
    <w:basedOn w:val="10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1"/>
    <w:basedOn w:val="10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2"/>
    <w:basedOn w:val="10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3"/>
    <w:basedOn w:val="10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4"/>
    <w:basedOn w:val="10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5"/>
    <w:basedOn w:val="10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6"/>
    <w:basedOn w:val="10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4"/>
    <w:basedOn w:val="10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name w:val="Grid Table 4 - Accent 1"/>
    <w:basedOn w:val="10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1">
    <w:name w:val="Grid Table 4 - Accent 2"/>
    <w:basedOn w:val="10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2">
    <w:name w:val="Grid Table 4 - Accent 3"/>
    <w:basedOn w:val="10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3">
    <w:name w:val="Grid Table 4 - Accent 4"/>
    <w:basedOn w:val="10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4">
    <w:name w:val="Grid Table 4 - Accent 5"/>
    <w:basedOn w:val="10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5">
    <w:name w:val="Grid Table 4 - Accent 6"/>
    <w:basedOn w:val="10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6">
    <w:name w:val="Grid Table 5 Dark"/>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7">
    <w:name w:val="Grid Table 5 Dark- Accent 1"/>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8">
    <w:name w:val="Grid Table 5 Dark - Accent 2"/>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9">
    <w:name w:val="Grid Table 5 Dark - Accent 3"/>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0">
    <w:name w:val="Grid Table 5 Dark- Accent 4"/>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1">
    <w:name w:val="Grid Table 5 Dark - Accent 5"/>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2">
    <w:name w:val="Grid Table 5 Dark - Accent 6"/>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3">
    <w:name w:val="Grid Table 6 Colorful"/>
    <w:basedOn w:val="10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4">
    <w:name w:val="Grid Table 6 Colorful - Accent 1"/>
    <w:basedOn w:val="10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5">
    <w:name w:val="Grid Table 6 Colorful - Accent 2"/>
    <w:basedOn w:val="10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6">
    <w:name w:val="Grid Table 6 Colorful - Accent 3"/>
    <w:basedOn w:val="10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7">
    <w:name w:val="Grid Table 6 Colorful - Accent 4"/>
    <w:basedOn w:val="10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8">
    <w:name w:val="Grid Table 6 Colorful - Accent 5"/>
    <w:basedOn w:val="10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9">
    <w:name w:val="Grid Table 6 Colorful - Accent 6"/>
    <w:basedOn w:val="10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0">
    <w:name w:val="Grid Table 7 Colorful"/>
    <w:basedOn w:val="10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1">
    <w:name w:val="Grid Table 7 Colorful - Accent 1"/>
    <w:basedOn w:val="10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2">
    <w:name w:val="Grid Table 7 Colorful - Accent 2"/>
    <w:basedOn w:val="10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3">
    <w:name w:val="Grid Table 7 Colorful - Accent 3"/>
    <w:basedOn w:val="10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4">
    <w:name w:val="Grid Table 7 Colorful - Accent 4"/>
    <w:basedOn w:val="10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5">
    <w:name w:val="Grid Table 7 Colorful - Accent 5"/>
    <w:basedOn w:val="10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6">
    <w:name w:val="Grid Table 7 Colorful - Accent 6"/>
    <w:basedOn w:val="10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7">
    <w:name w:val="List Table 1 Light"/>
    <w:basedOn w:val="10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name w:val="List Table 1 Light - Accent 1"/>
    <w:basedOn w:val="10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9">
    <w:name w:val="List Table 1 Light - Accent 2"/>
    <w:basedOn w:val="10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0">
    <w:name w:val="List Table 1 Light - Accent 3"/>
    <w:basedOn w:val="10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1">
    <w:name w:val="List Table 1 Light - Accent 4"/>
    <w:basedOn w:val="10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2">
    <w:name w:val="List Table 1 Light - Accent 5"/>
    <w:basedOn w:val="10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3">
    <w:name w:val="List Table 1 Light - Accent 6"/>
    <w:basedOn w:val="10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4">
    <w:name w:val="List Table 2"/>
    <w:basedOn w:val="10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5">
    <w:name w:val="List Table 2 - Accent 1"/>
    <w:basedOn w:val="10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6">
    <w:name w:val="List Table 2 - Accent 2"/>
    <w:basedOn w:val="10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7">
    <w:name w:val="List Table 2 - Accent 3"/>
    <w:basedOn w:val="10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8">
    <w:name w:val="List Table 2 - Accent 4"/>
    <w:basedOn w:val="10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9">
    <w:name w:val="List Table 2 - Accent 5"/>
    <w:basedOn w:val="10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0">
    <w:name w:val="List Table 2 - Accent 6"/>
    <w:basedOn w:val="10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1">
    <w:name w:val="List Table 3"/>
    <w:basedOn w:val="10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3 - Accent 1"/>
    <w:basedOn w:val="10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3 - Accent 2"/>
    <w:basedOn w:val="10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4">
    <w:name w:val="List Table 3 - Accent 3"/>
    <w:basedOn w:val="10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5">
    <w:name w:val="List Table 3 - Accent 4"/>
    <w:basedOn w:val="10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6">
    <w:name w:val="List Table 3 - Accent 5"/>
    <w:basedOn w:val="10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7">
    <w:name w:val="List Table 3 - Accent 6"/>
    <w:basedOn w:val="10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8">
    <w:name w:val="List Table 4"/>
    <w:basedOn w:val="10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9">
    <w:name w:val="List Table 4 - Accent 1"/>
    <w:basedOn w:val="10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0">
    <w:name w:val="List Table 4 - Accent 2"/>
    <w:basedOn w:val="10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1">
    <w:name w:val="List Table 4 - Accent 3"/>
    <w:basedOn w:val="10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2">
    <w:name w:val="List Table 4 - Accent 4"/>
    <w:basedOn w:val="10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3">
    <w:name w:val="List Table 4 - Accent 5"/>
    <w:basedOn w:val="10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4">
    <w:name w:val="List Table 4 - Accent 6"/>
    <w:basedOn w:val="10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5">
    <w:name w:val="List Table 5 Dark"/>
    <w:basedOn w:val="10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1"/>
    <w:basedOn w:val="10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2"/>
    <w:basedOn w:val="10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3"/>
    <w:basedOn w:val="10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4"/>
    <w:basedOn w:val="10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5"/>
    <w:basedOn w:val="10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6"/>
    <w:basedOn w:val="10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6 Colorful"/>
    <w:basedOn w:val="10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3">
    <w:name w:val="List Table 6 Colorful - Accent 1"/>
    <w:basedOn w:val="10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4">
    <w:name w:val="List Table 6 Colorful - Accent 2"/>
    <w:basedOn w:val="10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5">
    <w:name w:val="List Table 6 Colorful - Accent 3"/>
    <w:basedOn w:val="10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6">
    <w:name w:val="List Table 6 Colorful - Accent 4"/>
    <w:basedOn w:val="10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7">
    <w:name w:val="List Table 6 Colorful - Accent 5"/>
    <w:basedOn w:val="10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8">
    <w:name w:val="List Table 6 Colorful - Accent 6"/>
    <w:basedOn w:val="10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9">
    <w:name w:val="List Table 7 Colorful"/>
    <w:basedOn w:val="10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0">
    <w:name w:val="List Table 7 Colorful - Accent 1"/>
    <w:basedOn w:val="10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1">
    <w:name w:val="List Table 7 Colorful - Accent 2"/>
    <w:basedOn w:val="10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2">
    <w:name w:val="List Table 7 Colorful - Accent 3"/>
    <w:basedOn w:val="10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3">
    <w:name w:val="List Table 7 Colorful - Accent 4"/>
    <w:basedOn w:val="10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4">
    <w:name w:val="List Table 7 Colorful - Accent 5"/>
    <w:basedOn w:val="10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5">
    <w:name w:val="List Table 7 Colorful - Accent 6"/>
    <w:basedOn w:val="10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6">
    <w:name w:val="Lined - Accent"/>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Lined - Accent 1"/>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Lined - Accent 2"/>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Lined - Accent 3"/>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Lined - Accent 4"/>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Lined - Accent 5"/>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Lined - Accent 6"/>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amp; Lined - Accent"/>
    <w:basedOn w:val="10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4">
    <w:name w:val="Bordered &amp; Lined - Accent 1"/>
    <w:basedOn w:val="10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5">
    <w:name w:val="Bordered &amp; Lined - Accent 2"/>
    <w:basedOn w:val="10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6">
    <w:name w:val="Bordered &amp; Lined - Accent 3"/>
    <w:basedOn w:val="10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7">
    <w:name w:val="Bordered &amp; Lined - Accent 4"/>
    <w:basedOn w:val="10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8">
    <w:name w:val="Bordered &amp; Lined - Accent 5"/>
    <w:basedOn w:val="10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9">
    <w:name w:val="Bordered &amp; Lined - Accent 6"/>
    <w:basedOn w:val="10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0">
    <w:name w:val="Bordered"/>
    <w:basedOn w:val="10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1">
    <w:name w:val="Bordered - Accent 1"/>
    <w:basedOn w:val="10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2">
    <w:name w:val="Bordered - Accent 2"/>
    <w:basedOn w:val="10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3">
    <w:name w:val="Bordered - Accent 3"/>
    <w:basedOn w:val="10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4">
    <w:name w:val="Bordered - Accent 4"/>
    <w:basedOn w:val="10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5">
    <w:name w:val="Bordered - Accent 5"/>
    <w:basedOn w:val="10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6">
    <w:name w:val="Bordered - Accent 6"/>
    <w:basedOn w:val="10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7">
    <w:name w:val="footnote text"/>
    <w:basedOn w:val="1085"/>
    <w:link w:val="1078"/>
    <w:uiPriority w:val="99"/>
    <w:semiHidden/>
    <w:unhideWhenUsed/>
    <w:pPr>
      <w:spacing w:after="40" w:line="240" w:lineRule="auto"/>
    </w:pPr>
    <w:rPr>
      <w:sz w:val="18"/>
    </w:rPr>
  </w:style>
  <w:style w:type="character" w:styleId="1078">
    <w:name w:val="Footnote Text Char"/>
    <w:link w:val="1077"/>
    <w:uiPriority w:val="99"/>
    <w:rPr>
      <w:sz w:val="18"/>
    </w:rPr>
  </w:style>
  <w:style w:type="character" w:styleId="1079">
    <w:name w:val="footnote reference"/>
    <w:basedOn w:val="1095"/>
    <w:uiPriority w:val="99"/>
    <w:unhideWhenUsed/>
    <w:rPr>
      <w:vertAlign w:val="superscript"/>
    </w:rPr>
  </w:style>
  <w:style w:type="paragraph" w:styleId="1080">
    <w:name w:val="endnote text"/>
    <w:basedOn w:val="1085"/>
    <w:link w:val="1081"/>
    <w:uiPriority w:val="99"/>
    <w:semiHidden/>
    <w:unhideWhenUsed/>
    <w:pPr>
      <w:spacing w:after="0" w:line="240" w:lineRule="auto"/>
    </w:pPr>
    <w:rPr>
      <w:sz w:val="20"/>
    </w:rPr>
  </w:style>
  <w:style w:type="character" w:styleId="1081">
    <w:name w:val="Endnote Text Char"/>
    <w:link w:val="1080"/>
    <w:uiPriority w:val="99"/>
    <w:rPr>
      <w:sz w:val="20"/>
    </w:rPr>
  </w:style>
  <w:style w:type="character" w:styleId="1082">
    <w:name w:val="endnote reference"/>
    <w:basedOn w:val="1095"/>
    <w:uiPriority w:val="99"/>
    <w:semiHidden/>
    <w:unhideWhenUsed/>
    <w:rPr>
      <w:vertAlign w:val="superscript"/>
    </w:rPr>
  </w:style>
  <w:style w:type="paragraph" w:styleId="1083">
    <w:name w:val="TOC Heading"/>
    <w:uiPriority w:val="39"/>
    <w:unhideWhenUsed/>
  </w:style>
  <w:style w:type="paragraph" w:styleId="1084">
    <w:name w:val="table of figures"/>
    <w:basedOn w:val="1085"/>
    <w:next w:val="1085"/>
    <w:uiPriority w:val="99"/>
    <w:unhideWhenUsed/>
    <w:pPr>
      <w:spacing w:after="0" w:afterAutospacing="0"/>
    </w:pPr>
  </w:style>
  <w:style w:type="paragraph" w:styleId="1085" w:default="1">
    <w:name w:val="Normal"/>
    <w:next w:val="1097"/>
    <w:uiPriority w:val="0"/>
    <w:qFormat/>
    <w:pPr>
      <w:jc w:val="both"/>
      <w:widowControl w:val="off"/>
    </w:pPr>
    <w:rPr>
      <w:rFonts w:ascii="Times New Roman" w:hAnsi="Times New Roman" w:eastAsia="宋体" w:cs="Times New Roman"/>
      <w:sz w:val="21"/>
      <w:szCs w:val="24"/>
      <w:lang w:val="en-US" w:eastAsia="zh-CN" w:bidi="ar-SA"/>
    </w:rPr>
  </w:style>
  <w:style w:type="paragraph" w:styleId="1086">
    <w:name w:val="Heading 1"/>
    <w:basedOn w:val="1085"/>
    <w:next w:val="1085"/>
    <w:link w:val="1264"/>
    <w:uiPriority w:val="0"/>
    <w:qFormat/>
    <w:pPr>
      <w:numPr>
        <w:ilvl w:val="0"/>
        <w:numId w:val="1"/>
      </w:numPr>
      <w:jc w:val="center"/>
      <w:keepLines/>
      <w:keepNext/>
      <w:spacing w:before="340" w:after="330" w:line="578" w:lineRule="auto"/>
      <w:outlineLvl w:val="0"/>
    </w:pPr>
    <w:rPr>
      <w:b/>
      <w:bCs/>
      <w:sz w:val="32"/>
      <w:szCs w:val="44"/>
    </w:rPr>
  </w:style>
  <w:style w:type="paragraph" w:styleId="1087">
    <w:name w:val="Heading 2"/>
    <w:basedOn w:val="1085"/>
    <w:next w:val="1085"/>
    <w:link w:val="120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88">
    <w:name w:val="Heading 3"/>
    <w:basedOn w:val="1085"/>
    <w:next w:val="1085"/>
    <w:link w:val="1236"/>
    <w:uiPriority w:val="0"/>
    <w:qFormat/>
    <w:pPr>
      <w:numPr>
        <w:ilvl w:val="2"/>
        <w:numId w:val="1"/>
      </w:numPr>
      <w:keepLines/>
      <w:keepNext/>
      <w:spacing w:before="260" w:after="260" w:line="416" w:lineRule="auto"/>
      <w:outlineLvl w:val="2"/>
    </w:pPr>
    <w:rPr>
      <w:b/>
      <w:bCs/>
      <w:sz w:val="32"/>
      <w:szCs w:val="32"/>
    </w:rPr>
  </w:style>
  <w:style w:type="paragraph" w:styleId="1089">
    <w:name w:val="Heading 4"/>
    <w:basedOn w:val="1085"/>
    <w:next w:val="1085"/>
    <w:link w:val="126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90">
    <w:name w:val="Heading 5"/>
    <w:basedOn w:val="1085"/>
    <w:next w:val="1085"/>
    <w:link w:val="1226"/>
    <w:uiPriority w:val="0"/>
    <w:qFormat/>
    <w:pPr>
      <w:numPr>
        <w:ilvl w:val="4"/>
        <w:numId w:val="1"/>
      </w:numPr>
      <w:keepLines/>
      <w:keepNext/>
      <w:spacing w:before="280" w:after="290" w:line="376" w:lineRule="auto"/>
      <w:outlineLvl w:val="4"/>
    </w:pPr>
    <w:rPr>
      <w:b/>
      <w:bCs/>
      <w:sz w:val="28"/>
      <w:szCs w:val="28"/>
    </w:rPr>
  </w:style>
  <w:style w:type="paragraph" w:styleId="1091">
    <w:name w:val="Heading 6"/>
    <w:basedOn w:val="1085"/>
    <w:next w:val="1085"/>
    <w:link w:val="1214"/>
    <w:uiPriority w:val="0"/>
    <w:qFormat/>
    <w:pPr>
      <w:numPr>
        <w:ilvl w:val="5"/>
        <w:numId w:val="1"/>
      </w:numPr>
      <w:keepLines/>
      <w:keepNext/>
      <w:spacing w:before="240" w:after="64" w:line="320" w:lineRule="auto"/>
      <w:outlineLvl w:val="5"/>
    </w:pPr>
    <w:rPr>
      <w:rFonts w:ascii="Cambria" w:hAnsi="Cambria"/>
      <w:b/>
      <w:bCs/>
      <w:sz w:val="24"/>
    </w:rPr>
  </w:style>
  <w:style w:type="paragraph" w:styleId="1092">
    <w:name w:val="Heading 7"/>
    <w:basedOn w:val="1085"/>
    <w:next w:val="1085"/>
    <w:link w:val="1263"/>
    <w:uiPriority w:val="0"/>
    <w:qFormat/>
    <w:pPr>
      <w:numPr>
        <w:ilvl w:val="6"/>
        <w:numId w:val="1"/>
      </w:numPr>
      <w:keepLines/>
      <w:keepNext/>
      <w:spacing w:before="240" w:after="64" w:line="320" w:lineRule="auto"/>
      <w:outlineLvl w:val="6"/>
    </w:pPr>
    <w:rPr>
      <w:b/>
      <w:bCs/>
      <w:sz w:val="24"/>
    </w:rPr>
  </w:style>
  <w:style w:type="paragraph" w:styleId="1093">
    <w:name w:val="Heading 8"/>
    <w:basedOn w:val="1085"/>
    <w:next w:val="1085"/>
    <w:link w:val="1249"/>
    <w:uiPriority w:val="0"/>
    <w:qFormat/>
    <w:pPr>
      <w:numPr>
        <w:ilvl w:val="7"/>
        <w:numId w:val="1"/>
      </w:numPr>
      <w:keepLines/>
      <w:keepNext/>
      <w:spacing w:before="240" w:after="64" w:line="320" w:lineRule="auto"/>
      <w:outlineLvl w:val="7"/>
    </w:pPr>
    <w:rPr>
      <w:rFonts w:ascii="Cambria" w:hAnsi="Cambria"/>
      <w:sz w:val="24"/>
    </w:rPr>
  </w:style>
  <w:style w:type="paragraph" w:styleId="1094">
    <w:name w:val="Heading 9"/>
    <w:basedOn w:val="1085"/>
    <w:next w:val="1085"/>
    <w:link w:val="1230"/>
    <w:uiPriority w:val="0"/>
    <w:qFormat/>
    <w:pPr>
      <w:numPr>
        <w:ilvl w:val="8"/>
        <w:numId w:val="1"/>
      </w:numPr>
      <w:keepLines/>
      <w:keepNext/>
      <w:spacing w:before="240" w:after="64" w:line="320" w:lineRule="auto"/>
      <w:outlineLvl w:val="8"/>
    </w:pPr>
    <w:rPr>
      <w:rFonts w:ascii="Cambria" w:hAnsi="Cambria"/>
      <w:szCs w:val="21"/>
    </w:rPr>
  </w:style>
  <w:style w:type="character" w:styleId="1095" w:default="1">
    <w:name w:val="Default Paragraph Font"/>
    <w:uiPriority w:val="1"/>
    <w:semiHidden/>
    <w:unhideWhenUsed/>
    <w:qFormat/>
  </w:style>
  <w:style w:type="table" w:styleId="1096" w:default="1">
    <w:name w:val="Normal Table"/>
    <w:uiPriority w:val="99"/>
    <w:semiHidden/>
    <w:unhideWhenUsed/>
    <w:qFormat/>
    <w:tblPr>
      <w:tblCellMar>
        <w:left w:w="108" w:type="dxa"/>
        <w:top w:w="0" w:type="dxa"/>
        <w:right w:w="108" w:type="dxa"/>
        <w:bottom w:w="0" w:type="dxa"/>
      </w:tblCellMar>
    </w:tblPr>
  </w:style>
  <w:style w:type="paragraph" w:styleId="1097">
    <w:name w:val="Body Text First Indent"/>
    <w:basedOn w:val="1098"/>
    <w:link w:val="1273"/>
    <w:uiPriority w:val="0"/>
    <w:unhideWhenUsed/>
    <w:qFormat/>
    <w:pPr>
      <w:ind w:firstLine="420"/>
      <w:jc w:val="both"/>
      <w:spacing w:after="120"/>
    </w:pPr>
    <w:rPr>
      <w:rFonts w:eastAsia="宋体"/>
      <w:b w:val="0"/>
      <w:bCs w:val="0"/>
      <w:sz w:val="21"/>
    </w:rPr>
  </w:style>
  <w:style w:type="paragraph" w:styleId="1098">
    <w:name w:val="Body Text"/>
    <w:basedOn w:val="1085"/>
    <w:link w:val="1248"/>
    <w:uiPriority w:val="0"/>
    <w:qFormat/>
    <w:pPr>
      <w:jc w:val="center"/>
    </w:pPr>
    <w:rPr>
      <w:rFonts w:eastAsia="幼圆"/>
      <w:b/>
      <w:bCs/>
      <w:sz w:val="44"/>
    </w:rPr>
  </w:style>
  <w:style w:type="paragraph" w:styleId="1099">
    <w:name w:val="List 3"/>
    <w:basedOn w:val="1085"/>
    <w:uiPriority w:val="99"/>
    <w:unhideWhenUsed/>
    <w:qFormat/>
    <w:pPr>
      <w:ind w:left="1260" w:hanging="420"/>
      <w:spacing w:before="100" w:beforeAutospacing="1" w:after="100" w:afterAutospacing="1"/>
    </w:pPr>
    <w:rPr>
      <w:szCs w:val="21"/>
    </w:rPr>
  </w:style>
  <w:style w:type="paragraph" w:styleId="1100">
    <w:name w:val="toc 7"/>
    <w:basedOn w:val="1085"/>
    <w:next w:val="1085"/>
    <w:uiPriority w:val="39"/>
    <w:unhideWhenUsed/>
    <w:qFormat/>
    <w:pPr>
      <w:ind w:left="2520"/>
    </w:pPr>
    <w:rPr>
      <w:rFonts w:ascii="Calibri" w:hAnsi="Calibri"/>
      <w:szCs w:val="22"/>
    </w:rPr>
  </w:style>
  <w:style w:type="paragraph" w:styleId="1101">
    <w:name w:val="Normal Indent"/>
    <w:basedOn w:val="1085"/>
    <w:link w:val="1283"/>
    <w:uiPriority w:val="0"/>
    <w:qFormat/>
    <w:pPr>
      <w:ind w:firstLine="420"/>
    </w:pPr>
    <w:rPr>
      <w:b/>
      <w:sz w:val="24"/>
      <w:szCs w:val="20"/>
    </w:rPr>
  </w:style>
  <w:style w:type="paragraph" w:styleId="1102">
    <w:name w:val="Caption"/>
    <w:basedOn w:val="1085"/>
    <w:next w:val="1085"/>
    <w:uiPriority w:val="0"/>
    <w:qFormat/>
    <w:rPr>
      <w:rFonts w:ascii="Cambria" w:hAnsi="Cambria" w:eastAsia="黑体"/>
      <w:sz w:val="20"/>
      <w:szCs w:val="22"/>
    </w:rPr>
  </w:style>
  <w:style w:type="paragraph" w:styleId="1103">
    <w:name w:val="Document Map"/>
    <w:basedOn w:val="1085"/>
    <w:link w:val="1221"/>
    <w:uiPriority w:val="0"/>
    <w:qFormat/>
    <w:rPr>
      <w:rFonts w:ascii="宋体"/>
      <w:sz w:val="18"/>
      <w:szCs w:val="18"/>
    </w:rPr>
  </w:style>
  <w:style w:type="paragraph" w:styleId="1104">
    <w:name w:val="annotation text"/>
    <w:basedOn w:val="1085"/>
    <w:link w:val="1242"/>
    <w:uiPriority w:val="99"/>
    <w:qFormat/>
    <w:pPr>
      <w:jc w:val="left"/>
    </w:pPr>
  </w:style>
  <w:style w:type="paragraph" w:styleId="1105">
    <w:name w:val="Body Text 3"/>
    <w:basedOn w:val="1085"/>
    <w:link w:val="1259"/>
    <w:uiPriority w:val="0"/>
    <w:qFormat/>
    <w:rPr>
      <w:rFonts w:ascii="宋体"/>
      <w:sz w:val="24"/>
      <w:szCs w:val="20"/>
    </w:rPr>
  </w:style>
  <w:style w:type="paragraph" w:styleId="1106">
    <w:name w:val="Body Text Indent"/>
    <w:basedOn w:val="1085"/>
    <w:link w:val="1210"/>
    <w:uiPriority w:val="0"/>
    <w:qFormat/>
    <w:pPr>
      <w:ind w:left="420"/>
      <w:spacing w:after="120"/>
    </w:pPr>
  </w:style>
  <w:style w:type="paragraph" w:styleId="1107">
    <w:name w:val="index 4"/>
    <w:basedOn w:val="1085"/>
    <w:next w:val="1085"/>
    <w:uiPriority w:val="0"/>
    <w:qFormat/>
    <w:pPr>
      <w:ind w:left="600"/>
    </w:pPr>
    <w:rPr>
      <w:rFonts w:ascii="Calibri" w:hAnsi="Calibri"/>
    </w:rPr>
  </w:style>
  <w:style w:type="paragraph" w:styleId="1108">
    <w:name w:val="toc 5"/>
    <w:basedOn w:val="1085"/>
    <w:next w:val="1085"/>
    <w:uiPriority w:val="39"/>
    <w:unhideWhenUsed/>
    <w:qFormat/>
    <w:pPr>
      <w:ind w:left="1680"/>
    </w:pPr>
    <w:rPr>
      <w:rFonts w:ascii="Calibri" w:hAnsi="Calibri"/>
      <w:szCs w:val="22"/>
    </w:rPr>
  </w:style>
  <w:style w:type="paragraph" w:styleId="1109">
    <w:name w:val="toc 3"/>
    <w:basedOn w:val="1085"/>
    <w:next w:val="1085"/>
    <w:uiPriority w:val="39"/>
    <w:qFormat/>
    <w:pPr>
      <w:ind w:left="840"/>
    </w:pPr>
    <w:rPr>
      <w:rFonts w:ascii="Calibri" w:hAnsi="Calibri"/>
      <w:szCs w:val="22"/>
    </w:rPr>
  </w:style>
  <w:style w:type="paragraph" w:styleId="1110">
    <w:name w:val="Plain Text"/>
    <w:basedOn w:val="1085"/>
    <w:link w:val="1215"/>
    <w:uiPriority w:val="0"/>
    <w:qFormat/>
    <w:rPr>
      <w:rFonts w:ascii="Ari"/>
      <w:sz w:val="20"/>
      <w:szCs w:val="20"/>
    </w:rPr>
  </w:style>
  <w:style w:type="paragraph" w:styleId="1111">
    <w:name w:val="toc 8"/>
    <w:basedOn w:val="1085"/>
    <w:next w:val="1085"/>
    <w:uiPriority w:val="39"/>
    <w:unhideWhenUsed/>
    <w:qFormat/>
    <w:pPr>
      <w:ind w:left="2940"/>
    </w:pPr>
    <w:rPr>
      <w:rFonts w:ascii="Calibri" w:hAnsi="Calibri"/>
      <w:szCs w:val="22"/>
    </w:rPr>
  </w:style>
  <w:style w:type="paragraph" w:styleId="1112">
    <w:name w:val="Date"/>
    <w:basedOn w:val="1085"/>
    <w:next w:val="1085"/>
    <w:link w:val="1222"/>
    <w:uiPriority w:val="0"/>
    <w:unhideWhenUsed/>
    <w:qFormat/>
  </w:style>
  <w:style w:type="paragraph" w:styleId="1113">
    <w:name w:val="Body Text Indent 2"/>
    <w:basedOn w:val="1085"/>
    <w:link w:val="1241"/>
    <w:uiPriority w:val="99"/>
    <w:unhideWhenUsed/>
    <w:qFormat/>
    <w:pPr>
      <w:ind w:firstLine="525"/>
      <w:spacing w:line="420" w:lineRule="exact"/>
    </w:pPr>
    <w:rPr>
      <w:rFonts w:ascii="宋体"/>
      <w:sz w:val="20"/>
      <w:szCs w:val="20"/>
    </w:rPr>
  </w:style>
  <w:style w:type="paragraph" w:styleId="1114">
    <w:name w:val="Balloon Text"/>
    <w:basedOn w:val="1085"/>
    <w:link w:val="1262"/>
    <w:uiPriority w:val="0"/>
    <w:qFormat/>
    <w:rPr>
      <w:sz w:val="18"/>
      <w:szCs w:val="18"/>
    </w:rPr>
  </w:style>
  <w:style w:type="paragraph" w:styleId="1115">
    <w:name w:val="Footer"/>
    <w:basedOn w:val="1085"/>
    <w:link w:val="1253"/>
    <w:uiPriority w:val="99"/>
    <w:qFormat/>
    <w:pPr>
      <w:jc w:val="left"/>
      <w:tabs>
        <w:tab w:val="center" w:pos="4153" w:leader="none"/>
        <w:tab w:val="right" w:pos="8306" w:leader="none"/>
      </w:tabs>
    </w:pPr>
    <w:rPr>
      <w:sz w:val="18"/>
      <w:szCs w:val="18"/>
    </w:rPr>
  </w:style>
  <w:style w:type="paragraph" w:styleId="1116">
    <w:name w:val="Header"/>
    <w:basedOn w:val="1085"/>
    <w:link w:val="1213"/>
    <w:uiPriority w:val="99"/>
    <w:qFormat/>
    <w:pPr>
      <w:jc w:val="center"/>
      <w:tabs>
        <w:tab w:val="center" w:pos="4153" w:leader="none"/>
        <w:tab w:val="right" w:pos="8306" w:leader="none"/>
      </w:tabs>
      <w:pBdr>
        <w:bottom w:val="single" w:color="auto" w:sz="6" w:space="1"/>
      </w:pBdr>
    </w:pPr>
    <w:rPr>
      <w:sz w:val="18"/>
      <w:szCs w:val="18"/>
    </w:rPr>
  </w:style>
  <w:style w:type="paragraph" w:styleId="1117">
    <w:name w:val="toc 1"/>
    <w:basedOn w:val="1085"/>
    <w:next w:val="1085"/>
    <w:uiPriority w:val="39"/>
    <w:qFormat/>
  </w:style>
  <w:style w:type="paragraph" w:styleId="1118">
    <w:name w:val="toc 4"/>
    <w:basedOn w:val="1085"/>
    <w:next w:val="1085"/>
    <w:uiPriority w:val="39"/>
    <w:unhideWhenUsed/>
    <w:qFormat/>
    <w:pPr>
      <w:ind w:left="1260"/>
    </w:pPr>
    <w:rPr>
      <w:rFonts w:ascii="Calibri" w:hAnsi="Calibri"/>
      <w:szCs w:val="22"/>
    </w:rPr>
  </w:style>
  <w:style w:type="paragraph" w:styleId="1119">
    <w:name w:val="Subtitle"/>
    <w:basedOn w:val="1085"/>
    <w:next w:val="1085"/>
    <w:link w:val="1238"/>
    <w:uiPriority w:val="0"/>
    <w:qFormat/>
    <w:pPr>
      <w:jc w:val="center"/>
      <w:spacing w:before="240" w:after="60" w:line="312" w:lineRule="auto"/>
      <w:outlineLvl w:val="1"/>
    </w:pPr>
    <w:rPr>
      <w:rFonts w:ascii="Cambria" w:hAnsi="Cambria"/>
      <w:b/>
      <w:bCs/>
      <w:sz w:val="32"/>
      <w:szCs w:val="32"/>
    </w:rPr>
  </w:style>
  <w:style w:type="paragraph" w:styleId="1120">
    <w:name w:val="toc 6"/>
    <w:basedOn w:val="1085"/>
    <w:next w:val="1085"/>
    <w:uiPriority w:val="39"/>
    <w:unhideWhenUsed/>
    <w:qFormat/>
    <w:pPr>
      <w:ind w:left="2100"/>
    </w:pPr>
    <w:rPr>
      <w:rFonts w:ascii="Calibri" w:hAnsi="Calibri"/>
      <w:szCs w:val="22"/>
    </w:rPr>
  </w:style>
  <w:style w:type="paragraph" w:styleId="1121">
    <w:name w:val="Body Text Indent 3"/>
    <w:basedOn w:val="1085"/>
    <w:link w:val="1260"/>
    <w:uiPriority w:val="0"/>
    <w:qFormat/>
    <w:pPr>
      <w:ind w:left="420"/>
      <w:spacing w:after="120"/>
    </w:pPr>
    <w:rPr>
      <w:sz w:val="16"/>
      <w:szCs w:val="20"/>
    </w:rPr>
  </w:style>
  <w:style w:type="paragraph" w:styleId="1122">
    <w:name w:val="toc 2"/>
    <w:basedOn w:val="1085"/>
    <w:next w:val="1085"/>
    <w:uiPriority w:val="39"/>
    <w:qFormat/>
    <w:pPr>
      <w:ind w:left="420"/>
    </w:pPr>
    <w:rPr>
      <w:rFonts w:ascii="Calibri" w:hAnsi="Calibri"/>
      <w:szCs w:val="22"/>
    </w:rPr>
  </w:style>
  <w:style w:type="paragraph" w:styleId="1123">
    <w:name w:val="toc 9"/>
    <w:basedOn w:val="1085"/>
    <w:next w:val="1085"/>
    <w:uiPriority w:val="39"/>
    <w:unhideWhenUsed/>
    <w:qFormat/>
    <w:pPr>
      <w:ind w:left="3360"/>
    </w:pPr>
    <w:rPr>
      <w:rFonts w:ascii="Calibri" w:hAnsi="Calibri"/>
      <w:szCs w:val="22"/>
    </w:rPr>
  </w:style>
  <w:style w:type="paragraph" w:styleId="1124">
    <w:name w:val="HTML Preformatted"/>
    <w:basedOn w:val="10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25">
    <w:name w:val="Normal (Web)"/>
    <w:basedOn w:val="1085"/>
    <w:uiPriority w:val="99"/>
    <w:qFormat/>
    <w:pPr>
      <w:jc w:val="left"/>
      <w:spacing w:before="100" w:beforeAutospacing="1" w:after="100" w:afterAutospacing="1"/>
      <w:widowControl/>
    </w:pPr>
    <w:rPr>
      <w:rFonts w:ascii="宋体" w:hAnsi="宋体" w:cs="宋体"/>
      <w:sz w:val="24"/>
    </w:rPr>
  </w:style>
  <w:style w:type="paragraph" w:styleId="1126">
    <w:name w:val="index 1"/>
    <w:basedOn w:val="1085"/>
    <w:next w:val="1085"/>
    <w:uiPriority w:val="0"/>
    <w:qFormat/>
    <w:pPr>
      <w:jc w:val="center"/>
      <w:spacing w:line="220" w:lineRule="exact"/>
    </w:pPr>
    <w:rPr>
      <w:rFonts w:ascii="仿宋_GB2312" w:hAnsi="Calibri" w:eastAsia="仿宋_GB2312"/>
      <w:szCs w:val="22"/>
    </w:rPr>
  </w:style>
  <w:style w:type="paragraph" w:styleId="1127">
    <w:name w:val="Title"/>
    <w:basedOn w:val="1085"/>
    <w:link w:val="1218"/>
    <w:uiPriority w:val="0"/>
    <w:qFormat/>
    <w:pPr>
      <w:jc w:val="center"/>
      <w:spacing w:before="240" w:after="60" w:line="420" w:lineRule="atLeast"/>
      <w:outlineLvl w:val="0"/>
    </w:pPr>
    <w:rPr>
      <w:rFonts w:ascii="Arial" w:hAnsi="Arial"/>
      <w:b/>
      <w:sz w:val="32"/>
      <w:szCs w:val="20"/>
    </w:rPr>
  </w:style>
  <w:style w:type="paragraph" w:styleId="1128">
    <w:name w:val="annotation subject"/>
    <w:basedOn w:val="1104"/>
    <w:next w:val="1104"/>
    <w:link w:val="1251"/>
    <w:uiPriority w:val="0"/>
    <w:qFormat/>
    <w:rPr>
      <w:b/>
      <w:bCs/>
    </w:rPr>
  </w:style>
  <w:style w:type="table" w:styleId="1129">
    <w:name w:val="Table Grid"/>
    <w:basedOn w:val="109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0">
    <w:name w:val="Strong"/>
    <w:uiPriority w:val="0"/>
    <w:qFormat/>
    <w:rPr>
      <w:rFonts w:cs="Times New Roman"/>
      <w:b/>
    </w:rPr>
  </w:style>
  <w:style w:type="character" w:styleId="1131">
    <w:name w:val="page number"/>
    <w:uiPriority w:val="0"/>
    <w:qFormat/>
    <w:rPr>
      <w:rFonts w:eastAsia="宋体"/>
      <w:b/>
      <w:spacing w:val="0"/>
      <w:sz w:val="24"/>
      <w:szCs w:val="24"/>
      <w:lang w:val="en-US" w:eastAsia="zh-CN" w:bidi="ar-SA"/>
    </w:rPr>
  </w:style>
  <w:style w:type="character" w:styleId="1132">
    <w:name w:val="FollowedHyperlink"/>
    <w:uiPriority w:val="0"/>
    <w:qFormat/>
    <w:rPr>
      <w:color w:val="800080"/>
      <w:u w:val="single"/>
    </w:rPr>
  </w:style>
  <w:style w:type="character" w:styleId="1133">
    <w:name w:val="Emphasis"/>
    <w:uiPriority w:val="0"/>
    <w:qFormat/>
    <w:rPr>
      <w:color w:val="cc0000"/>
    </w:rPr>
  </w:style>
  <w:style w:type="character" w:styleId="1134">
    <w:name w:val="Hyperlink"/>
    <w:uiPriority w:val="99"/>
    <w:qFormat/>
    <w:rPr>
      <w:color w:val="0000ff"/>
      <w:u w:val="single"/>
    </w:rPr>
  </w:style>
  <w:style w:type="character" w:styleId="1135">
    <w:name w:val="annotation reference"/>
    <w:uiPriority w:val="99"/>
    <w:qFormat/>
    <w:rPr>
      <w:sz w:val="21"/>
      <w:szCs w:val="21"/>
    </w:rPr>
  </w:style>
  <w:style w:type="character" w:styleId="1136">
    <w:name w:val="HTML Cite"/>
    <w:uiPriority w:val="0"/>
    <w:qFormat/>
    <w:rPr>
      <w:color w:val="008000"/>
    </w:rPr>
  </w:style>
  <w:style w:type="character" w:styleId="1137" w:customStyle="1">
    <w:name w:val="标题 1 Char"/>
    <w:uiPriority w:val="0"/>
    <w:qFormat/>
    <w:rPr>
      <w:b/>
      <w:bCs/>
      <w:sz w:val="32"/>
      <w:szCs w:val="44"/>
    </w:rPr>
  </w:style>
  <w:style w:type="paragraph" w:styleId="1138" w:customStyle="1">
    <w:name w:val="列出段落1"/>
    <w:basedOn w:val="1085"/>
    <w:uiPriority w:val="0"/>
    <w:qFormat/>
    <w:pPr>
      <w:ind w:firstLine="420"/>
    </w:pPr>
  </w:style>
  <w:style w:type="paragraph" w:styleId="1139" w:customStyle="1">
    <w:name w:val="标题 3_0"/>
    <w:basedOn w:val="1140"/>
    <w:next w:val="1140"/>
    <w:link w:val="1201"/>
    <w:uiPriority w:val="0"/>
    <w:qFormat/>
    <w:pPr>
      <w:keepLines/>
      <w:keepNext/>
      <w:spacing w:before="260" w:after="260" w:line="416" w:lineRule="auto"/>
      <w:outlineLvl w:val="2"/>
    </w:pPr>
    <w:rPr>
      <w:b/>
      <w:bCs/>
      <w:sz w:val="32"/>
      <w:szCs w:val="32"/>
    </w:rPr>
  </w:style>
  <w:style w:type="paragraph" w:styleId="114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引用1"/>
    <w:basedOn w:val="1085"/>
    <w:next w:val="1085"/>
    <w:link w:val="1206"/>
    <w:uiPriority w:val="0"/>
    <w:qFormat/>
    <w:rPr>
      <w:i/>
      <w:iCs/>
      <w:color w:val="000000"/>
      <w:sz w:val="20"/>
      <w:szCs w:val="20"/>
    </w:rPr>
  </w:style>
  <w:style w:type="paragraph" w:styleId="1142" w:customStyle="1">
    <w:name w:val="标题 1_0"/>
    <w:basedOn w:val="1140"/>
    <w:next w:val="1140"/>
    <w:link w:val="1207"/>
    <w:uiPriority w:val="0"/>
    <w:qFormat/>
    <w:pPr>
      <w:keepLines/>
      <w:keepNext/>
      <w:spacing w:before="340" w:after="330" w:line="578" w:lineRule="auto"/>
      <w:outlineLvl w:val="0"/>
    </w:pPr>
    <w:rPr>
      <w:b/>
      <w:bCs/>
      <w:sz w:val="44"/>
      <w:szCs w:val="44"/>
    </w:rPr>
  </w:style>
  <w:style w:type="paragraph" w:styleId="1143" w:customStyle="1">
    <w:name w:val="标题 4_0"/>
    <w:basedOn w:val="1140"/>
    <w:next w:val="1140"/>
    <w:link w:val="1212"/>
    <w:uiPriority w:val="0"/>
    <w:qFormat/>
    <w:pPr>
      <w:keepLines/>
      <w:keepNext/>
      <w:spacing w:before="280" w:after="290" w:line="376" w:lineRule="auto"/>
      <w:outlineLvl w:val="3"/>
    </w:pPr>
    <w:rPr>
      <w:rFonts w:ascii="Arial" w:hAnsi="Arial" w:eastAsia="黑体"/>
      <w:b/>
      <w:bCs/>
      <w:sz w:val="28"/>
      <w:szCs w:val="28"/>
    </w:rPr>
  </w:style>
  <w:style w:type="paragraph" w:styleId="1144" w:customStyle="1">
    <w:name w:val="标题5"/>
    <w:basedOn w:val="1088"/>
    <w:link w:val="1219"/>
    <w:uiPriority w:val="0"/>
    <w:qFormat/>
    <w:pPr>
      <w:numPr>
        <w:numId w:val="0"/>
      </w:numPr>
      <w:spacing w:line="413" w:lineRule="auto"/>
    </w:pPr>
    <w:rPr>
      <w:rFonts w:ascii="Arial" w:hAnsi="Arial"/>
      <w:sz w:val="24"/>
    </w:rPr>
  </w:style>
  <w:style w:type="paragraph" w:styleId="1145" w:customStyle="1">
    <w:name w:val="明显引用1"/>
    <w:basedOn w:val="1085"/>
    <w:next w:val="1085"/>
    <w:link w:val="1225"/>
    <w:uiPriority w:val="0"/>
    <w:qFormat/>
    <w:pPr>
      <w:ind w:left="936" w:right="936"/>
      <w:spacing w:before="200" w:after="280"/>
      <w:pBdr>
        <w:bottom w:val="single" w:color="4F81BD" w:sz="4" w:space="4"/>
      </w:pBdr>
    </w:pPr>
    <w:rPr>
      <w:b/>
      <w:bCs/>
      <w:i/>
      <w:iCs/>
      <w:color w:val="4f81bd"/>
      <w:sz w:val="20"/>
      <w:szCs w:val="20"/>
    </w:rPr>
  </w:style>
  <w:style w:type="paragraph" w:styleId="1146" w:customStyle="1">
    <w:name w:val="正文文本_0"/>
    <w:basedOn w:val="1140"/>
    <w:link w:val="1237"/>
    <w:uiPriority w:val="0"/>
    <w:qFormat/>
    <w:pPr>
      <w:spacing w:after="120"/>
    </w:pPr>
    <w:rPr>
      <w:sz w:val="20"/>
    </w:rPr>
  </w:style>
  <w:style w:type="paragraph" w:styleId="1147" w:customStyle="1">
    <w:name w:val="标题 5_0"/>
    <w:basedOn w:val="1140"/>
    <w:next w:val="1140"/>
    <w:link w:val="1240"/>
    <w:uiPriority w:val="0"/>
    <w:qFormat/>
    <w:pPr>
      <w:keepLines/>
      <w:keepNext/>
      <w:spacing w:before="280" w:after="290" w:line="372" w:lineRule="auto"/>
      <w:outlineLvl w:val="4"/>
    </w:pPr>
    <w:rPr>
      <w:rFonts w:ascii="Calibri" w:hAnsi="Calibri"/>
      <w:b/>
      <w:bCs/>
      <w:sz w:val="28"/>
      <w:szCs w:val="28"/>
    </w:rPr>
  </w:style>
  <w:style w:type="paragraph" w:styleId="1148" w:customStyle="1">
    <w:name w:val="标题4"/>
    <w:basedOn w:val="1087"/>
    <w:next w:val="1107"/>
    <w:link w:val="1254"/>
    <w:uiPriority w:val="0"/>
    <w:qFormat/>
    <w:pPr>
      <w:numPr>
        <w:numId w:val="0"/>
      </w:numPr>
      <w:spacing w:line="413" w:lineRule="auto"/>
    </w:pPr>
    <w:rPr>
      <w:rFonts w:ascii="Arial" w:hAnsi="Arial"/>
      <w:sz w:val="24"/>
    </w:rPr>
  </w:style>
  <w:style w:type="paragraph" w:styleId="1149" w:customStyle="1">
    <w:name w:val="标题 2_0"/>
    <w:basedOn w:val="1140"/>
    <w:next w:val="1140"/>
    <w:link w:val="1266"/>
    <w:uiPriority w:val="0"/>
    <w:unhideWhenUsed/>
    <w:qFormat/>
    <w:pPr>
      <w:keepLines/>
      <w:keepNext/>
      <w:spacing w:before="260" w:after="260" w:line="416" w:lineRule="auto"/>
      <w:outlineLvl w:val="1"/>
    </w:pPr>
    <w:rPr>
      <w:rFonts w:ascii="Cambria" w:hAnsi="Cambria"/>
      <w:b/>
      <w:bCs/>
      <w:sz w:val="32"/>
      <w:szCs w:val="32"/>
    </w:rPr>
  </w:style>
  <w:style w:type="paragraph" w:styleId="1150" w:customStyle="1">
    <w:name w:val="List Paragraph1"/>
    <w:basedOn w:val="1085"/>
    <w:link w:val="1270"/>
    <w:uiPriority w:val="99"/>
    <w:qFormat/>
    <w:pPr>
      <w:ind w:firstLine="420"/>
    </w:pPr>
  </w:style>
  <w:style w:type="paragraph" w:styleId="1151" w:customStyle="1">
    <w:name w:val="样式 标题 3 + (中文) 黑体 小四 非加粗 段前: 7.8 磅 段后: 0 磅 行距: 固定值 20 磅"/>
    <w:basedOn w:val="1088"/>
    <w:next w:val="1085"/>
    <w:uiPriority w:val="0"/>
    <w:qFormat/>
    <w:pPr>
      <w:spacing w:before="0" w:after="0" w:line="400" w:lineRule="exact"/>
    </w:pPr>
    <w:rPr>
      <w:rFonts w:eastAsia="黑体" w:cs="宋体"/>
      <w:b w:val="0"/>
      <w:bCs w:val="0"/>
      <w:sz w:val="24"/>
      <w:szCs w:val="20"/>
    </w:rPr>
  </w:style>
  <w:style w:type="paragraph" w:styleId="1152" w:customStyle="1">
    <w:name w:val="_Style 34"/>
    <w:next w:val="1085"/>
    <w:uiPriority w:val="0"/>
    <w:qFormat/>
    <w:pPr>
      <w:jc w:val="both"/>
      <w:widowControl w:val="off"/>
    </w:pPr>
    <w:rPr>
      <w:rFonts w:ascii="Times New Roman" w:hAnsi="Times New Roman" w:eastAsia="宋体" w:cs="Times New Roman"/>
      <w:sz w:val="21"/>
      <w:lang w:val="en-US" w:eastAsia="zh-CN" w:bidi="ar-SA"/>
    </w:rPr>
  </w:style>
  <w:style w:type="paragraph" w:styleId="115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_Style 36"/>
    <w:next w:val="1085"/>
    <w:uiPriority w:val="0"/>
    <w:qFormat/>
    <w:pPr>
      <w:jc w:val="both"/>
      <w:widowControl w:val="off"/>
    </w:pPr>
    <w:rPr>
      <w:rFonts w:ascii="Times New Roman" w:hAnsi="Times New Roman" w:eastAsia="宋体" w:cs="Times New Roman"/>
      <w:sz w:val="21"/>
      <w:lang w:val="en-US" w:eastAsia="zh-CN" w:bidi="ar-SA"/>
    </w:rPr>
  </w:style>
  <w:style w:type="paragraph" w:styleId="1155" w:customStyle="1">
    <w:name w:val="空半行"/>
    <w:basedOn w:val="1085"/>
    <w:uiPriority w:val="0"/>
    <w:qFormat/>
    <w:pPr>
      <w:spacing w:line="120" w:lineRule="exact"/>
    </w:pPr>
    <w:rPr>
      <w:rFonts w:ascii="Calibri" w:hAnsi="Calibri" w:eastAsia="仿宋_GB2312"/>
      <w:color w:val="ffffff"/>
      <w:sz w:val="30"/>
      <w:szCs w:val="22"/>
    </w:rPr>
  </w:style>
  <w:style w:type="paragraph" w:styleId="1156" w:customStyle="1">
    <w:name w:val="1方案格式1"/>
    <w:basedOn w:val="1086"/>
    <w:uiPriority w:val="0"/>
    <w:qFormat/>
    <w:pPr>
      <w:numPr>
        <w:numId w:val="2"/>
      </w:numPr>
      <w:ind w:left="0" w:firstLine="0"/>
      <w:spacing w:line="360" w:lineRule="auto"/>
      <w:tabs>
        <w:tab w:val="left" w:pos="360" w:leader="none"/>
      </w:tabs>
    </w:pPr>
    <w:rPr>
      <w:rFonts w:eastAsia="微软雅黑"/>
      <w:bCs w:val="0"/>
      <w:sz w:val="48"/>
    </w:rPr>
  </w:style>
  <w:style w:type="paragraph" w:styleId="1157" w:customStyle="1">
    <w:name w:val="格式３"/>
    <w:basedOn w:val="1085"/>
    <w:uiPriority w:val="0"/>
    <w:qFormat/>
    <w:pPr>
      <w:ind w:left="600" w:hanging="600"/>
      <w:spacing w:line="420" w:lineRule="exact"/>
    </w:pPr>
    <w:rPr>
      <w:rFonts w:ascii="宋体" w:hAnsi="宋体"/>
      <w:color w:val="000000"/>
      <w:sz w:val="24"/>
      <w:szCs w:val="20"/>
    </w:rPr>
  </w:style>
  <w:style w:type="paragraph" w:styleId="1158" w:customStyle="1">
    <w:name w:val="正文1"/>
    <w:uiPriority w:val="0"/>
    <w:qFormat/>
    <w:pPr>
      <w:jc w:val="both"/>
      <w:widowControl w:val="off"/>
    </w:pPr>
    <w:rPr>
      <w:rFonts w:ascii="Calibri" w:hAnsi="Calibri" w:eastAsia="宋体" w:cs="Times New Roman"/>
      <w:lang w:val="en-US" w:eastAsia="zh-CN" w:bidi="ar-SA"/>
    </w:rPr>
  </w:style>
  <w:style w:type="paragraph" w:styleId="1159" w:customStyle="1">
    <w:name w:val="列出段落111"/>
    <w:basedOn w:val="1085"/>
    <w:uiPriority w:val="99"/>
    <w:qFormat/>
    <w:pPr>
      <w:contextualSpacing/>
      <w:ind w:left="720"/>
      <w:jc w:val="left"/>
      <w:widowControl/>
    </w:pPr>
    <w:rPr>
      <w:rFonts w:ascii="Arial" w:hAnsi="Arial" w:eastAsia="黑体"/>
      <w:sz w:val="24"/>
      <w:lang w:eastAsia="en-US"/>
    </w:rPr>
  </w:style>
  <w:style w:type="paragraph" w:styleId="1160" w:customStyle="1">
    <w:name w:val="正文空2字"/>
    <w:basedOn w:val="1085"/>
    <w:uiPriority w:val="0"/>
    <w:qFormat/>
    <w:pPr>
      <w:ind w:firstLine="200"/>
      <w:spacing w:line="360" w:lineRule="auto"/>
    </w:pPr>
    <w:rPr>
      <w:sz w:val="24"/>
      <w:lang w:bidi="en-US"/>
    </w:rPr>
  </w:style>
  <w:style w:type="paragraph" w:styleId="116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62" w:customStyle="1">
    <w:name w:val="目录 5_0"/>
    <w:basedOn w:val="1140"/>
    <w:next w:val="1140"/>
    <w:uiPriority w:val="39"/>
    <w:qFormat/>
    <w:pPr>
      <w:ind w:left="1680"/>
    </w:pPr>
    <w:rPr>
      <w:rFonts w:ascii="Calibri" w:hAnsi="Calibri"/>
    </w:rPr>
  </w:style>
  <w:style w:type="paragraph" w:styleId="1163" w:customStyle="1">
    <w:name w:val="修订1"/>
    <w:uiPriority w:val="0"/>
    <w:qFormat/>
    <w:rPr>
      <w:rFonts w:ascii="Times New Roman" w:hAnsi="Times New Roman" w:eastAsia="宋体" w:cs="Times New Roman"/>
      <w:sz w:val="21"/>
      <w:szCs w:val="24"/>
      <w:lang w:val="en-US" w:eastAsia="zh-CN" w:bidi="ar-SA"/>
    </w:rPr>
  </w:style>
  <w:style w:type="paragraph" w:styleId="1164" w:customStyle="1">
    <w:name w:val="标题 11"/>
    <w:basedOn w:val="1158"/>
    <w:next w:val="115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5" w:customStyle="1">
    <w:name w:val="正文 + 行距: 固定值 20 磅"/>
    <w:basedOn w:val="1085"/>
    <w:uiPriority w:val="0"/>
    <w:qFormat/>
    <w:pPr>
      <w:ind w:firstLine="716"/>
      <w:spacing w:line="400" w:lineRule="exact"/>
    </w:pPr>
    <w:rPr>
      <w:rFonts w:ascii="Calibri" w:hAnsi="Calibri"/>
      <w:szCs w:val="22"/>
    </w:rPr>
  </w:style>
  <w:style w:type="paragraph" w:styleId="1166" w:customStyle="1">
    <w:name w:val="TOC 标题1"/>
    <w:basedOn w:val="1086"/>
    <w:next w:val="10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67" w:customStyle="1">
    <w:name w:val="表格文字"/>
    <w:basedOn w:val="1085"/>
    <w:link w:val="1271"/>
    <w:uiPriority w:val="0"/>
    <w:qFormat/>
    <w:pPr>
      <w:jc w:val="left"/>
      <w:spacing w:line="420" w:lineRule="atLeast"/>
    </w:pPr>
    <w:rPr>
      <w:rFonts w:ascii="Calibri" w:hAnsi="Calibri"/>
      <w:szCs w:val="22"/>
    </w:rPr>
  </w:style>
  <w:style w:type="paragraph" w:styleId="1168" w:customStyle="1">
    <w:name w:val="flNote"/>
    <w:basedOn w:val="1085"/>
    <w:uiPriority w:val="0"/>
    <w:qFormat/>
    <w:pPr>
      <w:jc w:val="center"/>
      <w:spacing w:before="320" w:after="160" w:line="360" w:lineRule="atLeast"/>
    </w:pPr>
    <w:rPr>
      <w:rFonts w:ascii="Arial" w:hAnsi="Calibri" w:eastAsia="黑体"/>
      <w:sz w:val="30"/>
      <w:szCs w:val="22"/>
    </w:rPr>
  </w:style>
  <w:style w:type="paragraph" w:styleId="1169" w:customStyle="1">
    <w:name w:val="文章正文"/>
    <w:basedOn w:val="1085"/>
    <w:uiPriority w:val="99"/>
    <w:qFormat/>
    <w:pPr>
      <w:ind w:firstLine="480"/>
      <w:spacing w:line="360" w:lineRule="auto"/>
    </w:pPr>
    <w:rPr>
      <w:rFonts w:ascii="仿宋_GB2312" w:hAnsi="宋体" w:eastAsia="仿宋_GB2312"/>
      <w:color w:val="ff0000"/>
      <w:sz w:val="24"/>
    </w:rPr>
  </w:style>
  <w:style w:type="paragraph" w:styleId="1170" w:customStyle="1">
    <w:name w:val="表格"/>
    <w:basedOn w:val="1085"/>
    <w:uiPriority w:val="0"/>
    <w:qFormat/>
    <w:pPr>
      <w:jc w:val="center"/>
    </w:pPr>
    <w:rPr>
      <w:rFonts w:ascii="华文细黑" w:hAnsi="华文细黑"/>
      <w:szCs w:val="22"/>
    </w:rPr>
  </w:style>
  <w:style w:type="paragraph" w:styleId="1171" w:customStyle="1">
    <w:name w:val="Char"/>
    <w:basedOn w:val="1085"/>
    <w:uiPriority w:val="0"/>
    <w:qFormat/>
    <w:pPr>
      <w:jc w:val="left"/>
      <w:spacing w:after="160" w:line="240" w:lineRule="exact"/>
      <w:widowControl/>
    </w:pPr>
    <w:rPr>
      <w:rFonts w:ascii="Verdana" w:hAnsi="Verdana"/>
      <w:sz w:val="20"/>
      <w:szCs w:val="20"/>
      <w:lang w:eastAsia="en-US"/>
    </w:rPr>
  </w:style>
  <w:style w:type="paragraph" w:styleId="117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3" w:customStyle="1">
    <w:name w:val="列出段落2"/>
    <w:basedOn w:val="1085"/>
    <w:uiPriority w:val="99"/>
    <w:qFormat/>
    <w:pPr>
      <w:ind w:firstLine="420"/>
    </w:pPr>
  </w:style>
  <w:style w:type="paragraph" w:styleId="1174" w:customStyle="1">
    <w:name w:val="6'"/>
    <w:basedOn w:val="1085"/>
    <w:uiPriority w:val="0"/>
    <w:qFormat/>
    <w:pPr>
      <w:jc w:val="center"/>
      <w:spacing w:line="320" w:lineRule="exact"/>
    </w:pPr>
    <w:rPr>
      <w:rFonts w:ascii="Calibri" w:hAnsi="Calibri"/>
      <w:spacing w:val="20"/>
      <w:szCs w:val="22"/>
    </w:rPr>
  </w:style>
  <w:style w:type="paragraph" w:styleId="1175" w:customStyle="1">
    <w:name w:val="Char Char Char Char Char Char Char"/>
    <w:basedOn w:val="1085"/>
    <w:uiPriority w:val="0"/>
    <w:qFormat/>
    <w:pPr>
      <w:spacing w:line="360" w:lineRule="auto"/>
    </w:pPr>
    <w:rPr>
      <w:sz w:val="24"/>
      <w:szCs w:val="20"/>
    </w:rPr>
  </w:style>
  <w:style w:type="paragraph" w:styleId="1176" w:customStyle="1">
    <w:name w:val="2方案格式2"/>
    <w:basedOn w:val="1156"/>
    <w:uiPriority w:val="0"/>
    <w:qFormat/>
    <w:pPr>
      <w:numPr>
        <w:ilvl w:val="1"/>
      </w:numPr>
      <w:spacing w:line="240" w:lineRule="auto"/>
      <w:outlineLvl w:val="1"/>
    </w:pPr>
    <w:rPr>
      <w:sz w:val="44"/>
    </w:rPr>
  </w:style>
  <w:style w:type="paragraph" w:styleId="117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文档正文"/>
    <w:basedOn w:val="1085"/>
    <w:uiPriority w:val="0"/>
    <w:qFormat/>
    <w:pPr>
      <w:ind w:firstLine="567"/>
      <w:spacing w:line="480" w:lineRule="atLeast"/>
    </w:pPr>
    <w:rPr>
      <w:rFonts w:ascii="Ari" w:eastAsia="Ari"/>
      <w:sz w:val="28"/>
      <w:szCs w:val="20"/>
    </w:rPr>
  </w:style>
  <w:style w:type="paragraph" w:styleId="1179" w:customStyle="1">
    <w:name w:val="txt"/>
    <w:basedOn w:val="1085"/>
    <w:uiPriority w:val="0"/>
    <w:qFormat/>
    <w:pPr>
      <w:jc w:val="left"/>
      <w:spacing w:before="100" w:beforeAutospacing="1" w:after="100" w:afterAutospacing="1"/>
      <w:widowControl/>
    </w:pPr>
    <w:rPr>
      <w:rFonts w:ascii="宋体" w:hAnsi="宋体" w:cs="宋体"/>
      <w:sz w:val="24"/>
    </w:rPr>
  </w:style>
  <w:style w:type="paragraph" w:styleId="1180" w:customStyle="1">
    <w:name w:val="目录 4_0"/>
    <w:basedOn w:val="1140"/>
    <w:next w:val="1140"/>
    <w:uiPriority w:val="39"/>
    <w:qFormat/>
    <w:pPr>
      <w:ind w:left="1260"/>
    </w:pPr>
    <w:rPr>
      <w:rFonts w:ascii="Calibri" w:hAnsi="Calibri"/>
    </w:rPr>
  </w:style>
  <w:style w:type="paragraph" w:styleId="1181" w:customStyle="1">
    <w:name w:val="目录 3_0"/>
    <w:basedOn w:val="1140"/>
    <w:next w:val="1140"/>
    <w:uiPriority w:val="39"/>
    <w:qFormat/>
    <w:pPr>
      <w:ind w:left="840"/>
    </w:pPr>
    <w:rPr>
      <w:rFonts w:ascii="Calibri" w:hAnsi="Calibri"/>
    </w:rPr>
  </w:style>
  <w:style w:type="paragraph" w:styleId="1182" w:customStyle="1">
    <w:name w:val="样式 标题 1 + 黑体 三号 非加粗 居中 段前: 6 磅 段后: 6 磅 行距: 固定值 20 磅"/>
    <w:basedOn w:val="1086"/>
    <w:uiPriority w:val="0"/>
    <w:qFormat/>
    <w:pPr>
      <w:numPr>
        <w:numId w:val="0"/>
      </w:numPr>
      <w:spacing w:before="120" w:after="120" w:line="400" w:lineRule="exact"/>
    </w:pPr>
    <w:rPr>
      <w:rFonts w:ascii="黑体" w:hAnsi="黑体" w:eastAsia="黑体"/>
      <w:b w:val="0"/>
      <w:bCs w:val="0"/>
      <w:szCs w:val="20"/>
    </w:rPr>
  </w:style>
  <w:style w:type="paragraph" w:styleId="1183" w:customStyle="1">
    <w:name w:val="1"/>
    <w:basedOn w:val="1085"/>
    <w:next w:val="1085"/>
    <w:uiPriority w:val="0"/>
    <w:qFormat/>
    <w:rPr>
      <w:rFonts w:ascii="Calibri" w:hAnsi="Calibri"/>
      <w:szCs w:val="22"/>
    </w:rPr>
  </w:style>
  <w:style w:type="paragraph" w:styleId="1184" w:customStyle="1">
    <w:name w:val="Blockquote_0"/>
    <w:basedOn w:val="1140"/>
    <w:uiPriority w:val="0"/>
    <w:qFormat/>
    <w:pPr>
      <w:ind w:left="360" w:right="360"/>
      <w:jc w:val="left"/>
      <w:spacing w:before="100" w:after="100"/>
    </w:pPr>
    <w:rPr>
      <w:rFonts w:ascii="Calibri" w:hAnsi="Calibri" w:eastAsia="Times New Roman"/>
      <w:sz w:val="24"/>
      <w:szCs w:val="20"/>
    </w:rPr>
  </w:style>
  <w:style w:type="paragraph" w:styleId="1185" w:customStyle="1">
    <w:name w:val="列出段落11"/>
    <w:basedOn w:val="1085"/>
    <w:uiPriority w:val="0"/>
    <w:qFormat/>
    <w:pPr>
      <w:contextualSpacing/>
      <w:ind w:left="720"/>
      <w:jc w:val="left"/>
      <w:widowControl/>
    </w:pPr>
    <w:rPr>
      <w:rFonts w:ascii="Arial" w:hAnsi="Arial" w:eastAsia="黑体"/>
      <w:sz w:val="24"/>
      <w:lang w:eastAsia="en-US"/>
    </w:rPr>
  </w:style>
  <w:style w:type="paragraph" w:styleId="1186" w:customStyle="1">
    <w:name w:val="样式 标题 2 + Times New Roman 四号 非加粗 段前: 5 磅 段后: 0 磅 行距: 固定值 20..._0"/>
    <w:basedOn w:val="1085"/>
    <w:uiPriority w:val="0"/>
    <w:qFormat/>
    <w:pPr>
      <w:keepLines/>
      <w:keepNext/>
      <w:spacing w:before="100" w:line="360" w:lineRule="auto"/>
      <w:outlineLvl w:val="1"/>
    </w:pPr>
    <w:rPr>
      <w:rFonts w:eastAsia="Times New Roman" w:cs="宋体"/>
      <w:sz w:val="28"/>
      <w:szCs w:val="20"/>
    </w:rPr>
  </w:style>
  <w:style w:type="paragraph" w:styleId="1187" w:customStyle="1">
    <w:name w:val="op_mapdots_left"/>
    <w:basedOn w:val="1085"/>
    <w:uiPriority w:val="0"/>
    <w:qFormat/>
    <w:pPr>
      <w:jc w:val="left"/>
      <w:spacing w:before="100" w:beforeAutospacing="1" w:after="100" w:afterAutospacing="1"/>
      <w:widowControl/>
    </w:pPr>
    <w:rPr>
      <w:rFonts w:ascii="宋体" w:hAnsi="宋体" w:cs="宋体"/>
      <w:sz w:val="24"/>
    </w:rPr>
  </w:style>
  <w:style w:type="paragraph" w:styleId="1188" w:customStyle="1">
    <w:name w:val="p0"/>
    <w:basedOn w:val="1085"/>
    <w:uiPriority w:val="0"/>
    <w:qFormat/>
    <w:pPr>
      <w:widowControl/>
    </w:pPr>
    <w:rPr>
      <w:b/>
      <w:bCs/>
      <w:sz w:val="24"/>
    </w:rPr>
  </w:style>
  <w:style w:type="paragraph" w:styleId="1189" w:customStyle="1">
    <w:name w:val="Blockquote"/>
    <w:basedOn w:val="1085"/>
    <w:uiPriority w:val="0"/>
    <w:qFormat/>
    <w:pPr>
      <w:ind w:left="360" w:right="360"/>
      <w:jc w:val="left"/>
      <w:spacing w:before="100" w:after="100"/>
    </w:pPr>
    <w:rPr>
      <w:rFonts w:ascii="Calibri" w:hAnsi="Calibri"/>
      <w:sz w:val="24"/>
      <w:szCs w:val="22"/>
    </w:rPr>
  </w:style>
  <w:style w:type="paragraph" w:styleId="1190" w:customStyle="1">
    <w:name w:val="3方案格式3"/>
    <w:basedOn w:val="1176"/>
    <w:uiPriority w:val="0"/>
    <w:qFormat/>
    <w:pPr>
      <w:numPr>
        <w:ilvl w:val="2"/>
      </w:numPr>
      <w:outlineLvl w:val="2"/>
    </w:pPr>
    <w:rPr>
      <w:sz w:val="32"/>
    </w:rPr>
  </w:style>
  <w:style w:type="paragraph" w:styleId="1191" w:customStyle="1">
    <w:name w:val="样式 标题 2 + Times New Roman 四号 非加粗 段前: 5 磅 段后: 0 磅 行距: 固定值 20..."/>
    <w:basedOn w:val="1087"/>
    <w:uiPriority w:val="0"/>
    <w:qFormat/>
    <w:pPr>
      <w:numPr>
        <w:numId w:val="0"/>
      </w:numPr>
      <w:spacing w:before="100" w:after="0" w:line="400" w:lineRule="exact"/>
    </w:pPr>
    <w:rPr>
      <w:rFonts w:ascii="Times New Roman" w:hAnsi="Times New Roman" w:eastAsia="黑体"/>
      <w:b w:val="0"/>
      <w:bCs w:val="0"/>
      <w:sz w:val="28"/>
      <w:szCs w:val="20"/>
    </w:rPr>
  </w:style>
  <w:style w:type="paragraph" w:styleId="1192" w:customStyle="1">
    <w:name w:val="标题2"/>
    <w:basedOn w:val="1087"/>
    <w:next w:val="1098"/>
    <w:uiPriority w:val="0"/>
    <w:qFormat/>
    <w:pPr>
      <w:spacing w:before="156" w:after="156" w:line="360" w:lineRule="auto"/>
    </w:pPr>
    <w:rPr>
      <w:bCs w:val="0"/>
      <w:sz w:val="24"/>
    </w:rPr>
  </w:style>
  <w:style w:type="paragraph" w:styleId="1193" w:customStyle="1">
    <w:name w:val="普通正文"/>
    <w:basedOn w:val="1085"/>
    <w:uiPriority w:val="0"/>
    <w:qFormat/>
    <w:pPr>
      <w:ind w:firstLine="480"/>
      <w:jc w:val="left"/>
      <w:spacing w:before="120" w:after="120" w:line="360" w:lineRule="auto"/>
    </w:pPr>
    <w:rPr>
      <w:rFonts w:ascii="Arial" w:hAnsi="Arial"/>
      <w:sz w:val="24"/>
    </w:rPr>
  </w:style>
  <w:style w:type="paragraph" w:styleId="1194" w:customStyle="1">
    <w:name w:val="正文11"/>
    <w:uiPriority w:val="0"/>
    <w:qFormat/>
    <w:rPr>
      <w:rFonts w:ascii="Calibri" w:hAnsi="Calibri" w:eastAsia="宋体" w:cs="Calibri"/>
      <w:sz w:val="24"/>
      <w:szCs w:val="24"/>
      <w:lang w:val="en-US" w:eastAsia="zh-CN" w:bidi="ar-SA"/>
    </w:rPr>
  </w:style>
  <w:style w:type="paragraph" w:styleId="1195" w:customStyle="1">
    <w:name w:val="正文2"/>
    <w:basedOn w:val="1085"/>
    <w:uiPriority w:val="0"/>
    <w:qFormat/>
    <w:rPr>
      <w:rFonts w:eastAsia="微软雅黑"/>
      <w:sz w:val="24"/>
    </w:rPr>
  </w:style>
  <w:style w:type="paragraph" w:styleId="1196" w:customStyle="1">
    <w:name w:val="列出段落3"/>
    <w:basedOn w:val="1085"/>
    <w:uiPriority w:val="0"/>
    <w:qFormat/>
    <w:pPr>
      <w:ind w:firstLine="420"/>
      <w:jc w:val="left"/>
      <w:spacing w:after="200"/>
      <w:widowControl/>
    </w:pPr>
    <w:rPr>
      <w:rFonts w:ascii="Tahoma" w:hAnsi="Tahoma" w:eastAsia="微软雅黑"/>
      <w:sz w:val="22"/>
      <w:szCs w:val="22"/>
    </w:rPr>
  </w:style>
  <w:style w:type="paragraph" w:styleId="1197" w:customStyle="1">
    <w:name w:val="纯文本2"/>
    <w:basedOn w:val="1085"/>
    <w:uiPriority w:val="0"/>
    <w:qFormat/>
    <w:pPr>
      <w:jc w:val="left"/>
    </w:pPr>
    <w:rPr>
      <w:rFonts w:hint="eastAsia" w:ascii="宋体" w:hAnsi="宋体" w:cs="Courier New"/>
      <w:sz w:val="24"/>
      <w:szCs w:val="20"/>
    </w:rPr>
  </w:style>
  <w:style w:type="paragraph" w:styleId="1198" w:customStyle="1">
    <w:name w:val="trs_editor"/>
    <w:basedOn w:val="1085"/>
    <w:uiPriority w:val="0"/>
    <w:qFormat/>
    <w:pPr>
      <w:jc w:val="left"/>
      <w:spacing w:before="100" w:beforeAutospacing="1" w:after="100" w:afterAutospacing="1"/>
      <w:widowControl/>
    </w:pPr>
    <w:rPr>
      <w:rFonts w:ascii="宋体" w:hAnsi="宋体" w:cs="宋体"/>
      <w:sz w:val="24"/>
    </w:rPr>
  </w:style>
  <w:style w:type="character" w:styleId="1199" w:customStyle="1">
    <w:name w:val="明显强调1"/>
    <w:uiPriority w:val="0"/>
    <w:qFormat/>
    <w:rPr>
      <w:b/>
      <w:bCs/>
      <w:i/>
      <w:iCs/>
      <w:color w:val="4f81bd"/>
    </w:rPr>
  </w:style>
  <w:style w:type="character" w:styleId="1200" w:customStyle="1">
    <w:name w:val="批注文字 Char2"/>
    <w:uiPriority w:val="0"/>
    <w:qFormat/>
    <w:rPr>
      <w:sz w:val="21"/>
    </w:rPr>
  </w:style>
  <w:style w:type="character" w:styleId="1201" w:customStyle="1">
    <w:name w:val="标题 3 Char_0"/>
    <w:link w:val="1139"/>
    <w:uiPriority w:val="0"/>
    <w:qFormat/>
    <w:rPr>
      <w:b/>
      <w:bCs/>
      <w:sz w:val="32"/>
      <w:szCs w:val="32"/>
    </w:rPr>
  </w:style>
  <w:style w:type="character" w:styleId="1202" w:customStyle="1">
    <w:name w:val="标题 2 字符"/>
    <w:link w:val="1087"/>
    <w:uiPriority w:val="0"/>
    <w:qFormat/>
    <w:rPr>
      <w:rFonts w:ascii="Cambria" w:hAnsi="Cambria"/>
      <w:b/>
      <w:bCs/>
      <w:sz w:val="32"/>
      <w:szCs w:val="32"/>
    </w:rPr>
  </w:style>
  <w:style w:type="character" w:styleId="1203" w:customStyle="1">
    <w:name w:val="正文文本 Char2"/>
    <w:uiPriority w:val="99"/>
    <w:semiHidden/>
    <w:qFormat/>
    <w:rPr>
      <w:rFonts w:ascii="Calibri" w:hAnsi="Calibri" w:eastAsia="宋体" w:cs="Times New Roman"/>
    </w:rPr>
  </w:style>
  <w:style w:type="character" w:styleId="1204" w:customStyle="1">
    <w:name w:val="页脚 Char1"/>
    <w:uiPriority w:val="99"/>
    <w:semiHidden/>
    <w:qFormat/>
    <w:rPr>
      <w:rFonts w:ascii="Calibri" w:hAnsi="Calibri" w:eastAsia="宋体" w:cs="Times New Roman"/>
      <w:sz w:val="18"/>
      <w:szCs w:val="18"/>
    </w:rPr>
  </w:style>
  <w:style w:type="character" w:styleId="1205" w:customStyle="1">
    <w:name w:val="明显引用 Char2"/>
    <w:uiPriority w:val="99"/>
    <w:qFormat/>
    <w:rPr>
      <w:b/>
      <w:bCs/>
      <w:i/>
      <w:iCs/>
      <w:color w:val="4f81bd"/>
      <w:sz w:val="21"/>
      <w:szCs w:val="24"/>
    </w:rPr>
  </w:style>
  <w:style w:type="character" w:styleId="1206" w:customStyle="1">
    <w:name w:val="引用 Char"/>
    <w:link w:val="1141"/>
    <w:uiPriority w:val="0"/>
    <w:qFormat/>
    <w:rPr>
      <w:i/>
      <w:iCs/>
      <w:color w:val="000000"/>
    </w:rPr>
  </w:style>
  <w:style w:type="character" w:styleId="1207" w:customStyle="1">
    <w:name w:val="标题 1 Char_0"/>
    <w:link w:val="1142"/>
    <w:uiPriority w:val="0"/>
    <w:qFormat/>
    <w:rPr>
      <w:b/>
      <w:bCs/>
      <w:sz w:val="44"/>
      <w:szCs w:val="44"/>
    </w:rPr>
  </w:style>
  <w:style w:type="character" w:styleId="1208" w:customStyle="1">
    <w:name w:val="正文文本缩进 3 Char1"/>
    <w:uiPriority w:val="99"/>
    <w:semiHidden/>
    <w:qFormat/>
    <w:rPr>
      <w:sz w:val="16"/>
      <w:szCs w:val="16"/>
    </w:rPr>
  </w:style>
  <w:style w:type="character" w:styleId="1209" w:customStyle="1">
    <w:name w:val="引用 Char1"/>
    <w:uiPriority w:val="29"/>
    <w:qFormat/>
    <w:rPr>
      <w:i/>
      <w:iCs/>
      <w:color w:val="000000"/>
      <w:sz w:val="21"/>
    </w:rPr>
  </w:style>
  <w:style w:type="character" w:styleId="1210" w:customStyle="1">
    <w:name w:val="正文文本缩进 字符"/>
    <w:link w:val="1106"/>
    <w:uiPriority w:val="0"/>
    <w:qFormat/>
    <w:rPr>
      <w:sz w:val="21"/>
      <w:szCs w:val="24"/>
    </w:rPr>
  </w:style>
  <w:style w:type="character" w:styleId="1211" w:customStyle="1">
    <w:name w:val="font161"/>
    <w:uiPriority w:val="0"/>
    <w:qFormat/>
    <w:rPr>
      <w:b/>
      <w:sz w:val="32"/>
    </w:rPr>
  </w:style>
  <w:style w:type="character" w:styleId="1212" w:customStyle="1">
    <w:name w:val="标题 4 Char_0"/>
    <w:link w:val="1143"/>
    <w:uiPriority w:val="0"/>
    <w:qFormat/>
    <w:rPr>
      <w:rFonts w:ascii="Arial" w:hAnsi="Arial" w:eastAsia="黑体"/>
      <w:b/>
      <w:bCs/>
      <w:sz w:val="28"/>
      <w:szCs w:val="28"/>
    </w:rPr>
  </w:style>
  <w:style w:type="character" w:styleId="1213" w:customStyle="1">
    <w:name w:val="页眉 字符"/>
    <w:link w:val="1116"/>
    <w:uiPriority w:val="99"/>
    <w:qFormat/>
    <w:rPr>
      <w:sz w:val="18"/>
      <w:szCs w:val="18"/>
    </w:rPr>
  </w:style>
  <w:style w:type="character" w:styleId="1214" w:customStyle="1">
    <w:name w:val="标题 6 字符"/>
    <w:link w:val="1091"/>
    <w:uiPriority w:val="0"/>
    <w:qFormat/>
    <w:rPr>
      <w:rFonts w:ascii="Cambria" w:hAnsi="Cambria" w:eastAsia="宋体" w:cs="Times New Roman"/>
      <w:b/>
      <w:bCs/>
      <w:sz w:val="24"/>
      <w:szCs w:val="24"/>
    </w:rPr>
  </w:style>
  <w:style w:type="character" w:styleId="1215" w:customStyle="1">
    <w:name w:val="纯文本 字符"/>
    <w:link w:val="1110"/>
    <w:uiPriority w:val="0"/>
    <w:qFormat/>
    <w:rPr>
      <w:rFonts w:ascii="Ari"/>
      <w:lang w:val="en-US" w:eastAsia="zh-CN" w:bidi="ar-SA"/>
    </w:rPr>
  </w:style>
  <w:style w:type="character" w:styleId="1216" w:customStyle="1">
    <w:name w:val="引用 Char2"/>
    <w:uiPriority w:val="99"/>
    <w:qFormat/>
    <w:rPr>
      <w:i/>
      <w:iCs/>
      <w:color w:val="000000"/>
      <w:sz w:val="21"/>
      <w:szCs w:val="24"/>
    </w:rPr>
  </w:style>
  <w:style w:type="character" w:styleId="1217" w:customStyle="1">
    <w:name w:val="rvts11"/>
    <w:uiPriority w:val="0"/>
    <w:qFormat/>
    <w:rPr>
      <w:rFonts w:hint="default" w:ascii="KNLe" w:hAnsi="KNLe"/>
      <w:sz w:val="24"/>
      <w:szCs w:val="24"/>
      <w:u w:val="single"/>
    </w:rPr>
  </w:style>
  <w:style w:type="character" w:styleId="1218" w:customStyle="1">
    <w:name w:val="标题 字符"/>
    <w:link w:val="1127"/>
    <w:uiPriority w:val="0"/>
    <w:qFormat/>
    <w:rPr>
      <w:rFonts w:ascii="Arial" w:hAnsi="Arial"/>
      <w:b/>
      <w:sz w:val="32"/>
    </w:rPr>
  </w:style>
  <w:style w:type="character" w:styleId="1219" w:customStyle="1">
    <w:name w:val="标题5 Char Char"/>
    <w:link w:val="1144"/>
    <w:uiPriority w:val="0"/>
    <w:qFormat/>
    <w:rPr>
      <w:rFonts w:ascii="Arial" w:hAnsi="Arial"/>
      <w:b/>
      <w:bCs/>
      <w:sz w:val="24"/>
      <w:szCs w:val="32"/>
    </w:rPr>
  </w:style>
  <w:style w:type="character" w:styleId="1220" w:customStyle="1">
    <w:name w:val="副标题 Char2"/>
    <w:uiPriority w:val="11"/>
    <w:qFormat/>
    <w:rPr>
      <w:rFonts w:ascii="Cambria" w:hAnsi="Cambria" w:cs="Times New Roman"/>
      <w:b/>
      <w:bCs/>
      <w:sz w:val="32"/>
      <w:szCs w:val="32"/>
    </w:rPr>
  </w:style>
  <w:style w:type="character" w:styleId="1221" w:customStyle="1">
    <w:name w:val="文档结构图 字符"/>
    <w:link w:val="1103"/>
    <w:uiPriority w:val="0"/>
    <w:qFormat/>
    <w:rPr>
      <w:rFonts w:ascii="宋体"/>
      <w:sz w:val="18"/>
      <w:szCs w:val="18"/>
    </w:rPr>
  </w:style>
  <w:style w:type="character" w:styleId="1222" w:customStyle="1">
    <w:name w:val="日期 字符"/>
    <w:link w:val="1112"/>
    <w:uiPriority w:val="0"/>
    <w:qFormat/>
    <w:rPr>
      <w:sz w:val="21"/>
      <w:szCs w:val="24"/>
    </w:rPr>
  </w:style>
  <w:style w:type="character" w:styleId="1223" w:customStyle="1">
    <w:name w:val="批注主题 Char1"/>
    <w:uiPriority w:val="0"/>
    <w:qFormat/>
    <w:rPr>
      <w:b/>
      <w:bCs/>
      <w:sz w:val="21"/>
      <w:szCs w:val="22"/>
    </w:rPr>
  </w:style>
  <w:style w:type="character" w:styleId="1224" w:customStyle="1">
    <w:name w:val="font31"/>
    <w:uiPriority w:val="0"/>
    <w:qFormat/>
    <w:rPr>
      <w:rFonts w:hint="eastAsia" w:ascii="宋体" w:hAnsi="宋体" w:eastAsia="宋体" w:cs="宋体"/>
      <w:color w:val="000000"/>
      <w:sz w:val="20"/>
      <w:szCs w:val="20"/>
      <w:u w:val="none"/>
    </w:rPr>
  </w:style>
  <w:style w:type="character" w:styleId="1225" w:customStyle="1">
    <w:name w:val="明显引用 Char"/>
    <w:link w:val="1145"/>
    <w:uiPriority w:val="0"/>
    <w:qFormat/>
    <w:rPr>
      <w:b/>
      <w:bCs/>
      <w:i/>
      <w:iCs/>
      <w:color w:val="4f81bd"/>
    </w:rPr>
  </w:style>
  <w:style w:type="character" w:styleId="1226" w:customStyle="1">
    <w:name w:val="标题 5 字符"/>
    <w:link w:val="1090"/>
    <w:uiPriority w:val="0"/>
    <w:qFormat/>
    <w:rPr>
      <w:b/>
      <w:bCs/>
      <w:sz w:val="28"/>
      <w:szCs w:val="28"/>
    </w:rPr>
  </w:style>
  <w:style w:type="character" w:styleId="1227" w:customStyle="1">
    <w:name w:val="日期 Char1"/>
    <w:uiPriority w:val="0"/>
    <w:qFormat/>
    <w:rPr>
      <w:rFonts w:ascii="Calibri" w:hAnsi="Calibri" w:eastAsia="宋体" w:cs="Times New Roman"/>
    </w:rPr>
  </w:style>
  <w:style w:type="character" w:styleId="1228" w:customStyle="1">
    <w:name w:val="批注框文本 Char1"/>
    <w:uiPriority w:val="0"/>
    <w:qFormat/>
    <w:rPr>
      <w:sz w:val="18"/>
      <w:szCs w:val="18"/>
    </w:rPr>
  </w:style>
  <w:style w:type="character" w:styleId="1229" w:customStyle="1">
    <w:name w:val="标题 Char1"/>
    <w:uiPriority w:val="10"/>
    <w:qFormat/>
    <w:rPr>
      <w:rFonts w:ascii="Cambria" w:hAnsi="Cambria" w:eastAsia="宋体" w:cs="Times New Roman"/>
      <w:b/>
      <w:bCs/>
      <w:sz w:val="32"/>
      <w:szCs w:val="32"/>
    </w:rPr>
  </w:style>
  <w:style w:type="character" w:styleId="1230" w:customStyle="1">
    <w:name w:val="标题 9 字符"/>
    <w:link w:val="1094"/>
    <w:uiPriority w:val="0"/>
    <w:qFormat/>
    <w:rPr>
      <w:rFonts w:ascii="Cambria" w:hAnsi="Cambria" w:eastAsia="宋体" w:cs="Times New Roman"/>
      <w:sz w:val="21"/>
      <w:szCs w:val="21"/>
    </w:rPr>
  </w:style>
  <w:style w:type="character" w:styleId="1231" w:customStyle="1">
    <w:name w:val="不明显参考1"/>
    <w:uiPriority w:val="0"/>
    <w:qFormat/>
    <w:rPr>
      <w:smallCaps/>
      <w:color w:val="c0504d"/>
      <w:u w:val="single"/>
    </w:rPr>
  </w:style>
  <w:style w:type="character" w:styleId="1232" w:customStyle="1">
    <w:name w:val="批注文字 Char1"/>
    <w:uiPriority w:val="0"/>
    <w:qFormat/>
    <w:rPr>
      <w:rFonts w:ascii="Calibri" w:hAnsi="Calibri" w:eastAsia="宋体" w:cs="Times New Roman"/>
    </w:rPr>
  </w:style>
  <w:style w:type="character" w:styleId="1233" w:customStyle="1">
    <w:name w:val="标题 Char2"/>
    <w:uiPriority w:val="10"/>
    <w:qFormat/>
    <w:rPr>
      <w:rFonts w:ascii="Cambria" w:hAnsi="Cambria" w:cs="Times New Roman"/>
      <w:b/>
      <w:bCs/>
      <w:sz w:val="32"/>
      <w:szCs w:val="32"/>
    </w:rPr>
  </w:style>
  <w:style w:type="character" w:styleId="1234" w:customStyle="1">
    <w:name w:val="正文文本 3 Char1"/>
    <w:uiPriority w:val="99"/>
    <w:semiHidden/>
    <w:qFormat/>
    <w:rPr>
      <w:sz w:val="16"/>
      <w:szCs w:val="16"/>
    </w:rPr>
  </w:style>
  <w:style w:type="character" w:styleId="1235" w:customStyle="1">
    <w:name w:val="批注主题 Char2"/>
    <w:uiPriority w:val="0"/>
    <w:qFormat/>
    <w:rPr>
      <w:b/>
      <w:bCs/>
      <w:sz w:val="21"/>
    </w:rPr>
  </w:style>
  <w:style w:type="character" w:styleId="1236" w:customStyle="1">
    <w:name w:val="标题 3 字符"/>
    <w:link w:val="1088"/>
    <w:uiPriority w:val="0"/>
    <w:qFormat/>
    <w:rPr>
      <w:b/>
      <w:bCs/>
      <w:sz w:val="32"/>
      <w:szCs w:val="32"/>
    </w:rPr>
  </w:style>
  <w:style w:type="character" w:styleId="1237" w:customStyle="1">
    <w:name w:val="正文文本 Char_0"/>
    <w:link w:val="1146"/>
    <w:uiPriority w:val="0"/>
    <w:qFormat/>
    <w:rPr>
      <w:szCs w:val="24"/>
    </w:rPr>
  </w:style>
  <w:style w:type="character" w:styleId="1238" w:customStyle="1">
    <w:name w:val="副标题 字符"/>
    <w:link w:val="1119"/>
    <w:uiPriority w:val="0"/>
    <w:qFormat/>
    <w:rPr>
      <w:rFonts w:ascii="Cambria" w:hAnsi="Cambria"/>
      <w:b/>
      <w:bCs/>
      <w:sz w:val="32"/>
      <w:szCs w:val="32"/>
    </w:rPr>
  </w:style>
  <w:style w:type="character" w:styleId="1239" w:customStyle="1">
    <w:name w:val="bookmark"/>
    <w:basedOn w:val="1095"/>
    <w:uiPriority w:val="0"/>
    <w:qFormat/>
  </w:style>
  <w:style w:type="character" w:styleId="1240" w:customStyle="1">
    <w:name w:val="标题 5 Char_0"/>
    <w:link w:val="1147"/>
    <w:uiPriority w:val="0"/>
    <w:qFormat/>
    <w:rPr>
      <w:rFonts w:ascii="Calibri" w:hAnsi="Calibri"/>
      <w:b/>
      <w:bCs/>
      <w:sz w:val="28"/>
      <w:szCs w:val="28"/>
    </w:rPr>
  </w:style>
  <w:style w:type="character" w:styleId="1241" w:customStyle="1">
    <w:name w:val="正文文本缩进 2 字符"/>
    <w:link w:val="1113"/>
    <w:uiPriority w:val="99"/>
    <w:qFormat/>
    <w:rPr>
      <w:rFonts w:ascii="宋体"/>
    </w:rPr>
  </w:style>
  <w:style w:type="character" w:styleId="1242" w:customStyle="1">
    <w:name w:val="批注文字 字符"/>
    <w:link w:val="1104"/>
    <w:uiPriority w:val="99"/>
    <w:qFormat/>
    <w:rPr>
      <w:sz w:val="21"/>
      <w:szCs w:val="24"/>
    </w:rPr>
  </w:style>
  <w:style w:type="character" w:styleId="1243" w:customStyle="1">
    <w:name w:val="font11"/>
    <w:uiPriority w:val="0"/>
    <w:qFormat/>
    <w:rPr>
      <w:rFonts w:hint="eastAsia" w:ascii="宋体" w:hAnsi="宋体" w:eastAsia="宋体" w:cs="宋体"/>
      <w:color w:val="000000"/>
      <w:sz w:val="20"/>
      <w:szCs w:val="20"/>
      <w:u w:val="none"/>
    </w:rPr>
  </w:style>
  <w:style w:type="character" w:styleId="1244" w:customStyle="1">
    <w:name w:val="明显参考1"/>
    <w:uiPriority w:val="0"/>
    <w:qFormat/>
    <w:rPr>
      <w:b/>
      <w:bCs/>
      <w:smallCaps/>
      <w:color w:val="c0504d"/>
      <w:spacing w:val="5"/>
      <w:u w:val="single"/>
    </w:rPr>
  </w:style>
  <w:style w:type="character" w:styleId="1245" w:customStyle="1">
    <w:name w:val="超链接_0"/>
    <w:uiPriority w:val="99"/>
    <w:qFormat/>
    <w:rPr>
      <w:rFonts w:ascii="Calibri" w:hAnsi="Calibri"/>
      <w:color w:val="0000ff"/>
      <w:u w:val="single"/>
    </w:rPr>
  </w:style>
  <w:style w:type="character" w:styleId="1246" w:customStyle="1">
    <w:name w:val="文档结构图 Char2"/>
    <w:uiPriority w:val="99"/>
    <w:semiHidden/>
    <w:qFormat/>
    <w:rPr>
      <w:rFonts w:ascii="宋体" w:hAnsi="Calibri" w:eastAsia="宋体" w:cs="Times New Roman"/>
      <w:sz w:val="18"/>
      <w:szCs w:val="18"/>
    </w:rPr>
  </w:style>
  <w:style w:type="character" w:styleId="1247" w:customStyle="1">
    <w:name w:val="textcontents"/>
    <w:uiPriority w:val="0"/>
    <w:qFormat/>
    <w:rPr>
      <w:rFonts w:cs="Times New Roman"/>
    </w:rPr>
  </w:style>
  <w:style w:type="character" w:styleId="1248" w:customStyle="1">
    <w:name w:val="正文文本 字符"/>
    <w:link w:val="1098"/>
    <w:uiPriority w:val="0"/>
    <w:qFormat/>
    <w:rPr>
      <w:rFonts w:eastAsia="幼圆"/>
      <w:b/>
      <w:bCs/>
      <w:sz w:val="44"/>
      <w:szCs w:val="24"/>
    </w:rPr>
  </w:style>
  <w:style w:type="character" w:styleId="1249" w:customStyle="1">
    <w:name w:val="标题 8 字符"/>
    <w:link w:val="1093"/>
    <w:uiPriority w:val="0"/>
    <w:qFormat/>
    <w:rPr>
      <w:rFonts w:ascii="Cambria" w:hAnsi="Cambria" w:eastAsia="宋体" w:cs="Times New Roman"/>
      <w:sz w:val="24"/>
      <w:szCs w:val="24"/>
    </w:rPr>
  </w:style>
  <w:style w:type="character" w:styleId="1250" w:customStyle="1">
    <w:name w:val="副标题 Char1"/>
    <w:uiPriority w:val="11"/>
    <w:qFormat/>
    <w:rPr>
      <w:rFonts w:ascii="Cambria" w:hAnsi="Cambria" w:cs="Times New Roman"/>
      <w:b/>
      <w:bCs/>
      <w:sz w:val="32"/>
      <w:szCs w:val="32"/>
    </w:rPr>
  </w:style>
  <w:style w:type="character" w:styleId="1251" w:customStyle="1">
    <w:name w:val="批注主题 字符"/>
    <w:link w:val="1128"/>
    <w:uiPriority w:val="0"/>
    <w:qFormat/>
    <w:rPr>
      <w:b/>
      <w:bCs/>
      <w:sz w:val="21"/>
      <w:szCs w:val="24"/>
    </w:rPr>
  </w:style>
  <w:style w:type="character" w:styleId="1252" w:customStyle="1">
    <w:name w:val="书籍标题1"/>
    <w:uiPriority w:val="0"/>
    <w:qFormat/>
    <w:rPr>
      <w:b/>
      <w:bCs/>
      <w:smallCaps/>
      <w:spacing w:val="5"/>
    </w:rPr>
  </w:style>
  <w:style w:type="character" w:styleId="1253" w:customStyle="1">
    <w:name w:val="页脚 字符"/>
    <w:link w:val="1115"/>
    <w:uiPriority w:val="99"/>
    <w:qFormat/>
    <w:rPr>
      <w:sz w:val="18"/>
      <w:szCs w:val="18"/>
    </w:rPr>
  </w:style>
  <w:style w:type="character" w:styleId="1254" w:customStyle="1">
    <w:name w:val="标题4 Char Char"/>
    <w:link w:val="1148"/>
    <w:uiPriority w:val="0"/>
    <w:qFormat/>
    <w:rPr>
      <w:rFonts w:ascii="Arial" w:hAnsi="Arial"/>
      <w:b/>
      <w:bCs/>
      <w:sz w:val="24"/>
      <w:szCs w:val="32"/>
    </w:rPr>
  </w:style>
  <w:style w:type="character" w:styleId="1255" w:customStyle="1">
    <w:name w:val="正文文本 Char1"/>
    <w:uiPriority w:val="0"/>
    <w:qFormat/>
    <w:rPr>
      <w:rFonts w:ascii="Calibri" w:hAnsi="Calibri" w:eastAsia="宋体" w:cs="Times New Roman"/>
    </w:rPr>
  </w:style>
  <w:style w:type="character" w:styleId="1256" w:customStyle="1">
    <w:name w:val="明显引用 Char1"/>
    <w:uiPriority w:val="30"/>
    <w:qFormat/>
    <w:rPr>
      <w:b/>
      <w:bCs/>
      <w:i/>
      <w:iCs/>
      <w:color w:val="4f81bd"/>
      <w:sz w:val="21"/>
    </w:rPr>
  </w:style>
  <w:style w:type="character" w:styleId="1257" w:customStyle="1">
    <w:name w:val="页眉 Char1"/>
    <w:uiPriority w:val="99"/>
    <w:semiHidden/>
    <w:qFormat/>
    <w:rPr>
      <w:rFonts w:ascii="Calibri" w:hAnsi="Calibri" w:eastAsia="宋体" w:cs="Times New Roman"/>
      <w:sz w:val="18"/>
      <w:szCs w:val="18"/>
    </w:rPr>
  </w:style>
  <w:style w:type="character" w:styleId="1258" w:customStyle="1">
    <w:name w:val="不明显强调1"/>
    <w:uiPriority w:val="0"/>
    <w:qFormat/>
    <w:rPr>
      <w:i/>
      <w:iCs/>
      <w:color w:val="808080"/>
    </w:rPr>
  </w:style>
  <w:style w:type="character" w:styleId="1259" w:customStyle="1">
    <w:name w:val="正文文本 3 字符"/>
    <w:link w:val="1105"/>
    <w:uiPriority w:val="0"/>
    <w:qFormat/>
    <w:rPr>
      <w:rFonts w:ascii="宋体"/>
      <w:sz w:val="24"/>
    </w:rPr>
  </w:style>
  <w:style w:type="character" w:styleId="1260" w:customStyle="1">
    <w:name w:val="正文文本缩进 3 字符"/>
    <w:link w:val="1121"/>
    <w:uiPriority w:val="0"/>
    <w:qFormat/>
    <w:rPr>
      <w:sz w:val="16"/>
    </w:rPr>
  </w:style>
  <w:style w:type="character" w:styleId="1261" w:customStyle="1">
    <w:name w:val="font21"/>
    <w:uiPriority w:val="0"/>
    <w:qFormat/>
    <w:rPr>
      <w:rFonts w:hint="eastAsia" w:ascii="宋体" w:hAnsi="宋体" w:eastAsia="宋体" w:cs="宋体"/>
      <w:color w:val="000000"/>
      <w:sz w:val="20"/>
      <w:szCs w:val="20"/>
      <w:u w:val="none"/>
    </w:rPr>
  </w:style>
  <w:style w:type="character" w:styleId="1262" w:customStyle="1">
    <w:name w:val="批注框文本 字符"/>
    <w:link w:val="1114"/>
    <w:uiPriority w:val="0"/>
    <w:qFormat/>
    <w:rPr>
      <w:sz w:val="18"/>
      <w:szCs w:val="18"/>
    </w:rPr>
  </w:style>
  <w:style w:type="character" w:styleId="1263" w:customStyle="1">
    <w:name w:val="标题 7 字符"/>
    <w:link w:val="1092"/>
    <w:uiPriority w:val="0"/>
    <w:qFormat/>
    <w:rPr>
      <w:b/>
      <w:bCs/>
      <w:sz w:val="24"/>
      <w:szCs w:val="24"/>
    </w:rPr>
  </w:style>
  <w:style w:type="character" w:styleId="1264" w:customStyle="1">
    <w:name w:val="标题 1 字符"/>
    <w:link w:val="1086"/>
    <w:uiPriority w:val="0"/>
    <w:qFormat/>
    <w:rPr>
      <w:rFonts w:ascii="Times New Roman" w:hAnsi="Times New Roman" w:eastAsia="宋体" w:cs="Times New Roman"/>
      <w:b/>
      <w:bCs/>
      <w:sz w:val="32"/>
      <w:szCs w:val="44"/>
    </w:rPr>
  </w:style>
  <w:style w:type="character" w:styleId="1265" w:customStyle="1">
    <w:name w:val="文档结构图 Char1"/>
    <w:uiPriority w:val="0"/>
    <w:qFormat/>
    <w:rPr>
      <w:rFonts w:ascii="宋体" w:hAnsi="Calibri" w:eastAsia="宋体" w:cs="Times New Roman"/>
      <w:sz w:val="18"/>
      <w:szCs w:val="18"/>
    </w:rPr>
  </w:style>
  <w:style w:type="character" w:styleId="1266" w:customStyle="1">
    <w:name w:val="标题 2 Char_0"/>
    <w:link w:val="1149"/>
    <w:uiPriority w:val="0"/>
    <w:qFormat/>
    <w:rPr>
      <w:rFonts w:ascii="Cambria" w:hAnsi="Cambria"/>
      <w:b/>
      <w:bCs/>
      <w:sz w:val="32"/>
      <w:szCs w:val="32"/>
    </w:rPr>
  </w:style>
  <w:style w:type="character" w:styleId="1267" w:customStyle="1">
    <w:name w:val="日期 Char2"/>
    <w:uiPriority w:val="99"/>
    <w:semiHidden/>
    <w:qFormat/>
    <w:rPr>
      <w:rFonts w:ascii="Calibri" w:hAnsi="Calibri" w:eastAsia="宋体" w:cs="Times New Roman"/>
    </w:rPr>
  </w:style>
  <w:style w:type="character" w:styleId="1268" w:customStyle="1">
    <w:name w:val="批注框文本 Char2"/>
    <w:uiPriority w:val="99"/>
    <w:semiHidden/>
    <w:qFormat/>
    <w:rPr>
      <w:rFonts w:ascii="Calibri" w:hAnsi="Calibri" w:eastAsia="宋体" w:cs="Times New Roman"/>
      <w:sz w:val="18"/>
      <w:szCs w:val="18"/>
    </w:rPr>
  </w:style>
  <w:style w:type="character" w:styleId="1269" w:customStyle="1">
    <w:name w:val="标题 4 字符"/>
    <w:link w:val="1089"/>
    <w:uiPriority w:val="0"/>
    <w:qFormat/>
    <w:rPr>
      <w:rFonts w:ascii="Cambria" w:hAnsi="Cambria" w:eastAsia="宋体" w:cs="Times New Roman"/>
      <w:b/>
      <w:bCs/>
      <w:sz w:val="28"/>
      <w:szCs w:val="28"/>
    </w:rPr>
  </w:style>
  <w:style w:type="character" w:styleId="1270" w:customStyle="1">
    <w:name w:val="列出段落 Char"/>
    <w:link w:val="1150"/>
    <w:uiPriority w:val="99"/>
    <w:qFormat/>
    <w:rPr>
      <w:sz w:val="21"/>
      <w:szCs w:val="24"/>
    </w:rPr>
  </w:style>
  <w:style w:type="character" w:styleId="1271" w:customStyle="1">
    <w:name w:val="表格文字 字符"/>
    <w:link w:val="1167"/>
    <w:uiPriority w:val="0"/>
    <w:qFormat/>
    <w:rPr>
      <w:rFonts w:ascii="Calibri" w:hAnsi="Calibri" w:eastAsia="宋体" w:cs="Times New Roman"/>
      <w:sz w:val="21"/>
      <w:szCs w:val="22"/>
    </w:rPr>
  </w:style>
  <w:style w:type="paragraph" w:styleId="127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273" w:customStyle="1">
    <w:name w:val="正文文本首行缩进 字符"/>
    <w:basedOn w:val="1248"/>
    <w:link w:val="1097"/>
    <w:uiPriority w:val="0"/>
    <w:qFormat/>
    <w:rPr>
      <w:rFonts w:eastAsia="幼圆"/>
      <w:b w:val="0"/>
      <w:bCs w:val="0"/>
      <w:sz w:val="21"/>
      <w:szCs w:val="24"/>
    </w:rPr>
  </w:style>
  <w:style w:type="character" w:styleId="1274" w:customStyle="1">
    <w:name w:val="未处理的提及1"/>
    <w:basedOn w:val="1095"/>
    <w:uiPriority w:val="99"/>
    <w:semiHidden/>
    <w:unhideWhenUsed/>
    <w:qFormat/>
    <w:rPr>
      <w:color w:val="605e5c"/>
      <w:shd w:val="clear" w:color="auto" w:fill="e1dfdd"/>
    </w:rPr>
  </w:style>
  <w:style w:type="paragraph" w:styleId="1275" w:customStyle="1">
    <w:name w:val="TOC 标题2"/>
    <w:basedOn w:val="1086"/>
    <w:next w:val="10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276">
    <w:name w:val="List Paragraph"/>
    <w:basedOn w:val="1085"/>
    <w:uiPriority w:val="99"/>
    <w:qFormat/>
    <w:pPr>
      <w:ind w:firstLine="420"/>
    </w:pPr>
  </w:style>
  <w:style w:type="character" w:styleId="1277" w:customStyle="1">
    <w:name w:val="未处理的提及2"/>
    <w:basedOn w:val="1095"/>
    <w:uiPriority w:val="99"/>
    <w:semiHidden/>
    <w:unhideWhenUsed/>
    <w:qFormat/>
    <w:rPr>
      <w:color w:val="605e5c"/>
      <w:shd w:val="clear" w:color="auto" w:fill="e1dfdd"/>
    </w:rPr>
  </w:style>
  <w:style w:type="paragraph" w:styleId="127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79" w:customStyle="1">
    <w:name w:val="标题 61"/>
    <w:basedOn w:val="1085"/>
    <w:next w:val="1085"/>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280" w:customStyle="1">
    <w:name w:val="标题 71"/>
    <w:basedOn w:val="1085"/>
    <w:next w:val="1085"/>
    <w:uiPriority w:val="0"/>
    <w:qFormat/>
    <w:pPr>
      <w:numPr>
        <w:ilvl w:val="6"/>
        <w:numId w:val="3"/>
      </w:numPr>
      <w:keepLines/>
      <w:keepNext/>
      <w:spacing w:before="240" w:after="64" w:line="320" w:lineRule="auto"/>
      <w:outlineLvl w:val="6"/>
    </w:pPr>
    <w:rPr>
      <w:b/>
      <w:bCs/>
      <w:sz w:val="24"/>
    </w:rPr>
  </w:style>
  <w:style w:type="paragraph" w:styleId="1281" w:customStyle="1">
    <w:name w:val="标题 81"/>
    <w:basedOn w:val="1085"/>
    <w:next w:val="1085"/>
    <w:uiPriority w:val="0"/>
    <w:qFormat/>
    <w:pPr>
      <w:numPr>
        <w:ilvl w:val="7"/>
        <w:numId w:val="3"/>
      </w:numPr>
      <w:keepLines/>
      <w:keepNext/>
      <w:spacing w:before="240" w:after="64" w:line="320" w:lineRule="auto"/>
      <w:outlineLvl w:val="7"/>
    </w:pPr>
    <w:rPr>
      <w:rFonts w:ascii="Arial" w:hAnsi="Arial" w:eastAsia="黑体"/>
      <w:sz w:val="24"/>
    </w:rPr>
  </w:style>
  <w:style w:type="paragraph" w:styleId="1282" w:customStyle="1">
    <w:name w:val="标题 91"/>
    <w:basedOn w:val="1085"/>
    <w:next w:val="1085"/>
    <w:uiPriority w:val="0"/>
    <w:qFormat/>
    <w:pPr>
      <w:numPr>
        <w:ilvl w:val="8"/>
        <w:numId w:val="3"/>
      </w:numPr>
      <w:keepLines/>
      <w:keepNext/>
      <w:spacing w:before="240" w:after="64" w:line="320" w:lineRule="auto"/>
      <w:outlineLvl w:val="8"/>
    </w:pPr>
    <w:rPr>
      <w:rFonts w:ascii="Arial" w:hAnsi="Arial" w:eastAsia="黑体"/>
      <w:szCs w:val="21"/>
    </w:rPr>
  </w:style>
  <w:style w:type="character" w:styleId="1283" w:customStyle="1">
    <w:name w:val="正文缩进 字符"/>
    <w:link w:val="1101"/>
    <w:uiPriority w:val="0"/>
    <w:qFormat/>
    <w:rPr>
      <w:b/>
      <w:sz w:val="24"/>
    </w:rPr>
  </w:style>
  <w:style w:type="paragraph" w:styleId="1284"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1285" w:customStyle="1">
    <w:name w:val="NormalCharacter"/>
    <w:uiPriority w:val="0"/>
    <w:semiHidden/>
    <w:qFormat/>
  </w:style>
  <w:style w:type="paragraph" w:styleId="1286" w:customStyle="1">
    <w:name w:val="BodyText"/>
    <w:uiPriority w:val="0"/>
    <w:qFormat/>
    <w:pPr>
      <w:jc w:val="both"/>
      <w:widowControl w:val="off"/>
    </w:pPr>
    <w:rPr>
      <w:rFonts w:ascii="楷体_GB2312" w:hAnsi="Arial" w:eastAsia="楷体_GB2312" w:cs="Times New Roman"/>
      <w:sz w:val="28"/>
      <w:lang w:val="en-US" w:eastAsia="zh-CN" w:bidi="ar-SA"/>
    </w:rPr>
  </w:style>
  <w:style w:type="paragraph" w:styleId="1287" w:customStyle="1">
    <w:name w:val="UserStyle_240"/>
    <w:uiPriority w:val="0"/>
    <w:qFormat/>
    <w:pPr>
      <w:jc w:val="both"/>
      <w:widowControl w:val="off"/>
    </w:pPr>
    <w:rPr>
      <w:rFonts w:ascii="宋体" w:hAnsi="宋体" w:eastAsia="宋体" w:cs="Times New Roman"/>
      <w:sz w:val="21"/>
      <w:szCs w:val="24"/>
      <w:lang w:val="en-US" w:eastAsia="zh-CN" w:bidi="zh-CN"/>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张波</cp:lastModifiedBy>
  <cp:revision>120</cp:revision>
  <dcterms:created xsi:type="dcterms:W3CDTF">2021-03-26T03:19:00Z</dcterms:created>
  <dcterms:modified xsi:type="dcterms:W3CDTF">2026-05-18T08:52:05Z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8E41E43BE19D4575A40A01A76F9F035F_13</vt:lpwstr>
  </property>
  <property fmtid="{D5CDD505-2E9C-101B-9397-08002B2CF9AE}" pid="4" name="KSOTemplateDocerSaveRecord">
    <vt:lpwstr>eyJoZGlkIjoiNGFjYzBkMjJlNDcxNjNhMDE3MWJhODE0YjMzODE1MDIiLCJ1c2VySWQiOiIzODUxODU5NDEifQ==</vt:lpwstr>
  </property>
</Properties>
</file>