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项目名称：扬州大学附属医院</w:t>
      </w:r>
      <w:r/>
    </w:p>
    <w:p>
      <w:pPr>
        <w:ind w:left="0" w:right="0" w:firstLine="482"/>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数字化医用X射线摄影设备采购项目</w:t>
      </w:r>
      <w:r/>
    </w:p>
    <w:p>
      <w:pPr>
        <w:ind w:left="0" w:right="0" w:firstLine="482"/>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项目编号：JSZC-320000-SOHO-G2026-0022</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代理机构编号：1214-264105263WDX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995"/>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995"/>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995"/>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995"/>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995"/>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995"/>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995"/>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ff0000"/>
          <w:sz w:val="24"/>
        </w:rPr>
        <w:t xml:space="preserve">扬州大学附属医院</w:t>
      </w:r>
      <w:r>
        <w:rPr>
          <w:rFonts w:ascii="SimSun" w:hAnsi="SimSun" w:eastAsia="SimSun" w:cs="SimSun"/>
          <w:color w:val="000000"/>
          <w:sz w:val="24"/>
        </w:rPr>
        <w:t xml:space="preserve">]的委托，</w:t>
      </w:r>
      <w:r>
        <w:rPr>
          <w:rFonts w:ascii="SimSun" w:hAnsi="SimSun" w:eastAsia="SimSun" w:cs="SimSun"/>
          <w:color w:val="ff0000"/>
          <w:sz w:val="24"/>
        </w:rPr>
        <w:t xml:space="preserve">江苏苏豪创新科技集团有限公司</w:t>
      </w:r>
      <w:r>
        <w:rPr>
          <w:rFonts w:ascii="SimSun" w:hAnsi="SimSun" w:eastAsia="SimSun" w:cs="SimSun"/>
          <w:color w:val="000000"/>
          <w:sz w:val="24"/>
        </w:rPr>
        <w:t xml:space="preserve">就[</w:t>
      </w:r>
      <w:r>
        <w:rPr>
          <w:rFonts w:ascii="SimSun" w:hAnsi="SimSun" w:eastAsia="SimSun" w:cs="SimSun"/>
          <w:color w:val="ff0000"/>
          <w:sz w:val="24"/>
        </w:rPr>
        <w:t xml:space="preserve">数字化医用X射线摄影设备</w:t>
      </w:r>
      <w:r>
        <w:rPr>
          <w:rFonts w:ascii="SimSun" w:hAnsi="SimSun" w:eastAsia="SimSun" w:cs="SimSun"/>
          <w:color w:val="000000"/>
          <w:sz w:val="24"/>
        </w:rPr>
        <w:t xml:space="preserve">]([项目编号：</w:t>
      </w:r>
      <w:r>
        <w:rPr>
          <w:rFonts w:ascii="SimSun" w:hAnsi="SimSun" w:eastAsia="SimSun" w:cs="SimSun"/>
          <w:color w:val="ff0000"/>
          <w:sz w:val="24"/>
        </w:rPr>
        <w:t xml:space="preserve">JSZC-320000-SOHO-G2026-0022</w:t>
      </w:r>
      <w:r>
        <w:rPr>
          <w:rFonts w:ascii="SimSun" w:hAnsi="SimSun" w:eastAsia="SimSun" w:cs="SimSun"/>
          <w:color w:val="000000"/>
          <w:sz w:val="24"/>
        </w:rPr>
        <w:t xml:space="preserve">]）采购项目进行公开招标采购，欢迎符合条件的供应商投标。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（扬州大学附属医院数字化医用X射线摄影设备采购）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“江苏省政府采购网”自行免费下载</w:t>
      </w:r>
      <w:r>
        <w:rPr>
          <w:rFonts w:ascii="SimSun" w:hAnsi="SimSun" w:eastAsia="SimSun" w:cs="SimSun"/>
          <w:color w:val="000000"/>
          <w:sz w:val="24"/>
        </w:rPr>
        <w:t xml:space="preserve">招标文件，并于</w:t>
      </w:r>
      <w:r>
        <w:rPr>
          <w:rFonts w:ascii="SimSun" w:hAnsi="SimSun" w:eastAsia="SimSun" w:cs="SimSun"/>
          <w:color w:val="ff0000"/>
          <w:sz w:val="24"/>
          <w:u w:val="single"/>
        </w:rPr>
        <w:t xml:space="preserve">2026年6月25日10点00分</w:t>
      </w:r>
      <w:r>
        <w:rPr>
          <w:rFonts w:ascii="SimSun" w:hAnsi="SimSun" w:eastAsia="SimSun" w:cs="SimSun"/>
          <w:color w:val="000000"/>
          <w:sz w:val="24"/>
          <w:u w:val="single"/>
        </w:rPr>
        <w:t xml:space="preserve">（</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1.项目编号：JSZC-320000-SOHO-G2026-0022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扬州大学附属医院数字化医用X射线摄影设备采购项目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3.预算金额：240万元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195万元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2156"/>
        <w:gridCol w:w="812"/>
        <w:gridCol w:w="1788"/>
        <w:gridCol w:w="2127"/>
        <w:gridCol w:w="141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双板悬吊式数字X射线摄影系统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单板双立柱数字X射线摄影系统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ff0000"/>
          <w:sz w:val="24"/>
          <w:u w:val="single"/>
        </w:rPr>
        <w:t xml:space="preserve">合同签订后90天内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w:t>
      </w:r>
      <w:r>
        <w:rPr>
          <w:rFonts w:ascii="SimSun" w:hAnsi="SimSun" w:eastAsia="SimSun" w:cs="SimSun"/>
          <w:color w:val="ff0000"/>
          <w:sz w:val="24"/>
        </w:rPr>
        <w:t xml:space="preserve">不接受</w:t>
      </w:r>
      <w:r>
        <w:rPr>
          <w:rFonts w:ascii="SimSun" w:hAnsi="SimSun" w:eastAsia="SimSun" w:cs="SimSun"/>
          <w:color w:val="000000"/>
          <w:sz w:val="24"/>
        </w:rPr>
        <w:t xml:space="preserve">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（1）投标产品如果属于医疗设备注册范畴的；投标人须根据投标产品的类别，提供《医疗器械经营企业许可证》或者《医疗器械经营备案凭证》（扫描件）；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（2）投标产品如果属于医疗设备注册范畴的；投标人须提供投标产品的《医疗器械注册证》（扫描件）；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2.方式：在“江苏省政府采购网”自行免费下载招标文件。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ff0000"/>
          <w:sz w:val="24"/>
          <w:u w:val="single"/>
        </w:rPr>
        <w:t xml:space="preserve"> 2026年6月25日10点00分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ff0000"/>
          <w:sz w:val="24"/>
        </w:rPr>
        <w:t xml:space="preserve">“苏采云”政府采购交易系统网上开标大厅。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有关本次招标的事项若存在变动或修改，敬请及时关注“江苏省政府采购网”发布的更正公告。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ff"/>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人：扬州大学附属医院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联系地址：扬州市邗江区邗江中路368号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人：胡老师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联系电话：0514-82099555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人：吴冬晓、朱笑青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联系电话：025-52874082、025-52875975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1、潜在供应商访问政府采购管理交易系统（苏采云）的网络地址和方法：</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w:t>
      </w:r>
      <w:r>
        <w:rPr>
          <w:rFonts w:ascii="SimSun" w:hAnsi="SimSun" w:eastAsia="SimSun" w:cs="SimSun"/>
          <w:color w:val="000000"/>
          <w:sz w:val="24"/>
        </w:rPr>
        <w:t xml:space="preserve">“CA数字证书”的办理材料以及供应商操作手册详见：http://jsxcmm.com/help/gys.html。</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（4）潜在供应商访问“苏采云”系统的网络地址和方法：“苏采云”系统的网址：http://jszfcg.jsczt.cn/jszc/login。</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投标人应自行承担所有与参加投标有关的费用，无论投标过程中的做法和结果如何，代理机构在任何情况下均无义务和责任承担这些费用。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本次招标代理机构不收取标书工本费。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中标服务费收费标准：</w:t>
      </w:r>
      <w:r>
        <w:rPr>
          <w:rFonts w:ascii="SimSun" w:hAnsi="SimSun" w:eastAsia="SimSun" w:cs="SimSun"/>
          <w:b/>
          <w:color w:val="000000"/>
          <w:sz w:val="24"/>
        </w:rPr>
        <w:t xml:space="preserve">招标代理机构以中标金额为基数，按照国家发展计划委员会计价格〔2002〕1980号文件货物招</w:t>
      </w:r>
      <w:r>
        <w:rPr>
          <w:rFonts w:ascii="SimSun" w:hAnsi="SimSun" w:eastAsia="SimSun" w:cs="SimSun"/>
          <w:b/>
          <w:color w:val="000000"/>
          <w:sz w:val="24"/>
          <w:highlight w:val="yellow"/>
        </w:rPr>
        <w:t xml:space="preserve">标收费标准的40%</w:t>
      </w:r>
      <w:r>
        <w:rPr>
          <w:rFonts w:ascii="SimSun" w:hAnsi="SimSun" w:eastAsia="SimSun" w:cs="SimSun"/>
          <w:b/>
          <w:color w:val="000000"/>
          <w:sz w:val="24"/>
        </w:rPr>
        <w:t xml:space="preserve">向中标供应商收取。</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说明：招标代理服务收费按差额定律累进法计算。</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ff"/>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w:t>
      </w:r>
      <w:r>
        <w:rPr>
          <w:rFonts w:ascii="SimSun" w:hAnsi="SimSun" w:eastAsia="SimSun" w:cs="SimSun"/>
          <w:color w:val="0000ff"/>
          <w:sz w:val="24"/>
        </w:rPr>
        <w:t xml:space="preserve">技术要求与商务要求</w:t>
      </w:r>
      <w:r>
        <w:rPr>
          <w:rFonts w:ascii="SimSun" w:hAnsi="SimSun" w:eastAsia="SimSun" w:cs="SimSun"/>
          <w:color w:val="000000"/>
          <w:sz w:val="24"/>
        </w:rPr>
        <w:t xml:space="preserve">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highlight w:val="cyan"/>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w:t>
      </w:r>
      <w:r>
        <w:rPr>
          <w:rFonts w:ascii="SimSun" w:hAnsi="SimSun" w:eastAsia="SimSun" w:cs="SimSun"/>
          <w:color w:val="000000"/>
          <w:sz w:val="24"/>
          <w:highlight w:val="cyan"/>
        </w:rPr>
        <w:t xml:space="preserve">买方（采购人）和见证方（代理机构）</w:t>
      </w:r>
      <w:r>
        <w:rPr>
          <w:rFonts w:ascii="SimSun" w:hAnsi="SimSun" w:eastAsia="SimSun" w:cs="SimSun"/>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w:t>
      </w:r>
      <w:r>
        <w:rPr>
          <w:rFonts w:ascii="SimSun" w:hAnsi="SimSun" w:eastAsia="SimSun" w:cs="SimSun"/>
          <w:color w:val="000000"/>
          <w:sz w:val="24"/>
          <w:highlight w:val="cyan"/>
        </w:rPr>
        <w:t xml:space="preserve">代理机构</w:t>
      </w:r>
      <w:r>
        <w:rPr>
          <w:rFonts w:ascii="SimSun" w:hAnsi="SimSun" w:eastAsia="SimSun" w:cs="SimSun"/>
          <w:color w:val="000000"/>
          <w:sz w:val="24"/>
        </w:rPr>
        <w:t xml:space="preserve">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ff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采购代理机构质疑接收人：吴冬晓，联系地址：南京市雨花台区软件大道21号苏豪国际广场（北园）C座617室，联系电话：025-52875975。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ff0000"/>
          <w:sz w:val="24"/>
          <w:u w:val="single"/>
        </w:rPr>
        <w:t xml:space="preserve">中标人不得将合同标的进行转包</w:t>
      </w:r>
      <w:r>
        <w:rPr>
          <w:rFonts w:ascii="SimSun" w:hAnsi="SimSun" w:eastAsia="SimSun" w:cs="SimSun"/>
          <w:color w:val="000000"/>
          <w:sz w:val="24"/>
        </w:rPr>
        <w:t xml:space="preserve">。未经采购人同意，</w:t>
      </w:r>
      <w:r>
        <w:rPr>
          <w:rFonts w:ascii="SimSun" w:hAnsi="SimSun" w:eastAsia="SimSun" w:cs="SimSun"/>
          <w:color w:val="ff0000"/>
          <w:sz w:val="24"/>
        </w:rPr>
        <w:t xml:space="preserve">中标人也不得采用分包的形式履行合同</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green"/>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（注：本合同仅为框架性条款，中标后需按招标文件及投标文件情况进行细化，不得转包分包，招标文件及投标文件均作为合同的重要组成部分）</w:t>
      </w:r>
      <w:r/>
    </w:p>
    <w:p>
      <w:pPr>
        <w:ind w:left="0" w:right="21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审计编号：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扬州大学附属医院 </w:t>
      </w:r>
      <w:r>
        <w:rPr>
          <w:rFonts w:ascii="SimSun" w:hAnsi="SimSun" w:eastAsia="SimSun" w:cs="SimSun"/>
          <w:color w:val="000000"/>
          <w:sz w:val="21"/>
        </w:rPr>
        <w:t xml:space="preserve">               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经甲、乙双方协商，就乙方销售给甲方设备，特订立本合同。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一、设备名称、型号、数量和价格</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15"/>
        <w:gridCol w:w="2152"/>
        <w:gridCol w:w="1778"/>
        <w:gridCol w:w="690"/>
        <w:gridCol w:w="1200"/>
        <w:gridCol w:w="1606"/>
      </w:tblGrid>
      <w:tr>
        <w:trPr>
          <w:trHeight w:val="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成交总价（元）</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总计（大写）：人民币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6"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Times New Roman" w:hAnsi="Times New Roman" w:eastAsia="Times New Roman" w:cs="Times New Roman"/>
                <w:color w:val="000000"/>
                <w:sz w:val="21"/>
              </w:rPr>
              <w:t xml:space="preserve">.00</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二、乙方谈判响应文件、谈判承诺书等是本合同的组成部分，</w:t>
      </w:r>
      <w:r>
        <w:rPr>
          <w:rFonts w:ascii="SimSun" w:hAnsi="SimSun" w:eastAsia="SimSun" w:cs="SimSun"/>
          <w:color w:val="000000"/>
          <w:sz w:val="21"/>
          <w:u w:val="none"/>
        </w:rPr>
        <w:t xml:space="preserve">设备详细配置清单（含赠送附件）见</w:t>
      </w:r>
      <w:r>
        <w:rPr>
          <w:rFonts w:ascii="SimSun" w:hAnsi="SimSun" w:eastAsia="SimSun" w:cs="SimSun"/>
          <w:color w:val="000000"/>
          <w:sz w:val="21"/>
        </w:rPr>
        <w:t xml:space="preserve">附件1，设备相关试剂/耗材、器械及易损配件报价表（如有）见附件2，甲方使用科室和医学工程处签字确认，以备验收时对照验收。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付款方式：设备安装、调试、验收合格（甲方使用科室人员、医学工程处工程师和乙方代表共同签字确认，缺一不可），设备使用培训良好（培训内容，人员，效果）,且自设备验收合格之日起正常运行贰个月后，甲方凭乙方手续齐全的增值税票据付合同总价的90％货款，</w:t>
      </w:r>
      <w:r>
        <w:rPr>
          <w:rFonts w:ascii="SimSun" w:hAnsi="SimSun" w:eastAsia="SimSun" w:cs="SimSun"/>
          <w:color w:val="000000"/>
          <w:sz w:val="21"/>
          <w:highlight w:val="yellow"/>
        </w:rPr>
        <w:t xml:space="preserve">余10%作为履约保证金，一年后无质量问题付清余款</w:t>
      </w:r>
      <w:r>
        <w:rPr>
          <w:rFonts w:ascii="SimSun" w:hAnsi="SimSun" w:eastAsia="SimSun" w:cs="SimSun"/>
          <w:color w:val="000000"/>
          <w:sz w:val="21"/>
        </w:rPr>
        <w:t xml:space="preserve">（以上均不计息）。验收合格日以甲方出具的书面验收报告载明的日期为准。</w:t>
      </w:r>
      <w:r/>
    </w:p>
    <w:p>
      <w:pPr>
        <w:numPr>
          <w:ilvl w:val="0"/>
          <w:numId w:val="14"/>
        </w:numPr>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日历天内乙方须将货物运抵甲方指定位置，逾期将按违约条款执行。如乙方逾期交付超过30日，甲方有权解除合同并要求乙方赔偿因此造成的全部损失。</w:t>
      </w:r>
      <w:r/>
    </w:p>
    <w:p>
      <w:pPr>
        <w:ind w:left="0" w:right="0" w:firstLine="0"/>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五、交货地点：扬州大学附属医院（甲方指定位置）。乙方确保设备无损地运抵甲方指定现场，并承担设备的运费、保险费、装卸费、机房设计与施工、安装等所有直至交付使用的费用。</w:t>
      </w:r>
      <w:r/>
    </w:p>
    <w:p>
      <w:pPr>
        <w:ind w:left="0" w:right="0" w:firstLine="0"/>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六、现场要求：乙方负责回收包装物，并及时清理现场残物、垃圾以符合环保部门相关规定。如乙方未能及时清理，甲方有权委派他人现场清除、处理，由此发生的费用从乙方余款中扣除。</w:t>
      </w:r>
      <w:r/>
    </w:p>
    <w:p>
      <w:pPr>
        <w:ind w:left="0" w:right="0" w:firstLine="0"/>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七、设备质保期限：上述设备（主机+配件）免费保修 </w:t>
      </w:r>
      <w:r>
        <w:rPr>
          <w:rFonts w:ascii="SimSun" w:hAnsi="SimSun" w:eastAsia="SimSun" w:cs="SimSun"/>
          <w:color w:val="000000"/>
          <w:sz w:val="21"/>
          <w:u w:val="single"/>
        </w:rPr>
        <w:t xml:space="preserve">    </w:t>
      </w:r>
      <w:r>
        <w:rPr>
          <w:rFonts w:ascii="SimSun" w:hAnsi="SimSun" w:eastAsia="SimSun" w:cs="SimSun"/>
          <w:color w:val="000000"/>
          <w:sz w:val="21"/>
        </w:rPr>
        <w:t xml:space="preserve">年，自甲方验收合格之日起计算。乙方应在设备验收前出具原厂质保承诺函并加盖公章，如未能按时提供，甲方有权拒绝验收及付款；保修期内同一故障经两次维修仍无法修复的，乙方负责更换设备。保修期满后乙方对本设备负责终身维修。</w:t>
      </w:r>
      <w:r/>
    </w:p>
    <w:p>
      <w:pPr>
        <w:ind w:left="0" w:right="0" w:firstLine="0"/>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八、资质、质量要求及技术标准：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1．特别提醒条款：a、乙方所提供的医疗器械产品注册证必须真实</w:t>
      </w:r>
      <w:r>
        <w:rPr>
          <w:rFonts w:ascii="SimSun" w:hAnsi="SimSun" w:eastAsia="SimSun" w:cs="SimSun"/>
          <w:b/>
          <w:color w:val="000000"/>
          <w:sz w:val="21"/>
        </w:rPr>
        <w:t xml:space="preserve">、</w:t>
      </w:r>
      <w:r>
        <w:rPr>
          <w:rFonts w:ascii="SimSun" w:hAnsi="SimSun" w:eastAsia="SimSun" w:cs="SimSun"/>
          <w:color w:val="000000"/>
          <w:sz w:val="21"/>
        </w:rPr>
        <w:t xml:space="preserve">有效；b、乙方所提供设备上的中文品名、型号及产品说明书所注适用范围必须与医疗器械产品注册证所标明的完全一致；c、乙方提供的国产医疗设备上的铭牌必须标注医疗器械注册证号；d、乙方提供的进口医疗设备必须符合国家相关规定，进口手续齐备、途径合法；e、乙方发票上所列品名与型号必须与合同所列品名与型号完全一致；f、其他未提及事项必须符合国家食品药品监督管理局以及甲方制定的设备采购管理的相关规定。以上条款乙方必须全部满足，否则甲方有权解除合同，并要求乙方承担由此引起的一切责任和给甲方造成的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2．乙方保证向甲方提供的设备满足中国国家标准或相关行业标准。根据国家规定，如需要提供3C认证证书和标记的设备及有关配置，乙方在设备交付时一并必须提供上述证书和标记。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3．乙方保证所供设备型号为最新款，且采用规定材料和工艺制成、确保全新，并严格保证设备原包装完好无损。设备不满足上述要求的，甲方有权拒收并要求乙方承担全部损失及设备价款30%的惩罚性违约金。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4．乙方所供设备如经甲方验收不合格，乙方必须根据甲方的要求无条件换货或退货，由此引起的一切损失完全由乙方承担。</w:t>
      </w:r>
      <w:r/>
    </w:p>
    <w:p>
      <w:pPr>
        <w:ind w:left="0" w:right="0" w:firstLine="0"/>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九、设备到货、安装和验收要求：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到货时间乙方须提前一周告知甲方，以便甲方安排好接收工作。设备到货后，甲方及时通知乙方，乙方在接到通知一周内到达现场，经与甲方的工程师和使用科室人员共同在场开箱，对照招标配置清单和实物清单逐一清点并签字确认。若发现配置短缺或与清单不符，乙方须在3个工作日内补足，每逾期一日扣除设备采购款的0.2%作为违约金。乙方负责设备的免费安装和调试，设备安装时，乙方必须事先与甲方医学工程处、采购中心、使用科室人员联系，并与甲方医学工程处、使用科室人员共同参与，安装、调试过程须有甲方指定人员全程监督并签字确认，否则引</w:t>
      </w:r>
      <w:r>
        <w:rPr>
          <w:rFonts w:ascii="SimSun" w:hAnsi="SimSun" w:eastAsia="SimSun" w:cs="SimSun"/>
          <w:color w:val="000000"/>
          <w:sz w:val="21"/>
        </w:rPr>
        <w:t xml:space="preserve">起的一切责任由乙方承担。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调试结束后，乙方免费对甲方使用人员进行培训直到所有人员完全熟练操作为止，并填写使用培训记录表，待设备试用性能良好，临床操作熟练后组织进行验收（时间由甲、乙双方商定），乙方免费派工程师到达现场协助验收工作，乙方安装、调试的时间超过了甲乙双方商定的时间由此造成的损失每日按设备采购款的0.2%由乙方支付给甲方或从甲方待支付给乙方的款项中扣除。</w:t>
      </w:r>
      <w:r/>
    </w:p>
    <w:p>
      <w:pPr>
        <w:ind w:left="0" w:right="0" w:firstLine="0"/>
        <w:jc w:val="both"/>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十、质量保证及售后服务要求：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所供设备是原厂包装产品，是全新的、未使用过，并符合国家有关标准、制造厂标准及合同技术标准，国产设备到货时须在生产日期6个月以内，进口设备为12个月以内，如果设备的质量或规格与合同不符，或证实设备是有缺陷的，包括潜在的缺陷或使用不符合要求的材料等，乙方应无条件退换。乙方应在接到甲方通知后7天内满足甲方要求。否则由此引起的一切损失参照上述第九条第2点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2．确保设备保修期内开机率为95%，如设备故障停机率超过5%（一年按365天计算，每年18天），每超过一天，保修期延长两周且扣除质保金10%。</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设备发生故障，乙方在接到甲方报修电话后1小时内予以响应，3小时内到达现场（若江苏省内无维修站点，24小时内到达现场），48小时内修复或免费提供备用机，否则甲方可自行采取必要的措施，由此产生的一切风险和费用由乙方承担。影响抢救使用的紧急故障，乙方须在2小时内到场处置，且乙方应承担甲方因此产生的全部直接和间接损失。如有特殊情况，乙方应立即电话通知甲方不能响应的原因，在获得甲方同意后，才可推迟响应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无论在保修期内或保修期外，乙方均应对设备提供优质优惠的服务，且维修服务响应时间与服务标准与保修期内一致。乙方应储备足够的零配件备库，保修期满后，以省内最低价优惠供应维修零配件，且甲方有权要求乙方提供零配件的市场价格依据。设备维修必须由乙方上门维修，乙方工程师来甲方维修本设备，必须事先与甲方医学工程处、使用科室人员取得联系；在维修过程中与甲方医学工程处、使用科室人员共同完成维修工作。否则由此引起的一切责任及损失由乙方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免费提供设备的全套技术资料文件，包括相应操作、维护手册、质量保证文件、服务指南、维修说明书等，这些文件应随同设备一起发至甲方医学工程处。如技术资料不全，甲方有权拒绝验收并不支付货款。若采购产品为软件，则乙方应根据甲方需求完全免费开放接口完成与甲方相关软件的对接服务。乙方不得以任何理由拒绝接口开放或收取费用，接口开放应在设备验收前完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出保后，如甲方有需要，乙方设备每年维保费为设备款的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乙方每年提供2次免费培训、保养、维护、检验、校准和检定服务。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8.如乙方提供的设备设有维修软件密码，乙方保证无条件地为甲方永久免费打开。如设备软件升级，乙方负责免费软件升级，保证软件为最新、最高版本。</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9.如有设备具有远程维修诊断功能，乙方负责免费为甲方安装并提供相关技术支持，确保远程诊断功能正常使用。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乙方保证设备不侵犯第三方知识产权，若因此产生纠纷，乙方应全额承担诉讼费用、赔偿金及设备更换费用。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设备产生的所有医疗数据所有权归属甲方，乙方在维护设备过程中不得擅自下载、存储、使用相关数据，违者每次处以合同总价1%的违约金。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十一、技术培训：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安装过程中或安装结束后，乙方工程师或专业技术人员有义务对甲方工程师和操作人员进行现场维修、保养、操作培训，并解答甲方人员提出的问题。在使用一段时间后可根据甲方的要求另行安排培训计划，直至工作人员完全熟练操作为止。乙方须制定培训效果评估量表，培训结束后由受训人员匿名评分，平均分低于85分需重新组织培训。</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十二、违约责任及不可抗力：</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乙方逾期交货，自逾期之日起，向甲方每日偿付逾期交货部分货款的千分之二的违约金，并承担甲方因此所受的一切损失和费用。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ind w:left="0" w:right="0" w:firstLine="0"/>
        <w:jc w:val="both"/>
        <w:spacing w:before="0" w:after="0" w:line="439" w:lineRule="atLeast"/>
        <w:tabs>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十三、争议解决方式：</w:t>
        <w:tab/>
      </w:r>
      <w:r/>
    </w:p>
    <w:p>
      <w:pPr>
        <w:ind w:left="0" w:right="0" w:firstLine="4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若经查证证明本合同项下的产品的质量问题导致事故，造成甲方或第三方人身财产损失，则按现行《中华人民共和国产品质量法》、《中华人民共和国民法典》和相关法律处理。</w:t>
      </w:r>
      <w:r/>
    </w:p>
    <w:p>
      <w:pPr>
        <w:ind w:left="0" w:right="0" w:firstLine="40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在合同履行过程中发生争议，双方应友好协商解决；协商不成时，任何一方均可通过合同履行地（扬州）有管辖权的人民法院诉讼解决。</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本合同一式三份，甲方执二份，乙方执一份。经双方签字盖章后生效。本合同相关的招标文件、附件、补充协议、承诺函等均属于合同一部分，须与本合同一并归档，确保合同文本完整、可追溯。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十五、其他约定：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本项目委托代理公司采购，招标编号     的招标文件及投标文件是本合同的必要补充，具有相同法律效力。</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本合同未尽事宜，如需修改或补充合同内容，经协商一致，双方应签订补充协议（包括承诺函等），补充协议与本合同具有同等效力。</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乙方应加强工作人员的管理,禁止乙方以各种手段腐蚀、贿赂甲方单位工作人员，并将诚信档案记录的工作人员违规不良行为纳入违约行为,如有违反，甲方将停止履行合同，并追究乙方违约责任。因乙方涉嫌商业贿赂被立案调查期间，甲方有权暂停履行付款义务。 要求乙方赔偿因此造成的全部损失，并向相关行政部门报告。</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协议签署地点:扬州。</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扬州大学附属医院 </w:t>
      </w:r>
      <w:r>
        <w:rPr>
          <w:rFonts w:ascii="SimSun" w:hAnsi="SimSun" w:eastAsia="SimSun" w:cs="SimSun"/>
          <w:color w:val="000000"/>
          <w:sz w:val="21"/>
        </w:rPr>
        <w:t xml:space="preserve">               乙方：</w:t>
      </w:r>
      <w:r>
        <w:rPr>
          <w:rFonts w:ascii="SimSun" w:hAnsi="SimSun" w:eastAsia="SimSun" w:cs="SimSun"/>
          <w:b/>
          <w:color w:val="000000"/>
          <w:sz w:val="21"/>
        </w:rPr>
        <w:t xml:space="preserve"> </w:t>
      </w:r>
      <w:r/>
    </w:p>
    <w:p>
      <w:pPr>
        <w:ind w:left="6360" w:right="0" w:hanging="556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甲方法定代表人：乙方法定代表人：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（或授权签约人）（或授权签约人）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    月     日                   </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    月    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设备配置清单</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甲方使用科室（签字）：</w:t>
      </w:r>
      <w:r>
        <w:rPr>
          <w:rFonts w:ascii="SimSun" w:hAnsi="SimSun" w:eastAsia="SimSun" w:cs="SimSun"/>
          <w:color w:val="000000"/>
          <w:sz w:val="21"/>
          <w:u w:val="single"/>
        </w:rPr>
        <w:t xml:space="preserve">                   </w:t>
      </w:r>
      <w:r>
        <w:rPr>
          <w:rFonts w:ascii="SimSun" w:hAnsi="SimSun" w:eastAsia="SimSun" w:cs="SimSun"/>
          <w:color w:val="000000"/>
          <w:sz w:val="21"/>
        </w:rPr>
        <w:t xml:space="preserve">乙方（签字）：</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甲方医学工程处（签字）：</w:t>
      </w:r>
      <w:r>
        <w:rPr>
          <w:rFonts w:ascii="SimSun" w:hAnsi="SimSun" w:eastAsia="SimSun" w:cs="SimSun"/>
          <w:color w:val="000000"/>
          <w:sz w:val="21"/>
          <w:u w:val="single"/>
        </w:rPr>
        <w:t xml:space="preserve">                 </w:t>
      </w:r>
      <w:r>
        <w:rPr>
          <w:rFonts w:ascii="SimSun" w:hAnsi="SimSun" w:eastAsia="SimSun" w:cs="SimSun"/>
          <w:color w:val="000000"/>
          <w:sz w:val="21"/>
        </w:rPr>
        <w:t xml:space="preserve">乙方（签章）：</w:t>
      </w:r>
      <w:r>
        <w:rPr>
          <w:rFonts w:ascii="SimSun" w:hAnsi="SimSun" w:eastAsia="SimSun" w:cs="SimSun"/>
          <w:color w:val="000000"/>
          <w:sz w:val="21"/>
          <w:u w:val="singl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甲方采购中心（签字）：</w:t>
      </w:r>
      <w:r>
        <w:rPr>
          <w:rFonts w:ascii="SimSun" w:hAnsi="SimSun" w:eastAsia="SimSun" w:cs="SimSun"/>
          <w:color w:val="000000"/>
          <w:sz w:val="21"/>
          <w:u w:val="single"/>
        </w:rPr>
        <w:t xml:space="preserve">                  </w:t>
      </w:r>
      <w:r/>
    </w:p>
    <w:p>
      <w:pPr>
        <w:ind w:left="0" w:right="315"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 </w:t>
      </w:r>
      <w:r/>
    </w:p>
    <w:p>
      <w:pPr>
        <w:ind w:left="0" w:right="315" w:firstLine="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（注：本附件签字、盖章须与主合同一致，缺一不可，否则甲方有权拒绝验收及付款。）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315"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扬州大学附属医院医用设备廉洁购销合同</w:t>
      </w:r>
      <w:r/>
    </w:p>
    <w:p>
      <w:pPr>
        <w:ind w:left="630" w:right="0" w:firstLine="0"/>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b/>
          <w:color w:val="000000"/>
          <w:sz w:val="24"/>
        </w:rPr>
        <w:t xml:space="preserve">扬州大学附属医院</w:t>
      </w:r>
      <w:r/>
    </w:p>
    <w:p>
      <w:pPr>
        <w:ind w:left="630" w:right="0" w:firstLine="0"/>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630" w:right="0" w:firstLine="420"/>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为进一步加强医疗卫生行风建设，规范医疗卫生机构医药购销行为，有效防范商业贿赂行为，营造公平交易、诚实守信的购销环境，经甲、乙双方协商，同意签订本合同，并共同遵守：</w:t>
      </w:r>
      <w:r/>
    </w:p>
    <w:p>
      <w:pPr>
        <w:ind w:left="630" w:right="0" w:firstLine="411"/>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一、甲乙双方按照《中华人民共和国民法典》及医用设备购销合同约定购销医用设备项目。</w:t>
      </w:r>
      <w:r/>
    </w:p>
    <w:p>
      <w:pPr>
        <w:ind w:left="630" w:right="0" w:firstLine="411"/>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二、甲方应当严格执行医用设备购销合同采购验收、入库制度，对采购医用设备及发票进行查验、不得违反有关规定合同外采购、违价采购或从非规定渠道采购。</w:t>
      </w:r>
      <w:r/>
    </w:p>
    <w:p>
      <w:pPr>
        <w:ind w:left="630" w:right="0" w:firstLine="411"/>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严禁接受乙方以任何名义、形式给予的回扣，不得将接受捐赠资助与采购挂钩。甲方工作人员不得参加乙方安排并支付费用的营业性娱乐场所的娱乐活动，不得在乙方报销任何应由其个人承担的费用，不得以任何形式向乙方索要现金、有价证券、支付凭证和贵重礼品等。被迫接受乙方给予的钱物，应予退还，无法退还的，应于3日内向医院纪委办公室反映情况。</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四、甲方工作人员不得要求或者接受乙方为其住房装修、婚丧嫁娶、家属和子女的工作安排以及出国等提供方便。</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五、乙方不得以回扣、宴请等方式影响甲方工作人员采购或使用医用设备的选择权，不得在学术活动中提供旅游、超标准支付食宿费用。</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六、乙方不得接受甲方工作人员介绍的家属或者亲友从事与合同相关的业务。</w:t>
      </w:r>
      <w:r/>
    </w:p>
    <w:p>
      <w:pPr>
        <w:ind w:left="630" w:right="0" w:firstLine="411"/>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七、乙方指定</w:t>
      </w:r>
      <w:r>
        <w:rPr>
          <w:rFonts w:ascii="SimSun" w:hAnsi="SimSun" w:eastAsia="SimSun" w:cs="SimSun"/>
          <w:color w:val="000000"/>
          <w:sz w:val="21"/>
          <w:u w:val="single"/>
        </w:rPr>
        <w:t xml:space="preserve">  朱元圣  </w:t>
      </w:r>
      <w:r>
        <w:rPr>
          <w:rFonts w:ascii="SimSun" w:hAnsi="SimSun" w:eastAsia="SimSun" w:cs="SimSun"/>
          <w:color w:val="000000"/>
          <w:sz w:val="21"/>
        </w:rPr>
        <w:t xml:space="preserve">作为销售代表洽谈业务。销售代表必须在工作时间到甲方指定地点联系商谈，不得借故到甲方相关领导、部门负责人及相关工作人员的非办公场所访谈并提供任何好处费。</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八、乙方如发现甲方工作人员有违反上述协议者，应向甲方举报（甲方接待部门：纪委办公室；举报电话：</w:t>
      </w:r>
      <w:r>
        <w:rPr>
          <w:rFonts w:ascii="Times New Roman" w:hAnsi="Times New Roman" w:eastAsia="Times New Roman" w:cs="Times New Roman"/>
          <w:color w:val="000000"/>
          <w:sz w:val="21"/>
        </w:rPr>
        <w:t xml:space="preserve">87907263</w:t>
      </w:r>
      <w:r>
        <w:rPr>
          <w:rFonts w:ascii="SimSun" w:hAnsi="SimSun" w:eastAsia="SimSun" w:cs="SimSun"/>
          <w:color w:val="000000"/>
          <w:sz w:val="21"/>
        </w:rPr>
        <w:t xml:space="preserve">）。甲方不得找任何借口对乙方进行报复。甲方对举报属实和严格遵守廉洁协议的乙方，在同等条件下优先考虑与乙方继续合作。</w:t>
      </w:r>
      <w:r/>
    </w:p>
    <w:p>
      <w:pPr>
        <w:ind w:left="630" w:right="0" w:firstLine="411"/>
        <w:jc w:val="both"/>
        <w:spacing w:before="320" w:after="3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如违反本合同，一经发现，甲方有权无条件随时终止购销合同，由此导致甲方最终的采购时间延长带来每天的损失按照设备采购款的0.2%由乙方支付给甲方，必要时并向有关卫生计生行政部门报告。如乙方被列入商业贿赂不良记录，则严格按照《国家卫生计生委关于建立医药购销领域商业贿赂不良记录的规定》（国卫法制发[2013]50号）相关规定处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十、甲方任何工作人员围绕上述采购若有违反行风廉洁自律要求的违法、违纪和违规活动自动默认为其个人私下行为，由此导致的一切后果完全由其本人独立承担，与甲方其他人员无关。</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十一、本合同作为医用设备购销合同的重要组成部分，与购销合同一并执行，具有同等的法律效力。本合同一式三份，甲方执两份，乙方执一份。</w:t>
      </w:r>
      <w:r/>
    </w:p>
    <w:p>
      <w:pPr>
        <w:ind w:left="630" w:right="315" w:firstLine="0"/>
        <w:jc w:val="both"/>
        <w:spacing w:before="320" w:after="3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240" w:right="-932" w:hanging="6660"/>
        <w:jc w:val="both"/>
        <w:spacing w:before="320" w:after="3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rPr>
          <w:rFonts w:ascii="SimSun" w:hAnsi="SimSun" w:eastAsia="SimSun" w:cs="SimSun"/>
          <w:b/>
          <w:color w:val="000000"/>
          <w:sz w:val="24"/>
        </w:rPr>
        <w:t xml:space="preserve">扬州大学附属医院</w:t>
      </w:r>
      <w:r>
        <w:rPr>
          <w:rFonts w:ascii="SimSun" w:hAnsi="SimSun" w:eastAsia="SimSun" w:cs="SimSun"/>
          <w:color w:val="000000"/>
          <w:sz w:val="24"/>
        </w:rPr>
        <w:t xml:space="preserve">         乙方（盖章）：</w:t>
      </w:r>
      <w:r/>
    </w:p>
    <w:p>
      <w:pPr>
        <w:ind w:left="6240" w:right="-932" w:hanging="6660"/>
        <w:jc w:val="both"/>
        <w:spacing w:before="320" w:after="3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6240" w:right="-932" w:hanging="6660"/>
        <w:jc w:val="both"/>
        <w:spacing w:before="320" w:after="3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（或授权签约人）（或授权签约人）</w:t>
      </w:r>
      <w:r/>
    </w:p>
    <w:p>
      <w:pPr>
        <w:ind w:left="6240" w:right="-932" w:hanging="6660"/>
        <w:jc w:val="both"/>
        <w:spacing w:before="320" w:after="3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240" w:right="-932" w:hanging="6660"/>
        <w:jc w:val="both"/>
        <w:spacing w:before="320" w:after="3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月    日                     2025年    月    日</w:t>
      </w:r>
      <w:r/>
    </w:p>
    <w:p>
      <w:pPr>
        <w:ind w:left="0" w:right="315" w:firstLine="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 </w:t>
      </w:r>
      <w:r/>
    </w:p>
    <w:p>
      <w:pPr>
        <w:ind w:left="0" w:right="315" w:firstLine="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（注：本附件签字、盖章须与主合同一致，缺一不可，否则甲方有权拒绝验收及付款。）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315"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2111"/>
        <w:gridCol w:w="766"/>
        <w:gridCol w:w="1879"/>
        <w:gridCol w:w="2127"/>
        <w:gridCol w:w="141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双板悬吊式数字X射线摄影系统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单板双立柱数字X射线摄影系统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4"/>
        <w:gridCol w:w="5460"/>
        <w:gridCol w:w="2620"/>
      </w:tblGrid>
      <w:tr>
        <w:trPr>
          <w:trHeight w:val="25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bottom"/>
            <w:textDirection w:val="lrTb"/>
            <w:noWrap/>
          </w:tcPr>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序号1设备技术要求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1"/>
              </w:rPr>
              <w:t xml:space="preserve"> </w:t>
            </w:r>
            <w:r/>
          </w:p>
        </w:tc>
      </w:tr>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技术和性能参数名称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招标参数要求</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功能需求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0"/>
              </w:rPr>
              <w:t xml:space="preserve">★</w:t>
            </w: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双板悬吊式</w:t>
            </w:r>
            <w:r>
              <w:rPr>
                <w:rFonts w:ascii="Calibri" w:hAnsi="Calibri" w:eastAsia="Calibri" w:cs="Calibri"/>
                <w:color w:val="000000"/>
                <w:sz w:val="20"/>
              </w:rPr>
              <w:t xml:space="preserve">DR</w:t>
            </w:r>
            <w:r>
              <w:rPr>
                <w:rFonts w:ascii="SimSun" w:hAnsi="SimSun" w:eastAsia="SimSun" w:cs="SimSun"/>
                <w:color w:val="000000"/>
                <w:sz w:val="20"/>
              </w:rPr>
              <w:t xml:space="preserve">，用于头颅、脊柱、四肢、胸部、腹部等全身站立位和卧位的数字</w:t>
            </w:r>
            <w:r>
              <w:rPr>
                <w:rFonts w:ascii="Calibri" w:hAnsi="Calibri" w:eastAsia="Calibri" w:cs="Calibri"/>
                <w:color w:val="000000"/>
                <w:sz w:val="20"/>
              </w:rPr>
              <w:t xml:space="preserve">X</w:t>
            </w:r>
            <w:r>
              <w:rPr>
                <w:rFonts w:ascii="SimSun" w:hAnsi="SimSun" w:eastAsia="SimSun" w:cs="SimSun"/>
                <w:color w:val="000000"/>
                <w:sz w:val="20"/>
              </w:rPr>
              <w:t xml:space="preserve">线摄影系统，具备全脊柱全下肢拼接功能。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主要技术规格和要求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高压发生器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高频逆变式高压发生器频率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≥100KHZ</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高压发生器标称电功率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65KW</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管电压可调范围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Calibri" w:hAnsi="Calibri" w:eastAsia="Calibri" w:cs="Calibri"/>
                <w:color w:val="000000"/>
                <w:sz w:val="20"/>
              </w:rPr>
              <w:t xml:space="preserve">40-150KV</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最大输出毫安秒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Calibri" w:hAnsi="Calibri" w:eastAsia="Calibri" w:cs="Calibri"/>
                <w:color w:val="000000"/>
                <w:sz w:val="20"/>
              </w:rPr>
              <w:t xml:space="preserve">800mAs</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最短曝光时间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≤1ms</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rPr>
                <w:rFonts w:ascii="Calibri" w:hAnsi="Calibri" w:eastAsia="Calibri" w:cs="Calibri"/>
                <w:color w:val="000000"/>
                <w:sz w:val="20"/>
              </w:rPr>
              <w:t xml:space="preserve">AEC</w:t>
            </w:r>
            <w:r>
              <w:rPr>
                <w:rFonts w:ascii="SimSun" w:hAnsi="SimSun" w:eastAsia="SimSun" w:cs="SimSun"/>
                <w:color w:val="000000"/>
                <w:sz w:val="20"/>
              </w:rPr>
              <w:t xml:space="preserve">自动曝光控制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发生器的操作与控制系统完全与主机集成，在主机工作站上控制曝光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X</w:t>
            </w:r>
            <w:r>
              <w:rPr>
                <w:rFonts w:ascii="SimSun" w:hAnsi="SimSun" w:eastAsia="SimSun" w:cs="SimSun"/>
                <w:b/>
                <w:color w:val="000000"/>
                <w:sz w:val="20"/>
              </w:rPr>
              <w:t xml:space="preserve">线球管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阳极热容量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350KHU</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阳极散热率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95KHU/min.</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管套热容量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1.35MHU</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球管焦点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0.6/1.2mm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最大承受功率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34/80KW</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可通过皮尺测量床旁拍照的距离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缩光器旋转角度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≥±45</w:t>
            </w:r>
            <w:r>
              <w:rPr>
                <w:rFonts w:ascii="SimSun" w:hAnsi="SimSun" w:eastAsia="SimSun" w:cs="SimSun"/>
                <w:color w:val="000000"/>
                <w:sz w:val="20"/>
              </w:rPr>
              <w:t xml:space="preserve">度</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球管架垂直运动距离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≥180</w:t>
            </w:r>
            <w:r>
              <w:rPr>
                <w:rFonts w:ascii="SimSun" w:hAnsi="SimSun" w:eastAsia="SimSun" w:cs="SimSun"/>
                <w:color w:val="000000"/>
                <w:sz w:val="20"/>
              </w:rPr>
              <w:t xml:space="preserve">厘米</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缩光器照射野可自动调整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球管架沿人体纵轴运动距离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≥300</w:t>
            </w:r>
            <w:r>
              <w:rPr>
                <w:rFonts w:ascii="SimSun" w:hAnsi="SimSun" w:eastAsia="SimSun" w:cs="SimSun"/>
                <w:color w:val="000000"/>
                <w:sz w:val="20"/>
              </w:rPr>
              <w:t xml:space="preserve">厘米</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球管架沿人体横轴运动距离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≥190</w:t>
            </w:r>
            <w:r>
              <w:rPr>
                <w:rFonts w:ascii="SimSun" w:hAnsi="SimSun" w:eastAsia="SimSun" w:cs="SimSun"/>
                <w:color w:val="000000"/>
                <w:sz w:val="20"/>
              </w:rPr>
              <w:t xml:space="preserve">厘米</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X</w:t>
            </w:r>
            <w:r>
              <w:rPr>
                <w:rFonts w:ascii="SimSun" w:hAnsi="SimSun" w:eastAsia="SimSun" w:cs="SimSun"/>
                <w:color w:val="000000"/>
                <w:sz w:val="20"/>
              </w:rPr>
              <w:t xml:space="preserve">线球管套可沿水平轴旋转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≥±120</w:t>
            </w:r>
            <w:r>
              <w:rPr>
                <w:rFonts w:ascii="SimSun" w:hAnsi="SimSun" w:eastAsia="SimSun" w:cs="SimSun"/>
                <w:color w:val="000000"/>
                <w:sz w:val="20"/>
              </w:rPr>
              <w:t xml:space="preserve">度</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近台彩色触摸屏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近台操作控制系统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电容式触摸屏</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10.1</w:t>
            </w:r>
            <w:r>
              <w:rPr>
                <w:rFonts w:ascii="SimSun" w:hAnsi="SimSun" w:eastAsia="SimSun" w:cs="SimSun"/>
                <w:color w:val="000000"/>
                <w:sz w:val="20"/>
              </w:rPr>
              <w:t xml:space="preserve">英寸</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屏幕重力感应自动调整方向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可显示患者信息，如姓名、患者编号等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大小焦点快速切换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电离室可调整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曝光参数可实时调整（如</w:t>
            </w:r>
            <w:r>
              <w:rPr>
                <w:rFonts w:ascii="Calibri" w:hAnsi="Calibri" w:eastAsia="Calibri" w:cs="Calibri"/>
                <w:color w:val="000000"/>
                <w:sz w:val="20"/>
              </w:rPr>
              <w:t xml:space="preserve">kV</w:t>
            </w:r>
            <w:r>
              <w:rPr>
                <w:rFonts w:ascii="SimSun" w:hAnsi="SimSun" w:eastAsia="SimSun" w:cs="SimSun"/>
                <w:color w:val="000000"/>
                <w:sz w:val="20"/>
              </w:rPr>
              <w:t xml:space="preserve">、</w:t>
            </w:r>
            <w:r>
              <w:rPr>
                <w:rFonts w:ascii="Calibri" w:hAnsi="Calibri" w:eastAsia="Calibri" w:cs="Calibri"/>
                <w:color w:val="000000"/>
                <w:sz w:val="20"/>
              </w:rPr>
              <w:t xml:space="preserve">ms</w:t>
            </w:r>
            <w:r>
              <w:rPr>
                <w:rFonts w:ascii="SimSun" w:hAnsi="SimSun" w:eastAsia="SimSun" w:cs="SimSun"/>
                <w:color w:val="000000"/>
                <w:sz w:val="20"/>
              </w:rPr>
              <w:t xml:space="preserve">、</w:t>
            </w:r>
            <w:r>
              <w:rPr>
                <w:rFonts w:ascii="Calibri" w:hAnsi="Calibri" w:eastAsia="Calibri" w:cs="Calibri"/>
                <w:color w:val="000000"/>
                <w:sz w:val="20"/>
              </w:rPr>
              <w:t xml:space="preserve">mAs</w:t>
            </w:r>
            <w:r>
              <w:rPr>
                <w:rFonts w:ascii="SimSun" w:hAnsi="SimSun" w:eastAsia="SimSun" w:cs="SimSun"/>
                <w:color w:val="000000"/>
                <w:sz w:val="20"/>
              </w:rPr>
              <w:t xml:space="preserve">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可显示图形化摆位指南，技师可按照该指南对患者进行准确的摆位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可显示系统状态消息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固定平板探测器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探测器材料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碘化铯非晶体硅</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探测器有效尺寸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≥42.6×42.6cm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像素尺寸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139um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采集灰阶度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≥16bits</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空间分辨率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≥3.6lp/mm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采集距阵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≥3070 X 3070</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平板无须额外特殊冷却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DQE</w:t>
            </w:r>
            <w:r>
              <w:rPr>
                <w:rFonts w:ascii="SimSun" w:hAnsi="SimSun" w:eastAsia="SimSun" w:cs="SimSun"/>
                <w:color w:val="000000"/>
                <w:sz w:val="20"/>
              </w:rPr>
              <w:t xml:space="preserve">（在</w:t>
            </w:r>
            <w:r>
              <w:rPr>
                <w:rFonts w:ascii="Calibri" w:hAnsi="Calibri" w:eastAsia="Calibri" w:cs="Calibri"/>
                <w:color w:val="000000"/>
                <w:sz w:val="20"/>
              </w:rPr>
              <w:t xml:space="preserve">0.05lp/mm</w:t>
            </w:r>
            <w:r>
              <w:rPr>
                <w:rFonts w:ascii="SimSun" w:hAnsi="SimSun" w:eastAsia="SimSun" w:cs="SimSun"/>
                <w:color w:val="000000"/>
                <w:sz w:val="20"/>
              </w:rPr>
              <w:t xml:space="preserve">条件下</w:t>
            </w:r>
            <w:r>
              <w:rPr>
                <w:rFonts w:ascii="Calibri" w:hAnsi="Calibri" w:eastAsia="Calibri" w:cs="Calibr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≥75%</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无线平板探测器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探测器结构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碘化铯</w:t>
            </w:r>
            <w:r>
              <w:rPr>
                <w:rFonts w:ascii="Calibri" w:hAnsi="Calibri" w:eastAsia="Calibri" w:cs="Calibri"/>
                <w:color w:val="000000"/>
                <w:sz w:val="20"/>
              </w:rPr>
              <w:t xml:space="preserve">/</w:t>
            </w:r>
            <w:r>
              <w:rPr>
                <w:rFonts w:ascii="SimSun" w:hAnsi="SimSun" w:eastAsia="SimSun" w:cs="SimSun"/>
                <w:color w:val="000000"/>
                <w:sz w:val="20"/>
              </w:rPr>
              <w:t xml:space="preserve">非晶体硅</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探测器有效尺寸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≥42.6×42.6cm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像素尺寸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≤139um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采集灰阶度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≥16bits</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空间分辨率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≥3.6lp/mm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量子捕获效率</w:t>
            </w:r>
            <w:r>
              <w:rPr>
                <w:rFonts w:ascii="Calibri" w:hAnsi="Calibri" w:eastAsia="Calibri" w:cs="Calibri"/>
                <w:color w:val="000000"/>
                <w:sz w:val="20"/>
              </w:rPr>
              <w:t xml:space="preserve"> (</w:t>
            </w:r>
            <w:r>
              <w:rPr>
                <w:rFonts w:ascii="SimSun" w:hAnsi="SimSun" w:eastAsia="SimSun" w:cs="SimSun"/>
                <w:color w:val="000000"/>
                <w:sz w:val="20"/>
              </w:rPr>
              <w:t xml:space="preserve">在</w:t>
            </w:r>
            <w:r>
              <w:rPr>
                <w:rFonts w:ascii="Calibri" w:hAnsi="Calibri" w:eastAsia="Calibri" w:cs="Calibri"/>
                <w:color w:val="000000"/>
                <w:sz w:val="20"/>
              </w:rPr>
              <w:t xml:space="preserve">0.05lp/mm </w:t>
            </w:r>
            <w:r>
              <w:rPr>
                <w:rFonts w:ascii="SimSun" w:hAnsi="SimSun" w:eastAsia="SimSun" w:cs="SimSun"/>
                <w:color w:val="000000"/>
                <w:sz w:val="20"/>
              </w:rPr>
              <w:t xml:space="preserve">，</w:t>
            </w:r>
            <w:r>
              <w:rPr>
                <w:rFonts w:ascii="Calibri" w:hAnsi="Calibri" w:eastAsia="Calibri" w:cs="Calibri"/>
                <w:color w:val="000000"/>
                <w:sz w:val="20"/>
              </w:rPr>
              <w:t xml:space="preserve">DQE)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≥75%</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采集距阵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3070X3070</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无电缆无线传输所采集图像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图像预览时间</w:t>
            </w:r>
            <w:r>
              <w:rPr>
                <w:rFonts w:ascii="Calibri" w:hAnsi="Calibri" w:eastAsia="Calibri" w:cs="Calibri"/>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3</w:t>
            </w:r>
            <w:r>
              <w:rPr>
                <w:rFonts w:ascii="SimSun" w:hAnsi="SimSun" w:eastAsia="SimSun" w:cs="SimSun"/>
                <w:color w:val="000000"/>
                <w:sz w:val="20"/>
              </w:rPr>
              <w:t xml:space="preserve">秒</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探测器最大承重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≥150kg</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探测器重量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4.2kg</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无线平板探测器可自动充电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2.5.13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无线平板充满电后可拍摄的最大图像数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950</w:t>
            </w:r>
            <w:r>
              <w:rPr>
                <w:rFonts w:ascii="SimSun" w:hAnsi="SimSun" w:eastAsia="SimSun" w:cs="SimSun"/>
                <w:color w:val="000000"/>
                <w:sz w:val="20"/>
              </w:rPr>
              <w:t xml:space="preserve">张</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无线平板配备把手，可单手移动，且防止意外摔落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摄影床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床面高度电动调节范围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≥38cm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床面尺寸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220cm x 80cm</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床面纵向移动范围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 44cm</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床面横向移动范围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 13cm</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垂直式脚触开关控制床体的高度升降及床面的锁定及释放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滤线栅栅比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≥10:1</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滤线栅栅密度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40lp/cm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最大承重量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300kg</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球管与床面自动垂直、水平和倾斜跟踪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胸片架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胸片架可电机驱动高度变化范围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≥31.5cm-175cm</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源像距</w:t>
            </w:r>
            <w:r>
              <w:rPr>
                <w:rFonts w:ascii="Calibri" w:hAnsi="Calibri" w:eastAsia="Calibri" w:cs="Calibri"/>
                <w:color w:val="000000"/>
                <w:sz w:val="20"/>
              </w:rPr>
              <w:t xml:space="preserve">SID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≥115-180CM</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平板接收器可在</w:t>
            </w:r>
            <w:r>
              <w:rPr>
                <w:rFonts w:ascii="Calibri" w:hAnsi="Calibri" w:eastAsia="Calibri" w:cs="Calibri"/>
                <w:color w:val="000000"/>
                <w:sz w:val="20"/>
              </w:rPr>
              <w:t xml:space="preserve">-20</w:t>
            </w:r>
            <w:r>
              <w:rPr>
                <w:rFonts w:ascii="SimSun" w:hAnsi="SimSun" w:eastAsia="SimSun" w:cs="SimSun"/>
                <w:color w:val="000000"/>
                <w:sz w:val="20"/>
              </w:rPr>
              <w:t xml:space="preserve">度</w:t>
            </w:r>
            <w:r>
              <w:rPr>
                <w:rFonts w:ascii="Calibri" w:hAnsi="Calibri" w:eastAsia="Calibri" w:cs="Calibri"/>
                <w:color w:val="000000"/>
                <w:sz w:val="20"/>
              </w:rPr>
              <w:t xml:space="preserve">/+90</w:t>
            </w:r>
            <w:r>
              <w:rPr>
                <w:rFonts w:ascii="SimSun" w:hAnsi="SimSun" w:eastAsia="SimSun" w:cs="SimSun"/>
                <w:color w:val="000000"/>
                <w:sz w:val="20"/>
              </w:rPr>
              <w:t xml:space="preserve">度变化</w:t>
            </w:r>
            <w:r>
              <w:rPr>
                <w:rFonts w:ascii="Calibri" w:hAnsi="Calibri" w:eastAsia="Calibri" w:cs="Calibri"/>
                <w:color w:val="000000"/>
                <w:sz w:val="20"/>
              </w:rPr>
              <w:t xml:space="preserve">,</w:t>
            </w:r>
            <w:r>
              <w:rPr>
                <w:rFonts w:ascii="SimSun" w:hAnsi="SimSun" w:eastAsia="SimSun" w:cs="SimSun"/>
                <w:color w:val="000000"/>
                <w:sz w:val="20"/>
              </w:rPr>
              <w:t xml:space="preserve">并每</w:t>
            </w:r>
            <w:r>
              <w:rPr>
                <w:rFonts w:ascii="Calibri" w:hAnsi="Calibri" w:eastAsia="Calibri" w:cs="Calibri"/>
                <w:color w:val="000000"/>
                <w:sz w:val="20"/>
              </w:rPr>
              <w:t xml:space="preserve">15</w:t>
            </w:r>
            <w:r>
              <w:rPr>
                <w:rFonts w:ascii="SimSun" w:hAnsi="SimSun" w:eastAsia="SimSun" w:cs="SimSun"/>
                <w:color w:val="000000"/>
                <w:sz w:val="20"/>
              </w:rPr>
              <w:t xml:space="preserve">度显示刻度，中间任意位置可以停</w:t>
            </w:r>
            <w:r>
              <w:rPr>
                <w:rFonts w:ascii="Calibri" w:hAnsi="Calibri" w:eastAsia="Calibri" w:cs="Calibr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rPr>
                <w:rFonts w:ascii="Calibri" w:hAnsi="Calibri" w:eastAsia="Calibri" w:cs="Calibri"/>
                <w:color w:val="000000"/>
                <w:sz w:val="20"/>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滤线栅栅比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≥10:1</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滤线栅栅密度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40lp/cm</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X</w:t>
            </w:r>
            <w:r>
              <w:rPr>
                <w:rFonts w:ascii="SimSun" w:hAnsi="SimSun" w:eastAsia="SimSun" w:cs="SimSun"/>
                <w:color w:val="000000"/>
                <w:sz w:val="20"/>
              </w:rPr>
              <w:t xml:space="preserve">线球管与数字平板在胸片架上投照时可以做自动同步追踪运动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无线遥控器控制胸片架垂直升降和调整束光野大小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系统操作台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支持与</w:t>
            </w:r>
            <w:r>
              <w:rPr>
                <w:rFonts w:ascii="Calibri" w:hAnsi="Calibri" w:eastAsia="Calibri" w:cs="Calibri"/>
                <w:color w:val="000000"/>
                <w:sz w:val="20"/>
              </w:rPr>
              <w:t xml:space="preserve">RIS</w:t>
            </w:r>
            <w:r>
              <w:rPr>
                <w:rFonts w:ascii="SimSun" w:hAnsi="SimSun" w:eastAsia="SimSun" w:cs="SimSun"/>
                <w:color w:val="000000"/>
                <w:sz w:val="20"/>
              </w:rPr>
              <w:t xml:space="preserve">和</w:t>
            </w:r>
            <w:r>
              <w:rPr>
                <w:rFonts w:ascii="Calibri" w:hAnsi="Calibri" w:eastAsia="Calibri" w:cs="Calibri"/>
                <w:color w:val="000000"/>
                <w:sz w:val="20"/>
              </w:rPr>
              <w:t xml:space="preserve">HIS</w:t>
            </w:r>
            <w:r>
              <w:rPr>
                <w:rFonts w:ascii="SimSun" w:hAnsi="SimSun" w:eastAsia="SimSun" w:cs="SimSun"/>
                <w:color w:val="000000"/>
                <w:sz w:val="20"/>
              </w:rPr>
              <w:t xml:space="preserve">系统的集成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主机控制台与高压发生器高度集成</w:t>
            </w:r>
            <w:r>
              <w:rPr>
                <w:rFonts w:ascii="Calibri" w:hAnsi="Calibri" w:eastAsia="Calibri" w:cs="Calibri"/>
                <w:color w:val="000000"/>
                <w:sz w:val="20"/>
              </w:rPr>
              <w:t xml:space="preserve">, </w:t>
            </w:r>
            <w:r>
              <w:rPr>
                <w:rFonts w:ascii="SimSun" w:hAnsi="SimSun" w:eastAsia="SimSun" w:cs="SimSun"/>
                <w:color w:val="000000"/>
                <w:sz w:val="20"/>
              </w:rPr>
              <w:t xml:space="preserve">可直接在主机工作站上进行曝光参数的设置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图形化器官程序选择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水平和垂直图像镜像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AP</w:t>
            </w:r>
            <w:r>
              <w:rPr>
                <w:rFonts w:ascii="SimSun" w:hAnsi="SimSun" w:eastAsia="SimSun" w:cs="SimSun"/>
                <w:color w:val="000000"/>
                <w:sz w:val="20"/>
              </w:rPr>
              <w:t xml:space="preserve">和</w:t>
            </w:r>
            <w:r>
              <w:rPr>
                <w:rFonts w:ascii="Calibri" w:hAnsi="Calibri" w:eastAsia="Calibri" w:cs="Calibri"/>
                <w:color w:val="000000"/>
                <w:sz w:val="20"/>
              </w:rPr>
              <w:t xml:space="preserve">PA </w:t>
            </w:r>
            <w:r>
              <w:rPr>
                <w:rFonts w:ascii="SimSun" w:hAnsi="SimSun" w:eastAsia="SimSun" w:cs="SimSun"/>
                <w:color w:val="000000"/>
                <w:sz w:val="20"/>
              </w:rPr>
              <w:t xml:space="preserve">定位标记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全屏图像文本标注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胶片拍照的图像预览功能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图像基本后处理功能，如图像预览、缩放、窗宽</w:t>
            </w:r>
            <w:r>
              <w:rPr>
                <w:rFonts w:ascii="Calibri" w:hAnsi="Calibri" w:eastAsia="Calibri" w:cs="Calibri"/>
                <w:color w:val="000000"/>
                <w:sz w:val="20"/>
              </w:rPr>
              <w:t xml:space="preserve">/</w:t>
            </w:r>
            <w:r>
              <w:rPr>
                <w:rFonts w:ascii="SimSun" w:hAnsi="SimSun" w:eastAsia="SimSun" w:cs="SimSun"/>
                <w:color w:val="000000"/>
                <w:sz w:val="20"/>
              </w:rPr>
              <w:t xml:space="preserve">窗位调整、标注、反色、翻转、旋转、输入文本、长度测量及校正、裁剪功能、感兴趣区域及角度测量、边缘增强、噪点抑制等功能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DICOM3.0</w:t>
            </w:r>
            <w:r>
              <w:rPr>
                <w:rFonts w:ascii="SimSun" w:hAnsi="SimSun" w:eastAsia="SimSun" w:cs="SimSun"/>
                <w:color w:val="000000"/>
                <w:sz w:val="20"/>
              </w:rPr>
              <w:t xml:space="preserve">：有</w:t>
            </w:r>
            <w:r>
              <w:rPr>
                <w:rFonts w:ascii="Calibri" w:hAnsi="Calibri" w:eastAsia="Calibri" w:cs="Calibri"/>
                <w:color w:val="000000"/>
                <w:sz w:val="20"/>
              </w:rPr>
              <w:t xml:space="preserve">DICOM</w:t>
            </w:r>
            <w:r>
              <w:rPr>
                <w:rFonts w:ascii="SimSun" w:hAnsi="SimSun" w:eastAsia="SimSun" w:cs="SimSun"/>
                <w:color w:val="000000"/>
                <w:sz w:val="20"/>
              </w:rPr>
              <w:t xml:space="preserve">存储、打印，</w:t>
            </w:r>
            <w:r>
              <w:rPr>
                <w:rFonts w:ascii="Calibri" w:hAnsi="Calibri" w:eastAsia="Calibri" w:cs="Calibri"/>
                <w:color w:val="000000"/>
                <w:sz w:val="20"/>
              </w:rPr>
              <w:t xml:space="preserve">worklist</w:t>
            </w:r>
            <w:r>
              <w:rPr>
                <w:rFonts w:ascii="SimSun" w:hAnsi="SimSun" w:eastAsia="SimSun" w:cs="SimSun"/>
                <w:color w:val="000000"/>
                <w:sz w:val="20"/>
              </w:rPr>
              <w:t xml:space="preserve">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主机操作系统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Windows 10</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主机工作站操作台内存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≥8GB</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1T</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可存储图像数量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10,000</w:t>
            </w:r>
            <w:r>
              <w:rPr>
                <w:rFonts w:ascii="SimSun" w:hAnsi="SimSun" w:eastAsia="SimSun" w:cs="SimSun"/>
                <w:color w:val="000000"/>
                <w:sz w:val="20"/>
              </w:rPr>
              <w:t xml:space="preserve">幅</w:t>
            </w:r>
            <w:r>
              <w:rPr>
                <w:rFonts w:ascii="Calibri" w:hAnsi="Calibri" w:eastAsia="Calibri" w:cs="Calibri"/>
                <w:color w:val="000000"/>
                <w:sz w:val="20"/>
              </w:rPr>
              <w:t xml:space="preserve">  </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2.8.14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≥23.8</w:t>
            </w:r>
            <w:r>
              <w:rPr>
                <w:rFonts w:ascii="SimSun" w:hAnsi="SimSun" w:eastAsia="SimSun" w:cs="SimSun"/>
                <w:color w:val="000000"/>
                <w:sz w:val="20"/>
              </w:rPr>
              <w:t xml:space="preserve">英寸</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0"/>
              </w:rPr>
              <w:t xml:space="preserve">★</w:t>
            </w:r>
            <w:r>
              <w:rPr>
                <w:rFonts w:ascii="Calibri" w:hAnsi="Calibri" w:eastAsia="Calibri" w:cs="Calibri"/>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设备主要部件，球管、高压发生器，为设备整机制造商原厂制造（需提供检测报告证明文件）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长骨拼接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0"/>
              </w:rPr>
              <w:t xml:space="preserve">★</w:t>
            </w:r>
            <w:r>
              <w:rPr>
                <w:rFonts w:ascii="Calibri" w:hAnsi="Calibri" w:eastAsia="Calibri" w:cs="Calibri"/>
                <w:color w:val="000000"/>
                <w:sz w:val="20"/>
              </w:rPr>
              <w:t xml:space="preserve">2.10.1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可实现原厂站位及卧位长骨拼接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配备长骨拼接架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配备长骨拼接标尺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长骨拼接架最大承重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200kg</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长骨拼接为球管打角度的采集方式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w:t>
            </w:r>
            <w:r/>
          </w:p>
        </w:tc>
      </w:tr>
    </w:tbl>
    <w:p>
      <w:pPr>
        <w:ind w:left="0" w:right="0" w:firstLine="48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序号2设备技术要求</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0"/>
        <w:gridCol w:w="4803"/>
        <w:gridCol w:w="2667"/>
      </w:tblGrid>
      <w:tr>
        <w:trPr>
          <w:trHeight w:val="60"/>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640" w:type="dxa"/>
            <w:vAlign w:val="center"/>
            <w:textDirection w:val="lrTb"/>
            <w:noWrap w:val="false"/>
          </w:tcPr>
          <w:p>
            <w:pPr>
              <w:ind w:left="-920" w:right="-100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单板双立柱数字X射线摄影系统设备技术规格要求</w:t>
            </w:r>
            <w:r/>
          </w:p>
        </w:tc>
      </w:tr>
      <w:tr>
        <w:trPr>
          <w:trHeight w:val="2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技术和性能参数名称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招标参数要求</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无线单板双立柱多功能DR，用于头颅、脊柱、四肢、胸部、腹部等全身站立位和卧位的数字X线摄影系统，具有无线移动式平板探测器，可从拍摄床及胸片架中自由切换，并可作自由拍摄。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主要技术规格和要求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X线高压发生器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高频逆变式高压发生器频率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≥100KHZ</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高压发生器功率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65KW</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管电压可调范围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40-150KV</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最大输出毫安秒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800mAs</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最短曝光时间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≤1ms</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具备AEC自动曝光控制功能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发生器的操作与控制系统完全与主机集成，在主机工作站上控制曝光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X线球管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阳极热容量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≥350kHU</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阳极散热率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≥95kHU/min.</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管套热容量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≥1.35MHU</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球管焦点尺寸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0.6/1.2mm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34kW/55kW</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缩光器内具有皮尺测量床旁拍照的距离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缩光器可旋转角度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±45度</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缩光器内置三级铜滤线器：0.1/0.2/0.3mm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缩光器照野可自动调整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缩光器具有射野灯光定时控制开关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球管支架水平方向运动距离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152厘米</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球管支架垂直方向运动距离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≥145厘米</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X线球管可沿垂直轴旋转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±180度</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X线球管可沿水平轴旋转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±140度</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近台操作控制系统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电容式触摸屏</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10.1英寸</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屏幕重力感应自动调整方向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可显示患者信息，如姓名、患者编号等（须提供证明材料）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大小焦点快速切换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电离室可调整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曝光参数可实时调整（如kV、mA、mAs等）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可显示图形化摆位指南，技师可按照该指南对患者进行准确的摆位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可显示系统状态消息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无线移动平板探测器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碘化铯/非晶体硅</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探测器有效尺寸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≥42.6×42.6cm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像素尺寸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≤139um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采集灰阶度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≥16bits</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空间分辨率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≥3.6Lp/mm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量子捕获效率 (在0.05lp/mm ，DQE)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采集距阵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3070X3070</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平板无须额外特殊冷却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无电缆无线传输所采集图像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图像预览时间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3秒</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探测器最大承重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≥150公斤</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≤4.2kg</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无线平板充满电后可拍摄的最大图像数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≥950张</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无线平板配备把手，可单手移动，且防止意外摔落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摄影床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床面尺寸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220cm × 80cm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床面纵向移动范围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44cm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床面横向移动范围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升降高度范围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垂直式脚触开关控制床面移动的锁定及释放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滤线栅栅比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滤线栅栅密度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40lp/cm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滤线栅可方便移出，无需借助工具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具有AEC控制电离室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最大承重量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300kg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X线球管与数字平板探测器在床上投照时可以做自动水平、垂直和倾斜追踪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探测器于床下的移动范围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探测器可放置于床面或床外做无滤线栅拍摄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胸片架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胸片架可电机驱动高度变化范围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≥31.5cm-175cm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源像距SID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≥115-180CM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电离室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≥3个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无线遥控胸片架上下运动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球管投照胸片架平板时，可随胸片架上下自动跟踪运动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滤线栅栅比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滤线栅栅密度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40lp/cm</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系统操作台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支持与RIS和HIS系统的集成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主机控制台与高压发生器高度集成, 可直接在主机工作站上进行曝光参数的设置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图形化器官程序选择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水平和垂直图像镜像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AP和PA 定位标记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全屏图像文本标注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胶片拍照的图像预览功能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图像基本后处理功能，如图像预览、缩放、窗宽/窗位调整、标注、反色、翻转、旋转、输入文本、长度测量及校正、裁剪功能、感兴趣区域及角度测量、边缘增强、噪点抑制等功能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DICOM3.0：有DICOM存储、打印，worklist等功能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Windows 10</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主机工作站操作台内存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≥8GB</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硬盘容量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1T</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可存储图像数量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10,000幅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≥23.8英寸</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设备主要部件，球管、高压发生器，为设备整机制造商原厂制造（需提供检测报告证明文件）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w:t>
            </w:r>
            <w:r/>
          </w:p>
        </w:tc>
      </w:tr>
    </w:tbl>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（甲方：扬州大学附属医院乙方：设备供应商）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rPr>
          <w:rFonts w:ascii="SimSun" w:hAnsi="SimSun" w:eastAsia="SimSun" w:cs="SimSun"/>
          <w:color w:val="000000"/>
          <w:sz w:val="21"/>
          <w:highlight w:val="yellow"/>
        </w:rPr>
        <w:t xml:space="preserve">交货期：接医院通知后2个月内。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3.2付款方式：设备安装、调试、验收合格，设备使用培训良好,设备正常运行2个月后，凭手续齐全的增值税票据付合同总价的90％货款，余10%作为尾款，1年后无质量问题付清余款；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3.3项目实施要求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本项目不集中组织踏勘，供应商可联系采购人自行前往，中标后，中标供应商不得以现场情况未了解清楚为由向采购人出提升投标报价或其他任何要求。乙方所提供相关产品必须是全新、合格产品，符合甲方需求，完全符合国家规定的质量标准、厂方的标准以及招标文件对所投产品的标准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设备到达安装现场后，乙方应提供详细发货清单，由乙方和甲方共同打开包装验货、检查货物数量。如果货物质量或技术规格与合同不符，或货物有明显损坏，乙方必须更换，甲方有权提出索赔。验货合格后，双方共同签署设备合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乙方所投产品需进行现场安装调试；验收中发现设备达不到验收标准或合同规定的性能指标，乙方必须更换，并且赔偿由此给甲方造成的损失。安装调试工作完成后，乙方应在设备使用地进行不少于一周（5个工作日）的设备及软件使用培训，及时将其发现并掌握的有关设备的操作、故障检测、故障排除方法及一些新的技术发展通知甲方，使甲方能够达到独立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乙方应列出详细项目实施方案，包含送货方式、安装计划、现场施工计划、调试方案、验收方案，必须指派具有丰富经验的安装人员安装设备。乙方在中标后，应允许甲方的工作人员自实施工作开始即参与本项目的需求分析、详细设计、测试、安装调试等工作并在实施方案中提出协同工作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3.3.5、乙方在服务期内，解决涉及本项目的全部技术问题。对甲方在项目建设中碰到的其他技术问题，有责任和义务提供咨询和帮助。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3.4售后服务要求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rPr>
          <w:rFonts w:ascii="SimSun" w:hAnsi="SimSun" w:eastAsia="SimSun" w:cs="SimSun"/>
          <w:color w:val="000000"/>
          <w:sz w:val="21"/>
          <w:highlight w:val="yellow"/>
        </w:rPr>
        <w:t xml:space="preserve">质保期：</w:t>
      </w:r>
      <w:r>
        <w:rPr>
          <w:rFonts w:ascii="SimSun" w:hAnsi="SimSun" w:eastAsia="SimSun" w:cs="SimSun"/>
          <w:b/>
          <w:color w:val="000000"/>
          <w:sz w:val="21"/>
          <w:highlight w:val="yellow"/>
          <w:u w:val="single"/>
        </w:rPr>
        <w:t xml:space="preserve">3年</w:t>
      </w:r>
      <w:r>
        <w:rPr>
          <w:rFonts w:ascii="SimSun" w:hAnsi="SimSun" w:eastAsia="SimSun" w:cs="SimSun"/>
          <w:b/>
          <w:color w:val="000000"/>
          <w:sz w:val="21"/>
        </w:rPr>
        <w:t xml:space="preserve">。</w:t>
      </w:r>
      <w:r>
        <w:rPr>
          <w:rFonts w:ascii="SimSun" w:hAnsi="SimSun" w:eastAsia="SimSun" w:cs="SimSun"/>
          <w:color w:val="000000"/>
          <w:sz w:val="21"/>
        </w:rPr>
        <w:t xml:space="preserve">质保期自项目验收合格之日起计算。质保期内：所有设备免费维修，任何异常故障和损坏（人为损坏除外）引起的费用应由乙方负责，所有的上门服务产生的费用均不再收取。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3.4.2、乙方对提供的货物在质保期内服务基本要求。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3.4.3、包含智慧病房系统相关设备安装调试、网络布线、交换机施工安装、调试等，以及智慧病房系统相关旧设备的拆卸和归置等，不再额外收取其他费用；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3.4.4、乙方对提供的货物在质保期内，因产品质量而导致的缺陷，必须免费提供包修、包换、包退服务。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乙方须在“三包”范围内免费提供该货物的技术培训和技术支持，乙方对所投产品在质保期内实行包修、包换、包退等服务。在质保期内如有设备或部件不能使用需更换，则该部分设备或部件质保期相应延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3.4.6、质保期内乙方接到使用方产品出现问题需要上门服务的通知后，至少满足8小时内到达产品使用现场，进行处理，费用全部由乙方承担。质保期内投标货物质量经权威机构鉴定不符合质量要求的，需进行包换并对甲方造成的损失进行赔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3.5专利权和保密要求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乙方应保证使用方在使用该货物或其任何一部分时，不受第三方侵权指控，不得向第三方泄露招标人提供的技术文件等资料。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740"/>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40"/>
        <w:numPr>
          <w:ilvl w:val="0"/>
          <w:numId w:val="15"/>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w:t>
      </w:r>
      <w:r>
        <w:rPr>
          <w:rFonts w:ascii="SimSun" w:hAnsi="SimSun" w:eastAsia="SimSun" w:cs="SimSun"/>
          <w:color w:val="0070c0"/>
          <w:sz w:val="24"/>
        </w:rPr>
        <w:t xml:space="preserve">报价不超过最高限价</w:t>
      </w:r>
      <w:r>
        <w:rPr>
          <w:rFonts w:ascii="SimSun" w:hAnsi="SimSun" w:eastAsia="SimSun" w:cs="SimSun"/>
          <w:color w:val="000000"/>
          <w:sz w:val="24"/>
        </w:rPr>
        <w:t xml:space="preserve">。</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商务实质性要求响应表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备注：1.商务要求不接受任何一项的负偏离或者不满足，允许正偏离。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2.具体响应内容以投标文件中的“商务要求响应及偏离表”为准。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w:t>
      </w:r>
      <w:r>
        <w:rPr>
          <w:rFonts w:ascii="SimSun" w:hAnsi="SimSun" w:eastAsia="SimSun" w:cs="SimSun"/>
          <w:color w:val="0000ff"/>
          <w:sz w:val="24"/>
        </w:rPr>
        <w:t xml:space="preserve">投标有效期符合招标文件要求</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本项目政府采购活动中既有本国产品又有非本国产品参与竞争的，依法对本国产品给予价格评审优惠，对本国产品的报价给予10%的价格扣除，用扣除后的价格参与评审。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10%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0"/>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完全响应招标文件《第三部分：采购需求》的技术规格条款要求，得42分；“★”号指标不允许负偏离，否则投标无效；加注“▲”符号的重要指标有一项负偏离或不满足扣2</w:t>
            </w:r>
            <w:r>
              <w:rPr>
                <w:rFonts w:ascii="SimSun" w:hAnsi="SimSun" w:eastAsia="SimSun" w:cs="SimSun"/>
                <w:color w:val="000000"/>
                <w:sz w:val="24"/>
                <w:highlight w:val="green"/>
              </w:rPr>
              <w:t xml:space="preserve">分</w:t>
            </w:r>
            <w:r>
              <w:rPr>
                <w:rFonts w:ascii="SimSun" w:hAnsi="SimSun" w:eastAsia="SimSun" w:cs="SimSun"/>
                <w:color w:val="000000"/>
                <w:sz w:val="24"/>
              </w:rPr>
              <w:t xml:space="preserve">；一般指标有一项负偏离或不满足扣</w:t>
            </w:r>
            <w:r>
              <w:rPr>
                <w:rFonts w:ascii="SimSun" w:hAnsi="SimSun" w:eastAsia="SimSun" w:cs="SimSun"/>
                <w:color w:val="000000"/>
                <w:sz w:val="24"/>
                <w:highlight w:val="yellow"/>
              </w:rPr>
              <w:t xml:space="preserve">0.5分，扣完为止</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6分；针对本项目的投标产品配置选型一般、且与项目需求的吻合度一般，得3.5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额外维保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在满足招标文件的基础上每增加1年得2分，最多得4分；免费质量保修期间产生的所有保修相关费用（包括但不限于人工费、备品备件、耗材、服务费、税金以及保修期间涉及到的其他一切费用）全部由投标人承担（以投标人投标时提供的承诺函（格式自拟）为准，未提供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自2022年1月1日（合同签订时间）至今，所投产品销售业绩证明文件（同一采购单位不重复计分，</w:t>
            </w:r>
            <w:r>
              <w:rPr>
                <w:rFonts w:ascii="SimSun" w:hAnsi="SimSun" w:eastAsia="SimSun" w:cs="SimSun"/>
                <w:color w:val="ff0000"/>
                <w:sz w:val="24"/>
                <w:highlight w:val="yellow"/>
              </w:rPr>
              <w:t xml:space="preserve">提供合同、对应合同产品有效的货物验收报告或装机完成报告</w:t>
            </w:r>
            <w:r>
              <w:rPr>
                <w:rFonts w:ascii="SimSun" w:hAnsi="SimSun" w:eastAsia="SimSun" w:cs="SimSun"/>
                <w:color w:val="000000"/>
                <w:sz w:val="24"/>
                <w:highlight w:val="yellow"/>
              </w:rPr>
              <w:t xml:space="preserve">，材料需加盖供应商电子公章，两项材料缺一不可），每份有效业绩得1分，最高得3分。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供应商信用承诺函</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业绩情况表（如有）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服务方案（如有）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u w:val="single"/>
        </w:rPr>
        <w:t xml:space="preserve">价格扣除证明文件（如有）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招标文件要求提供或者投标人认为需要提供的其他资料（如有）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个日历日。在这期间，本投标文件将始终对我方具有约束力。如果中标，本次招标文件和本投标文件（含承诺书）将作为买卖合同的附件。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rPr>
          <w:rFonts w:ascii="Arial" w:hAnsi="Arial" w:eastAsia="Arial" w:cs="Arial"/>
          <w:b/>
          <w:color w:val="000000"/>
          <w:sz w:val="36"/>
        </w:rPr>
        <w:t xml:space="preserve">***</w:t>
      </w:r>
      <w:r>
        <w:rPr>
          <w:rFonts w:ascii="SimSun" w:hAnsi="SimSun" w:eastAsia="SimSun" w:cs="SimSun"/>
          <w:b/>
          <w:color w:val="000000"/>
          <w:sz w:val="36"/>
        </w:rPr>
        <w:t xml:space="preserve">）</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本采购包中提供的符合本国产品标准的产品成本之和占该采购包提供的全部产品成本之和的比例为</w:t>
            </w:r>
            <w:r>
              <w:rPr>
                <w:rFonts w:ascii="Arial" w:hAnsi="Arial" w:eastAsia="Arial" w:cs="Arial"/>
                <w:color w:val="ff0000"/>
                <w:sz w:val="28"/>
                <w:u w:val="single"/>
              </w:rPr>
              <w:t xml:space="preserve">***</w:t>
            </w:r>
            <w:r>
              <w:rPr>
                <w:rFonts w:ascii="Arial" w:hAnsi="Arial" w:eastAsia="Arial" w:cs="Arial"/>
                <w:color w:val="ff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w:t>
      </w:r>
      <w:r>
        <w:rPr>
          <w:rFonts w:ascii="SimSun" w:hAnsi="SimSun" w:eastAsia="SimSun" w:cs="SimSun"/>
          <w:color w:val="0000ff"/>
          <w:sz w:val="24"/>
        </w:rPr>
        <w:t xml:space="preserve">未提供相关证明材料视为负偏离</w:t>
      </w:r>
      <w:r>
        <w:rPr>
          <w:rFonts w:ascii="SimSun" w:hAnsi="SimSun" w:eastAsia="SimSun" w:cs="SimSun"/>
          <w:color w:val="000000"/>
          <w:sz w:val="24"/>
        </w:rPr>
        <w:t xml:space="preserve">，</w:t>
      </w:r>
      <w:r>
        <w:rPr>
          <w:rFonts w:ascii="SimSun" w:hAnsi="SimSun" w:eastAsia="SimSun" w:cs="SimSun"/>
          <w:color w:val="0000ff"/>
          <w:sz w:val="24"/>
        </w:rPr>
        <w:t xml:space="preserve">页面或相关材料不清晰或页码标注问题影响评审，评标委员会有权视为负偏离或作无效标处理。</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ff0000"/>
          <w:sz w:val="24"/>
        </w:rPr>
        <w:t xml:space="preserve">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ff0000"/>
          <w:sz w:val="24"/>
        </w:rPr>
        <w:t xml:space="preserve">逐项响应</w:t>
      </w:r>
      <w:r>
        <w:rPr>
          <w:rFonts w:ascii="SimSun" w:hAnsi="SimSun" w:eastAsia="SimSun" w:cs="SimSun"/>
          <w:color w:val="000000"/>
          <w:sz w:val="24"/>
        </w:rPr>
        <w:t xml:space="preserve">，按照投标情况填写超出、符合或偏离。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扫描件）（开标前六个月内），或其2024年度或2025年度经审计的财务报告扫描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致：扬州大学附属医院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6.7 投标产品如果属于医疗设备注册范畴的；投标人须根据投标产品的类别，提供《医疗器械经营企业许可证》或者《医疗器械经营备案凭证》（扫描件）；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6.8 投标产品如果属于医疗设备注册范畴的；投标人须提供投标产品的《医疗器械注册证》（扫描件）；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6.9 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（1）本授权委托书之后需附上法定代表人、授权委托人身份证扫描件（正反面）；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（2）如果是法定代表人直接参与响应的可以不提供授权委托书；但必须在营业执照之后附上法定代表人身份证扫描件；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未按上述规定随附身份证扫描件的，投标无效。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投标人须提供上述业绩合同扫描件及评分标准中其他资料；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所有合同扫描件应清晰，应能体现合同签订时间、双方签名盖章等内容；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投标人应在不涉及商业秘密的前提下尽可能提供详细的合同扫描件内容。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）小微企业声明函（货物）（分包号：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）关于符合本国产品标准的声明函（采购包号：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59129"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01353"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83283"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91670"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64984"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334002"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98911"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09594"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0"/>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0"/>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 （产品名称1） </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0"/>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0"/>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0"/>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43831"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77744"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41552"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51323"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91222"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23188"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投标人认为应该提供的其他材料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Tahoma">
    <w:panose1 w:val="020B0604030504040204"/>
  </w:font>
  <w:font w:name="方正黑体_GBK">
    <w:panose1 w:val="020B0503020202020204"/>
  </w:font>
  <w:font w:name="Adobe 仿宋 Std R">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6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1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6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16"/>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17"/>
      <w:isLgl w:val="false"/>
      <w:suff w:val="nothing"/>
      <w:lvlText w:val="%1、"/>
      <w:lvlJc w:val="left"/>
      <w:pPr>
        <w:pStyle w:val="916"/>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1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16"/>
        <w:ind w:left="720" w:hanging="720"/>
        <w:tabs>
          <w:tab w:val="num" w:pos="720" w:leader="none"/>
        </w:tabs>
      </w:pPr>
    </w:lvl>
    <w:lvl w:ilvl="1">
      <w:start w:val="1"/>
      <w:numFmt w:val="decimal"/>
      <w:pStyle w:val="949"/>
      <w:isLgl w:val="false"/>
      <w:suff w:val="tab"/>
      <w:lvlText w:val="%2、"/>
      <w:lvlJc w:val="left"/>
      <w:pPr>
        <w:pStyle w:val="916"/>
        <w:ind w:left="780" w:hanging="360"/>
        <w:tabs>
          <w:tab w:val="num" w:pos="780" w:leader="none"/>
        </w:tabs>
      </w:pPr>
    </w:lvl>
    <w:lvl w:ilvl="2">
      <w:start w:val="1"/>
      <w:numFmt w:val="lowerRoman"/>
      <w:isLgl w:val="false"/>
      <w:suff w:val="tab"/>
      <w:lvlText w:val="%3."/>
      <w:lvlJc w:val="right"/>
      <w:pPr>
        <w:pStyle w:val="916"/>
        <w:ind w:left="1260" w:hanging="420"/>
        <w:tabs>
          <w:tab w:val="num" w:pos="1260" w:leader="none"/>
        </w:tabs>
      </w:pPr>
    </w:lvl>
    <w:lvl w:ilvl="3">
      <w:start w:val="1"/>
      <w:numFmt w:val="decimal"/>
      <w:isLgl w:val="false"/>
      <w:suff w:val="tab"/>
      <w:lvlText w:val="%4."/>
      <w:lvlJc w:val="left"/>
      <w:pPr>
        <w:pStyle w:val="916"/>
        <w:ind w:left="1680" w:hanging="420"/>
        <w:tabs>
          <w:tab w:val="num" w:pos="1680" w:leader="none"/>
        </w:tabs>
      </w:pPr>
    </w:lvl>
    <w:lvl w:ilvl="4">
      <w:start w:val="1"/>
      <w:numFmt w:val="lowerLetter"/>
      <w:isLgl w:val="false"/>
      <w:suff w:val="tab"/>
      <w:lvlText w:val="%5)"/>
      <w:lvlJc w:val="left"/>
      <w:pPr>
        <w:pStyle w:val="916"/>
        <w:ind w:left="2100" w:hanging="420"/>
        <w:tabs>
          <w:tab w:val="num" w:pos="2100" w:leader="none"/>
        </w:tabs>
      </w:pPr>
    </w:lvl>
    <w:lvl w:ilvl="5">
      <w:start w:val="1"/>
      <w:numFmt w:val="lowerRoman"/>
      <w:isLgl w:val="false"/>
      <w:suff w:val="tab"/>
      <w:lvlText w:val="%6."/>
      <w:lvlJc w:val="right"/>
      <w:pPr>
        <w:pStyle w:val="916"/>
        <w:ind w:left="2520" w:hanging="420"/>
        <w:tabs>
          <w:tab w:val="num" w:pos="2520" w:leader="none"/>
        </w:tabs>
      </w:pPr>
    </w:lvl>
    <w:lvl w:ilvl="6">
      <w:start w:val="1"/>
      <w:numFmt w:val="decimal"/>
      <w:isLgl w:val="false"/>
      <w:suff w:val="tab"/>
      <w:lvlText w:val="%7."/>
      <w:lvlJc w:val="left"/>
      <w:pPr>
        <w:pStyle w:val="916"/>
        <w:ind w:left="2940" w:hanging="420"/>
        <w:tabs>
          <w:tab w:val="num" w:pos="2940" w:leader="none"/>
        </w:tabs>
      </w:pPr>
    </w:lvl>
    <w:lvl w:ilvl="7">
      <w:start w:val="1"/>
      <w:numFmt w:val="lowerLetter"/>
      <w:isLgl w:val="false"/>
      <w:suff w:val="tab"/>
      <w:lvlText w:val="%8)"/>
      <w:lvlJc w:val="left"/>
      <w:pPr>
        <w:pStyle w:val="916"/>
        <w:ind w:left="3360" w:hanging="420"/>
        <w:tabs>
          <w:tab w:val="num" w:pos="3360" w:leader="none"/>
        </w:tabs>
      </w:pPr>
    </w:lvl>
    <w:lvl w:ilvl="8">
      <w:start w:val="1"/>
      <w:numFmt w:val="lowerRoman"/>
      <w:isLgl w:val="false"/>
      <w:suff w:val="tab"/>
      <w:lvlText w:val="%9."/>
      <w:lvlJc w:val="right"/>
      <w:pPr>
        <w:pStyle w:val="916"/>
        <w:ind w:left="3780" w:hanging="420"/>
        <w:tabs>
          <w:tab w:val="num" w:pos="3780" w:leader="none"/>
        </w:tabs>
      </w:pPr>
    </w:lvl>
  </w:abstractNum>
  <w:abstractNum w:abstractNumId="7">
    <w:multiLevelType w:val="hybridMultilevel"/>
    <w:lvl w:ilvl="0">
      <w:start w:val="1"/>
      <w:numFmt w:val="upperLetter"/>
      <w:pStyle w:val="1000"/>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japaneseCounting"/>
      <w:isLgl w:val="false"/>
      <w:suff w:val="tab"/>
      <w:lvlText w:val="%1、"/>
      <w:lvlJc w:val="left"/>
      <w:pPr>
        <w:pStyle w:val="916"/>
        <w:ind w:left="432" w:hanging="432"/>
      </w:pPr>
    </w:lvl>
    <w:lvl w:ilvl="1">
      <w:start w:val="1"/>
      <w:numFmt w:val="lowerLetter"/>
      <w:isLgl w:val="false"/>
      <w:suff w:val="tab"/>
      <w:lvlText w:val="%2)"/>
      <w:lvlJc w:val="left"/>
      <w:pPr>
        <w:pStyle w:val="916"/>
        <w:ind w:left="840" w:hanging="420"/>
      </w:pPr>
    </w:lvl>
    <w:lvl w:ilvl="2">
      <w:start w:val="1"/>
      <w:numFmt w:val="lowerRoman"/>
      <w:isLgl w:val="false"/>
      <w:suff w:val="tab"/>
      <w:lvlText w:val="%3."/>
      <w:lvlJc w:val="right"/>
      <w:pPr>
        <w:pStyle w:val="916"/>
        <w:ind w:left="1260" w:hanging="420"/>
      </w:pPr>
    </w:lvl>
    <w:lvl w:ilvl="3">
      <w:start w:val="1"/>
      <w:numFmt w:val="decimal"/>
      <w:isLgl w:val="false"/>
      <w:suff w:val="tab"/>
      <w:lvlText w:val="%4."/>
      <w:lvlJc w:val="left"/>
      <w:pPr>
        <w:pStyle w:val="916"/>
        <w:ind w:left="1680" w:hanging="420"/>
      </w:pPr>
    </w:lvl>
    <w:lvl w:ilvl="4">
      <w:start w:val="1"/>
      <w:numFmt w:val="lowerLetter"/>
      <w:isLgl w:val="false"/>
      <w:suff w:val="tab"/>
      <w:lvlText w:val="%5)"/>
      <w:lvlJc w:val="left"/>
      <w:pPr>
        <w:pStyle w:val="916"/>
        <w:ind w:left="2100" w:hanging="420"/>
      </w:pPr>
    </w:lvl>
    <w:lvl w:ilvl="5">
      <w:start w:val="1"/>
      <w:numFmt w:val="lowerRoman"/>
      <w:isLgl w:val="false"/>
      <w:suff w:val="tab"/>
      <w:lvlText w:val="%6."/>
      <w:lvlJc w:val="right"/>
      <w:pPr>
        <w:pStyle w:val="916"/>
        <w:ind w:left="2520" w:hanging="420"/>
      </w:pPr>
    </w:lvl>
    <w:lvl w:ilvl="6">
      <w:start w:val="1"/>
      <w:numFmt w:val="decimal"/>
      <w:isLgl w:val="false"/>
      <w:suff w:val="tab"/>
      <w:lvlText w:val="%7."/>
      <w:lvlJc w:val="left"/>
      <w:pPr>
        <w:pStyle w:val="916"/>
        <w:ind w:left="2940" w:hanging="420"/>
      </w:pPr>
    </w:lvl>
    <w:lvl w:ilvl="7">
      <w:start w:val="1"/>
      <w:numFmt w:val="lowerLetter"/>
      <w:isLgl w:val="false"/>
      <w:suff w:val="tab"/>
      <w:lvlText w:val="%8)"/>
      <w:lvlJc w:val="left"/>
      <w:pPr>
        <w:pStyle w:val="916"/>
        <w:ind w:left="3360" w:hanging="420"/>
      </w:pPr>
    </w:lvl>
    <w:lvl w:ilvl="8">
      <w:start w:val="1"/>
      <w:numFmt w:val="lowerRoman"/>
      <w:isLgl w:val="false"/>
      <w:suff w:val="tab"/>
      <w:lvlText w:val="%9."/>
      <w:lvlJc w:val="right"/>
      <w:pPr>
        <w:pStyle w:val="916"/>
        <w:ind w:left="3780" w:hanging="420"/>
      </w:pPr>
    </w:lvl>
  </w:abstractNum>
  <w:abstractNum w:abstractNumId="9">
    <w:multiLevelType w:val="hybridMultilevel"/>
    <w:lvl w:ilvl="0">
      <w:start w:val="1"/>
      <w:numFmt w:val="decimal"/>
      <w:pStyle w:val="1017"/>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10">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12">
    <w:multiLevelType w:val="hybridMultilevel"/>
    <w:lvl w:ilvl="0">
      <w:start w:val="1"/>
      <w:numFmt w:val="chineseCounting"/>
      <w:isLgl w:val="false"/>
      <w:suff w:val="nothing"/>
      <w:lvlText w:val="%1、"/>
      <w:lvlJc w:val="left"/>
      <w:pPr>
        <w:pStyle w:val="91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432" w:hanging="432"/>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1"/>
  </w:num>
  <w:num w:numId="3">
    <w:abstractNumId w:val="6"/>
  </w:num>
  <w:num w:numId="4">
    <w:abstractNumId w:val="7"/>
  </w:num>
  <w:num w:numId="5">
    <w:abstractNumId w:val="9"/>
  </w:num>
  <w:num w:numId="6">
    <w:abstractNumId w:val="8"/>
  </w:num>
  <w:num w:numId="7">
    <w:abstractNumId w:val="10"/>
  </w:num>
  <w:num w:numId="8">
    <w:abstractNumId w:val="0"/>
  </w:num>
  <w:num w:numId="9">
    <w:abstractNumId w:val="4"/>
  </w:num>
  <w:num w:numId="10">
    <w:abstractNumId w:val="12"/>
  </w:num>
  <w:num w:numId="11">
    <w:abstractNumId w:val="5"/>
  </w:num>
  <w:num w:numId="12">
    <w:abstractNumId w:val="3"/>
  </w:num>
  <w:num w:numId="13">
    <w:abstractNumId w:val="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2"/>
      <w:lang w:val="en-US" w:eastAsia="zh-CN" w:bidi="ar-SA"/>
    </w:rPr>
  </w:style>
  <w:style w:type="paragraph" w:styleId="917">
    <w:name w:val="标题 1"/>
    <w:basedOn w:val="916"/>
    <w:next w:val="916"/>
    <w:link w:val="928"/>
    <w:qFormat/>
    <w:pPr>
      <w:numPr>
        <w:ilvl w:val="0"/>
        <w:numId w:val="1"/>
      </w:numPr>
      <w:jc w:val="center"/>
      <w:keepNext/>
      <w:outlineLvl w:val="0"/>
    </w:pPr>
    <w:rPr>
      <w:rFonts w:ascii="宋体" w:hAnsi="宋体" w:eastAsia="宋体" w:cs="Times New Roman"/>
      <w:sz w:val="36"/>
      <w:szCs w:val="28"/>
    </w:rPr>
  </w:style>
  <w:style w:type="paragraph" w:styleId="918">
    <w:name w:val="标题 2"/>
    <w:basedOn w:val="916"/>
    <w:next w:val="930"/>
    <w:link w:val="929"/>
    <w:qFormat/>
    <w:pPr>
      <w:jc w:val="center"/>
      <w:keepLines/>
      <w:keepNext/>
      <w:spacing w:line="240" w:lineRule="auto"/>
      <w:outlineLvl w:val="1"/>
    </w:pPr>
    <w:rPr>
      <w:rFonts w:ascii="Arial" w:hAnsi="Arial" w:eastAsia="宋体" w:cs="Arial"/>
      <w:bCs/>
      <w:sz w:val="36"/>
      <w:szCs w:val="44"/>
    </w:rPr>
  </w:style>
  <w:style w:type="paragraph" w:styleId="919">
    <w:name w:val="标题 3"/>
    <w:basedOn w:val="916"/>
    <w:next w:val="930"/>
    <w:link w:val="9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name w:val="标题 4"/>
    <w:basedOn w:val="916"/>
    <w:next w:val="930"/>
    <w:link w:val="933"/>
    <w:qFormat/>
    <w:pPr>
      <w:keepLines/>
      <w:keepNext/>
      <w:spacing w:before="280" w:after="290" w:line="376" w:lineRule="auto"/>
      <w:outlineLvl w:val="3"/>
    </w:pPr>
    <w:rPr>
      <w:rFonts w:ascii="Arial" w:hAnsi="Arial" w:eastAsia="黑体" w:cs="Arial"/>
      <w:b/>
      <w:bCs/>
      <w:sz w:val="28"/>
      <w:szCs w:val="28"/>
    </w:rPr>
  </w:style>
  <w:style w:type="paragraph" w:styleId="921">
    <w:name w:val="标题 5"/>
    <w:basedOn w:val="916"/>
    <w:next w:val="930"/>
    <w:link w:val="934"/>
    <w:qFormat/>
    <w:pPr>
      <w:keepNext/>
      <w:outlineLvl w:val="4"/>
    </w:pPr>
    <w:rPr>
      <w:rFonts w:ascii="宋体" w:hAnsi="Times New Roman" w:eastAsia="宋体" w:cs="Times New Roman"/>
      <w:color w:val="000000"/>
      <w:sz w:val="28"/>
      <w:szCs w:val="28"/>
    </w:rPr>
  </w:style>
  <w:style w:type="paragraph" w:styleId="922">
    <w:name w:val="标题 6"/>
    <w:basedOn w:val="916"/>
    <w:next w:val="916"/>
    <w:link w:val="93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23">
    <w:name w:val="标题 7"/>
    <w:basedOn w:val="916"/>
    <w:next w:val="916"/>
    <w:link w:val="93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24">
    <w:name w:val="标题 8"/>
    <w:basedOn w:val="916"/>
    <w:next w:val="916"/>
    <w:link w:val="93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25">
    <w:name w:val="标题 9"/>
    <w:basedOn w:val="916"/>
    <w:next w:val="916"/>
    <w:link w:val="938"/>
    <w:qFormat/>
    <w:pPr>
      <w:numPr>
        <w:ilvl w:val="8"/>
        <w:numId w:val="2"/>
      </w:numPr>
      <w:keepLines/>
      <w:keepNext/>
      <w:spacing w:before="240" w:after="64" w:line="320" w:lineRule="auto"/>
      <w:outlineLvl w:val="8"/>
    </w:pPr>
    <w:rPr>
      <w:rFonts w:ascii="Arial" w:hAnsi="Arial" w:eastAsia="黑体" w:cs="Times New Roman"/>
      <w:szCs w:val="21"/>
    </w:rPr>
  </w:style>
  <w:style w:type="character" w:styleId="926">
    <w:name w:val="默认段落字体"/>
    <w:next w:val="926"/>
    <w:link w:val="916"/>
    <w:uiPriority w:val="1"/>
    <w:unhideWhenUsed/>
  </w:style>
  <w:style w:type="table" w:styleId="927">
    <w:name w:val="普通表格"/>
    <w:next w:val="927"/>
    <w:link w:val="916"/>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8">
    <w:name w:val="标题 1 字符"/>
    <w:next w:val="928"/>
    <w:link w:val="917"/>
    <w:rPr>
      <w:rFonts w:ascii="宋体" w:hAnsi="宋体" w:eastAsia="宋体" w:cs="Times New Roman"/>
      <w:sz w:val="36"/>
      <w:szCs w:val="28"/>
    </w:rPr>
  </w:style>
  <w:style w:type="character" w:styleId="929">
    <w:name w:val="标题 2 字符"/>
    <w:next w:val="929"/>
    <w:link w:val="918"/>
    <w:rPr>
      <w:rFonts w:ascii="Arial" w:hAnsi="Arial" w:eastAsia="宋体" w:cs="Arial"/>
      <w:b w:val="0"/>
      <w:bCs/>
      <w:sz w:val="36"/>
      <w:szCs w:val="44"/>
    </w:rPr>
  </w:style>
  <w:style w:type="paragraph" w:styleId="930">
    <w:name w:val="正文缩进"/>
    <w:basedOn w:val="916"/>
    <w:next w:val="916"/>
    <w:link w:val="931"/>
    <w:pPr>
      <w:ind w:firstLine="420"/>
    </w:pPr>
    <w:rPr>
      <w:szCs w:val="21"/>
    </w:rPr>
  </w:style>
  <w:style w:type="character" w:styleId="931">
    <w:name w:val="正文缩进 字符"/>
    <w:next w:val="931"/>
    <w:link w:val="930"/>
    <w:rPr>
      <w:szCs w:val="21"/>
    </w:rPr>
  </w:style>
  <w:style w:type="character" w:styleId="932">
    <w:name w:val="标题 3 字符"/>
    <w:next w:val="932"/>
    <w:link w:val="919"/>
    <w:rPr>
      <w:rFonts w:ascii="Times New Roman" w:hAnsi="Times New Roman" w:eastAsia="宋体" w:cs="Times New Roman"/>
      <w:b/>
      <w:bCs/>
      <w:sz w:val="32"/>
      <w:szCs w:val="32"/>
    </w:rPr>
  </w:style>
  <w:style w:type="character" w:styleId="933">
    <w:name w:val="标题 4 字符"/>
    <w:next w:val="933"/>
    <w:link w:val="920"/>
    <w:rPr>
      <w:rFonts w:ascii="Arial" w:hAnsi="Arial" w:eastAsia="黑体" w:cs="Arial"/>
      <w:b/>
      <w:bCs/>
      <w:sz w:val="28"/>
      <w:szCs w:val="28"/>
    </w:rPr>
  </w:style>
  <w:style w:type="character" w:styleId="934">
    <w:name w:val="标题 5 字符"/>
    <w:next w:val="934"/>
    <w:link w:val="921"/>
    <w:rPr>
      <w:rFonts w:ascii="宋体" w:hAnsi="Times New Roman" w:eastAsia="宋体" w:cs="Times New Roman"/>
      <w:color w:val="000000"/>
      <w:sz w:val="28"/>
      <w:szCs w:val="28"/>
    </w:rPr>
  </w:style>
  <w:style w:type="character" w:styleId="935">
    <w:name w:val="标题 6 字符"/>
    <w:next w:val="935"/>
    <w:link w:val="922"/>
    <w:rPr>
      <w:rFonts w:ascii="Arial" w:hAnsi="Arial" w:eastAsia="黑体"/>
      <w:b/>
      <w:bCs/>
      <w:sz w:val="24"/>
      <w:szCs w:val="24"/>
    </w:rPr>
  </w:style>
  <w:style w:type="character" w:styleId="936">
    <w:name w:val="标题 7 字符"/>
    <w:next w:val="936"/>
    <w:link w:val="923"/>
    <w:rPr>
      <w:rFonts w:ascii="Times New Roman" w:hAnsi="Times New Roman"/>
      <w:b/>
      <w:bCs/>
      <w:sz w:val="24"/>
      <w:szCs w:val="24"/>
    </w:rPr>
  </w:style>
  <w:style w:type="character" w:styleId="937">
    <w:name w:val="标题 8 字符"/>
    <w:next w:val="937"/>
    <w:link w:val="924"/>
    <w:rPr>
      <w:rFonts w:ascii="Arial" w:hAnsi="Arial" w:eastAsia="黑体"/>
      <w:sz w:val="24"/>
      <w:szCs w:val="24"/>
    </w:rPr>
  </w:style>
  <w:style w:type="character" w:styleId="938">
    <w:name w:val="标题 9 字符"/>
    <w:next w:val="938"/>
    <w:link w:val="925"/>
    <w:rPr>
      <w:rFonts w:ascii="Arial" w:hAnsi="Arial" w:eastAsia="黑体"/>
      <w:sz w:val="21"/>
      <w:szCs w:val="21"/>
    </w:rPr>
  </w:style>
  <w:style w:type="paragraph" w:styleId="939">
    <w:name w:val="列表 3"/>
    <w:basedOn w:val="916"/>
    <w:next w:val="939"/>
    <w:link w:val="916"/>
    <w:pPr>
      <w:ind w:left="100" w:hanging="200"/>
    </w:pPr>
    <w:rPr>
      <w:rFonts w:ascii="Times New Roman" w:hAnsi="Times New Roman" w:eastAsia="宋体" w:cs="Times New Roman"/>
      <w:szCs w:val="21"/>
    </w:rPr>
  </w:style>
  <w:style w:type="paragraph" w:styleId="940">
    <w:name w:val="目录 7"/>
    <w:basedOn w:val="916"/>
    <w:next w:val="916"/>
    <w:link w:val="916"/>
    <w:semiHidden/>
    <w:pPr>
      <w:ind w:left="1260"/>
      <w:jc w:val="left"/>
    </w:pPr>
    <w:rPr>
      <w:rFonts w:ascii="Times New Roman" w:hAnsi="Times New Roman" w:eastAsia="宋体" w:cs="Times New Roman"/>
      <w:szCs w:val="21"/>
    </w:rPr>
  </w:style>
  <w:style w:type="paragraph" w:styleId="941">
    <w:name w:val="文档结构图"/>
    <w:basedOn w:val="916"/>
    <w:next w:val="941"/>
    <w:link w:val="942"/>
    <w:semiHidden/>
    <w:pPr>
      <w:shd w:val="clear" w:color="auto" w:fill="000080"/>
    </w:pPr>
    <w:rPr>
      <w:rFonts w:ascii="Times New Roman" w:hAnsi="Times New Roman" w:eastAsia="宋体" w:cs="Times New Roman"/>
      <w:szCs w:val="21"/>
    </w:rPr>
  </w:style>
  <w:style w:type="character" w:styleId="942">
    <w:name w:val="文档结构图 字符"/>
    <w:next w:val="942"/>
    <w:link w:val="941"/>
    <w:semiHidden/>
    <w:rPr>
      <w:rFonts w:ascii="Times New Roman" w:hAnsi="Times New Roman" w:eastAsia="宋体" w:cs="Times New Roman"/>
      <w:szCs w:val="21"/>
      <w:shd w:val="clear" w:color="auto" w:fill="000080"/>
    </w:rPr>
  </w:style>
  <w:style w:type="paragraph" w:styleId="943">
    <w:name w:val="批注文字"/>
    <w:basedOn w:val="916"/>
    <w:next w:val="943"/>
    <w:link w:val="944"/>
    <w:unhideWhenUsed/>
    <w:pPr>
      <w:jc w:val="left"/>
    </w:pPr>
  </w:style>
  <w:style w:type="character" w:styleId="944">
    <w:name w:val="批注文字 字符"/>
    <w:next w:val="944"/>
    <w:link w:val="943"/>
    <w:uiPriority w:val="99"/>
    <w:semiHidden/>
  </w:style>
  <w:style w:type="paragraph" w:styleId="945">
    <w:name w:val="正文文本 3"/>
    <w:basedOn w:val="916"/>
    <w:next w:val="945"/>
    <w:link w:val="946"/>
    <w:rPr>
      <w:rFonts w:ascii="仿宋_GB2312" w:hAnsi="Arial" w:eastAsia="仿宋_GB2312" w:cs="Times New Roman"/>
      <w:sz w:val="32"/>
      <w:szCs w:val="32"/>
    </w:rPr>
  </w:style>
  <w:style w:type="character" w:styleId="946">
    <w:name w:val="正文文本 3 字符"/>
    <w:next w:val="946"/>
    <w:link w:val="945"/>
    <w:rPr>
      <w:rFonts w:ascii="仿宋_GB2312" w:hAnsi="Arial" w:eastAsia="仿宋_GB2312" w:cs="Times New Roman"/>
      <w:sz w:val="32"/>
      <w:szCs w:val="32"/>
    </w:rPr>
  </w:style>
  <w:style w:type="paragraph" w:styleId="947">
    <w:name w:val="正文文本"/>
    <w:basedOn w:val="916"/>
    <w:next w:val="949"/>
    <w:link w:val="948"/>
    <w:rPr>
      <w:rFonts w:ascii="楷体_GB2312" w:hAnsi="Arial" w:eastAsia="楷体_GB2312" w:cs="Times New Roman"/>
      <w:sz w:val="28"/>
      <w:szCs w:val="28"/>
    </w:rPr>
  </w:style>
  <w:style w:type="character" w:styleId="948">
    <w:name w:val="正文文本 字符"/>
    <w:next w:val="948"/>
    <w:link w:val="947"/>
    <w:rPr>
      <w:rFonts w:ascii="楷体_GB2312" w:hAnsi="Arial" w:eastAsia="楷体_GB2312" w:cs="Times New Roman"/>
      <w:sz w:val="28"/>
      <w:szCs w:val="28"/>
    </w:rPr>
  </w:style>
  <w:style w:type="paragraph" w:styleId="949">
    <w:name w:val="一级条标题"/>
    <w:basedOn w:val="950"/>
    <w:next w:val="951"/>
    <w:link w:val="916"/>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50">
    <w:name w:val="章标题"/>
    <w:next w:val="916"/>
    <w:link w:val="91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1">
    <w:name w:val="段"/>
    <w:basedOn w:val="916"/>
    <w:next w:val="916"/>
    <w:link w:val="916"/>
    <w:qFormat/>
    <w:pPr>
      <w:ind w:firstLine="200"/>
      <w:widowControl/>
    </w:pPr>
    <w:rPr>
      <w:rFonts w:hint="eastAsia" w:ascii="宋体"/>
      <w:szCs w:val="20"/>
    </w:rPr>
  </w:style>
  <w:style w:type="paragraph" w:styleId="952">
    <w:name w:val="正文文本缩进"/>
    <w:basedOn w:val="916"/>
    <w:next w:val="952"/>
    <w:link w:val="953"/>
    <w:unhideWhenUsed/>
    <w:pPr>
      <w:ind w:left="420"/>
      <w:spacing w:after="120"/>
    </w:pPr>
  </w:style>
  <w:style w:type="character" w:styleId="953">
    <w:name w:val="正文文本缩进 字符"/>
    <w:next w:val="953"/>
    <w:link w:val="952"/>
    <w:uiPriority w:val="99"/>
    <w:semiHidden/>
  </w:style>
  <w:style w:type="paragraph" w:styleId="954">
    <w:name w:val="列表 2"/>
    <w:basedOn w:val="916"/>
    <w:next w:val="954"/>
    <w:link w:val="916"/>
    <w:pPr>
      <w:ind w:left="100" w:hanging="200"/>
    </w:pPr>
    <w:rPr>
      <w:rFonts w:ascii="Times New Roman" w:hAnsi="Times New Roman" w:eastAsia="宋体" w:cs="Times New Roman"/>
      <w:szCs w:val="21"/>
    </w:rPr>
  </w:style>
  <w:style w:type="paragraph" w:styleId="955">
    <w:name w:val="目录 5"/>
    <w:basedOn w:val="916"/>
    <w:next w:val="916"/>
    <w:link w:val="916"/>
    <w:semiHidden/>
    <w:pPr>
      <w:ind w:left="840"/>
      <w:jc w:val="left"/>
    </w:pPr>
    <w:rPr>
      <w:rFonts w:ascii="Times New Roman" w:hAnsi="Times New Roman" w:eastAsia="宋体" w:cs="Times New Roman"/>
      <w:szCs w:val="21"/>
    </w:rPr>
  </w:style>
  <w:style w:type="paragraph" w:styleId="956">
    <w:name w:val="目录 3"/>
    <w:basedOn w:val="916"/>
    <w:next w:val="916"/>
    <w:link w:val="916"/>
    <w:semiHidden/>
    <w:pPr>
      <w:ind w:left="420"/>
      <w:jc w:val="left"/>
    </w:pPr>
    <w:rPr>
      <w:rFonts w:ascii="Times New Roman" w:hAnsi="Times New Roman" w:eastAsia="宋体" w:cs="Times New Roman"/>
      <w:i/>
      <w:iCs/>
      <w:szCs w:val="24"/>
    </w:rPr>
  </w:style>
  <w:style w:type="paragraph" w:styleId="957">
    <w:name w:val="纯文本"/>
    <w:basedOn w:val="916"/>
    <w:next w:val="957"/>
    <w:link w:val="958"/>
    <w:rPr>
      <w:rFonts w:ascii="宋体" w:hAnsi="Courier New" w:eastAsia="宋体" w:cs="Courier New"/>
      <w:szCs w:val="21"/>
    </w:rPr>
  </w:style>
  <w:style w:type="character" w:styleId="958">
    <w:name w:val="纯文本 字符"/>
    <w:next w:val="958"/>
    <w:link w:val="957"/>
    <w:rPr>
      <w:rFonts w:ascii="宋体" w:hAnsi="Courier New" w:eastAsia="宋体" w:cs="Courier New"/>
      <w:szCs w:val="21"/>
    </w:rPr>
  </w:style>
  <w:style w:type="paragraph" w:styleId="959">
    <w:name w:val="目录 8"/>
    <w:basedOn w:val="916"/>
    <w:next w:val="916"/>
    <w:link w:val="916"/>
    <w:semiHidden/>
    <w:pPr>
      <w:ind w:left="1470"/>
      <w:jc w:val="left"/>
    </w:pPr>
    <w:rPr>
      <w:rFonts w:ascii="Times New Roman" w:hAnsi="Times New Roman" w:eastAsia="宋体" w:cs="Times New Roman"/>
      <w:szCs w:val="21"/>
    </w:rPr>
  </w:style>
  <w:style w:type="paragraph" w:styleId="960">
    <w:name w:val="日期"/>
    <w:basedOn w:val="916"/>
    <w:next w:val="916"/>
    <w:link w:val="961"/>
    <w:rPr>
      <w:rFonts w:ascii="Times New Roman" w:hAnsi="Times New Roman" w:eastAsia="宋体" w:cs="Times New Roman"/>
      <w:sz w:val="24"/>
      <w:szCs w:val="24"/>
    </w:rPr>
  </w:style>
  <w:style w:type="character" w:styleId="961">
    <w:name w:val="日期 字符"/>
    <w:next w:val="961"/>
    <w:link w:val="960"/>
    <w:rPr>
      <w:rFonts w:ascii="Times New Roman" w:hAnsi="Times New Roman" w:eastAsia="宋体" w:cs="Times New Roman"/>
      <w:sz w:val="24"/>
      <w:szCs w:val="24"/>
    </w:rPr>
  </w:style>
  <w:style w:type="paragraph" w:styleId="962">
    <w:name w:val="正文文本缩进 2"/>
    <w:basedOn w:val="916"/>
    <w:next w:val="962"/>
    <w:link w:val="963"/>
    <w:pPr>
      <w:ind w:left="630" w:firstLine="645"/>
    </w:pPr>
    <w:rPr>
      <w:rFonts w:ascii="Arial" w:hAnsi="Arial" w:eastAsia="仿宋_GB2312" w:cs="Arial"/>
      <w:sz w:val="32"/>
      <w:szCs w:val="32"/>
    </w:rPr>
  </w:style>
  <w:style w:type="character" w:styleId="963">
    <w:name w:val="正文文本缩进 2 字符"/>
    <w:next w:val="963"/>
    <w:link w:val="962"/>
    <w:rPr>
      <w:rFonts w:ascii="Arial" w:hAnsi="Arial" w:eastAsia="仿宋_GB2312" w:cs="Arial"/>
      <w:sz w:val="32"/>
      <w:szCs w:val="32"/>
    </w:rPr>
  </w:style>
  <w:style w:type="paragraph" w:styleId="964">
    <w:name w:val="批注框文本"/>
    <w:basedOn w:val="916"/>
    <w:next w:val="964"/>
    <w:link w:val="965"/>
    <w:semiHidden/>
    <w:rPr>
      <w:rFonts w:ascii="Times New Roman" w:hAnsi="Times New Roman" w:eastAsia="宋体" w:cs="Times New Roman"/>
      <w:sz w:val="18"/>
      <w:szCs w:val="18"/>
    </w:rPr>
  </w:style>
  <w:style w:type="character" w:styleId="965">
    <w:name w:val="批注框文本 字符"/>
    <w:next w:val="965"/>
    <w:link w:val="964"/>
    <w:semiHidden/>
    <w:rPr>
      <w:rFonts w:ascii="Times New Roman" w:hAnsi="Times New Roman" w:eastAsia="宋体" w:cs="Times New Roman"/>
      <w:sz w:val="18"/>
      <w:szCs w:val="18"/>
    </w:rPr>
  </w:style>
  <w:style w:type="paragraph" w:styleId="966">
    <w:name w:val="页脚"/>
    <w:basedOn w:val="916"/>
    <w:next w:val="966"/>
    <w:link w:val="967"/>
    <w:pPr>
      <w:jc w:val="left"/>
      <w:tabs>
        <w:tab w:val="center" w:pos="4153" w:leader="none"/>
        <w:tab w:val="right" w:pos="8306" w:leader="none"/>
      </w:tabs>
    </w:pPr>
    <w:rPr>
      <w:rFonts w:ascii="Times New Roman" w:hAnsi="Times New Roman" w:eastAsia="宋体" w:cs="Times New Roman"/>
      <w:sz w:val="18"/>
      <w:szCs w:val="18"/>
    </w:rPr>
  </w:style>
  <w:style w:type="character" w:styleId="967">
    <w:name w:val="页脚 字符"/>
    <w:next w:val="967"/>
    <w:link w:val="966"/>
    <w:rPr>
      <w:rFonts w:ascii="Times New Roman" w:hAnsi="Times New Roman" w:eastAsia="宋体" w:cs="Times New Roman"/>
      <w:sz w:val="18"/>
      <w:szCs w:val="18"/>
    </w:rPr>
  </w:style>
  <w:style w:type="paragraph" w:styleId="968">
    <w:name w:val="页眉"/>
    <w:basedOn w:val="916"/>
    <w:next w:val="968"/>
    <w:link w:val="96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9">
    <w:name w:val="页眉 字符"/>
    <w:next w:val="969"/>
    <w:link w:val="968"/>
    <w:rPr>
      <w:rFonts w:ascii="Times New Roman" w:hAnsi="Times New Roman" w:eastAsia="宋体" w:cs="Times New Roman"/>
      <w:sz w:val="18"/>
      <w:szCs w:val="18"/>
    </w:rPr>
  </w:style>
  <w:style w:type="paragraph" w:styleId="970">
    <w:name w:val="目录 1"/>
    <w:basedOn w:val="916"/>
    <w:next w:val="916"/>
    <w:link w:val="91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1">
    <w:name w:val="目录 4"/>
    <w:basedOn w:val="916"/>
    <w:next w:val="916"/>
    <w:link w:val="916"/>
    <w:semiHidden/>
    <w:pPr>
      <w:ind w:left="630"/>
      <w:jc w:val="left"/>
    </w:pPr>
    <w:rPr>
      <w:rFonts w:ascii="Times New Roman" w:hAnsi="Times New Roman" w:eastAsia="宋体" w:cs="Times New Roman"/>
      <w:szCs w:val="21"/>
    </w:rPr>
  </w:style>
  <w:style w:type="paragraph" w:styleId="972">
    <w:name w:val="列表"/>
    <w:basedOn w:val="916"/>
    <w:next w:val="972"/>
    <w:link w:val="916"/>
    <w:pPr>
      <w:ind w:left="200" w:hanging="200"/>
    </w:pPr>
    <w:rPr>
      <w:rFonts w:ascii="Times New Roman" w:hAnsi="Times New Roman" w:eastAsia="宋体" w:cs="Times New Roman"/>
      <w:szCs w:val="21"/>
    </w:rPr>
  </w:style>
  <w:style w:type="paragraph" w:styleId="973">
    <w:name w:val="目录 6"/>
    <w:basedOn w:val="916"/>
    <w:next w:val="916"/>
    <w:link w:val="916"/>
    <w:semiHidden/>
    <w:pPr>
      <w:ind w:left="1050"/>
      <w:jc w:val="left"/>
    </w:pPr>
    <w:rPr>
      <w:rFonts w:ascii="Times New Roman" w:hAnsi="Times New Roman" w:eastAsia="宋体" w:cs="Times New Roman"/>
      <w:szCs w:val="21"/>
    </w:rPr>
  </w:style>
  <w:style w:type="paragraph" w:styleId="974">
    <w:name w:val="正文文本缩进 3"/>
    <w:basedOn w:val="916"/>
    <w:next w:val="974"/>
    <w:link w:val="975"/>
    <w:pPr>
      <w:ind w:left="645" w:firstLine="645"/>
    </w:pPr>
    <w:rPr>
      <w:rFonts w:ascii="Arial" w:hAnsi="Arial" w:eastAsia="仿宋_GB2312" w:cs="Arial"/>
      <w:color w:val="ffff00"/>
      <w:sz w:val="32"/>
      <w:szCs w:val="32"/>
    </w:rPr>
  </w:style>
  <w:style w:type="character" w:styleId="975">
    <w:name w:val="正文文本缩进 3 字符"/>
    <w:next w:val="975"/>
    <w:link w:val="974"/>
    <w:rPr>
      <w:rFonts w:ascii="Arial" w:hAnsi="Arial" w:eastAsia="仿宋_GB2312" w:cs="Arial"/>
      <w:color w:val="ffff00"/>
      <w:sz w:val="32"/>
      <w:szCs w:val="32"/>
    </w:rPr>
  </w:style>
  <w:style w:type="paragraph" w:styleId="976">
    <w:name w:val="图表目录"/>
    <w:basedOn w:val="916"/>
    <w:next w:val="916"/>
    <w:link w:val="916"/>
    <w:semiHidden/>
    <w:pPr>
      <w:ind w:left="840" w:hanging="420"/>
    </w:pPr>
    <w:rPr>
      <w:rFonts w:ascii="Times New Roman" w:hAnsi="Times New Roman" w:eastAsia="宋体" w:cs="Times New Roman"/>
      <w:szCs w:val="21"/>
    </w:rPr>
  </w:style>
  <w:style w:type="paragraph" w:styleId="977">
    <w:name w:val="目录 2"/>
    <w:basedOn w:val="916"/>
    <w:next w:val="916"/>
    <w:link w:val="916"/>
    <w:semiHidden/>
    <w:pPr>
      <w:ind w:left="210"/>
      <w:jc w:val="left"/>
    </w:pPr>
    <w:rPr>
      <w:rFonts w:ascii="Times New Roman" w:hAnsi="Times New Roman" w:eastAsia="宋体" w:cs="Times New Roman"/>
      <w:smallCaps/>
      <w:szCs w:val="24"/>
    </w:rPr>
  </w:style>
  <w:style w:type="paragraph" w:styleId="978">
    <w:name w:val="目录 9"/>
    <w:basedOn w:val="916"/>
    <w:next w:val="916"/>
    <w:link w:val="916"/>
    <w:semiHidden/>
    <w:pPr>
      <w:ind w:left="1680"/>
      <w:jc w:val="left"/>
    </w:pPr>
    <w:rPr>
      <w:rFonts w:ascii="Times New Roman" w:hAnsi="Times New Roman" w:eastAsia="宋体" w:cs="Times New Roman"/>
      <w:szCs w:val="21"/>
    </w:rPr>
  </w:style>
  <w:style w:type="paragraph" w:styleId="979">
    <w:name w:val="正文文本 2"/>
    <w:basedOn w:val="916"/>
    <w:next w:val="979"/>
    <w:link w:val="980"/>
    <w:pPr>
      <w:jc w:val="center"/>
      <w:widowControl/>
    </w:pPr>
    <w:rPr>
      <w:rFonts w:ascii="楷体_GB2312" w:hAnsi="Times New Roman" w:eastAsia="楷体_GB2312" w:cs="Times New Roman"/>
      <w:sz w:val="28"/>
      <w:szCs w:val="28"/>
    </w:rPr>
  </w:style>
  <w:style w:type="character" w:styleId="980">
    <w:name w:val="正文文本 2 字符"/>
    <w:next w:val="980"/>
    <w:link w:val="979"/>
    <w:rPr>
      <w:rFonts w:ascii="楷体_GB2312" w:hAnsi="Times New Roman" w:eastAsia="楷体_GB2312" w:cs="Times New Roman"/>
      <w:sz w:val="28"/>
      <w:szCs w:val="28"/>
    </w:rPr>
  </w:style>
  <w:style w:type="paragraph" w:styleId="981">
    <w:name w:val="普通(网站)"/>
    <w:basedOn w:val="916"/>
    <w:next w:val="981"/>
    <w:link w:val="916"/>
    <w:uiPriority w:val="99"/>
    <w:pPr>
      <w:jc w:val="left"/>
      <w:spacing w:before="100" w:beforeAutospacing="1" w:after="100" w:afterAutospacing="1"/>
      <w:widowControl/>
    </w:pPr>
    <w:rPr>
      <w:rFonts w:ascii="宋体" w:hAnsi="宋体" w:eastAsia="宋体" w:cs="宋体"/>
      <w:sz w:val="24"/>
      <w:szCs w:val="24"/>
    </w:rPr>
  </w:style>
  <w:style w:type="paragraph" w:styleId="982">
    <w:name w:val="索引 1"/>
    <w:basedOn w:val="916"/>
    <w:next w:val="916"/>
    <w:link w:val="916"/>
    <w:semiHidden/>
    <w:pPr>
      <w:spacing w:line="240" w:lineRule="atLeast"/>
    </w:pPr>
    <w:rPr>
      <w:rFonts w:ascii="Times New Roman" w:hAnsi="Times New Roman" w:eastAsia="宋体" w:cs="Times New Roman"/>
      <w:b/>
      <w:bCs/>
      <w:szCs w:val="21"/>
    </w:rPr>
  </w:style>
  <w:style w:type="paragraph" w:styleId="983">
    <w:name w:val="标题"/>
    <w:next w:val="983"/>
    <w:link w:val="916"/>
    <w:uiPriority w:val="99"/>
    <w:qFormat/>
    <w:pPr>
      <w:jc w:val="center"/>
      <w:spacing w:before="240" w:after="60"/>
      <w:outlineLvl w:val="0"/>
    </w:pPr>
    <w:rPr>
      <w:rFonts w:ascii="Cambria" w:hAnsi="Cambria" w:eastAsia="宋体" w:cs="Times New Roman"/>
      <w:bCs/>
      <w:sz w:val="32"/>
      <w:szCs w:val="32"/>
      <w:lang w:val="en-US" w:eastAsia="zh-CN" w:bidi="ar-SA"/>
    </w:rPr>
  </w:style>
  <w:style w:type="paragraph" w:styleId="984">
    <w:name w:val="批注主题"/>
    <w:basedOn w:val="943"/>
    <w:next w:val="943"/>
    <w:link w:val="985"/>
    <w:semiHidden/>
    <w:rPr>
      <w:rFonts w:ascii="Times New Roman" w:hAnsi="Times New Roman" w:eastAsia="宋体" w:cs="Times New Roman"/>
      <w:b/>
      <w:bCs/>
      <w:szCs w:val="21"/>
    </w:rPr>
  </w:style>
  <w:style w:type="character" w:styleId="985">
    <w:name w:val="批注主题 字符"/>
    <w:next w:val="985"/>
    <w:link w:val="984"/>
    <w:semiHidden/>
    <w:rPr>
      <w:rFonts w:ascii="Times New Roman" w:hAnsi="Times New Roman" w:eastAsia="宋体" w:cs="Times New Roman"/>
      <w:b/>
      <w:bCs/>
      <w:szCs w:val="21"/>
    </w:rPr>
  </w:style>
  <w:style w:type="paragraph" w:styleId="986">
    <w:name w:val="正文首行缩进"/>
    <w:basedOn w:val="916"/>
    <w:next w:val="986"/>
    <w:link w:val="987"/>
    <w:pPr>
      <w:ind w:firstLine="200"/>
      <w:spacing w:line="360" w:lineRule="auto"/>
    </w:pPr>
    <w:rPr>
      <w:rFonts w:ascii="仿宋_GB2312" w:hAnsi="Times New Roman" w:eastAsia="仿宋_GB2312" w:cs="Times New Roman"/>
      <w:sz w:val="30"/>
      <w:szCs w:val="30"/>
    </w:rPr>
  </w:style>
  <w:style w:type="character" w:styleId="987">
    <w:name w:val="正文文本首行缩进 字符"/>
    <w:next w:val="987"/>
    <w:link w:val="986"/>
    <w:rPr>
      <w:rFonts w:ascii="仿宋_GB2312" w:hAnsi="Times New Roman" w:eastAsia="仿宋_GB2312" w:cs="Times New Roman"/>
      <w:sz w:val="30"/>
      <w:szCs w:val="30"/>
    </w:rPr>
  </w:style>
  <w:style w:type="paragraph" w:styleId="988">
    <w:name w:val="正文首行缩进 2"/>
    <w:basedOn w:val="952"/>
    <w:next w:val="988"/>
    <w:link w:val="989"/>
    <w:pPr>
      <w:ind w:left="0" w:firstLine="420"/>
      <w:spacing w:after="0" w:line="360" w:lineRule="auto"/>
    </w:pPr>
    <w:rPr>
      <w:rFonts w:ascii="宋体" w:hAnsi="宋体" w:eastAsia="宋体" w:cs="Times New Roman"/>
      <w:szCs w:val="20"/>
    </w:rPr>
  </w:style>
  <w:style w:type="character" w:styleId="989">
    <w:name w:val="正文文本首行缩进 2 字符"/>
    <w:next w:val="989"/>
    <w:link w:val="988"/>
    <w:rPr>
      <w:rFonts w:ascii="宋体" w:hAnsi="宋体" w:eastAsia="宋体" w:cs="Times New Roman"/>
      <w:szCs w:val="20"/>
    </w:rPr>
  </w:style>
  <w:style w:type="table" w:styleId="990">
    <w:name w:val="网格型"/>
    <w:basedOn w:val="927"/>
    <w:next w:val="990"/>
    <w:link w:val="916"/>
    <w:uiPriority w:val="59"/>
    <w:pPr>
      <w:jc w:val="both"/>
      <w:widowControl w:val="off"/>
    </w:pPr>
    <w:rPr>
      <w:rFonts w:ascii="Times New Roman" w:hAnsi="Times New Roman" w:eastAsia="宋体" w:cs="Times New Roman"/>
      <w:sz w:val="20"/>
      <w:szCs w:val="20"/>
    </w:rPr>
    <w:tblPr/>
  </w:style>
  <w:style w:type="character" w:styleId="991">
    <w:name w:val="要点"/>
    <w:next w:val="991"/>
    <w:link w:val="916"/>
    <w:qFormat/>
    <w:rPr>
      <w:b/>
      <w:bCs/>
    </w:rPr>
  </w:style>
  <w:style w:type="character" w:styleId="992">
    <w:name w:val="页码"/>
    <w:next w:val="992"/>
    <w:link w:val="916"/>
  </w:style>
  <w:style w:type="character" w:styleId="993">
    <w:name w:val="已访问的超链接"/>
    <w:next w:val="993"/>
    <w:link w:val="916"/>
    <w:rPr>
      <w:color w:val="800080"/>
      <w:u w:val="single"/>
    </w:rPr>
  </w:style>
  <w:style w:type="character" w:styleId="994">
    <w:name w:val="强调"/>
    <w:next w:val="994"/>
    <w:link w:val="916"/>
    <w:qFormat/>
    <w:rPr>
      <w:i/>
    </w:rPr>
  </w:style>
  <w:style w:type="character" w:styleId="995">
    <w:name w:val="超链接"/>
    <w:next w:val="995"/>
    <w:link w:val="916"/>
    <w:rPr>
      <w:color w:val="0000ff"/>
      <w:u w:val="single"/>
    </w:rPr>
  </w:style>
  <w:style w:type="character" w:styleId="996">
    <w:name w:val="批注引用"/>
    <w:next w:val="996"/>
    <w:link w:val="916"/>
    <w:semiHidden/>
    <w:rPr>
      <w:sz w:val="21"/>
      <w:szCs w:val="21"/>
    </w:rPr>
  </w:style>
  <w:style w:type="paragraph" w:styleId="997">
    <w:name w:val="标题 31"/>
    <w:basedOn w:val="916"/>
    <w:next w:val="916"/>
    <w:link w:val="916"/>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98">
    <w:name w:val="font5 Char"/>
    <w:next w:val="998"/>
    <w:link w:val="916"/>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16"/>
    <w:link w:val="999"/>
    <w:pPr>
      <w:numPr>
        <w:ilvl w:val="0"/>
        <w:numId w:val="4"/>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916"/>
    <w:next w:val="1002"/>
    <w:link w:val="1001"/>
    <w:qFormat/>
    <w:pPr>
      <w:contextualSpacing/>
      <w:ind w:left="720"/>
      <w:jc w:val="left"/>
      <w:widowControl/>
    </w:pPr>
    <w:rPr>
      <w:rFonts w:ascii="Calibri" w:hAnsi="Calibri"/>
      <w:sz w:val="24"/>
      <w:szCs w:val="24"/>
      <w:lang w:eastAsia="en-US" w:bidi="en-US"/>
    </w:rPr>
  </w:style>
  <w:style w:type="paragraph" w:styleId="1003">
    <w:name w:val="Body Text(ch)"/>
    <w:basedOn w:val="916"/>
    <w:next w:val="947"/>
    <w:link w:val="916"/>
    <w:pPr>
      <w:spacing w:after="120"/>
    </w:pPr>
    <w:rPr>
      <w:rFonts w:ascii="宋体" w:hAnsi="Arial" w:eastAsia="宋体" w:cs="Times New Roman"/>
      <w:bCs/>
      <w:iCs/>
      <w:szCs w:val="24"/>
    </w:rPr>
  </w:style>
  <w:style w:type="paragraph" w:styleId="1004">
    <w:name w:val="xl27"/>
    <w:basedOn w:val="916"/>
    <w:next w:val="1004"/>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xl26"/>
    <w:basedOn w:val="916"/>
    <w:next w:val="1005"/>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Char"/>
    <w:basedOn w:val="916"/>
    <w:next w:val="1006"/>
    <w:link w:val="916"/>
    <w:pPr>
      <w:ind w:firstLine="200"/>
      <w:tabs>
        <w:tab w:val="left" w:pos="360" w:leader="none"/>
      </w:tabs>
    </w:pPr>
    <w:rPr>
      <w:rFonts w:ascii="Times New Roman" w:hAnsi="Times New Roman" w:eastAsia="宋体" w:cs="Times New Roman"/>
      <w:sz w:val="28"/>
      <w:szCs w:val="30"/>
    </w:rPr>
  </w:style>
  <w:style w:type="paragraph" w:styleId="1007">
    <w:name w:val=" Char"/>
    <w:basedOn w:val="941"/>
    <w:next w:val="1007"/>
    <w:link w:val="916"/>
    <w:rPr>
      <w:rFonts w:ascii="Tahoma" w:hAnsi="Tahoma"/>
      <w:sz w:val="24"/>
      <w:szCs w:val="24"/>
    </w:rPr>
  </w:style>
  <w:style w:type="paragraph" w:styleId="1008">
    <w:name w:val="普通正文"/>
    <w:basedOn w:val="916"/>
    <w:next w:val="1008"/>
    <w:link w:val="916"/>
    <w:qFormat/>
    <w:pPr>
      <w:ind w:firstLine="480"/>
      <w:jc w:val="left"/>
      <w:spacing w:before="120" w:after="120" w:line="360" w:lineRule="auto"/>
    </w:pPr>
    <w:rPr>
      <w:rFonts w:ascii="Arial" w:hAnsi="Arial" w:eastAsia="宋体" w:cs="Times New Roman"/>
      <w:sz w:val="24"/>
      <w:szCs w:val="24"/>
    </w:rPr>
  </w:style>
  <w:style w:type="paragraph" w:styleId="1009">
    <w:name w:val="table_lines"/>
    <w:basedOn w:val="916"/>
    <w:next w:val="1009"/>
    <w:link w:val="916"/>
    <w:pPr>
      <w:jc w:val="left"/>
      <w:widowControl/>
    </w:pPr>
    <w:rPr>
      <w:rFonts w:ascii="Times New Roman" w:hAnsi="Times New Roman" w:eastAsia="宋体" w:cs="Times New Roman"/>
      <w:sz w:val="20"/>
      <w:szCs w:val="20"/>
      <w:lang w:val="de-DE" w:eastAsia="de-DE"/>
    </w:rPr>
  </w:style>
  <w:style w:type="paragraph" w:styleId="1010">
    <w:name w:val="附录1"/>
    <w:next w:val="1010"/>
    <w:link w:val="916"/>
    <w:pPr>
      <w:numPr>
        <w:ilvl w:val="0"/>
        <w:numId w:val="4"/>
      </w:numPr>
      <w:spacing w:before="240" w:line="600" w:lineRule="atLeast"/>
      <w:tabs>
        <w:tab w:val="left" w:pos="907" w:leader="none"/>
      </w:tabs>
    </w:pPr>
    <w:rPr>
      <w:b/>
      <w:i/>
      <w:sz w:val="28"/>
      <w:lang w:val="en-US" w:eastAsia="zh-CN" w:bidi="ar-SA"/>
    </w:rPr>
  </w:style>
  <w:style w:type="paragraph" w:styleId="1011">
    <w:name w:val="font7"/>
    <w:basedOn w:val="916"/>
    <w:next w:val="1011"/>
    <w:link w:val="916"/>
    <w:pPr>
      <w:jc w:val="left"/>
      <w:spacing w:before="100" w:beforeAutospacing="1" w:after="100" w:afterAutospacing="1"/>
      <w:widowControl/>
    </w:pPr>
    <w:rPr>
      <w:rFonts w:hint="eastAsia" w:ascii="宋体" w:hAnsi="宋体" w:eastAsia="宋体" w:cs="Times New Roman"/>
      <w:sz w:val="18"/>
      <w:szCs w:val="18"/>
    </w:rPr>
  </w:style>
  <w:style w:type="paragraph" w:styleId="1012">
    <w:name w:val=" Char Char Char Char"/>
    <w:basedOn w:val="941"/>
    <w:next w:val="1012"/>
    <w:link w:val="916"/>
    <w:pPr>
      <w:spacing w:line="360" w:lineRule="auto"/>
    </w:pPr>
    <w:rPr>
      <w:rFonts w:ascii="Tahoma" w:hAnsi="Tahoma"/>
      <w:sz w:val="24"/>
      <w:szCs w:val="24"/>
    </w:rPr>
  </w:style>
  <w:style w:type="paragraph" w:styleId="1013">
    <w:name w:val="列表段落"/>
    <w:basedOn w:val="916"/>
    <w:next w:val="1013"/>
    <w:link w:val="916"/>
    <w:uiPriority w:val="34"/>
    <w:qFormat/>
    <w:pPr>
      <w:contextualSpacing/>
      <w:ind w:left="720"/>
      <w:jc w:val="left"/>
      <w:widowControl/>
    </w:pPr>
    <w:rPr>
      <w:rFonts w:ascii="Calibri" w:hAnsi="Calibri" w:eastAsia="宋体" w:cs="Times New Roman"/>
      <w:sz w:val="24"/>
      <w:szCs w:val="24"/>
      <w:lang w:eastAsia="en-US" w:bidi="en-US"/>
    </w:rPr>
  </w:style>
  <w:style w:type="paragraph" w:styleId="1014">
    <w:name w:val="4"/>
    <w:basedOn w:val="916"/>
    <w:next w:val="974"/>
    <w:link w:val="916"/>
    <w:pPr>
      <w:ind w:firstLine="420"/>
      <w:spacing w:line="360" w:lineRule="auto"/>
    </w:pPr>
    <w:rPr>
      <w:rFonts w:ascii="Times New Roman" w:hAnsi="Times New Roman" w:eastAsia="宋体" w:cs="Times New Roman"/>
      <w:color w:val="ff0000"/>
      <w:sz w:val="24"/>
      <w:szCs w:val="24"/>
    </w:rPr>
  </w:style>
  <w:style w:type="paragraph" w:styleId="1015">
    <w:name w:val="普通 (Web)"/>
    <w:basedOn w:val="916"/>
    <w:next w:val="1015"/>
    <w:link w:val="916"/>
    <w:pPr>
      <w:jc w:val="left"/>
      <w:spacing w:before="100" w:beforeAutospacing="1" w:after="100" w:afterAutospacing="1"/>
      <w:widowControl/>
    </w:pPr>
    <w:rPr>
      <w:rFonts w:ascii="宋体" w:hAnsi="宋体" w:eastAsia="宋体" w:cs="Times New Roman"/>
      <w:sz w:val="24"/>
      <w:szCs w:val="24"/>
    </w:rPr>
  </w:style>
  <w:style w:type="paragraph" w:styleId="1016">
    <w:name w:val=" Char Char Char Char Char Char Char Char Char Char"/>
    <w:basedOn w:val="916"/>
    <w:next w:val="1016"/>
    <w:link w:val="916"/>
    <w:pPr>
      <w:spacing w:line="360" w:lineRule="auto"/>
    </w:pPr>
    <w:rPr>
      <w:rFonts w:ascii="Times New Roman" w:hAnsi="Times New Roman" w:eastAsia="宋体" w:cs="Times New Roman"/>
      <w:sz w:val="24"/>
      <w:szCs w:val="20"/>
    </w:rPr>
  </w:style>
  <w:style w:type="paragraph" w:styleId="1017">
    <w:name w:val="样式1"/>
    <w:basedOn w:val="916"/>
    <w:next w:val="1017"/>
    <w:link w:val="916"/>
    <w:pPr>
      <w:numPr>
        <w:ilvl w:val="0"/>
        <w:numId w:val="5"/>
      </w:numPr>
      <w:tabs>
        <w:tab w:val="left" w:pos="709" w:leader="none"/>
      </w:tabs>
    </w:pPr>
    <w:rPr>
      <w:rFonts w:ascii="宋体" w:hAnsi="宋体" w:eastAsia="宋体" w:cs="Times New Roman"/>
      <w:szCs w:val="21"/>
    </w:rPr>
  </w:style>
  <w:style w:type="paragraph" w:styleId="1018">
    <w:name w:val="font6"/>
    <w:basedOn w:val="916"/>
    <w:next w:val="1018"/>
    <w:link w:val="916"/>
    <w:pPr>
      <w:jc w:val="left"/>
      <w:spacing w:before="100" w:beforeAutospacing="1" w:after="100" w:afterAutospacing="1"/>
      <w:widowControl/>
    </w:pPr>
    <w:rPr>
      <w:rFonts w:hint="eastAsia" w:ascii="宋体" w:hAnsi="宋体" w:eastAsia="宋体" w:cs="Times New Roman"/>
      <w:sz w:val="28"/>
      <w:szCs w:val="28"/>
      <w:u w:val="single"/>
    </w:rPr>
  </w:style>
  <w:style w:type="paragraph" w:styleId="1019">
    <w:name w:val="xl25"/>
    <w:basedOn w:val="916"/>
    <w:next w:val="1019"/>
    <w:link w:val="9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1">
    <w:name w:val="标题3"/>
    <w:basedOn w:val="916"/>
    <w:next w:val="916"/>
    <w:link w:val="916"/>
    <w:pPr>
      <w:ind w:firstLine="624"/>
      <w:spacing w:line="590" w:lineRule="atLeast"/>
    </w:pPr>
    <w:rPr>
      <w:rFonts w:ascii="方正黑体_GBK" w:hAnsi="Times New Roman" w:eastAsia="方正黑体_GBK" w:cs="Times New Roman"/>
      <w:sz w:val="32"/>
      <w:szCs w:val="32"/>
    </w:rPr>
  </w:style>
  <w:style w:type="paragraph" w:styleId="1022">
    <w:name w:val="xl24"/>
    <w:basedOn w:val="916"/>
    <w:next w:val="1022"/>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xl29"/>
    <w:basedOn w:val="916"/>
    <w:next w:val="1023"/>
    <w:link w:val="91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4">
    <w:name w:val="Char Char Char Char Char Char Char Char"/>
    <w:basedOn w:val="916"/>
    <w:next w:val="1024"/>
    <w:link w:val="916"/>
    <w:pPr>
      <w:jc w:val="left"/>
      <w:spacing w:after="160" w:line="240" w:lineRule="exact"/>
      <w:widowControl/>
    </w:pPr>
    <w:rPr>
      <w:rFonts w:ascii="Verdana" w:hAnsi="Verdana" w:eastAsia="宋体" w:cs="Times New Roman"/>
      <w:sz w:val="20"/>
      <w:szCs w:val="20"/>
      <w:lang w:eastAsia="en-US"/>
    </w:rPr>
  </w:style>
  <w:style w:type="paragraph" w:styleId="1025">
    <w:name w:val="xl28"/>
    <w:basedOn w:val="916"/>
    <w:next w:val="1025"/>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6">
    <w:name w:val=" Char Char Char Char Char Char Char Char"/>
    <w:basedOn w:val="916"/>
    <w:next w:val="1026"/>
    <w:link w:val="916"/>
    <w:pPr>
      <w:jc w:val="left"/>
      <w:spacing w:after="160" w:line="240" w:lineRule="exact"/>
      <w:widowControl/>
    </w:pPr>
    <w:rPr>
      <w:rFonts w:ascii="Verdana" w:hAnsi="Verdana" w:eastAsia="宋体" w:cs="Times New Roman"/>
      <w:sz w:val="20"/>
      <w:szCs w:val="20"/>
      <w:lang w:eastAsia="en-US"/>
    </w:rPr>
  </w:style>
  <w:style w:type="paragraph" w:styleId="1027">
    <w:name w:val="xl30"/>
    <w:basedOn w:val="916"/>
    <w:next w:val="1027"/>
    <w:link w:val="916"/>
    <w:pPr>
      <w:jc w:val="center"/>
      <w:spacing w:before="100" w:beforeAutospacing="1" w:after="100" w:afterAutospacing="1"/>
      <w:widowControl/>
    </w:pPr>
    <w:rPr>
      <w:rFonts w:ascii="宋体" w:hAnsi="宋体" w:eastAsia="宋体" w:cs="Times New Roman"/>
      <w:b/>
      <w:bCs/>
      <w:sz w:val="36"/>
      <w:szCs w:val="36"/>
    </w:rPr>
  </w:style>
  <w:style w:type="paragraph" w:styleId="1028">
    <w:name w:val="Char Char Char Char"/>
    <w:basedOn w:val="941"/>
    <w:next w:val="1028"/>
    <w:link w:val="916"/>
    <w:pPr>
      <w:spacing w:line="360" w:lineRule="auto"/>
    </w:pPr>
    <w:rPr>
      <w:rFonts w:ascii="Tahoma" w:hAnsi="Tahoma"/>
      <w:sz w:val="24"/>
      <w:szCs w:val="24"/>
    </w:rPr>
  </w:style>
  <w:style w:type="paragraph" w:styleId="1029">
    <w:name w:val="table_1stline"/>
    <w:basedOn w:val="916"/>
    <w:next w:val="1029"/>
    <w:link w:val="916"/>
    <w:pPr>
      <w:jc w:val="left"/>
      <w:spacing w:before="120"/>
      <w:widowControl/>
    </w:pPr>
    <w:rPr>
      <w:rFonts w:ascii="Times New Roman" w:hAnsi="Times New Roman" w:eastAsia="宋体" w:cs="Times New Roman"/>
      <w:bCs/>
      <w:sz w:val="20"/>
      <w:szCs w:val="20"/>
      <w:lang w:val="de-DE" w:eastAsia="de-DE"/>
    </w:rPr>
  </w:style>
  <w:style w:type="paragraph" w:styleId="1030">
    <w:name w:val="font5"/>
    <w:basedOn w:val="916"/>
    <w:next w:val="1030"/>
    <w:link w:val="916"/>
    <w:pPr>
      <w:jc w:val="left"/>
      <w:spacing w:before="100" w:beforeAutospacing="1" w:after="100" w:afterAutospacing="1"/>
      <w:widowControl/>
    </w:pPr>
    <w:rPr>
      <w:rFonts w:hint="eastAsia" w:ascii="宋体" w:hAnsi="宋体" w:eastAsia="宋体" w:cs="Times New Roman"/>
      <w:sz w:val="28"/>
      <w:szCs w:val="28"/>
    </w:rPr>
  </w:style>
  <w:style w:type="paragraph" w:styleId="1031">
    <w:name w:val="标题1"/>
    <w:basedOn w:val="916"/>
    <w:next w:val="916"/>
    <w:link w:val="91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2">
    <w:name w:val="修订"/>
    <w:next w:val="1032"/>
    <w:link w:val="916"/>
    <w:uiPriority w:val="99"/>
    <w:semiHidden/>
    <w:rPr>
      <w:sz w:val="21"/>
      <w:szCs w:val="21"/>
      <w:lang w:val="en-US" w:eastAsia="zh-CN" w:bidi="ar-SA"/>
    </w:rPr>
  </w:style>
  <w:style w:type="paragraph" w:styleId="1033">
    <w:name w:val="无间隔"/>
    <w:next w:val="1033"/>
    <w:link w:val="916"/>
    <w:uiPriority w:val="99"/>
    <w:qFormat/>
    <w:pPr>
      <w:jc w:val="both"/>
      <w:widowControl w:val="off"/>
    </w:pPr>
    <w:rPr>
      <w:sz w:val="21"/>
      <w:szCs w:val="21"/>
      <w:lang w:val="en-US" w:eastAsia="zh-CN" w:bidi="ar-SA"/>
    </w:rPr>
  </w:style>
  <w:style w:type="paragraph" w:styleId="1034">
    <w:name w:val="正文1"/>
    <w:next w:val="1034"/>
    <w:link w:val="916"/>
    <w:uiPriority w:val="99"/>
    <w:qFormat/>
    <w:pPr>
      <w:contextualSpacing/>
      <w:ind w:firstLine="200"/>
      <w:spacing w:before="120" w:after="120" w:line="180" w:lineRule="auto"/>
    </w:pPr>
    <w:rPr>
      <w:rFonts w:eastAsia="Adobe 仿宋 Std R"/>
      <w:sz w:val="21"/>
      <w:szCs w:val="21"/>
      <w:lang w:val="en-US" w:eastAsia="zh-CN" w:bidi="ar-SA"/>
    </w:rPr>
  </w:style>
  <w:style w:type="paragraph" w:styleId="1035">
    <w:name w:val="正文文本缩进2"/>
    <w:basedOn w:val="916"/>
    <w:next w:val="1035"/>
    <w:link w:val="916"/>
    <w:uiPriority w:val="99"/>
    <w:qFormat/>
    <w:pPr>
      <w:ind w:firstLine="301"/>
      <w:spacing w:line="200" w:lineRule="exact"/>
    </w:pPr>
    <w:rPr>
      <w:rFonts w:ascii="宋体" w:hAnsi="Courier New"/>
      <w:spacing w:val="-4"/>
      <w:sz w:val="18"/>
      <w:szCs w:val="24"/>
    </w:rPr>
  </w:style>
  <w:style w:type="paragraph" w:styleId="1036">
    <w:name w:val="正文文本11"/>
    <w:basedOn w:val="916"/>
    <w:next w:val="916"/>
    <w:link w:val="916"/>
    <w:qFormat/>
    <w:rPr>
      <w:rFonts w:ascii="楷体_GB2312" w:hAnsi="Arial" w:eastAsia="楷体_GB2312"/>
      <w:sz w:val="28"/>
      <w:szCs w:val="28"/>
    </w:rPr>
  </w:style>
  <w:style w:type="character" w:styleId="1037">
    <w:name w:val="font31"/>
    <w:next w:val="1037"/>
    <w:link w:val="916"/>
    <w:qFormat/>
    <w:rPr>
      <w:rFonts w:hint="eastAsia" w:ascii="宋体" w:hAnsi="宋体" w:eastAsia="宋体" w:cs="宋体"/>
      <w:color w:val="000000"/>
      <w:sz w:val="24"/>
      <w:szCs w:val="24"/>
      <w:u w:val="none"/>
    </w:rPr>
  </w:style>
  <w:style w:type="character" w:styleId="1038">
    <w:name w:val="bot_zi"/>
    <w:next w:val="1038"/>
    <w:link w:val="916"/>
    <w:qFormat/>
  </w:style>
  <w:style w:type="character" w:styleId="1039">
    <w:name w:val="font21"/>
    <w:next w:val="1039"/>
    <w:link w:val="916"/>
    <w:rPr>
      <w:rFonts w:hint="eastAsia" w:ascii="微软雅黑" w:hAnsi="微软雅黑" w:eastAsia="微软雅黑" w:cs="微软雅黑"/>
      <w:i w:val="0"/>
      <w:iCs w:val="0"/>
      <w:color w:val="000000"/>
      <w:sz w:val="21"/>
      <w:szCs w:val="21"/>
      <w:u w:val="none"/>
    </w:rPr>
  </w:style>
  <w:style w:type="character" w:styleId="1040">
    <w:name w:val="font51"/>
    <w:next w:val="1040"/>
    <w:link w:val="916"/>
    <w:rPr>
      <w:rFonts w:hint="eastAsia" w:ascii="微软雅黑" w:hAnsi="微软雅黑" w:eastAsia="微软雅黑" w:cs="微软雅黑"/>
      <w:i w:val="0"/>
      <w:iCs w:val="0"/>
      <w:color w:val="ff0000"/>
      <w:sz w:val="21"/>
      <w:szCs w:val="21"/>
      <w:u w:val="none"/>
    </w:rPr>
  </w:style>
  <w:style w:type="character" w:styleId="1041">
    <w:name w:val="font41"/>
    <w:next w:val="1041"/>
    <w:link w:val="916"/>
    <w:rPr>
      <w:rFonts w:hint="eastAsia" w:ascii="微软雅黑" w:hAnsi="微软雅黑" w:eastAsia="微软雅黑" w:cs="微软雅黑"/>
      <w:i w:val="0"/>
      <w:iCs w:val="0"/>
      <w:color w:val="000000"/>
      <w:sz w:val="21"/>
      <w:szCs w:val="21"/>
      <w:u w:val="none"/>
    </w:rPr>
  </w:style>
  <w:style w:type="character" w:styleId="1042">
    <w:name w:val="font11"/>
    <w:next w:val="1042"/>
    <w:link w:val="916"/>
    <w:rPr>
      <w:rFonts w:hint="eastAsia" w:ascii="幼圆" w:hAnsi="幼圆" w:eastAsia="幼圆" w:cs="幼圆"/>
      <w:b/>
      <w:bCs/>
      <w:i w:val="0"/>
      <w:iCs w:val="0"/>
      <w:color w:val="000000"/>
      <w:sz w:val="24"/>
      <w:szCs w:val="24"/>
      <w:u w:val="none"/>
    </w:rPr>
  </w:style>
  <w:style w:type="paragraph" w:styleId="1043">
    <w:name w:val="Default"/>
    <w:next w:val="916"/>
    <w:link w:val="916"/>
    <w:qFormat/>
    <w:pPr>
      <w:widowControl w:val="off"/>
    </w:pPr>
    <w:rPr>
      <w:rFonts w:ascii="宋体" w:cs="宋体"/>
      <w:color w:val="000000"/>
      <w:sz w:val="24"/>
      <w:szCs w:val="24"/>
      <w:lang w:val="en-US" w:eastAsia="zh-CN" w:bidi="ar-SA"/>
    </w:rPr>
  </w:style>
  <w:style w:type="character" w:styleId="1044" w:default="1">
    <w:name w:val="Default Paragraph Font"/>
    <w:uiPriority w:val="1"/>
    <w:semiHidden/>
    <w:unhideWhenUsed/>
  </w:style>
  <w:style w:type="numbering" w:styleId="1045" w:default="1">
    <w:name w:val="No List"/>
    <w:uiPriority w:val="99"/>
    <w:semiHidden/>
    <w:unhideWhenUsed/>
  </w:style>
  <w:style w:type="table" w:styleId="10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黄琳霖</cp:lastModifiedBy>
  <cp:revision>6</cp:revision>
  <dcterms:created xsi:type="dcterms:W3CDTF">2023-12-18T06:54:00Z</dcterms:created>
  <dcterms:modified xsi:type="dcterms:W3CDTF">2026-06-02T06:19:47Z</dcterms:modified>
</cp:coreProperties>
</file>