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7"/>
        <w:jc w:val="center"/>
        <w:spacing w:line="360" w:lineRule="auto"/>
        <w:rPr>
          <w:rFonts w:hint="eastAsia" w:ascii="宋体" w:hAnsi="宋体" w:eastAsia="宋体" w:cs="宋体"/>
          <w:bCs/>
          <w:color w:val="000000"/>
          <w:sz w:val="84"/>
          <w:szCs w:val="84"/>
          <w:highlight w:val="none"/>
        </w:rPr>
      </w:pPr>
      <w:r>
        <w:rPr>
          <w:rFonts w:hint="eastAsia" w:ascii="宋体" w:hAnsi="宋体" w:eastAsia="宋体" w:cs="宋体"/>
          <w:bCs/>
          <w:color w:val="000000"/>
          <w:sz w:val="84"/>
          <w:szCs w:val="84"/>
          <w:highlight w:val="none"/>
        </w:rPr>
        <w:t xml:space="preserve">苏州市政府采购</w:t>
      </w:r>
      <w:r>
        <w:rPr>
          <w:rFonts w:hint="eastAsia" w:ascii="宋体" w:hAnsi="宋体" w:eastAsia="宋体" w:cs="宋体"/>
          <w:bCs/>
          <w:color w:val="000000"/>
          <w:sz w:val="84"/>
          <w:szCs w:val="84"/>
          <w:highlight w:val="none"/>
        </w:rPr>
      </w:r>
      <w:r/>
    </w:p>
    <w:p>
      <w:pPr>
        <w:pStyle w:val="947"/>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84"/>
          <w:szCs w:val="84"/>
          <w:highlight w:val="none"/>
        </w:rPr>
        <w:t xml:space="preserve">竞争性磋商文件</w:t>
      </w:r>
      <w:r>
        <w:rPr>
          <w:rFonts w:hint="eastAsia" w:ascii="宋体" w:hAnsi="宋体" w:eastAsia="宋体" w:cs="宋体"/>
          <w:bCs/>
          <w:color w:val="000000"/>
          <w:sz w:val="32"/>
          <w:szCs w:val="32"/>
          <w:highlight w:val="none"/>
        </w:rPr>
      </w:r>
      <w:r/>
    </w:p>
    <w:p>
      <w:pPr>
        <w:pStyle w:val="947"/>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4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mc:AlternateContent>
          <mc:Choice Requires="wpg">
            <w:drawing>
              <wp:inline xmlns:wp="http://schemas.openxmlformats.org/drawingml/2006/wordprocessingDrawing" distT="0" distB="0" distL="0" distR="0">
                <wp:extent cx="1364742" cy="137083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64742" cy="13708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7.5pt;height:107.9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Cs/>
          <w:color w:val="000000"/>
          <w:sz w:val="21"/>
          <w:szCs w:val="21"/>
          <w:highlight w:val="none"/>
        </w:rPr>
      </w:r>
      <w:r/>
    </w:p>
    <w:p>
      <w:pPr>
        <w:pStyle w:val="947"/>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7"/>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47"/>
        <w:ind w:firstLine="1200"/>
        <w:jc w:val="both"/>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苏州丝绸博物馆</w:t>
      </w:r>
      <w:r>
        <w:rPr>
          <w:rFonts w:hint="eastAsia" w:ascii="宋体" w:hAnsi="宋体" w:eastAsia="宋体" w:cs="宋体"/>
          <w:bCs/>
          <w:color w:val="000000"/>
          <w:sz w:val="30"/>
          <w:szCs w:val="30"/>
          <w:highlight w:val="none"/>
          <w:lang w:eastAsia="zh-CN"/>
        </w:rPr>
      </w:r>
      <w:r/>
    </w:p>
    <w:p>
      <w:pPr>
        <w:pStyle w:val="947"/>
        <w:ind w:firstLine="1200"/>
        <w:jc w:val="both"/>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eastAsia="宋体" w:cs="宋体"/>
          <w:bCs/>
          <w:color w:val="000000"/>
          <w:sz w:val="30"/>
          <w:szCs w:val="30"/>
          <w:highlight w:val="none"/>
          <w:lang w:eastAsia="zh-CN"/>
        </w:rPr>
        <w:t xml:space="preserve">JSZC-320500-SZZJ-C2026-0023</w:t>
      </w:r>
      <w:r>
        <w:rPr>
          <w:rFonts w:hint="eastAsia" w:ascii="宋体" w:hAnsi="宋体" w:eastAsia="宋体" w:cs="宋体"/>
          <w:bCs/>
          <w:color w:val="000000"/>
          <w:sz w:val="30"/>
          <w:szCs w:val="30"/>
          <w:highlight w:val="none"/>
          <w:lang w:eastAsia="zh-CN"/>
        </w:rPr>
      </w:r>
      <w:r/>
    </w:p>
    <w:p>
      <w:pPr>
        <w:pStyle w:val="947"/>
        <w:ind w:firstLine="1200"/>
        <w:jc w:val="both"/>
        <w:spacing w:line="360" w:lineRule="auto"/>
        <w:rPr>
          <w:rFonts w:ascii="宋体" w:hAnsi="宋体" w:eastAsia="宋体" w:cs="宋体"/>
          <w:bCs/>
          <w:color w:val="000000"/>
          <w:sz w:val="30"/>
          <w:szCs w:val="30"/>
          <w:highlight w:val="none"/>
          <w:lang w:val="en-US" w:eastAsia="zh-CN"/>
        </w:rPr>
      </w:pPr>
      <w:r>
        <w:rPr>
          <w:rFonts w:hint="eastAsia" w:ascii="宋体" w:hAnsi="宋体" w:eastAsia="宋体" w:cs="宋体"/>
          <w:bCs/>
          <w:color w:val="000000"/>
          <w:sz w:val="30"/>
          <w:szCs w:val="30"/>
          <w:highlight w:val="none"/>
        </w:rPr>
        <w:t xml:space="preserve">项目名称：</w:t>
      </w:r>
      <w:r>
        <w:rPr>
          <w:rFonts w:hint="eastAsia" w:ascii="宋体" w:hAnsi="宋体" w:eastAsia="宋体" w:cs="宋体"/>
          <w:bCs/>
          <w:color w:val="000000"/>
          <w:sz w:val="30"/>
          <w:szCs w:val="30"/>
          <w:highlight w:val="none"/>
          <w:lang w:eastAsia="zh-CN"/>
        </w:rPr>
        <w:t xml:space="preserve">苏州丝绸博物馆可移动文物预防性保护</w:t>
      </w:r>
      <w:r>
        <w:rPr>
          <w:rFonts w:hint="eastAsia" w:ascii="宋体" w:hAnsi="宋体" w:eastAsia="宋体" w:cs="宋体"/>
          <w:bCs/>
          <w:color w:val="000000"/>
          <w:sz w:val="30"/>
          <w:szCs w:val="30"/>
          <w:highlight w:val="none"/>
          <w:lang w:val="en-US" w:eastAsia="zh-CN"/>
        </w:rPr>
        <w:t xml:space="preserve">项目</w:t>
      </w:r>
      <w:r>
        <w:rPr>
          <w:rFonts w:ascii="宋体" w:hAnsi="宋体" w:eastAsia="宋体" w:cs="宋体"/>
          <w:bCs/>
          <w:color w:val="000000"/>
          <w:sz w:val="30"/>
          <w:szCs w:val="30"/>
          <w:highlight w:val="none"/>
          <w:lang w:val="en-US" w:eastAsia="zh-CN"/>
        </w:rPr>
      </w:r>
      <w:r/>
    </w:p>
    <w:p>
      <w:pPr>
        <w:pStyle w:val="947"/>
        <w:ind w:firstLine="1200"/>
        <w:jc w:val="left"/>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采购类别：服务类</w:t>
      </w:r>
      <w:r>
        <w:rPr>
          <w:rFonts w:hint="eastAsia" w:ascii="宋体" w:hAnsi="宋体" w:eastAsia="宋体" w:cs="宋体"/>
          <w:bCs/>
          <w:color w:val="000000"/>
          <w:sz w:val="30"/>
          <w:szCs w:val="30"/>
          <w:highlight w:val="none"/>
        </w:rPr>
      </w:r>
      <w:r/>
    </w:p>
    <w:p>
      <w:pPr>
        <w:pStyle w:val="947"/>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47"/>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47"/>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47"/>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苏州正杰招投标咨询服务有限公司</w:t>
      </w:r>
      <w:r>
        <w:rPr>
          <w:rFonts w:hint="eastAsia" w:ascii="宋体" w:hAnsi="宋体" w:eastAsia="宋体" w:cs="宋体"/>
          <w:bCs/>
          <w:color w:val="000000"/>
          <w:sz w:val="30"/>
          <w:szCs w:val="30"/>
          <w:highlight w:val="none"/>
        </w:rPr>
      </w:r>
      <w:r/>
    </w:p>
    <w:p>
      <w:pPr>
        <w:pStyle w:val="971"/>
        <w:ind w:firstLine="0"/>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2026年</w:t>
      </w:r>
      <w:r>
        <w:rPr>
          <w:rFonts w:hint="eastAsia" w:ascii="宋体" w:hAnsi="宋体" w:eastAsia="宋体" w:cs="宋体"/>
          <w:bCs/>
          <w:color w:val="000000"/>
          <w:sz w:val="30"/>
          <w:szCs w:val="30"/>
          <w:highlight w:val="none"/>
          <w:lang w:val="en-US" w:eastAsia="zh-CN"/>
        </w:rPr>
        <w:t xml:space="preserve">6</w:t>
      </w:r>
      <w:r>
        <w:rPr>
          <w:rFonts w:hint="eastAsia" w:ascii="宋体" w:hAnsi="宋体" w:eastAsia="宋体" w:cs="宋体"/>
          <w:bCs/>
          <w:color w:val="000000"/>
          <w:sz w:val="30"/>
          <w:szCs w:val="30"/>
          <w:highlight w:val="none"/>
        </w:rPr>
        <w:t xml:space="preserve">月</w:t>
      </w:r>
      <w:r>
        <w:rPr>
          <w:rFonts w:hint="eastAsia" w:ascii="宋体" w:hAnsi="宋体" w:eastAsia="宋体" w:cs="宋体"/>
          <w:bCs/>
          <w:color w:val="000000"/>
          <w:sz w:val="30"/>
          <w:szCs w:val="30"/>
          <w:highlight w:val="none"/>
        </w:rPr>
      </w:r>
      <w:r/>
    </w:p>
    <w:p>
      <w:pPr>
        <w:pStyle w:val="971"/>
        <w:ind w:firstLine="0"/>
        <w:jc w:val="center"/>
        <w:spacing w:line="360" w:lineRule="auto"/>
        <w:rPr>
          <w:rFonts w:hint="eastAsia" w:ascii="宋体" w:hAnsi="宋体" w:eastAsia="宋体" w:cs="宋体"/>
          <w:b/>
          <w:color w:val="000000"/>
          <w:sz w:val="32"/>
          <w:szCs w:val="32"/>
          <w:highlight w:val="none"/>
        </w:rPr>
        <w:sectPr>
          <w:headerReference w:type="default" r:id="rId9"/>
          <w:headerReference w:type="even" r:id="rId10"/>
          <w:footerReference w:type="default" r:id="rId11"/>
          <w:footerReference w:type="even" r:id="rId12"/>
          <w:footnotePr/>
          <w:endnotePr/>
          <w:type w:val="nextPage"/>
          <w:pgSz w:w="11906" w:h="16838" w:orient="portrait"/>
          <w:pgMar w:top="1134" w:right="1134" w:bottom="1134" w:left="1134" w:header="851" w:footer="567" w:gutter="0"/>
          <w:cols w:num="1" w:sep="0" w:space="1701" w:equalWidth="1"/>
          <w:docGrid w:linePitch="360"/>
          <w:titlePg/>
        </w:sectPr>
      </w:pPr>
      <w:r>
        <w:rPr>
          <w:rFonts w:hint="eastAsia" w:ascii="宋体" w:hAnsi="宋体" w:eastAsia="宋体" w:cs="宋体"/>
          <w:b/>
          <w:color w:val="000000"/>
          <w:sz w:val="32"/>
          <w:szCs w:val="32"/>
          <w:highlight w:val="none"/>
        </w:rPr>
      </w:r>
      <w:r/>
    </w:p>
    <w:p>
      <w:pPr>
        <w:pStyle w:val="971"/>
        <w:ind w:firstLine="0"/>
        <w:jc w:val="center"/>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目  录</w:t>
      </w:r>
      <w:r>
        <w:rPr>
          <w:rFonts w:hint="eastAsia" w:ascii="宋体" w:hAnsi="宋体" w:eastAsia="宋体" w:cs="宋体"/>
          <w:b/>
          <w:color w:val="000000"/>
          <w:sz w:val="52"/>
          <w:szCs w:val="52"/>
          <w:highlight w:val="none"/>
        </w:rPr>
      </w:r>
      <w:r/>
    </w:p>
    <w:p>
      <w:pPr>
        <w:pStyle w:val="971"/>
        <w:ind w:firstLine="0"/>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03"/>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fldChar w:fldCharType="begin"/>
      </w:r>
      <w:r>
        <w:rPr>
          <w:rFonts w:hint="eastAsia" w:ascii="宋体" w:hAnsi="宋体" w:eastAsia="宋体" w:cs="宋体"/>
          <w:bCs/>
          <w:color w:val="000000"/>
          <w:sz w:val="32"/>
          <w:szCs w:val="32"/>
          <w:highlight w:val="none"/>
        </w:rPr>
        <w:instrText xml:space="preserve"> TOC \o "1-1" </w:instrText>
      </w:r>
      <w:r>
        <w:rPr>
          <w:rFonts w:hint="eastAsia" w:ascii="宋体" w:hAnsi="宋体" w:eastAsia="宋体" w:cs="宋体"/>
          <w:bCs/>
          <w:color w:val="000000"/>
          <w:sz w:val="32"/>
          <w:szCs w:val="32"/>
          <w:highlight w:val="none"/>
        </w:rPr>
        <w:fldChar w:fldCharType="separate"/>
      </w:r>
      <w:r>
        <w:rPr>
          <w:rFonts w:hint="eastAsia" w:ascii="宋体" w:hAnsi="宋体" w:eastAsia="宋体" w:cs="宋体"/>
          <w:bCs/>
          <w:color w:val="000000"/>
          <w:sz w:val="32"/>
          <w:szCs w:val="32"/>
          <w:highlight w:val="none"/>
        </w:rPr>
        <w:t xml:space="preserve">第一章 竞争性磋商邀请函</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1003"/>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第二章 响应须知</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1003"/>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第三章 响应文件格式</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1003"/>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第四章 采购需求</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1003"/>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第五章 合同文本</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1003"/>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第六章 评审方法及评审标准</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4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32"/>
          <w:szCs w:val="32"/>
          <w:highlight w:val="none"/>
        </w:rPr>
        <w:fldChar w:fldCharType="end"/>
      </w:r>
      <w:r>
        <w:rPr>
          <w:rFonts w:hint="eastAsia" w:ascii="宋体" w:hAnsi="宋体" w:eastAsia="宋体" w:cs="宋体"/>
          <w:bCs/>
          <w:color w:val="000000"/>
          <w:sz w:val="21"/>
          <w:szCs w:val="21"/>
          <w:highlight w:val="none"/>
        </w:rPr>
      </w:r>
      <w:r/>
    </w:p>
    <w:p>
      <w:pPr>
        <w:pStyle w:val="94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7"/>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8"/>
        <w:jc w:val="center"/>
        <w:spacing w:line="360" w:lineRule="auto"/>
        <w:rPr>
          <w:rFonts w:hint="eastAsia" w:ascii="宋体" w:hAnsi="宋体" w:eastAsia="宋体" w:cs="宋体"/>
          <w:b w:val="0"/>
          <w:bCs/>
          <w:color w:val="000000"/>
          <w:sz w:val="52"/>
          <w:szCs w:val="52"/>
          <w:highlight w:val="none"/>
        </w:rPr>
        <w:sectPr>
          <w:footerReference w:type="default" r:id="rId13"/>
          <w:footerReference w:type="first" r:id="rId14"/>
          <w:footnotePr/>
          <w:endnotePr/>
          <w:type w:val="nextPage"/>
          <w:pgSz w:w="11906" w:h="16838" w:orient="portrait"/>
          <w:pgMar w:top="1134" w:right="1134" w:bottom="1134" w:left="1134" w:header="851" w:footer="567" w:gutter="0"/>
          <w:pgNumType w:start="1"/>
          <w:cols w:num="1" w:sep="0" w:space="1701" w:equalWidth="1"/>
          <w:docGrid w:linePitch="360"/>
        </w:sectPr>
      </w:pPr>
      <w:r/>
      <w:bookmarkStart w:id="0" w:name="_第一章_谈判邀请函"/>
      <w:r/>
      <w:bookmarkEnd w:id="0"/>
      <w:r/>
      <w:bookmarkStart w:id="1" w:name="_Toc301856546"/>
      <w:r>
        <w:rPr>
          <w:rFonts w:hint="eastAsia" w:ascii="宋体" w:hAnsi="宋体" w:eastAsia="宋体" w:cs="宋体"/>
          <w:b w:val="0"/>
          <w:bCs/>
          <w:color w:val="000000"/>
          <w:sz w:val="52"/>
          <w:szCs w:val="52"/>
          <w:highlight w:val="none"/>
        </w:rPr>
      </w:r>
      <w:r/>
    </w:p>
    <w:p>
      <w:pPr>
        <w:pStyle w:val="947"/>
        <w:ind w:firstLine="482"/>
        <w:jc w:val="center"/>
        <w:spacing w:line="360" w:lineRule="auto"/>
        <w:rPr>
          <w:rFonts w:hint="eastAsia" w:ascii="宋体" w:hAnsi="宋体" w:eastAsia="宋体" w:cs="宋体"/>
          <w:b/>
          <w:color w:val="000000"/>
          <w:sz w:val="24"/>
          <w:szCs w:val="24"/>
          <w:highlight w:val="none"/>
        </w:rPr>
      </w:pPr>
      <w:r/>
      <w:bookmarkEnd w:id="1"/>
      <w:r>
        <w:rPr>
          <w:rFonts w:hint="eastAsia" w:ascii="宋体" w:hAnsi="宋体" w:eastAsia="宋体" w:cs="宋体"/>
          <w:b/>
          <w:color w:val="000000"/>
          <w:sz w:val="24"/>
          <w:szCs w:val="24"/>
          <w:highlight w:val="none"/>
        </w:rPr>
        <w:t xml:space="preserve">第一章 竞争性磋商邀请函</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苏州正杰招投标咨询服务有限公司受</w:t>
      </w:r>
      <w:r>
        <w:rPr>
          <w:rFonts w:hint="eastAsia" w:ascii="宋体" w:hAnsi="宋体" w:eastAsia="宋体" w:cs="宋体"/>
          <w:color w:val="000000"/>
          <w:sz w:val="24"/>
          <w:szCs w:val="24"/>
          <w:highlight w:val="none"/>
          <w:lang w:eastAsia="zh-CN"/>
        </w:rPr>
        <w:t xml:space="preserve">苏州丝绸博物馆</w:t>
      </w:r>
      <w:r>
        <w:rPr>
          <w:rFonts w:hint="eastAsia" w:ascii="宋体" w:hAnsi="宋体" w:eastAsia="宋体" w:cs="宋体"/>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苏州丝绸博物馆可移动文物预防性保护</w:t>
      </w:r>
      <w:r>
        <w:rPr>
          <w:rFonts w:hint="eastAsia" w:ascii="宋体" w:hAnsi="宋体" w:eastAsia="宋体" w:cs="宋体"/>
          <w:color w:val="000000"/>
          <w:sz w:val="24"/>
          <w:szCs w:val="24"/>
          <w:highlight w:val="none"/>
        </w:rPr>
        <w:t xml:space="preserve">项目以竞争性磋商方式组织政府采购，欢迎符合条件的供应商参加。</w:t>
      </w:r>
      <w:r>
        <w:rPr>
          <w:rFonts w:hint="eastAsia" w:ascii="宋体" w:hAnsi="宋体" w:eastAsia="宋体" w:cs="宋体"/>
          <w:color w:val="000000"/>
          <w:sz w:val="24"/>
          <w:szCs w:val="24"/>
          <w:highlight w:val="none"/>
        </w:rPr>
      </w:r>
      <w:r/>
    </w:p>
    <w:p>
      <w:pPr>
        <w:pStyle w:val="94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JSZC-320500-SZZJ-C2026-0023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苏州丝绸博物馆可移动文物预防性保护</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2490000</w:t>
      </w:r>
      <w:r>
        <w:rPr>
          <w:rFonts w:hint="eastAsia" w:ascii="宋体" w:hAnsi="宋体" w:eastAsia="宋体" w:cs="宋体"/>
          <w:color w:val="000000"/>
          <w:sz w:val="24"/>
          <w:szCs w:val="24"/>
          <w:highlight w:val="none"/>
        </w:rPr>
        <w:t xml:space="preserve">.00元。</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249</w:t>
      </w:r>
      <w:r>
        <w:rPr>
          <w:rFonts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t xml:space="preserve">000</w:t>
      </w:r>
      <w:r>
        <w:rPr>
          <w:rFonts w:hint="eastAsia" w:ascii="宋体" w:hAnsi="宋体" w:eastAsia="宋体" w:cs="宋体"/>
          <w:color w:val="000000"/>
          <w:sz w:val="24"/>
          <w:szCs w:val="24"/>
          <w:highlight w:val="none"/>
        </w:rPr>
        <w:t xml:space="preserve">.00元。</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1、标的的名称：</w:t>
      </w:r>
      <w:r>
        <w:rPr>
          <w:rFonts w:hint="eastAsia" w:ascii="宋体" w:hAnsi="宋体" w:eastAsia="宋体" w:cs="宋体"/>
          <w:color w:val="000000"/>
          <w:sz w:val="24"/>
          <w:szCs w:val="24"/>
          <w:highlight w:val="none"/>
          <w:lang w:eastAsia="zh-CN"/>
        </w:rPr>
        <w:t xml:space="preserve">苏州丝绸博物馆可移动文物预防性保护</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2、数量：1项。</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3、简要技术需求或服务要求等：</w:t>
      </w:r>
      <w:r>
        <w:rPr>
          <w:rFonts w:hint="eastAsia" w:ascii="宋体" w:hAnsi="宋体" w:eastAsia="宋体" w:cs="宋体"/>
          <w:color w:val="000000"/>
          <w:sz w:val="24"/>
          <w:szCs w:val="24"/>
          <w:highlight w:val="none"/>
        </w:rPr>
        <w:t xml:space="preserve">本项目主要以提升和改善博物馆古代厅、民国街展厅文物展示和藏展环境质量为目的，通过提升文物展示设备，配置主动环境调控设备等多种调控手段进行文物保存环境调控工作，建立馆藏文物保存环境调控系统，使文物保存微环境达到比较“稳定、洁净 ”的状态，提升该馆馆藏文物的预防性保护的能力。</w:t>
      </w:r>
      <w:r>
        <w:rPr>
          <w:rFonts w:hint="eastAsia" w:ascii="宋体" w:hAnsi="宋体" w:eastAsia="宋体" w:cs="宋体"/>
          <w:bCs/>
          <w:color w:val="000000"/>
          <w:sz w:val="24"/>
          <w:szCs w:val="24"/>
          <w:highlight w:val="none"/>
        </w:rPr>
        <w:t xml:space="preserve">具体详见采购文件采购需求。</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8"/>
          <w:highlight w:val="none"/>
          <w:lang w:eastAsia="zh-CN"/>
        </w:rPr>
        <w:t xml:space="preserve">在2026年</w:t>
      </w:r>
      <w:r>
        <w:rPr>
          <w:rFonts w:hint="eastAsia" w:ascii="宋体" w:hAnsi="宋体" w:eastAsia="宋体" w:cs="宋体"/>
          <w:color w:val="000000"/>
          <w:sz w:val="24"/>
          <w:szCs w:val="28"/>
          <w:highlight w:val="none"/>
          <w:u w:val="none"/>
          <w:lang w:val="en-US" w:eastAsia="zh-CN"/>
        </w:rPr>
        <w:t xml:space="preserve">9</w:t>
      </w:r>
      <w:r>
        <w:rPr>
          <w:rFonts w:hint="eastAsia" w:ascii="宋体" w:hAnsi="宋体" w:eastAsia="宋体" w:cs="宋体"/>
          <w:color w:val="000000"/>
          <w:sz w:val="24"/>
          <w:szCs w:val="28"/>
          <w:highlight w:val="none"/>
          <w:lang w:eastAsia="zh-CN"/>
        </w:rPr>
        <w:t xml:space="preserve">月</w:t>
      </w:r>
      <w:r>
        <w:rPr>
          <w:rFonts w:hint="eastAsia" w:ascii="宋体" w:hAnsi="宋体" w:eastAsia="宋体" w:cs="宋体"/>
          <w:color w:val="000000"/>
          <w:sz w:val="24"/>
          <w:szCs w:val="28"/>
          <w:highlight w:val="none"/>
          <w:u w:val="none"/>
          <w:lang w:val="en-US" w:eastAsia="zh-CN"/>
        </w:rPr>
        <w:t xml:space="preserve">11</w:t>
      </w:r>
      <w:r>
        <w:rPr>
          <w:rFonts w:hint="eastAsia" w:ascii="宋体" w:hAnsi="宋体" w:eastAsia="宋体" w:cs="宋体"/>
          <w:color w:val="000000"/>
          <w:sz w:val="24"/>
          <w:szCs w:val="28"/>
          <w:highlight w:val="none"/>
          <w:lang w:eastAsia="zh-CN"/>
        </w:rPr>
        <w:t xml:space="preserve">日前完成全部采购内容</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rPr>
          <w:rFonts w:hint="eastAsia" w:ascii="宋体" w:hAnsi="宋体" w:eastAsia="宋体" w:cs="宋体"/>
          <w:color w:val="000000"/>
          <w:sz w:val="24"/>
          <w:szCs w:val="24"/>
          <w:highlight w:val="none"/>
        </w:rPr>
      </w:r>
      <w:r/>
    </w:p>
    <w:p>
      <w:pPr>
        <w:pStyle w:val="94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rPr>
          <w:rFonts w:hint="eastAsia" w:ascii="宋体" w:hAnsi="宋体" w:eastAsia="宋体" w:cs="宋体"/>
          <w:b/>
          <w:bCs/>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b/>
          <w:bCs/>
          <w:color w:val="000000"/>
          <w:sz w:val="24"/>
          <w:szCs w:val="24"/>
          <w:highlight w:val="none"/>
        </w:rPr>
        <w:t xml:space="preserve">根据《政府采购促进中小企业发展管理办法》的相关规定，本项目专门面向中小企业，所属行业为其他未列明行业，供应商应为中小微企业、监狱企业、残疾人福利性单位。</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三、获取采购文件</w:t>
      </w:r>
      <w:r>
        <w:rPr>
          <w:rFonts w:hint="eastAsia" w:ascii="宋体" w:hAnsi="宋体" w:eastAsia="宋体" w:cs="宋体"/>
          <w:b/>
          <w:bCs/>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时间：自磋商文件公告发布之日起5个工作日。</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地点：“苏采云”系统自行下载采购文件。</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方式（网上报名）：</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（1）CA办理：</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（2）参与采购活动：</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4"/>
          <w:szCs w:val="24"/>
          <w:highlight w:val="none"/>
        </w:rPr>
      </w:r>
      <w:r/>
    </w:p>
    <w:p>
      <w:pPr>
        <w:pStyle w:val="97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（3）电子投标准备：</w:t>
      </w:r>
      <w:r>
        <w:rPr>
          <w:rFonts w:hint="eastAsia" w:ascii="宋体" w:hAnsi="宋体" w:eastAsia="宋体" w:cs="宋体"/>
          <w:color w:val="000000"/>
          <w:szCs w:val="24"/>
          <w:highlight w:val="none"/>
        </w:rPr>
      </w:r>
      <w:r/>
    </w:p>
    <w:p>
      <w:pPr>
        <w:pStyle w:val="97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olor w:val="000000"/>
          <w:szCs w:val="24"/>
          <w:highlight w:val="none"/>
        </w:rPr>
      </w:r>
      <w:r/>
    </w:p>
    <w:p>
      <w:pPr>
        <w:pStyle w:val="97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在系统操作过程中如有疑问，请按以下方式联系：</w:t>
      </w:r>
      <w:r>
        <w:rPr>
          <w:rFonts w:hint="eastAsia" w:ascii="宋体" w:hAnsi="宋体" w:eastAsia="宋体" w:cs="宋体"/>
          <w:color w:val="000000"/>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注册咨询：13914088964；</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苏州市及区县“苏采云”系统使用指导与咨询：联系电话：13914088964、0512-69820854；智能客服：登录苏采云系统后，联系系统右下方智能客服图标进行咨询。</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售价：本项目免费下载电子采购文件。</w:t>
      </w:r>
      <w:r>
        <w:rPr>
          <w:rFonts w:hint="eastAsia" w:ascii="宋体" w:hAnsi="宋体" w:eastAsia="宋体" w:cs="宋体"/>
          <w:color w:val="000000"/>
          <w:sz w:val="24"/>
          <w:szCs w:val="24"/>
          <w:highlight w:val="none"/>
        </w:rPr>
      </w:r>
      <w:r/>
    </w:p>
    <w:p>
      <w:pPr>
        <w:pStyle w:val="94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四、响应文件提交</w:t>
      </w:r>
      <w:r>
        <w:rPr>
          <w:rFonts w:hint="eastAsia" w:ascii="宋体" w:hAnsi="宋体" w:eastAsia="宋体" w:cs="宋体"/>
          <w:b/>
          <w:bCs/>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1、截止时间：</w:t>
      </w:r>
      <w:r>
        <w:rPr>
          <w:rFonts w:hint="eastAsia" w:ascii="宋体" w:hAnsi="宋体" w:eastAsia="宋体" w:cs="宋体"/>
          <w:b/>
          <w:bCs/>
          <w:color w:val="000000"/>
          <w:sz w:val="24"/>
          <w:szCs w:val="24"/>
          <w:highlight w:val="none"/>
        </w:rPr>
        <w:t xml:space="preserve">2026年 </w:t>
      </w:r>
      <w:r>
        <w:rPr>
          <w:rFonts w:hint="eastAsia" w:ascii="宋体" w:hAnsi="宋体" w:eastAsia="宋体" w:cs="宋体"/>
          <w:b/>
          <w:bCs/>
          <w:color w:val="000000"/>
          <w:sz w:val="24"/>
          <w:szCs w:val="24"/>
          <w:highlight w:val="none"/>
          <w:u w:val="none"/>
          <w:lang w:val="en-US" w:eastAsia="zh-CN"/>
        </w:rPr>
        <w:t xml:space="preserve">6 </w:t>
      </w:r>
      <w:r>
        <w:rPr>
          <w:rFonts w:hint="eastAsia" w:ascii="宋体" w:hAnsi="宋体" w:eastAsia="宋体" w:cs="宋体"/>
          <w:b/>
          <w:bCs/>
          <w:color w:val="000000"/>
          <w:sz w:val="24"/>
          <w:szCs w:val="24"/>
          <w:highlight w:val="none"/>
        </w:rPr>
        <w:t xml:space="preserve">月 24</w:t>
      </w:r>
      <w:r>
        <w:rPr>
          <w:rFonts w:hint="eastAsia" w:ascii="宋体" w:hAnsi="宋体" w:eastAsia="宋体" w:cs="宋体"/>
          <w:b/>
          <w:bCs/>
          <w:color w:val="000000"/>
          <w:sz w:val="24"/>
          <w:szCs w:val="24"/>
          <w:highlight w:val="none"/>
        </w:rPr>
        <w:t xml:space="preserve"> 日13点30分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97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w:t>
      </w: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"http://jszfcg.jsczt.cn/）\“开标大厅\”。"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szCs w:val="24"/>
          <w:highlight w:val="none"/>
        </w:rPr>
        <w:t xml:space="preserve">http：//jszfcg.jsczt.cn/）。</w:t>
      </w:r>
      <w:r>
        <w:rPr>
          <w:rFonts w:hint="eastAsia" w:ascii="宋体" w:hAnsi="宋体" w:eastAsia="宋体" w:cs="宋体"/>
          <w:color w:val="000000"/>
          <w:szCs w:val="24"/>
          <w:highlight w:val="none"/>
        </w:rPr>
        <w:fldChar w:fldCharType="end"/>
      </w:r>
      <w:r>
        <w:rPr>
          <w:rFonts w:hint="eastAsia" w:ascii="宋体" w:hAnsi="宋体" w:eastAsia="宋体" w:cs="宋体"/>
          <w:color w:val="000000"/>
          <w:szCs w:val="24"/>
          <w:highlight w:val="none"/>
        </w:rPr>
      </w:r>
      <w:r/>
    </w:p>
    <w:p>
      <w:pPr>
        <w:pStyle w:val="97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3、方式：响应文件网上递交，不需要现场参加采购活动。</w:t>
      </w:r>
      <w:r>
        <w:rPr>
          <w:rFonts w:hint="eastAsia" w:ascii="宋体" w:hAnsi="宋体" w:eastAsia="宋体" w:cs="宋体"/>
          <w:color w:val="000000"/>
          <w:szCs w:val="24"/>
          <w:highlight w:val="none"/>
        </w:rPr>
      </w:r>
      <w:r/>
    </w:p>
    <w:p>
      <w:pPr>
        <w:pStyle w:val="971"/>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五、开启</w:t>
      </w:r>
      <w:r>
        <w:rPr>
          <w:rFonts w:hint="eastAsia" w:ascii="宋体" w:hAnsi="宋体" w:eastAsia="宋体" w:cs="宋体"/>
          <w:b/>
          <w:color w:val="000000"/>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w:t>
      </w:r>
      <w:r>
        <w:rPr>
          <w:rFonts w:hint="eastAsia" w:ascii="宋体" w:hAnsi="宋体" w:eastAsia="宋体" w:cs="宋体"/>
          <w:b/>
          <w:bCs/>
          <w:color w:val="000000"/>
          <w:sz w:val="24"/>
          <w:szCs w:val="24"/>
          <w:highlight w:val="none"/>
        </w:rPr>
        <w:t xml:space="preserve">2026年 </w:t>
      </w: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u w:val="none"/>
          <w:lang w:val="en-US" w:eastAsia="zh-CN"/>
        </w:rPr>
        <w:t xml:space="preserve">6 </w:t>
      </w:r>
      <w:r>
        <w:rPr>
          <w:rFonts w:hint="eastAsia" w:ascii="宋体" w:hAnsi="宋体" w:eastAsia="宋体" w:cs="宋体"/>
          <w:b/>
          <w:bCs/>
          <w:color w:val="000000"/>
          <w:sz w:val="24"/>
          <w:szCs w:val="24"/>
          <w:highlight w:val="none"/>
        </w:rPr>
        <w:t xml:space="preserve">月 24 </w:t>
      </w:r>
      <w:r>
        <w:rPr>
          <w:rFonts w:hint="eastAsia" w:ascii="宋体" w:hAnsi="宋体" w:eastAsia="宋体" w:cs="宋体"/>
          <w:b/>
          <w:bCs/>
          <w:color w:val="000000"/>
          <w:sz w:val="24"/>
          <w:szCs w:val="24"/>
          <w:highlight w:val="none"/>
        </w:rPr>
        <w:t xml:space="preserve">日</w:t>
      </w:r>
      <w: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t xml:space="preserve">13点30分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97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3、线上参加开标（开启）会方式：供应商登录“苏采云”系统，点击“开标大厅”，选择对应项目，点击进入不见面开标系统。 </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本项目为不见面开标（开启）项目，</w:t>
      </w:r>
      <w:r>
        <w:rPr>
          <w:rFonts w:hint="eastAsia" w:ascii="宋体" w:hAnsi="宋体" w:eastAsia="宋体" w:cs="宋体"/>
          <w:b/>
          <w:bCs/>
          <w:color w:val="000000"/>
          <w:sz w:val="24"/>
          <w:szCs w:val="24"/>
          <w:highlight w:val="none"/>
        </w:rPr>
        <w:t xml:space="preserve">开启阶段供应商在【解密环节】必须使用 CA证书解密电子投标（响应）文件，如在“苏采云”系统规定的时间内未能成功解密的视为放弃参与本项目，投标无效。 </w:t>
      </w:r>
      <w:r>
        <w:rPr>
          <w:rFonts w:hint="eastAsia" w:ascii="宋体" w:hAnsi="宋体" w:eastAsia="宋体" w:cs="宋体"/>
          <w:b/>
          <w:bCs/>
          <w:color w:val="000000"/>
          <w:sz w:val="24"/>
          <w:szCs w:val="24"/>
          <w:highlight w:val="none"/>
        </w:rPr>
      </w:r>
      <w:r/>
    </w:p>
    <w:p>
      <w:pPr>
        <w:pStyle w:val="97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请供应商确保电脑、系统及其他设备（视频输入输出设备等）无误，且开启直至项目结束始终保持系统在线状态。</w:t>
      </w:r>
      <w:r>
        <w:rPr>
          <w:rFonts w:hint="eastAsia" w:ascii="宋体" w:hAnsi="宋体" w:eastAsia="宋体" w:cs="宋体"/>
          <w:color w:val="000000"/>
          <w:szCs w:val="24"/>
          <w:highlight w:val="none"/>
        </w:rPr>
      </w:r>
      <w:r/>
    </w:p>
    <w:p>
      <w:pPr>
        <w:pStyle w:val="94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六、公告期限</w:t>
      </w:r>
      <w:r>
        <w:rPr>
          <w:rFonts w:hint="eastAsia" w:ascii="宋体" w:hAnsi="宋体" w:eastAsia="宋体" w:cs="宋体"/>
          <w:b/>
          <w:bCs/>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自本公告发布之日起3个工作日。</w:t>
      </w:r>
      <w:r>
        <w:rPr>
          <w:rFonts w:hint="eastAsia" w:ascii="宋体" w:hAnsi="宋体" w:eastAsia="宋体" w:cs="宋体"/>
          <w:color w:val="000000"/>
          <w:sz w:val="24"/>
          <w:szCs w:val="24"/>
          <w:highlight w:val="none"/>
        </w:rPr>
      </w:r>
      <w:r/>
    </w:p>
    <w:p>
      <w:pPr>
        <w:pStyle w:val="94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七、其他补充事宜</w:t>
      </w:r>
      <w:r>
        <w:rPr>
          <w:rFonts w:hint="eastAsia" w:ascii="宋体" w:hAnsi="宋体" w:eastAsia="宋体" w:cs="宋体"/>
          <w:b/>
          <w:bCs/>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1、采购项目需要落实的政府采购政策：</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促进中小企业发展管理办法》（财库〔2020〕46号）、《关于做好政府采购支持企业发展有关事项的通知》（苏财购〔2020〕52号）及《关于印发＜苏州市政府采购促进中小企业发展实施意见&gt;的通知》（苏财购〔2022〕16号）的规定。</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《关于政府采购支持监狱企业发展有关问题的通知》（财库〔2014〕68号）。</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《关于促进残疾人就业政府采购政策的通知》（财库〔2017〕141号）。</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3、如不同供应商使用同一台电脑制作的电子响应文件的，双方“文件制作机器码”一致的，则其响应文件将被认定为无效响应。</w:t>
      </w:r>
      <w:r>
        <w:rPr>
          <w:rFonts w:hint="eastAsia" w:ascii="宋体" w:hAnsi="宋体" w:eastAsia="宋体" w:cs="宋体"/>
          <w:color w:val="000000"/>
          <w:sz w:val="24"/>
          <w:szCs w:val="24"/>
          <w:highlight w:val="none"/>
          <w:lang w:val="zh-CN"/>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5、政府采购监督电话：0512-68616651。</w:t>
      </w:r>
      <w:r>
        <w:rPr>
          <w:rFonts w:hint="eastAsia" w:ascii="宋体" w:hAnsi="宋体" w:eastAsia="宋体" w:cs="宋体"/>
          <w:b/>
          <w:bCs/>
          <w:color w:val="000000"/>
          <w:sz w:val="24"/>
          <w:szCs w:val="24"/>
          <w:highlight w:val="none"/>
        </w:rPr>
      </w:r>
      <w:r/>
    </w:p>
    <w:p>
      <w:pPr>
        <w:pStyle w:val="94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八、凡对本次采购提出询问，请按以下方式联系。</w:t>
      </w:r>
      <w:r>
        <w:rPr>
          <w:rFonts w:hint="eastAsia" w:ascii="宋体" w:hAnsi="宋体" w:eastAsia="宋体" w:cs="宋体"/>
          <w:b/>
          <w:bCs/>
          <w:color w:val="000000"/>
          <w:sz w:val="24"/>
          <w:szCs w:val="24"/>
          <w:highlight w:val="none"/>
        </w:rPr>
      </w:r>
      <w:r/>
    </w:p>
    <w:p>
      <w:pPr>
        <w:pStyle w:val="947"/>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1、采购人信息：</w:t>
      </w:r>
      <w:r>
        <w:rPr>
          <w:rFonts w:hint="eastAsia" w:ascii="宋体" w:hAnsi="宋体" w:eastAsia="宋体" w:cs="Times New Roman"/>
          <w:color w:val="000000"/>
          <w:sz w:val="24"/>
          <w:szCs w:val="24"/>
          <w:highlight w:val="none"/>
        </w:rPr>
      </w:r>
      <w:r/>
    </w:p>
    <w:p>
      <w:pPr>
        <w:pStyle w:val="947"/>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rPr>
          <w:rFonts w:hint="eastAsia" w:ascii="宋体" w:hAnsi="宋体" w:eastAsia="宋体" w:cs="Times New Roman"/>
          <w:color w:val="000000"/>
          <w:sz w:val="24"/>
          <w:szCs w:val="24"/>
          <w:highlight w:val="none"/>
          <w:lang w:eastAsia="zh-CN"/>
        </w:rPr>
        <w:t xml:space="preserve">苏州丝绸博物馆</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47"/>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地址：苏州市人民路2001号。</w:t>
      </w:r>
      <w:r>
        <w:rPr>
          <w:rFonts w:hint="eastAsia" w:ascii="宋体" w:hAnsi="宋体" w:eastAsia="宋体" w:cs="Times New Roman"/>
          <w:color w:val="000000"/>
          <w:sz w:val="24"/>
          <w:szCs w:val="24"/>
          <w:highlight w:val="none"/>
        </w:rPr>
      </w:r>
      <w:r/>
    </w:p>
    <w:p>
      <w:pPr>
        <w:pStyle w:val="947"/>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联系方式：电话</w:t>
      </w:r>
      <w:r>
        <w:rPr>
          <w:rFonts w:hint="eastAsia" w:ascii="宋体" w:hAnsi="宋体" w:eastAsia="宋体" w:cs="Times New Roman"/>
          <w:color w:val="000000"/>
          <w:sz w:val="24"/>
          <w:szCs w:val="24"/>
          <w:highlight w:val="none"/>
          <w:lang w:eastAsia="zh-CN"/>
        </w:rPr>
        <w:t xml:space="preserve">0512-68132309</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47"/>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2、采购代理机构信息：</w:t>
      </w:r>
      <w:r>
        <w:rPr>
          <w:rFonts w:hint="eastAsia" w:ascii="宋体" w:hAnsi="宋体" w:eastAsia="宋体" w:cs="Times New Roman"/>
          <w:color w:val="000000"/>
          <w:sz w:val="24"/>
          <w:szCs w:val="24"/>
          <w:highlight w:val="none"/>
        </w:rPr>
      </w:r>
      <w:r/>
    </w:p>
    <w:p>
      <w:pPr>
        <w:pStyle w:val="947"/>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名称：苏州正杰招投标咨询服务有限公司。</w:t>
      </w:r>
      <w:r>
        <w:rPr>
          <w:rFonts w:hint="eastAsia" w:ascii="宋体" w:hAnsi="宋体" w:eastAsia="宋体" w:cs="Times New Roman"/>
          <w:color w:val="000000"/>
          <w:sz w:val="24"/>
          <w:szCs w:val="24"/>
          <w:highlight w:val="none"/>
        </w:rPr>
      </w:r>
      <w:r/>
    </w:p>
    <w:p>
      <w:pPr>
        <w:pStyle w:val="947"/>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地址：苏州市平泷路251号苏州城市生活广场B座1557室。</w:t>
      </w:r>
      <w:r>
        <w:rPr>
          <w:rFonts w:hint="eastAsia" w:ascii="宋体" w:hAnsi="宋体" w:eastAsia="宋体" w:cs="Times New Roman"/>
          <w:color w:val="000000"/>
          <w:sz w:val="24"/>
          <w:szCs w:val="24"/>
          <w:highlight w:val="none"/>
        </w:rPr>
      </w:r>
      <w:r/>
    </w:p>
    <w:p>
      <w:pPr>
        <w:pStyle w:val="947"/>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联系方式：电话0512-62826523。</w:t>
      </w:r>
      <w:r>
        <w:rPr>
          <w:rFonts w:hint="eastAsia" w:ascii="宋体" w:hAnsi="宋体" w:eastAsia="宋体" w:cs="Times New Roman"/>
          <w:color w:val="000000"/>
          <w:sz w:val="24"/>
          <w:szCs w:val="24"/>
          <w:highlight w:val="none"/>
        </w:rPr>
      </w:r>
      <w:r/>
    </w:p>
    <w:p>
      <w:pPr>
        <w:pStyle w:val="947"/>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3、项目联系方式</w:t>
      </w:r>
      <w:r>
        <w:rPr>
          <w:rFonts w:hint="eastAsia" w:ascii="宋体" w:hAnsi="宋体" w:eastAsia="宋体" w:cs="Times New Roman"/>
          <w:color w:val="000000"/>
          <w:sz w:val="24"/>
          <w:szCs w:val="24"/>
          <w:highlight w:val="none"/>
        </w:rPr>
      </w:r>
      <w:r/>
    </w:p>
    <w:p>
      <w:pPr>
        <w:pStyle w:val="947"/>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（1）采购人：</w:t>
      </w:r>
      <w:r>
        <w:rPr>
          <w:rFonts w:hint="eastAsia" w:ascii="宋体" w:hAnsi="宋体" w:eastAsia="宋体" w:cs="Times New Roman"/>
          <w:color w:val="000000"/>
          <w:sz w:val="24"/>
          <w:szCs w:val="24"/>
          <w:highlight w:val="none"/>
        </w:rPr>
      </w:r>
      <w:r/>
    </w:p>
    <w:p>
      <w:pPr>
        <w:pStyle w:val="947"/>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项目联系人：冯璟。</w:t>
      </w:r>
      <w:r>
        <w:rPr>
          <w:rFonts w:hint="eastAsia" w:ascii="宋体" w:hAnsi="宋体" w:eastAsia="宋体" w:cs="Times New Roman"/>
          <w:color w:val="000000"/>
          <w:sz w:val="24"/>
          <w:szCs w:val="24"/>
          <w:highlight w:val="none"/>
        </w:rPr>
      </w:r>
      <w:r/>
    </w:p>
    <w:p>
      <w:pPr>
        <w:pStyle w:val="947"/>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电话：</w:t>
      </w:r>
      <w:r>
        <w:rPr>
          <w:rFonts w:hint="eastAsia" w:ascii="宋体" w:hAnsi="宋体" w:eastAsia="宋体" w:cs="Times New Roman"/>
          <w:color w:val="000000"/>
          <w:sz w:val="24"/>
          <w:szCs w:val="24"/>
          <w:highlight w:val="none"/>
          <w:lang w:eastAsia="zh-CN"/>
        </w:rPr>
        <w:t xml:space="preserve">0512-68132309</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47"/>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（2）采购代理机构：</w:t>
      </w:r>
      <w:r>
        <w:rPr>
          <w:rFonts w:hint="eastAsia" w:ascii="宋体" w:hAnsi="宋体" w:eastAsia="宋体" w:cs="Times New Roman"/>
          <w:color w:val="000000"/>
          <w:sz w:val="24"/>
          <w:szCs w:val="24"/>
          <w:highlight w:val="none"/>
        </w:rPr>
      </w:r>
      <w:r/>
    </w:p>
    <w:p>
      <w:pPr>
        <w:pStyle w:val="947"/>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项目联系人：沈鹰、陈晓梦、</w:t>
      </w:r>
      <w:r>
        <w:rPr>
          <w:rFonts w:hint="eastAsia" w:ascii="宋体" w:hAnsi="宋体" w:eastAsia="宋体" w:cs="Times New Roman"/>
          <w:color w:val="000000"/>
          <w:sz w:val="24"/>
          <w:szCs w:val="24"/>
          <w:highlight w:val="none"/>
          <w:lang w:val="en-US" w:eastAsia="zh-CN"/>
        </w:rPr>
        <w:t xml:space="preserve">徐杰、</w:t>
      </w:r>
      <w:r>
        <w:rPr>
          <w:rFonts w:hint="eastAsia" w:ascii="宋体" w:hAnsi="宋体" w:eastAsia="宋体" w:cs="Times New Roman"/>
          <w:color w:val="000000"/>
          <w:sz w:val="24"/>
          <w:szCs w:val="24"/>
          <w:highlight w:val="none"/>
        </w:rPr>
        <w:t xml:space="preserve">刘木兰。</w:t>
      </w:r>
      <w:r>
        <w:rPr>
          <w:rFonts w:hint="eastAsia" w:ascii="宋体" w:hAnsi="宋体" w:eastAsia="宋体" w:cs="Times New Roman"/>
          <w:color w:val="000000"/>
          <w:sz w:val="24"/>
          <w:szCs w:val="24"/>
          <w:highlight w:val="none"/>
        </w:rPr>
      </w:r>
      <w:r/>
    </w:p>
    <w:p>
      <w:pPr>
        <w:pStyle w:val="947"/>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电话：0512-62826523。</w:t>
      </w:r>
      <w:r>
        <w:rPr>
          <w:rFonts w:hint="eastAsia" w:ascii="宋体" w:hAnsi="宋体" w:eastAsia="宋体" w:cs="Times New Roman"/>
          <w:color w:val="000000"/>
          <w:sz w:val="24"/>
          <w:szCs w:val="24"/>
          <w:highlight w:val="none"/>
        </w:rPr>
      </w:r>
      <w:r/>
    </w:p>
    <w:p>
      <w:pPr>
        <w:pStyle w:val="97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9"/>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9"/>
        <w:numPr>
          <w:ilvl w:val="0"/>
          <w:numId w:val="1"/>
        </w:num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响应须知</w:t>
      </w:r>
      <w:r>
        <w:rPr>
          <w:rFonts w:hint="eastAsia" w:ascii="宋体" w:hAnsi="宋体" w:eastAsia="宋体" w:cs="宋体"/>
          <w:b/>
          <w:bCs/>
          <w:color w:val="000000"/>
          <w:sz w:val="24"/>
          <w:szCs w:val="24"/>
          <w:highlight w:val="none"/>
        </w:rPr>
      </w:r>
      <w:r/>
    </w:p>
    <w:p>
      <w:pPr>
        <w:pStyle w:val="979"/>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1、总则</w:t>
      </w:r>
      <w:r>
        <w:rPr>
          <w:rFonts w:hint="eastAsia" w:ascii="宋体" w:hAnsi="宋体" w:eastAsia="宋体" w:cs="宋体"/>
          <w:b/>
          <w:bCs/>
          <w:color w:val="000000"/>
          <w:sz w:val="24"/>
          <w:szCs w:val="24"/>
          <w:highlight w:val="none"/>
        </w:rPr>
      </w:r>
      <w:r/>
    </w:p>
    <w:p>
      <w:pPr>
        <w:pStyle w:val="94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1.1响应单位资格要求</w:t>
      </w:r>
      <w:r>
        <w:rPr>
          <w:rFonts w:hint="eastAsia" w:ascii="宋体" w:hAnsi="宋体" w:eastAsia="宋体" w:cs="宋体"/>
          <w:b/>
          <w:bCs/>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1.1.1详见第一章</w:t>
      </w:r>
      <w:r>
        <w:rPr>
          <w:rFonts w:hint="eastAsia" w:ascii="宋体" w:hAnsi="宋体" w:eastAsia="宋体" w:cs="宋体"/>
          <w:bCs/>
          <w:color w:val="000000"/>
          <w:sz w:val="24"/>
          <w:szCs w:val="24"/>
          <w:highlight w:val="none"/>
        </w:rPr>
        <w:t xml:space="preserve">竞争性磋商邀请函</w:t>
      </w:r>
      <w:r>
        <w:rPr>
          <w:rFonts w:hint="eastAsia" w:ascii="宋体" w:hAnsi="宋体" w:eastAsia="宋体" w:cs="宋体"/>
          <w:color w:val="000000"/>
          <w:sz w:val="24"/>
          <w:szCs w:val="24"/>
          <w:highlight w:val="none"/>
        </w:rPr>
        <w:t xml:space="preserve">中“二、申请人的资格要求”。</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1.1.2响应单位不得存在下列情形之一：</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（1）苏州市财政局《关于印发苏州市市级政府采购信用记录查询和使用工作试行办法的通知》（苏财购（2017）11号）文件规定应拒绝的失信信息。</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（2）为采购项目提供整体设计、规范编制或者项目管理、监理、监测等服务的供应商，不得再参加该采购项目的其他采购活动；本项目的此类供应商是：无。</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1.1.3联合体投标：若第一章竞争性磋商邀请函规定接受联合体投标的，联合体除应符合上述资格要求外，还应遵守以下规定：</w:t>
      </w:r>
      <w:r>
        <w:rPr>
          <w:rFonts w:hint="eastAsia" w:ascii="宋体" w:hAnsi="宋体" w:eastAsia="宋体" w:cs="宋体"/>
          <w:color w:val="000000"/>
          <w:sz w:val="24"/>
          <w:szCs w:val="24"/>
          <w:highlight w:val="none"/>
        </w:rPr>
      </w:r>
      <w:r/>
    </w:p>
    <w:p>
      <w:pPr>
        <w:pStyle w:val="94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（1）联合体各方应当向采购人提交联合体协议书，载明联合体各方承担的工作和义务，否则投标无效。</w:t>
      </w:r>
      <w:r>
        <w:rPr>
          <w:rFonts w:hint="eastAsia" w:ascii="宋体" w:hAnsi="宋体" w:eastAsia="宋体" w:cs="宋体"/>
          <w:b/>
          <w:bCs/>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（2）联合体中有同类资质的供应商按照联合体分工承担相同工作的，应当按照资质等级较低的供应商确定资质等级。</w:t>
      </w:r>
      <w:r>
        <w:rPr>
          <w:rFonts w:hint="eastAsia" w:ascii="宋体" w:hAnsi="宋体" w:eastAsia="宋体" w:cs="宋体"/>
          <w:color w:val="000000"/>
          <w:sz w:val="24"/>
          <w:szCs w:val="24"/>
          <w:highlight w:val="none"/>
        </w:rPr>
      </w:r>
      <w:r/>
    </w:p>
    <w:p>
      <w:pPr>
        <w:pStyle w:val="94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（3）联合体各方不得再单独参加或者与其他供应商另外组成联合体参加同一合同项下的政府采购活动，否则各相关投标均无效。</w:t>
      </w:r>
      <w:r>
        <w:rPr>
          <w:rFonts w:hint="eastAsia" w:ascii="宋体" w:hAnsi="宋体" w:eastAsia="宋体" w:cs="宋体"/>
          <w:b/>
          <w:bCs/>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（4）联合体各方应当共同与采购人签订采购合同，就采购合同约定的事项对采购人承担连带责任。</w:t>
      </w:r>
      <w:r>
        <w:rPr>
          <w:rFonts w:hint="eastAsia" w:ascii="宋体" w:hAnsi="宋体" w:eastAsia="宋体" w:cs="宋体"/>
          <w:color w:val="000000"/>
          <w:sz w:val="24"/>
          <w:szCs w:val="24"/>
          <w:highlight w:val="none"/>
        </w:rPr>
      </w:r>
      <w:r/>
    </w:p>
    <w:p>
      <w:pPr>
        <w:pStyle w:val="947"/>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 转包</w:t>
      </w:r>
      <w:r>
        <w:rPr>
          <w:rFonts w:hint="eastAsia" w:ascii="宋体" w:hAnsi="宋体" w:eastAsia="宋体" w:cs="宋体"/>
          <w:b/>
          <w:bCs/>
          <w:color w:val="000000"/>
          <w:sz w:val="24"/>
          <w:szCs w:val="24"/>
          <w:highlight w:val="none"/>
        </w:rPr>
      </w:r>
      <w:r/>
    </w:p>
    <w:p>
      <w:pPr>
        <w:pStyle w:val="947"/>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本项目不允许转包。</w:t>
      </w:r>
      <w:r>
        <w:rPr>
          <w:rFonts w:hint="eastAsia" w:ascii="宋体" w:hAnsi="宋体" w:eastAsia="宋体" w:cs="宋体"/>
          <w:color w:val="000000"/>
          <w:sz w:val="24"/>
          <w:szCs w:val="24"/>
          <w:highlight w:val="none"/>
        </w:rPr>
      </w:r>
      <w:r/>
    </w:p>
    <w:p>
      <w:pPr>
        <w:pStyle w:val="947"/>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1.3投标费用</w:t>
      </w:r>
      <w:r>
        <w:rPr>
          <w:rFonts w:hint="eastAsia" w:ascii="宋体" w:hAnsi="宋体" w:eastAsia="宋体" w:cs="宋体"/>
          <w:b/>
          <w:bCs/>
          <w:color w:val="000000"/>
          <w:sz w:val="24"/>
          <w:szCs w:val="24"/>
          <w:highlight w:val="none"/>
        </w:rPr>
      </w:r>
      <w:r/>
    </w:p>
    <w:p>
      <w:pPr>
        <w:pStyle w:val="947"/>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1.3.1供应商应自行承担所有准备及参加投标的相关费用。</w:t>
      </w:r>
      <w:r>
        <w:rPr>
          <w:rFonts w:hint="eastAsia" w:ascii="宋体" w:hAnsi="宋体" w:eastAsia="宋体" w:cs="宋体"/>
          <w:color w:val="000000"/>
          <w:sz w:val="24"/>
          <w:szCs w:val="24"/>
          <w:highlight w:val="none"/>
        </w:rPr>
      </w:r>
      <w:r/>
    </w:p>
    <w:p>
      <w:pPr>
        <w:pStyle w:val="947"/>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 保密</w:t>
      </w:r>
      <w:r>
        <w:rPr>
          <w:rFonts w:hint="eastAsia" w:ascii="宋体" w:hAnsi="宋体" w:eastAsia="宋体" w:cs="宋体"/>
          <w:b/>
          <w:bCs/>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参与采购活动的各方应对采购文件和响应文件中的商业和技术等秘密保密，否则应承担相应的法律责任。</w:t>
      </w:r>
      <w:r>
        <w:rPr>
          <w:rFonts w:hint="eastAsia" w:ascii="宋体" w:hAnsi="宋体" w:eastAsia="宋体" w:cs="宋体"/>
          <w:color w:val="000000"/>
          <w:sz w:val="24"/>
          <w:szCs w:val="24"/>
          <w:highlight w:val="none"/>
        </w:rPr>
      </w:r>
      <w:r/>
    </w:p>
    <w:p>
      <w:pPr>
        <w:pStyle w:val="947"/>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语言文字</w:t>
      </w:r>
      <w:r>
        <w:rPr>
          <w:rFonts w:hint="eastAsia" w:ascii="宋体" w:hAnsi="宋体" w:eastAsia="宋体" w:cs="宋体"/>
          <w:b/>
          <w:bCs/>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rPr>
          <w:rFonts w:hint="eastAsia" w:ascii="宋体" w:hAnsi="宋体" w:eastAsia="宋体" w:cs="宋体"/>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1.6计量单位</w:t>
      </w:r>
      <w:r>
        <w:rPr>
          <w:rFonts w:hint="eastAsia" w:ascii="宋体" w:hAnsi="宋体" w:eastAsia="宋体" w:cs="宋体"/>
          <w:b/>
          <w:bCs/>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除采购文件有特殊要求外，所有计量均采用中华人民共和国法定计量单位。</w:t>
      </w:r>
      <w:r>
        <w:rPr>
          <w:rFonts w:hint="eastAsia" w:ascii="宋体" w:hAnsi="宋体" w:eastAsia="宋体" w:cs="宋体"/>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1.7知识产权</w:t>
      </w:r>
      <w:r>
        <w:rPr>
          <w:rFonts w:hint="eastAsia" w:ascii="宋体" w:hAnsi="宋体" w:eastAsia="宋体" w:cs="宋体"/>
          <w:b/>
          <w:bCs/>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2.采购文件的说明</w:t>
      </w:r>
      <w:r>
        <w:rPr>
          <w:rFonts w:hint="eastAsia" w:ascii="宋体" w:hAnsi="宋体" w:eastAsia="宋体" w:cs="宋体"/>
          <w:b/>
          <w:bCs/>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2.1采购文件的获取</w:t>
      </w:r>
      <w:r>
        <w:rPr>
          <w:rFonts w:hint="eastAsia" w:ascii="宋体" w:hAnsi="宋体" w:eastAsia="宋体" w:cs="宋体"/>
          <w:b/>
          <w:bCs/>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见第一章竞争性磋商邀请函。</w:t>
      </w:r>
      <w:r>
        <w:rPr>
          <w:rFonts w:hint="eastAsia" w:ascii="宋体" w:hAnsi="宋体" w:eastAsia="宋体" w:cs="宋体"/>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2.2采购文件的询问</w:t>
      </w:r>
      <w:r>
        <w:rPr>
          <w:rFonts w:hint="eastAsia" w:ascii="宋体" w:hAnsi="宋体" w:eastAsia="宋体" w:cs="宋体"/>
          <w:b/>
          <w:bCs/>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供应商在收到磋商文件后，若有问题需要询问，应于下载磋商文件后，可通过公告中的联系方式及时提出，采购人或采购代理机构将予以解答。</w:t>
      </w:r>
      <w:r>
        <w:rPr>
          <w:rFonts w:hint="eastAsia" w:ascii="宋体" w:hAnsi="宋体" w:eastAsia="宋体" w:cs="宋体"/>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2.3采购文件的澄清或修改</w:t>
      </w:r>
      <w:r>
        <w:rPr>
          <w:rFonts w:hint="eastAsia" w:ascii="宋体" w:hAnsi="宋体" w:eastAsia="宋体" w:cs="宋体"/>
          <w:b/>
          <w:bCs/>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2.3.2为保证供应商有足够时间修正响应文件，或出于其他合理原因，采购人或采购代理机构可依法顺延响应截止时间和开启时间。</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2.3.4采购文件的澄清、修改、补充等内容均以苏州市政府采购网上发布的内容为准。</w:t>
      </w:r>
      <w:r>
        <w:rPr>
          <w:rFonts w:hint="eastAsia" w:ascii="宋体" w:hAnsi="宋体" w:eastAsia="宋体" w:cs="宋体"/>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3.响应文件说明</w:t>
      </w:r>
      <w:r>
        <w:rPr>
          <w:rFonts w:hint="eastAsia" w:ascii="宋体" w:hAnsi="宋体" w:eastAsia="宋体" w:cs="宋体"/>
          <w:b/>
          <w:bCs/>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响应单位应详细阅读采购文件的全部内容，不按采购文件的要求提供的响应文件和资料，其风险由响应单位自行承担，并根据有关条款规定，可能导致响应无效。</w:t>
      </w:r>
      <w:r>
        <w:rPr>
          <w:rFonts w:hint="eastAsia" w:ascii="宋体" w:hAnsi="宋体" w:eastAsia="宋体" w:cs="宋体"/>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3.1磋商保证金：无。</w:t>
      </w:r>
      <w:r>
        <w:rPr>
          <w:rFonts w:hint="eastAsia" w:ascii="宋体" w:hAnsi="宋体" w:eastAsia="宋体" w:cs="宋体"/>
          <w:b/>
          <w:bCs/>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3.2响应文件的组成</w:t>
      </w:r>
      <w:r>
        <w:rPr>
          <w:rFonts w:hint="eastAsia" w:ascii="宋体" w:hAnsi="宋体" w:eastAsia="宋体" w:cs="宋体"/>
          <w:b/>
          <w:bCs/>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3.2.1封面；</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3.2.2开标一览表（格式见第三章）；</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3.2.3磋商响应明细报价表（格式见第三章）；</w:t>
      </w:r>
      <w:r>
        <w:rPr>
          <w:rFonts w:hint="eastAsia" w:ascii="宋体" w:hAnsi="宋体" w:eastAsia="宋体" w:cs="宋体"/>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3.2.4资格审查响应文件：</w:t>
      </w:r>
      <w:r>
        <w:rPr>
          <w:rFonts w:hint="eastAsia" w:ascii="宋体" w:hAnsi="宋体" w:eastAsia="宋体" w:cs="宋体"/>
          <w:b/>
          <w:bCs/>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3.2.4.1供应商的资格要求：</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（1）具有独立承担民事责任的能力的材料复印件：包括法人或者其他组织的营业执照等证明文件，自然人的身份证明；</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（2）具有良好的商业信誉和健全的财务会计制度的材料：包括但不限于法人提供2025年度经审计的财务报告或基本开户银行在本年度内出具的资信证明复印件；</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（3）具有履行合同所必需的设备和专业技术能力的证明材料复印件或承诺；</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（5）参加政府采购活动前三年内，在经营活动中没有出现重大违法记录的书面声明函；</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（6）按照相关法律法规参与本项目所必须取得国家有关主管部门的行政许可证明资料复印件（如有须提供）；</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3.2.4.2其他有关资格证明的文件（若有）。</w:t>
      </w:r>
      <w:r>
        <w:rPr>
          <w:rFonts w:hint="eastAsia" w:ascii="宋体" w:hAnsi="宋体" w:eastAsia="宋体" w:cs="宋体"/>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3.2.5符合性审查响应文件：</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3.2.5.1磋商响应函（格式见第三章）；</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3.2.5.2关于资格文件的声明函（格式见第三章）；</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3.2.5.3法定代表人身份证复印件；</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3.2.5.4法定代表人授权委托书及授权委托人身份证复印件（如有授权，格式见第三章）；</w:t>
      </w:r>
      <w:r>
        <w:rPr>
          <w:rFonts w:hint="eastAsia" w:ascii="宋体" w:hAnsi="宋体" w:eastAsia="宋体" w:cs="宋体"/>
          <w:b/>
          <w:bCs/>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3.2.5.5</w:t>
      </w:r>
      <w:r>
        <w:rPr>
          <w:rFonts w:hint="eastAsia" w:ascii="宋体" w:hAnsi="宋体" w:eastAsia="宋体" w:cs="宋体"/>
          <w:color w:val="000000"/>
          <w:sz w:val="24"/>
          <w:szCs w:val="24"/>
          <w:highlight w:val="none"/>
          <w:lang w:val="en-US" w:eastAsia="zh-CN"/>
        </w:rPr>
        <w:t xml:space="preserve">未被“信用中国”及“中国政府采购网”列入失信被执行人、重大税收违法案件当事人名单、政府采购严重失信行为记录名单的查询记录页面截图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3.2.5.6对属于《节能产品政府采购品目清单》政府强制采购产品的，须提供该产品有效期内的认证等相关证明材料（若有）；</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3.2.5.7其他有关符合性证明的文件（若有）。</w:t>
      </w:r>
      <w:r>
        <w:rPr>
          <w:rFonts w:hint="eastAsia" w:ascii="宋体" w:hAnsi="宋体" w:eastAsia="宋体" w:cs="宋体"/>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3.2.6综合评审响应文件（见第六章）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3.2.6.1采购需求、评审方法及评审标准中所涉及到的其他材料、证明等；</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3.2.6.2</w:t>
      </w:r>
      <w:r>
        <w:rPr>
          <w:rFonts w:hint="eastAsia" w:ascii="宋体" w:hAnsi="宋体" w:eastAsia="宋体" w:cs="宋体"/>
          <w:color w:val="000000"/>
          <w:sz w:val="24"/>
          <w:szCs w:val="24"/>
          <w:highlight w:val="none"/>
        </w:rPr>
        <w:t xml:space="preserve">《关于符合本国产品标准的声明函》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3.2.7与本次采购相关的其他证明材料。</w:t>
      </w:r>
      <w:r>
        <w:rPr>
          <w:rFonts w:hint="eastAsia" w:ascii="宋体" w:hAnsi="宋体" w:eastAsia="宋体" w:cs="宋体"/>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以上3.2.2-3.2.3项为供应商报价的依据，响应供应商必须提供并加盖电子公章，否则，磋商响应文件将被认定为未实质性响应。</w:t>
      </w:r>
      <w:r>
        <w:rPr>
          <w:rFonts w:hint="eastAsia" w:ascii="宋体" w:hAnsi="宋体" w:eastAsia="宋体" w:cs="宋体"/>
          <w:b/>
          <w:bCs/>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以上3.2.4.1-3.2.4.2项为资格审查提供的资料，是作为对供应商资格审查、质疑身份认定的依据，响应供应商必须提供并加盖电子公章，否则，磋商响应文件将被认定为不符合资格审查要求。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以上3.2.5.1-3.2.5.4为符合性审查必须提供的资料，响应供应商必须提供并加盖电子公章，否则，磋商响应文件将被认定为未实质性响应。</w:t>
      </w:r>
      <w:r>
        <w:rPr>
          <w:rFonts w:hint="eastAsia" w:ascii="宋体" w:hAnsi="宋体" w:eastAsia="宋体" w:cs="宋体"/>
          <w:b/>
          <w:bCs/>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制作电子响应文件时需与响应文件制作软件目录一一对应，将相关资料上传至相应模块。</w:t>
      </w:r>
      <w:r>
        <w:rPr>
          <w:rFonts w:hint="eastAsia" w:ascii="宋体" w:hAnsi="宋体" w:eastAsia="宋体" w:cs="宋体"/>
          <w:b/>
          <w:bCs/>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供应商应保证上传的响应文件完整、清晰可辨认，若因上传资料过小或模糊不清等无法辨认的都视为该资料未提供。</w:t>
      </w:r>
      <w:r>
        <w:rPr>
          <w:rFonts w:hint="eastAsia" w:ascii="宋体" w:hAnsi="宋体" w:eastAsia="宋体" w:cs="宋体"/>
          <w:b/>
          <w:bCs/>
          <w:color w:val="000000"/>
          <w:sz w:val="24"/>
          <w:szCs w:val="24"/>
          <w:highlight w:val="none"/>
        </w:rPr>
      </w:r>
      <w:r/>
    </w:p>
    <w:p>
      <w:pPr>
        <w:pStyle w:val="947"/>
        <w:ind w:firstLine="472"/>
        <w:spacing w:line="360" w:lineRule="auto"/>
        <w:tabs>
          <w:tab w:val="left" w:pos="540" w:leader="none"/>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如供应商响应文件中某些条款不响应磋商文件提出的全部服务内容与要求，须在响应文件中逐条列出，未列出的视同响应。</w:t>
      </w:r>
      <w:r>
        <w:rPr>
          <w:rFonts w:hint="eastAsia" w:ascii="宋体" w:hAnsi="宋体" w:eastAsia="宋体" w:cs="宋体"/>
          <w:b/>
          <w:bCs/>
          <w:color w:val="000000"/>
          <w:sz w:val="24"/>
          <w:szCs w:val="24"/>
          <w:highlight w:val="none"/>
        </w:rPr>
      </w:r>
      <w:r/>
    </w:p>
    <w:p>
      <w:pPr>
        <w:pStyle w:val="947"/>
        <w:ind w:firstLine="482"/>
        <w:spacing w:line="360" w:lineRule="auto"/>
        <w:tabs>
          <w:tab w:val="left" w:pos="142" w:leader="none"/>
          <w:tab w:val="left" w:pos="600" w:leader="none"/>
        </w:tabs>
        <w:rPr>
          <w:rFonts w:hint="eastAsia" w:ascii="宋体" w:hAnsi="宋体" w:eastAsia="宋体" w:cs="宋体"/>
          <w:color w:val="000000"/>
          <w:highlight w:val="none"/>
        </w:rPr>
      </w:pPr>
      <w:r>
        <w:rPr>
          <w:rFonts w:hint="eastAsia" w:ascii="宋体" w:hAnsi="宋体" w:eastAsia="宋体" w:cs="宋体"/>
          <w:b/>
          <w:color w:val="000000"/>
          <w:sz w:val="24"/>
          <w:szCs w:val="24"/>
          <w:highlight w:val="none"/>
        </w:rPr>
        <w:t xml:space="preserve">如不同供应商使用同一台电脑制作的电子响应文件的，双方“文件制作机器码”一致的，则其响应文件将被认定为无效响应。</w:t>
      </w:r>
      <w:r>
        <w:rPr>
          <w:rFonts w:hint="eastAsia" w:ascii="宋体" w:hAnsi="宋体" w:eastAsia="宋体" w:cs="宋体"/>
          <w:color w:val="000000"/>
          <w:highlight w:val="none"/>
        </w:rPr>
      </w:r>
      <w:r/>
    </w:p>
    <w:p>
      <w:pPr>
        <w:pStyle w:val="947"/>
        <w:ind w:left="525"/>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3.3响应报价</w:t>
      </w:r>
      <w:r>
        <w:rPr>
          <w:rFonts w:hint="eastAsia" w:ascii="宋体" w:hAnsi="宋体" w:eastAsia="宋体" w:cs="宋体"/>
          <w:bCs/>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3.3.1响应报价应包括完成本采购项目全部内容的一切费用，除非合同条款中另有规定，响应单位所报价格在合同实施期间不因市场变化因素而变动。</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3.3.2如果采购文件要求分标段投标的，则供应商可以根据自身经营许可范围，选择响应其中部分或者全部标段，但各标段应分别计算填写单价和总价。</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3.3.3供应商应对所投项目的全部内容进行报价，只对其中部分内容报价的，其响应无效。</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3.3.4一项采购内容只允许一个报价，任何有选择性响应报价的，其响应无效。</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3.2.5响应文件报价中的单价和总价全部采用人民币表示，除非另有规定。</w:t>
      </w:r>
      <w:r>
        <w:rPr>
          <w:rFonts w:hint="eastAsia" w:ascii="宋体" w:hAnsi="宋体" w:eastAsia="宋体" w:cs="宋体"/>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3.3.6任意一次报价（包括首次报价、最后报价）超过磋商文件中规定的预算金额或者最高限价的，其响应文件按无效文件处理。</w:t>
      </w:r>
      <w:r>
        <w:rPr>
          <w:rFonts w:hint="eastAsia" w:ascii="宋体" w:hAnsi="宋体" w:eastAsia="宋体" w:cs="宋体"/>
          <w:b/>
          <w:bCs/>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3.3.7除因磋商文件修改导致成本增加外，供应商最后报价超过首次报价的（响应文件中的报价），其响应文件按无效文件处理。</w:t>
      </w:r>
      <w:r>
        <w:rPr>
          <w:rFonts w:hint="eastAsia" w:ascii="宋体" w:hAnsi="宋体" w:eastAsia="宋体" w:cs="宋体"/>
          <w:b/>
          <w:bCs/>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3.3.8报价的大写金额和小写金额不一致的，以大写金额为准。</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3.3.9单价金额小数点或者百分比有明显错位的，以该次报价总价为准。</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3.3.10总价金额与按单价汇总金额不一致的，以单价金额计算结果为准。</w:t>
      </w:r>
      <w:r>
        <w:rPr>
          <w:rFonts w:hint="eastAsia" w:ascii="宋体" w:hAnsi="宋体" w:eastAsia="宋体" w:cs="宋体"/>
          <w:color w:val="000000"/>
          <w:sz w:val="24"/>
          <w:szCs w:val="24"/>
          <w:highlight w:val="none"/>
        </w:rPr>
      </w:r>
      <w:r/>
    </w:p>
    <w:p>
      <w:pPr>
        <w:pStyle w:val="947"/>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3.4电子响应文件的编制与提交</w:t>
      </w:r>
      <w:r>
        <w:rPr>
          <w:rFonts w:hint="eastAsia" w:ascii="宋体" w:hAnsi="宋体" w:eastAsia="宋体" w:cs="宋体"/>
          <w:b/>
          <w:color w:val="000000"/>
          <w:sz w:val="24"/>
          <w:szCs w:val="24"/>
          <w:highlight w:val="none"/>
        </w:rPr>
      </w:r>
      <w:r/>
    </w:p>
    <w:p>
      <w:pPr>
        <w:pStyle w:val="94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3.4.1响应文件编制要求：本项目为网上招投标项目，请供应商插入CA 证书登录“苏采云”系统下载客户端（参与项目页面可下载客户端及客户端使用说明），在客户端编制电子响应文件并进行CA加密。操作步骤详见“苏采云”系统页面提示和《操作手册》。</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3.4.3响应文件未按照磋商文件要求加盖CA电子公章的，响应无效。</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3.5响应文件的开启（解密）</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3.5.1线上参加（观看）开标（开启）会方式：登录苏采云系统，点击“开标大厅”，选择对应项目。</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000000"/>
          <w:sz w:val="24"/>
          <w:szCs w:val="24"/>
          <w:highlight w:val="none"/>
        </w:rPr>
        <w:t xml:space="preserve">否则导致的对供应商不利的后果由供应商自行承担。</w:t>
      </w:r>
      <w:r>
        <w:rPr>
          <w:rFonts w:hint="eastAsia" w:ascii="宋体" w:hAnsi="宋体" w:eastAsia="宋体" w:cs="宋体"/>
          <w:b/>
          <w:bCs/>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bookmarkStart w:id="2" w:name="_Hlk154589874"/>
      <w:r>
        <w:rPr>
          <w:rFonts w:hint="eastAsia" w:ascii="宋体" w:hAnsi="宋体" w:eastAsia="宋体" w:cs="宋体"/>
          <w:b/>
          <w:bCs/>
          <w:color w:val="000000"/>
          <w:sz w:val="24"/>
          <w:szCs w:val="24"/>
          <w:highlight w:val="none"/>
        </w:rPr>
        <w:t xml:space="preserve">3.5.3供应商在苏采云系统规定的时间内未成功解密电子响应文件的，响应无效。</w:t>
      </w:r>
      <w:r>
        <w:rPr>
          <w:rFonts w:hint="eastAsia" w:ascii="宋体" w:hAnsi="宋体" w:eastAsia="宋体" w:cs="宋体"/>
          <w:b/>
          <w:bCs/>
          <w:color w:val="000000"/>
          <w:sz w:val="24"/>
          <w:szCs w:val="24"/>
          <w:highlight w:val="none"/>
        </w:rPr>
      </w:r>
      <w:r/>
    </w:p>
    <w:p>
      <w:pPr>
        <w:pStyle w:val="947"/>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供应商在制作、上传、解密电子标书过程中若遇到问题，请及时联系CA技术人员或“苏采云”系统客服热线，否则由此产生的后果由供应商自行负责。</w:t>
      </w:r>
      <w:r>
        <w:rPr>
          <w:rFonts w:hint="eastAsia" w:ascii="宋体" w:hAnsi="宋体" w:eastAsia="宋体" w:cs="宋体"/>
          <w:b/>
          <w:bCs/>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3.5.4供应商电脑环境最低要求：谷歌浏览器，版本可直接网上下载最新版本即可。如需收听现场语音需配置放音设备，如视频直播、互动交流使用异常，请刷新网页，如仍无法解决，请联系技术支持。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bookmarkEnd w:id="2"/>
      <w:r>
        <w:rPr>
          <w:rFonts w:hint="eastAsia" w:ascii="宋体" w:hAnsi="宋体" w:eastAsia="宋体" w:cs="宋体"/>
          <w:color w:val="000000"/>
          <w:sz w:val="24"/>
          <w:szCs w:val="24"/>
          <w:highlight w:val="none"/>
        </w:rPr>
        <w:t xml:space="preserve">3.5.5 CA技术咨询服务电话：400-608-6099；</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947"/>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苏州市及区县“苏采云”系统使用指导与咨询：联系电话：13914088964、0512-69820854；智能客服：登录苏采云系统后，联系系统右下方智能客服图标进行咨询。</w:t>
      </w:r>
      <w:r>
        <w:rPr>
          <w:rFonts w:hint="eastAsia" w:ascii="宋体" w:hAnsi="宋体" w:eastAsia="宋体" w:cs="宋体"/>
          <w:color w:val="000000"/>
          <w:sz w:val="24"/>
          <w:szCs w:val="24"/>
          <w:highlight w:val="none"/>
        </w:rPr>
      </w:r>
      <w:r/>
    </w:p>
    <w:p>
      <w:pPr>
        <w:pStyle w:val="947"/>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3.6响应文件的修改和撤回</w:t>
      </w:r>
      <w:r>
        <w:rPr>
          <w:rFonts w:hint="eastAsia" w:ascii="宋体" w:hAnsi="宋体" w:eastAsia="宋体" w:cs="宋体"/>
          <w:b/>
          <w:color w:val="000000"/>
          <w:sz w:val="24"/>
          <w:szCs w:val="24"/>
          <w:highlight w:val="none"/>
        </w:rPr>
      </w:r>
      <w:r/>
    </w:p>
    <w:p>
      <w:pPr>
        <w:pStyle w:val="10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3.6.1供应商在提交响应文件截止时间前，可以对所递交的响应文件进行补充、修改或者撤回，具体操作方法见《操作手册》。提交响应文件截止时间后供应商不得撤回响应文件。</w:t>
      </w:r>
      <w:r>
        <w:rPr>
          <w:rFonts w:hint="eastAsia" w:ascii="宋体" w:hAnsi="宋体" w:eastAsia="宋体" w:cs="宋体"/>
          <w:color w:val="000000"/>
          <w:sz w:val="24"/>
          <w:szCs w:val="24"/>
          <w:highlight w:val="none"/>
        </w:rPr>
      </w:r>
      <w:r/>
    </w:p>
    <w:p>
      <w:pPr>
        <w:pStyle w:val="947"/>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4.磋商程序</w:t>
      </w:r>
      <w:r>
        <w:rPr>
          <w:rFonts w:hint="eastAsia" w:ascii="宋体" w:hAnsi="宋体" w:eastAsia="宋体" w:cs="宋体"/>
          <w:b/>
          <w:color w:val="000000"/>
          <w:sz w:val="24"/>
          <w:szCs w:val="24"/>
          <w:highlight w:val="none"/>
        </w:rPr>
      </w:r>
      <w:r/>
    </w:p>
    <w:p>
      <w:pPr>
        <w:pStyle w:val="947"/>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4.1磋商小组</w:t>
      </w:r>
      <w:r>
        <w:rPr>
          <w:rFonts w:hint="eastAsia" w:ascii="宋体" w:hAnsi="宋体" w:eastAsia="宋体" w:cs="宋体"/>
          <w:b/>
          <w:color w:val="000000"/>
          <w:sz w:val="24"/>
          <w:szCs w:val="24"/>
          <w:highlight w:val="none"/>
        </w:rPr>
      </w:r>
      <w:r/>
    </w:p>
    <w:p>
      <w:pPr>
        <w:pStyle w:val="10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4.1.1采购代理机构负责组织评审工作；磋商小组由相关专家及采购人代表组成，负责具体评审事务，并独立履行法律、法规规定的职责。</w:t>
      </w:r>
      <w:r>
        <w:rPr>
          <w:rFonts w:hint="eastAsia" w:ascii="宋体" w:hAnsi="宋体" w:eastAsia="宋体" w:cs="宋体"/>
          <w:color w:val="000000"/>
          <w:sz w:val="24"/>
          <w:szCs w:val="24"/>
          <w:highlight w:val="none"/>
        </w:rPr>
      </w:r>
      <w:r/>
    </w:p>
    <w:p>
      <w:pPr>
        <w:pStyle w:val="10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4.1.2磋商小组与参加采购活动的供应商存在下列利害关系之一的，应当回避：</w:t>
      </w:r>
      <w:r>
        <w:rPr>
          <w:rFonts w:hint="eastAsia" w:ascii="宋体" w:hAnsi="宋体" w:eastAsia="宋体" w:cs="宋体"/>
          <w:color w:val="000000"/>
          <w:sz w:val="24"/>
          <w:szCs w:val="24"/>
          <w:highlight w:val="none"/>
        </w:rPr>
      </w:r>
      <w:r/>
    </w:p>
    <w:p>
      <w:pPr>
        <w:pStyle w:val="94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（一）参加采购活动前三年内，与供应商存在劳动关系，或者担任过供应商的董事、监事，或者是供应商的控股股东或实际控制人；</w:t>
      </w:r>
      <w:r>
        <w:rPr>
          <w:rFonts w:hint="eastAsia" w:ascii="宋体" w:hAnsi="宋体" w:eastAsia="宋体" w:cs="宋体"/>
          <w:color w:val="000000"/>
          <w:sz w:val="24"/>
          <w:szCs w:val="24"/>
          <w:highlight w:val="none"/>
        </w:rPr>
      </w:r>
      <w:r/>
    </w:p>
    <w:p>
      <w:pPr>
        <w:pStyle w:val="94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（二）与供应商的法定代表人或者负责人有夫妻、直系血亲、三代以内旁系血亲或者近姻亲关系；</w:t>
      </w:r>
      <w:r>
        <w:rPr>
          <w:rFonts w:hint="eastAsia" w:ascii="宋体" w:hAnsi="宋体" w:eastAsia="宋体" w:cs="宋体"/>
          <w:color w:val="000000"/>
          <w:sz w:val="24"/>
          <w:szCs w:val="24"/>
          <w:highlight w:val="none"/>
        </w:rPr>
      </w:r>
      <w:r/>
    </w:p>
    <w:p>
      <w:pPr>
        <w:pStyle w:val="94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（三）与供应商有其他可能影响政府采购活动公平、公正进行的关系。</w:t>
      </w:r>
      <w:r>
        <w:rPr>
          <w:rFonts w:hint="eastAsia" w:ascii="宋体" w:hAnsi="宋体" w:eastAsia="宋体" w:cs="宋体"/>
          <w:color w:val="000000"/>
          <w:sz w:val="24"/>
          <w:szCs w:val="24"/>
          <w:highlight w:val="none"/>
        </w:rPr>
      </w:r>
      <w:r/>
    </w:p>
    <w:p>
      <w:pPr>
        <w:pStyle w:val="94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磋商小组发现本人与参加采购活动的供应商有利害关系的，应当主动提出回避。采购人或者采购代理机构发现磋商小组与参加采购活动的供应商有利害关系的，应当要求其回避。</w:t>
      </w:r>
      <w:r>
        <w:rPr>
          <w:rFonts w:hint="eastAsia" w:ascii="宋体" w:hAnsi="宋体" w:eastAsia="宋体" w:cs="宋体"/>
          <w:color w:val="000000"/>
          <w:sz w:val="24"/>
          <w:szCs w:val="24"/>
          <w:highlight w:val="none"/>
        </w:rPr>
      </w:r>
      <w:r/>
    </w:p>
    <w:p>
      <w:pPr>
        <w:pStyle w:val="10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hint="eastAsia" w:ascii="宋体" w:hAnsi="宋体" w:eastAsia="宋体" w:cs="宋体"/>
          <w:color w:val="000000"/>
          <w:sz w:val="24"/>
          <w:szCs w:val="24"/>
          <w:highlight w:val="none"/>
        </w:rPr>
      </w:r>
      <w:r/>
    </w:p>
    <w:p>
      <w:pPr>
        <w:pStyle w:val="10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4.1.4磋商小组成员应当按照客观、公正、审慎的原则，根据采购文件规定的评审程序、评审方法和评审标准进行独立评审。</w:t>
      </w:r>
      <w:r>
        <w:rPr>
          <w:rFonts w:hint="eastAsia" w:ascii="宋体" w:hAnsi="宋体" w:eastAsia="宋体" w:cs="宋体"/>
          <w:color w:val="000000"/>
          <w:sz w:val="24"/>
          <w:szCs w:val="24"/>
          <w:highlight w:val="none"/>
        </w:rPr>
      </w:r>
      <w:r/>
    </w:p>
    <w:p>
      <w:pPr>
        <w:pStyle w:val="947"/>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4.2资格审查</w:t>
      </w:r>
      <w:r>
        <w:rPr>
          <w:rFonts w:hint="eastAsia" w:ascii="宋体" w:hAnsi="宋体" w:eastAsia="宋体" w:cs="宋体"/>
          <w:b/>
          <w:color w:val="000000"/>
          <w:sz w:val="24"/>
          <w:szCs w:val="24"/>
          <w:highlight w:val="none"/>
        </w:rPr>
      </w:r>
      <w:r/>
    </w:p>
    <w:p>
      <w:pPr>
        <w:pStyle w:val="10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4.2.1由磋商小组按磋商文件的资格条件进行资格性审查，</w:t>
      </w:r>
      <w:r>
        <w:rPr>
          <w:rFonts w:hint="eastAsia" w:ascii="宋体" w:hAnsi="宋体" w:eastAsia="宋体" w:cs="宋体"/>
          <w:b/>
          <w:color w:val="000000"/>
          <w:sz w:val="24"/>
          <w:szCs w:val="24"/>
          <w:highlight w:val="none"/>
        </w:rPr>
        <w:t xml:space="preserve">未通过资格审查的响应无效。</w:t>
      </w:r>
      <w:r>
        <w:rPr>
          <w:rFonts w:hint="eastAsia" w:ascii="宋体" w:hAnsi="宋体" w:eastAsia="宋体" w:cs="宋体"/>
          <w:color w:val="000000"/>
          <w:sz w:val="24"/>
          <w:szCs w:val="24"/>
          <w:highlight w:val="none"/>
        </w:rPr>
      </w:r>
      <w:r/>
    </w:p>
    <w:p>
      <w:pPr>
        <w:pStyle w:val="10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（1）查询时间：响应文件递交截止时间。</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（2）查询渠道：通过“信用中国”及“中国政府采购网” 上的信用信息查询供应商的信用记录。</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rPr>
          <w:rFonts w:hint="eastAsia" w:ascii="宋体" w:hAnsi="宋体" w:eastAsia="宋体" w:cs="宋体"/>
          <w:color w:val="000000"/>
          <w:sz w:val="24"/>
          <w:szCs w:val="24"/>
          <w:highlight w:val="none"/>
        </w:rPr>
      </w:r>
      <w:r/>
    </w:p>
    <w:p>
      <w:pPr>
        <w:pStyle w:val="947"/>
        <w:ind w:firstLine="42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sz w:val="24"/>
          <w:szCs w:val="24"/>
          <w:highlight w:val="none"/>
        </w:rPr>
        <w:t xml:space="preserve">信用记录属于应依法拒绝供应商参加政府采购的失信信息，存在此类失信信息</w:t>
      </w:r>
      <w:r>
        <w:rPr>
          <w:rFonts w:hint="eastAsia" w:ascii="宋体" w:hAnsi="宋体" w:eastAsia="宋体" w:cs="宋体"/>
          <w:b/>
          <w:color w:val="000000"/>
          <w:sz w:val="24"/>
          <w:szCs w:val="24"/>
          <w:highlight w:val="none"/>
        </w:rPr>
        <w:t xml:space="preserve">的供应商的响应文件应按无效文件处理。</w:t>
      </w:r>
      <w:r>
        <w:rPr>
          <w:rFonts w:hint="eastAsia" w:ascii="宋体" w:hAnsi="宋体" w:eastAsia="宋体" w:cs="宋体"/>
          <w:b/>
          <w:color w:val="000000"/>
          <w:sz w:val="24"/>
          <w:szCs w:val="24"/>
          <w:highlight w:val="none"/>
        </w:rPr>
      </w:r>
      <w:r/>
    </w:p>
    <w:p>
      <w:pPr>
        <w:pStyle w:val="10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hint="eastAsia" w:ascii="宋体" w:hAnsi="宋体" w:eastAsia="宋体" w:cs="宋体"/>
          <w:color w:val="000000"/>
          <w:sz w:val="24"/>
          <w:szCs w:val="24"/>
          <w:highlight w:val="none"/>
        </w:rPr>
      </w:r>
      <w:r/>
    </w:p>
    <w:p>
      <w:pPr>
        <w:pStyle w:val="947"/>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4.3磋商</w:t>
      </w:r>
      <w:r>
        <w:rPr>
          <w:rFonts w:hint="eastAsia" w:ascii="宋体" w:hAnsi="宋体" w:eastAsia="宋体" w:cs="宋体"/>
          <w:b/>
          <w:color w:val="000000"/>
          <w:sz w:val="24"/>
          <w:szCs w:val="24"/>
          <w:highlight w:val="none"/>
        </w:rPr>
      </w:r>
      <w:r/>
    </w:p>
    <w:p>
      <w:pPr>
        <w:pStyle w:val="10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000000"/>
          <w:sz w:val="24"/>
          <w:szCs w:val="24"/>
          <w:highlight w:val="none"/>
          <w:lang w:val="zh-CN"/>
        </w:rPr>
        <w:t xml:space="preserve">具体操作方式见《操作手册》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4.3.2</w:t>
      </w:r>
      <w:r>
        <w:rPr>
          <w:rFonts w:hint="eastAsia" w:ascii="宋体" w:hAnsi="宋体" w:eastAsia="宋体" w:cs="宋体"/>
          <w:color w:val="000000"/>
          <w:sz w:val="24"/>
          <w:szCs w:val="24"/>
          <w:highlight w:val="none"/>
          <w:lang w:val="zh-CN"/>
        </w:rPr>
        <w:t xml:space="preserve">磋商小组认为有必要与供应商进行磋商的，</w:t>
      </w:r>
      <w:r>
        <w:rPr>
          <w:rFonts w:hint="eastAsia" w:ascii="宋体" w:hAnsi="宋体" w:eastAsia="宋体" w:cs="宋体"/>
          <w:color w:val="000000"/>
          <w:sz w:val="24"/>
          <w:szCs w:val="24"/>
          <w:highlight w:val="none"/>
        </w:rPr>
        <w:t xml:space="preserve">磋商供应商按顺序进行磋商。磋商小组所有成员应当集中与单一供应商分别进行磋商，并给予所有参加磋商的供应商平等的磋商机会。</w:t>
      </w:r>
      <w:r>
        <w:rPr>
          <w:rFonts w:hint="eastAsia" w:ascii="宋体" w:hAnsi="宋体" w:eastAsia="宋体" w:cs="宋体"/>
          <w:color w:val="000000"/>
          <w:sz w:val="24"/>
          <w:szCs w:val="24"/>
          <w:highlight w:val="none"/>
        </w:rPr>
      </w:r>
      <w:r/>
    </w:p>
    <w:p>
      <w:pPr>
        <w:pStyle w:val="10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4.3.3在磋商过程中，磋商小组可以根据磋商文件和磋商情况实质性变动采购需求中的技术、服务要求以及合同草案条款，但不得变动磋商文件中的其他内容。实质性变动的内容，须经采购人代表确认。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4"/>
          <w:szCs w:val="24"/>
          <w:highlight w:val="none"/>
        </w:rPr>
      </w:r>
      <w:r/>
    </w:p>
    <w:p>
      <w:pPr>
        <w:pStyle w:val="10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rPr>
          <w:rFonts w:hint="eastAsia" w:ascii="宋体" w:hAnsi="宋体" w:eastAsia="宋体" w:cs="宋体"/>
          <w:color w:val="000000"/>
          <w:sz w:val="24"/>
          <w:szCs w:val="24"/>
          <w:highlight w:val="none"/>
        </w:rPr>
      </w:r>
      <w:r/>
    </w:p>
    <w:p>
      <w:pPr>
        <w:pStyle w:val="10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4.3.5供应商应当在规定时间内按照磋商文件的变动情况和磋商小组的要求在苏采云系统中重新提交响应文件，并加盖CA电子公章。重新提交的响应文件按磋商文件进行评审。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000000"/>
          <w:sz w:val="24"/>
          <w:szCs w:val="24"/>
          <w:highlight w:val="none"/>
          <w:lang w:val="zh-CN"/>
        </w:rPr>
        <w:t xml:space="preserve">未按要求重新提交响应文件的按响应无效处理。</w:t>
      </w:r>
      <w:r>
        <w:rPr>
          <w:rFonts w:hint="eastAsia" w:ascii="宋体" w:hAnsi="宋体" w:eastAsia="宋体" w:cs="宋体"/>
          <w:color w:val="000000"/>
          <w:sz w:val="24"/>
          <w:szCs w:val="24"/>
          <w:highlight w:val="none"/>
        </w:rPr>
      </w:r>
      <w:r/>
    </w:p>
    <w:p>
      <w:pPr>
        <w:pStyle w:val="947"/>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4.4澄清</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4.4.1本项目采用线上澄清。</w:t>
      </w:r>
      <w:r>
        <w:rPr>
          <w:rFonts w:hint="eastAsia" w:ascii="宋体" w:hAnsi="宋体" w:eastAsia="宋体" w:cs="宋体"/>
          <w:color w:val="000000"/>
          <w:sz w:val="24"/>
          <w:szCs w:val="24"/>
          <w:highlight w:val="none"/>
        </w:rPr>
      </w:r>
      <w:r/>
    </w:p>
    <w:p>
      <w:pPr>
        <w:pStyle w:val="10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w:t>
      </w:r>
      <w:r>
        <w:rPr>
          <w:rFonts w:hint="eastAsia" w:ascii="宋体" w:hAnsi="宋体" w:eastAsia="宋体" w:cs="宋体"/>
          <w:color w:val="000000"/>
          <w:sz w:val="24"/>
          <w:szCs w:val="24"/>
          <w:highlight w:val="none"/>
          <w:lang w:val="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eastAsia="宋体" w:cs="宋体"/>
          <w:color w:val="000000"/>
          <w:sz w:val="24"/>
          <w:szCs w:val="24"/>
          <w:highlight w:val="none"/>
        </w:rPr>
      </w:r>
      <w:r/>
    </w:p>
    <w:p>
      <w:pPr>
        <w:pStyle w:val="10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4.4.3接到磋商小组澄清、说明和更正要求的供应商如未按规定做出澄清、说明和更正，其风险由供应商自行承担。</w:t>
      </w:r>
      <w:r>
        <w:rPr>
          <w:rFonts w:hint="eastAsia" w:ascii="宋体" w:hAnsi="宋体" w:eastAsia="宋体" w:cs="宋体"/>
          <w:color w:val="000000"/>
          <w:sz w:val="24"/>
          <w:szCs w:val="24"/>
          <w:highlight w:val="none"/>
        </w:rPr>
      </w:r>
      <w:r/>
    </w:p>
    <w:p>
      <w:pPr>
        <w:pStyle w:val="947"/>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4.5最后报价</w:t>
      </w:r>
      <w:r>
        <w:rPr>
          <w:rFonts w:hint="eastAsia" w:ascii="宋体" w:hAnsi="宋体" w:eastAsia="宋体" w:cs="宋体"/>
          <w:b/>
          <w:color w:val="000000"/>
          <w:sz w:val="24"/>
          <w:szCs w:val="24"/>
          <w:highlight w:val="none"/>
        </w:rPr>
      </w:r>
      <w:r/>
    </w:p>
    <w:p>
      <w:pPr>
        <w:pStyle w:val="947"/>
        <w:ind w:left="5" w:firstLine="518"/>
        <w:spacing w:line="360" w:lineRule="auto"/>
        <w:tabs>
          <w:tab w:val="left" w:pos="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000000"/>
          <w:sz w:val="24"/>
          <w:szCs w:val="24"/>
          <w:highlight w:val="none"/>
          <w:lang w:val="zh-CN"/>
        </w:rPr>
        <w:t xml:space="preserve">最后报价是供应商响应文件的有效组成部分。</w:t>
      </w:r>
      <w:r>
        <w:rPr>
          <w:rFonts w:hint="eastAsia" w:ascii="宋体" w:hAnsi="宋体" w:eastAsia="宋体" w:cs="宋体"/>
          <w:color w:val="000000"/>
          <w:sz w:val="24"/>
          <w:szCs w:val="24"/>
          <w:highlight w:val="none"/>
          <w:lang w:val="zh-CN"/>
        </w:rPr>
      </w:r>
      <w:r/>
    </w:p>
    <w:p>
      <w:pPr>
        <w:pStyle w:val="947"/>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4.5.2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000000"/>
          <w:sz w:val="24"/>
          <w:szCs w:val="24"/>
          <w:highlight w:val="none"/>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eastAsia="宋体" w:cs="宋体"/>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947"/>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eastAsia="宋体" w:cs="宋体"/>
          <w:color w:val="000000"/>
          <w:sz w:val="24"/>
          <w:szCs w:val="24"/>
          <w:highlight w:val="none"/>
        </w:rPr>
      </w:r>
      <w:r/>
    </w:p>
    <w:p>
      <w:pPr>
        <w:pStyle w:val="947"/>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4.5.3</w:t>
      </w:r>
      <w:r>
        <w:rPr>
          <w:rFonts w:ascii="宋体" w:hAnsi="宋体" w:eastAsia="宋体" w:cs="宋体"/>
          <w:color w:val="000000"/>
          <w:sz w:val="24"/>
          <w:szCs w:val="24"/>
          <w:highlight w:val="none"/>
        </w:rPr>
        <w:t xml:space="preserve">评审过程中出现下列情形之一的，评审委员会</w:t>
      </w:r>
      <w:r>
        <w:rPr>
          <w:rFonts w:hint="eastAsia" w:ascii="宋体" w:hAnsi="宋体" w:eastAsia="宋体" w:cs="宋体"/>
          <w:color w:val="000000"/>
          <w:sz w:val="24"/>
          <w:szCs w:val="24"/>
          <w:highlight w:val="none"/>
        </w:rPr>
        <w:t xml:space="preserve">（磋商小组）</w:t>
      </w:r>
      <w:r>
        <w:rPr>
          <w:rFonts w:ascii="宋体" w:hAnsi="宋体" w:eastAsia="宋体" w:cs="宋体"/>
          <w:color w:val="000000"/>
          <w:sz w:val="24"/>
          <w:szCs w:val="24"/>
          <w:highlight w:val="none"/>
        </w:rPr>
        <w:t xml:space="preserve">应当启动异常低价投标（响应）审查程序：</w:t>
      </w:r>
      <w:r>
        <w:rPr>
          <w:rFonts w:ascii="宋体" w:hAnsi="宋体" w:eastAsia="宋体" w:cs="宋体"/>
          <w:color w:val="000000"/>
          <w:sz w:val="24"/>
          <w:szCs w:val="24"/>
          <w:highlight w:val="none"/>
        </w:rPr>
      </w:r>
      <w:r/>
    </w:p>
    <w:p>
      <w:pPr>
        <w:pStyle w:val="947"/>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47"/>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947"/>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③投标(响应)报价低于采购项目最高限价45％的，即投标(响应)报价＜采购项目最高限价×45％；</w:t>
      </w:r>
      <w:r>
        <w:rPr>
          <w:rFonts w:hint="eastAsia" w:ascii="宋体" w:hAnsi="宋体" w:eastAsia="宋体" w:cs="宋体"/>
          <w:color w:val="000000"/>
          <w:sz w:val="24"/>
          <w:szCs w:val="24"/>
          <w:highlight w:val="none"/>
        </w:rPr>
      </w:r>
      <w:r/>
    </w:p>
    <w:p>
      <w:pPr>
        <w:pStyle w:val="947"/>
        <w:ind w:left="5" w:firstLine="518"/>
        <w:spacing w:line="360" w:lineRule="auto"/>
        <w:tabs>
          <w:tab w:val="left" w:pos="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④评审委员会</w:t>
      </w:r>
      <w:r>
        <w:rPr>
          <w:rFonts w:hint="eastAsia" w:ascii="宋体" w:hAnsi="宋体" w:eastAsia="宋体" w:cs="宋体"/>
          <w:color w:val="000000"/>
          <w:sz w:val="24"/>
          <w:szCs w:val="24"/>
          <w:highlight w:val="none"/>
        </w:rPr>
        <w:t xml:space="preserve">（磋商小组）</w:t>
      </w:r>
      <w:r>
        <w:rPr>
          <w:rFonts w:ascii="宋体" w:hAnsi="宋体" w:eastAsia="宋体" w:cs="宋体"/>
          <w:color w:val="000000"/>
          <w:sz w:val="24"/>
          <w:szCs w:val="24"/>
          <w:highlight w:val="none"/>
        </w:rPr>
        <w:t xml:space="preserve">基于专业判断，认为供应商报价过低，有可能影响产品质量或者不能诚信履约的其他情形</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47"/>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4.5.4启动异常低价投标审查后，评标委员会（磋商小组）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4.5.3第③项情形，供应商已随投标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10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4.5.5评标委员会（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4"/>
          <w:highlight w:val="none"/>
        </w:rPr>
      </w:r>
      <w:r/>
    </w:p>
    <w:p>
      <w:pPr>
        <w:pStyle w:val="94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4.5.6异常低价投标（响应）审查的启动原因、审查意见和审查结果应当在评审报告中记录，并随供应商提供的相关书面说明及证明材料等一并归档。</w:t>
      </w:r>
      <w:r>
        <w:rPr>
          <w:rFonts w:hint="eastAsia" w:ascii="宋体" w:hAnsi="宋体" w:eastAsia="宋体" w:cs="宋体"/>
          <w:color w:val="000000"/>
          <w:sz w:val="24"/>
          <w:szCs w:val="24"/>
          <w:highlight w:val="none"/>
        </w:rPr>
      </w:r>
      <w:r/>
    </w:p>
    <w:p>
      <w:pPr>
        <w:pStyle w:val="1090"/>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4.5.7评标委员会（磋商小组）成员对需要共同认定的事项存在争议的，应当按照少数服从多数的原则作出结论。持不同意见的评标委员会成员应当在评标报告上签署不同意见及理由，否则视为同意评标报告。</w:t>
      </w:r>
      <w:r>
        <w:rPr>
          <w:rFonts w:ascii="宋体" w:hAnsi="宋体" w:eastAsia="宋体" w:cs="宋体"/>
          <w:color w:val="000000"/>
          <w:sz w:val="24"/>
          <w:szCs w:val="24"/>
          <w:highlight w:val="none"/>
        </w:rPr>
      </w:r>
      <w:r/>
    </w:p>
    <w:p>
      <w:pPr>
        <w:pStyle w:val="1090"/>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4.5.8未在规定时间提交最后报价的，响应文件按无效处理。</w:t>
      </w:r>
      <w:r>
        <w:rPr>
          <w:rFonts w:hint="eastAsia" w:ascii="宋体" w:hAnsi="宋体" w:eastAsia="宋体" w:cs="宋体"/>
          <w:color w:val="000000"/>
          <w:sz w:val="24"/>
          <w:szCs w:val="24"/>
          <w:highlight w:val="none"/>
        </w:rPr>
      </w:r>
      <w:r/>
    </w:p>
    <w:p>
      <w:pPr>
        <w:pStyle w:val="1090"/>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4.5.9在规定时间内提交最后报价的供应商少于3家的，项目终止。</w:t>
      </w:r>
      <w:r>
        <w:rPr>
          <w:rFonts w:hint="eastAsia" w:ascii="宋体" w:hAnsi="宋体" w:eastAsia="宋体" w:cs="宋体"/>
          <w:color w:val="000000"/>
          <w:sz w:val="24"/>
          <w:szCs w:val="24"/>
          <w:highlight w:val="none"/>
        </w:rPr>
      </w:r>
      <w:r/>
    </w:p>
    <w:p>
      <w:pPr>
        <w:pStyle w:val="109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4.5.10如磋商过程中出现本磋商文件未尽事宜，由磋商小组根据政府采购有关法律、法规讨论决定。</w:t>
      </w:r>
      <w:r>
        <w:rPr>
          <w:rFonts w:hint="eastAsia" w:ascii="宋体" w:hAnsi="宋体" w:eastAsia="宋体" w:cs="宋体"/>
          <w:color w:val="000000"/>
          <w:sz w:val="24"/>
          <w:szCs w:val="24"/>
          <w:highlight w:val="none"/>
        </w:rPr>
      </w:r>
      <w:r/>
    </w:p>
    <w:p>
      <w:pPr>
        <w:pStyle w:val="947"/>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5.成交</w:t>
      </w:r>
      <w:r>
        <w:rPr>
          <w:rFonts w:hint="eastAsia" w:ascii="宋体" w:hAnsi="宋体" w:eastAsia="宋体" w:cs="宋体"/>
          <w:b/>
          <w:color w:val="000000"/>
          <w:sz w:val="24"/>
          <w:szCs w:val="24"/>
          <w:highlight w:val="none"/>
        </w:rPr>
      </w:r>
      <w:r/>
    </w:p>
    <w:p>
      <w:pPr>
        <w:pStyle w:val="10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本项目评标方法采用综合评分法，即指响应文件满足采购文件全部实质性要求，且按照评审因素的量化指标评审得分最高的供应商为成交候选人的评标方法。磋商小组应当根据综合评分情况，按照评审得分由高到底顺序推荐3名以上成交候选供应商，评审得分相同的，按照最后报价由低到高的顺序推荐，评审得分且最后报价相同的，则由磋商小组组织抽签确定成交候选人顺序。</w:t>
      </w:r>
      <w:r>
        <w:rPr>
          <w:rFonts w:hint="eastAsia" w:ascii="宋体" w:hAnsi="宋体" w:eastAsia="宋体" w:cs="宋体"/>
          <w:color w:val="000000"/>
          <w:sz w:val="24"/>
          <w:szCs w:val="24"/>
          <w:highlight w:val="none"/>
        </w:rPr>
      </w:r>
      <w:r/>
    </w:p>
    <w:p>
      <w:pPr>
        <w:pStyle w:val="109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5.2本项目由采购人书面授权磋商小组直接确定成交供应商，并将结果通知所有参加磋商的供应商。</w:t>
      </w:r>
      <w:r>
        <w:rPr>
          <w:rFonts w:hint="eastAsia" w:ascii="宋体" w:hAnsi="宋体" w:eastAsia="宋体" w:cs="宋体"/>
          <w:color w:val="000000"/>
          <w:sz w:val="24"/>
          <w:szCs w:val="24"/>
          <w:highlight w:val="none"/>
        </w:rPr>
      </w:r>
      <w:r/>
    </w:p>
    <w:p>
      <w:pPr>
        <w:pStyle w:val="109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5.3采购人或者采购代理机构应当在成交供应商确定后2个工作日内，在政府采购信息媒体上发布成交结果，成交公告期限为1个工作日。</w:t>
      </w:r>
      <w:r>
        <w:rPr>
          <w:rFonts w:hint="eastAsia" w:ascii="宋体" w:hAnsi="宋体" w:eastAsia="宋体" w:cs="宋体"/>
          <w:color w:val="000000"/>
          <w:sz w:val="24"/>
          <w:szCs w:val="24"/>
          <w:highlight w:val="none"/>
        </w:rPr>
      </w:r>
      <w:r/>
    </w:p>
    <w:p>
      <w:pPr>
        <w:pStyle w:val="109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5.4采购人或采购代理机构根据相关规定发布成交公告，成交公告发出的同时应当向成交供应商发出《成交通知书》</w:t>
      </w:r>
      <w:bookmarkStart w:id="3" w:name="_Hlk132389804"/>
      <w:r/>
      <w:bookmarkStart w:id="4" w:name="_Hlk132385599"/>
      <w:r/>
      <w:bookmarkStart w:id="5" w:name="_Hlk132385577"/>
      <w:r>
        <w:rPr>
          <w:rFonts w:hint="eastAsia" w:ascii="宋体" w:hAnsi="宋体" w:eastAsia="宋体" w:cs="宋体"/>
          <w:color w:val="000000"/>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
      <w:r/>
      <w:bookmarkEnd w:id="4"/>
      <w:r/>
      <w:bookmarkEnd w:id="5"/>
      <w:r>
        <w:rPr>
          <w:rFonts w:hint="eastAsia" w:ascii="宋体" w:hAnsi="宋体" w:eastAsia="宋体" w:cs="宋体"/>
          <w:color w:val="000000"/>
          <w:sz w:val="24"/>
          <w:szCs w:val="24"/>
          <w:highlight w:val="none"/>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000000"/>
          <w:sz w:val="24"/>
          <w:szCs w:val="24"/>
          <w:highlight w:val="none"/>
        </w:rPr>
      </w:r>
      <w:r/>
    </w:p>
    <w:p>
      <w:pPr>
        <w:pStyle w:val="10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5.5成交通知书发出后，采购人不得违法改变成交结果，成交供应商无正当理由不得放弃成交。</w:t>
      </w:r>
      <w:r>
        <w:rPr>
          <w:rFonts w:hint="eastAsia" w:ascii="宋体" w:hAnsi="宋体" w:eastAsia="宋体" w:cs="宋体"/>
          <w:color w:val="000000"/>
          <w:sz w:val="24"/>
          <w:szCs w:val="24"/>
          <w:highlight w:val="none"/>
        </w:rPr>
      </w:r>
      <w:r/>
    </w:p>
    <w:p>
      <w:pPr>
        <w:pStyle w:val="947"/>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6.履约保证金</w:t>
      </w:r>
      <w:r>
        <w:rPr>
          <w:rFonts w:hint="eastAsia" w:ascii="宋体" w:hAnsi="宋体" w:eastAsia="宋体" w:cs="宋体"/>
          <w:b/>
          <w:color w:val="000000"/>
          <w:sz w:val="24"/>
          <w:szCs w:val="24"/>
          <w:highlight w:val="none"/>
        </w:rPr>
      </w:r>
      <w:r/>
    </w:p>
    <w:p>
      <w:pPr>
        <w:pStyle w:val="94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见第五章合同文本履约保证金条款。</w:t>
      </w:r>
      <w:r>
        <w:rPr>
          <w:rFonts w:hint="eastAsia" w:ascii="宋体" w:hAnsi="宋体" w:eastAsia="宋体" w:cs="宋体"/>
          <w:color w:val="000000"/>
          <w:sz w:val="24"/>
          <w:szCs w:val="24"/>
          <w:highlight w:val="none"/>
        </w:rPr>
      </w:r>
      <w:r/>
    </w:p>
    <w:p>
      <w:pPr>
        <w:pStyle w:val="947"/>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7.项目终止</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出现下列情形之一的，采购人或者采购代理机构应当终止竞争性磋商采购活动，发布项目终止公告并说明原因，重新开展采购活动：</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3、在采购过程中符合竞争要求的供应商或者报价未超过采购预算的供应商不足3家的，但符合《政府采购竞争性磋商采购方式管理暂行办法》第三条第四项的情形除外。</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项目终止后，采购代理机构应当将项目终止的理由告知所有供应商。</w:t>
      </w:r>
      <w:r>
        <w:rPr>
          <w:rFonts w:hint="eastAsia" w:ascii="宋体" w:hAnsi="宋体" w:eastAsia="宋体" w:cs="宋体"/>
          <w:color w:val="000000"/>
          <w:sz w:val="24"/>
          <w:szCs w:val="24"/>
          <w:highlight w:val="none"/>
        </w:rPr>
      </w:r>
      <w:r/>
    </w:p>
    <w:p>
      <w:pPr>
        <w:pStyle w:val="947"/>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8.合同</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8.1采购人应当自成交通知书发出之日起15日内（最迟30日内</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4"/>
          <w:highlight w:val="none"/>
        </w:rPr>
        <w:t xml:space="preserve">，按照采购文件及响应文件规定与成交单位签订书面合同。</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8.5成交供应商无正当理由不得放弃成交。</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947"/>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9.质疑</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9.1质疑及答复遵守《政府采购质疑和投诉办法》（中华人民共和国财政部令第94号）规定。</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4"/>
          <w:szCs w:val="24"/>
          <w:highlight w:val="none"/>
        </w:rPr>
      </w:r>
      <w:r/>
    </w:p>
    <w:p>
      <w:pPr>
        <w:pStyle w:val="94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rPr>
          <w:rFonts w:hint="eastAsia" w:ascii="宋体" w:hAnsi="宋体" w:eastAsia="宋体" w:cs="宋体"/>
          <w:b/>
          <w:bCs/>
          <w:color w:val="000000"/>
          <w:sz w:val="24"/>
          <w:szCs w:val="24"/>
          <w:highlight w:val="none"/>
        </w:rPr>
      </w:r>
      <w:r/>
    </w:p>
    <w:p>
      <w:pPr>
        <w:pStyle w:val="947"/>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9.5接收质疑函的方式为书面形式（当场送达或邮寄方式）</w:t>
      </w:r>
      <w:r>
        <w:rPr>
          <w:rFonts w:hint="eastAsia" w:ascii="宋体" w:hAnsi="宋体" w:eastAsia="宋体" w:cs="宋体"/>
          <w:bCs/>
          <w:color w:val="000000"/>
          <w:sz w:val="24"/>
          <w:szCs w:val="24"/>
          <w:highlight w:val="none"/>
        </w:rPr>
        <w:t xml:space="preserve">向采购人、采购代理机构提出质疑，联系人、联系电话和通讯地址等信息以采购公告中本次采购活动联系事项为准</w:t>
      </w:r>
      <w:r>
        <w:rPr>
          <w:rFonts w:hint="eastAsia" w:ascii="宋体" w:hAnsi="宋体" w:eastAsia="宋体" w:cs="宋体"/>
          <w:color w:val="000000"/>
          <w:sz w:val="24"/>
          <w:szCs w:val="24"/>
          <w:highlight w:val="none"/>
        </w:rPr>
        <w:t xml:space="preserve">。供应商质疑函范本格式请参照“苏州市政府采购”网站——“下载中心”——“</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政府采购供应商质疑函范本</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7"/>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10.响应文件的有效期</w:t>
      </w:r>
      <w:r>
        <w:rPr>
          <w:rFonts w:hint="eastAsia" w:ascii="宋体" w:hAnsi="宋体" w:eastAsia="宋体" w:cs="宋体"/>
          <w:b/>
          <w:color w:val="000000"/>
          <w:sz w:val="24"/>
          <w:szCs w:val="24"/>
          <w:highlight w:val="none"/>
        </w:rPr>
      </w:r>
      <w:r/>
    </w:p>
    <w:p>
      <w:pPr>
        <w:pStyle w:val="94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10.1响应文件的有效期自提交响应文件的截止之日起九十天，响应文件应保持有效。响应文件的有效期不明确或短于上述规定期限的，响应文件无效。</w:t>
      </w:r>
      <w:r>
        <w:rPr>
          <w:rFonts w:hint="eastAsia" w:ascii="宋体" w:hAnsi="宋体" w:eastAsia="宋体" w:cs="宋体"/>
          <w:bCs/>
          <w:color w:val="000000"/>
          <w:sz w:val="24"/>
          <w:szCs w:val="24"/>
          <w:highlight w:val="none"/>
        </w:rPr>
      </w:r>
      <w:r/>
    </w:p>
    <w:p>
      <w:pPr>
        <w:pStyle w:val="94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10.2在特殊情况下，采购人可与供应商协商延长响应文件的有效期，这种要求和答复都应以书面形式进行。</w:t>
      </w:r>
      <w:r>
        <w:rPr>
          <w:rFonts w:hint="eastAsia" w:ascii="宋体" w:hAnsi="宋体" w:eastAsia="宋体" w:cs="宋体"/>
          <w:bCs/>
          <w:color w:val="000000"/>
          <w:sz w:val="24"/>
          <w:szCs w:val="24"/>
          <w:highlight w:val="none"/>
        </w:rPr>
      </w:r>
      <w:r/>
    </w:p>
    <w:p>
      <w:pPr>
        <w:pStyle w:val="947"/>
        <w:ind w:firstLine="518"/>
        <w:spacing w:line="360" w:lineRule="auto"/>
        <w:rPr>
          <w:rFonts w:ascii="宋体" w:hAnsi="宋体" w:eastAsia="宋体" w:cs="宋体"/>
          <w:b w:val="0"/>
          <w:bCs/>
          <w:color w:val="000000"/>
          <w:sz w:val="24"/>
          <w:szCs w:val="24"/>
          <w:highlight w:val="none"/>
          <w:lang w:val="en-US"/>
        </w:rPr>
      </w:pPr>
      <w:r>
        <w:rPr>
          <w:rFonts w:hint="eastAsia" w:ascii="宋体" w:hAnsi="宋体" w:eastAsia="宋体" w:cs="宋体"/>
          <w:b w:val="0"/>
          <w:bCs/>
          <w:color w:val="000000"/>
          <w:sz w:val="24"/>
          <w:szCs w:val="24"/>
          <w:highlight w:val="none"/>
        </w:rPr>
        <w:t xml:space="preserve">11.代理服务费：</w:t>
      </w:r>
      <w:r>
        <w:rPr>
          <w:rFonts w:hint="eastAsia" w:ascii="宋体" w:hAnsi="宋体" w:eastAsia="宋体" w:cs="宋体"/>
          <w:b w:val="0"/>
          <w:bCs/>
          <w:color w:val="000000"/>
          <w:sz w:val="24"/>
          <w:szCs w:val="24"/>
          <w:highlight w:val="none"/>
          <w:lang w:val="en-US" w:eastAsia="zh-CN"/>
        </w:rPr>
        <w:t xml:space="preserve">按照最新</w:t>
      </w:r>
      <w:r>
        <w:rPr>
          <w:rFonts w:hint="eastAsia" w:ascii="宋体" w:hAnsi="宋体" w:eastAsia="宋体" w:cs="宋体"/>
          <w:b w:val="0"/>
          <w:bCs/>
          <w:i w:val="0"/>
          <w:iCs w:val="0"/>
          <w:caps w:val="0"/>
          <w:color w:val="000000"/>
          <w:spacing w:val="0"/>
          <w:sz w:val="24"/>
          <w:szCs w:val="24"/>
          <w:highlight w:val="none"/>
        </w:rPr>
        <w:t xml:space="preserve">江苏省财政厅《关于进一步规范政府采购活动相关费用管理的通知》（苏财规〔2026〕1号）</w:t>
      </w:r>
      <w:r>
        <w:rPr>
          <w:rFonts w:hint="eastAsia" w:ascii="宋体" w:hAnsi="宋体" w:eastAsia="宋体" w:cs="宋体"/>
          <w:b w:val="0"/>
          <w:bCs/>
          <w:i w:val="0"/>
          <w:iCs w:val="0"/>
          <w:caps w:val="0"/>
          <w:color w:val="000000"/>
          <w:spacing w:val="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本项目</w:t>
      </w:r>
      <w:r>
        <w:rPr>
          <w:rFonts w:hint="eastAsia" w:ascii="宋体" w:hAnsi="宋体" w:eastAsia="宋体" w:cs="宋体"/>
          <w:b w:val="0"/>
          <w:bCs/>
          <w:color w:val="000000"/>
          <w:sz w:val="24"/>
          <w:szCs w:val="24"/>
          <w:highlight w:val="none"/>
        </w:rPr>
        <w:t xml:space="preserve">政府采购代理费由</w:t>
      </w:r>
      <w:r>
        <w:rPr>
          <w:rFonts w:hint="eastAsia" w:ascii="宋体" w:hAnsi="宋体" w:eastAsia="宋体" w:cs="宋体"/>
          <w:b w:val="0"/>
          <w:bCs/>
          <w:color w:val="000000"/>
          <w:sz w:val="24"/>
          <w:szCs w:val="24"/>
          <w:highlight w:val="none"/>
          <w:lang w:val="en-US" w:eastAsia="zh-CN"/>
        </w:rPr>
        <w:t xml:space="preserve">采购单位支付</w:t>
      </w:r>
      <w:r>
        <w:rPr>
          <w:rFonts w:hint="eastAsia" w:ascii="宋体" w:hAnsi="宋体" w:eastAsia="宋体" w:cs="宋体"/>
          <w:b w:val="0"/>
          <w:bCs/>
          <w:color w:val="000000"/>
          <w:sz w:val="24"/>
          <w:szCs w:val="24"/>
          <w:highlight w:val="none"/>
        </w:rPr>
        <w:t xml:space="preserve">。</w:t>
      </w:r>
      <w:r>
        <w:rPr>
          <w:rFonts w:ascii="宋体" w:hAnsi="宋体" w:eastAsia="宋体" w:cs="宋体"/>
          <w:b w:val="0"/>
          <w:bCs/>
          <w:color w:val="000000"/>
          <w:sz w:val="24"/>
          <w:szCs w:val="24"/>
          <w:highlight w:val="none"/>
          <w:lang w:val="en-US"/>
        </w:rPr>
      </w:r>
      <w:r/>
    </w:p>
    <w:p>
      <w:pPr>
        <w:pStyle w:val="94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11.1代理服务费以采购预算金额为基数依据，按如下规定的标准和差额定率累进法进行计算收取：</w:t>
      </w:r>
      <w:r>
        <w:rPr>
          <w:rFonts w:hint="eastAsia" w:ascii="宋体" w:hAnsi="宋体" w:eastAsia="宋体" w:cs="宋体"/>
          <w:bCs/>
          <w:color w:val="000000"/>
          <w:sz w:val="24"/>
          <w:szCs w:val="24"/>
          <w:highlight w:val="none"/>
        </w:rPr>
      </w:r>
      <w:r/>
    </w:p>
    <w:p>
      <w:pPr>
        <w:pStyle w:val="94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预算金额100万元以下部分，费率为该部分预算金额的1.5％；</w:t>
      </w:r>
      <w:r>
        <w:rPr>
          <w:rFonts w:hint="eastAsia" w:ascii="宋体" w:hAnsi="宋体" w:eastAsia="宋体" w:cs="宋体"/>
          <w:bCs/>
          <w:color w:val="000000"/>
          <w:sz w:val="24"/>
          <w:szCs w:val="24"/>
          <w:highlight w:val="none"/>
        </w:rPr>
      </w:r>
      <w:r/>
    </w:p>
    <w:p>
      <w:pPr>
        <w:pStyle w:val="94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预算金额100万元（含）－500万元部分，费率为该部分预算金额的1.1％；</w:t>
      </w:r>
      <w:r>
        <w:rPr>
          <w:rFonts w:hint="eastAsia" w:ascii="宋体" w:hAnsi="宋体" w:eastAsia="宋体" w:cs="宋体"/>
          <w:bCs/>
          <w:color w:val="000000"/>
          <w:sz w:val="24"/>
          <w:szCs w:val="24"/>
          <w:highlight w:val="none"/>
        </w:rPr>
      </w:r>
      <w:r/>
    </w:p>
    <w:p>
      <w:pPr>
        <w:pStyle w:val="94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预算金额500万元（含）-1000万元部分，费率为该部分预算金额的0.8％；</w:t>
      </w:r>
      <w:r>
        <w:rPr>
          <w:rFonts w:hint="eastAsia" w:ascii="宋体" w:hAnsi="宋体" w:eastAsia="宋体" w:cs="宋体"/>
          <w:bCs/>
          <w:color w:val="000000"/>
          <w:sz w:val="24"/>
          <w:szCs w:val="24"/>
          <w:highlight w:val="none"/>
        </w:rPr>
      </w:r>
      <w:r/>
    </w:p>
    <w:p>
      <w:pPr>
        <w:pStyle w:val="94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预算金额1000万元（含）-5000万元部分，费率为该部分预算金额的0.5％；</w:t>
      </w:r>
      <w:r>
        <w:rPr>
          <w:rFonts w:hint="eastAsia" w:ascii="宋体" w:hAnsi="宋体" w:eastAsia="宋体" w:cs="宋体"/>
          <w:bCs/>
          <w:color w:val="000000"/>
          <w:sz w:val="24"/>
          <w:szCs w:val="24"/>
          <w:highlight w:val="none"/>
        </w:rPr>
      </w:r>
      <w:r/>
    </w:p>
    <w:p>
      <w:pPr>
        <w:pStyle w:val="94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预算金额5000万元以上部分，费率为该部分预算金额的0.25％。</w:t>
      </w:r>
      <w:r>
        <w:rPr>
          <w:rFonts w:hint="eastAsia" w:ascii="宋体" w:hAnsi="宋体" w:eastAsia="宋体" w:cs="宋体"/>
          <w:bCs/>
          <w:color w:val="000000"/>
          <w:sz w:val="24"/>
          <w:szCs w:val="24"/>
          <w:highlight w:val="none"/>
        </w:rPr>
      </w:r>
      <w:r/>
    </w:p>
    <w:p>
      <w:pPr>
        <w:pStyle w:val="94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本项目代理服务费（人民币）：</w:t>
      </w:r>
      <w:r>
        <w:rPr>
          <w:rFonts w:hint="eastAsia" w:ascii="宋体" w:hAnsi="宋体" w:eastAsia="宋体" w:cs="宋体"/>
          <w:bCs/>
          <w:color w:val="000000"/>
          <w:sz w:val="24"/>
          <w:szCs w:val="24"/>
          <w:highlight w:val="none"/>
          <w:u w:val="none"/>
          <w:lang w:val="en-US" w:eastAsia="zh-CN"/>
        </w:rPr>
        <w:t xml:space="preserve">31390.</w:t>
      </w:r>
      <w:r>
        <w:rPr>
          <w:rFonts w:hint="eastAsia" w:ascii="宋体" w:hAnsi="宋体" w:eastAsia="宋体" w:cs="宋体"/>
          <w:bCs/>
          <w:color w:val="000000"/>
          <w:sz w:val="24"/>
          <w:szCs w:val="24"/>
          <w:highlight w:val="none"/>
        </w:rPr>
        <w:t xml:space="preserve">00元。</w:t>
      </w:r>
      <w:r>
        <w:rPr>
          <w:rFonts w:hint="eastAsia" w:ascii="宋体" w:hAnsi="宋体" w:eastAsia="宋体" w:cs="宋体"/>
          <w:bCs/>
          <w:color w:val="000000"/>
          <w:sz w:val="24"/>
          <w:szCs w:val="24"/>
          <w:highlight w:val="none"/>
        </w:rPr>
      </w:r>
      <w:r/>
    </w:p>
    <w:p>
      <w:pPr>
        <w:pStyle w:val="94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11.2采购代理机构服务费账号如下：</w:t>
      </w:r>
      <w:r>
        <w:rPr>
          <w:rFonts w:hint="eastAsia" w:ascii="宋体" w:hAnsi="宋体" w:eastAsia="宋体" w:cs="宋体"/>
          <w:bCs/>
          <w:color w:val="000000"/>
          <w:sz w:val="24"/>
          <w:szCs w:val="24"/>
          <w:highlight w:val="none"/>
        </w:rPr>
      </w:r>
      <w:r/>
    </w:p>
    <w:p>
      <w:pPr>
        <w:pStyle w:val="94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收款单位：苏州正杰招投标咨询服务有限公司。</w:t>
      </w:r>
      <w:r>
        <w:rPr>
          <w:rFonts w:hint="eastAsia" w:ascii="宋体" w:hAnsi="宋体" w:eastAsia="宋体" w:cs="宋体"/>
          <w:bCs/>
          <w:color w:val="000000"/>
          <w:sz w:val="24"/>
          <w:szCs w:val="24"/>
          <w:highlight w:val="none"/>
        </w:rPr>
      </w:r>
      <w:r/>
    </w:p>
    <w:p>
      <w:pPr>
        <w:pStyle w:val="94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银行账号：89190154740002582。</w:t>
      </w:r>
      <w:r>
        <w:rPr>
          <w:rFonts w:hint="eastAsia" w:ascii="宋体" w:hAnsi="宋体" w:eastAsia="宋体" w:cs="宋体"/>
          <w:bCs/>
          <w:color w:val="000000"/>
          <w:sz w:val="24"/>
          <w:szCs w:val="24"/>
          <w:highlight w:val="none"/>
        </w:rPr>
      </w:r>
      <w:r/>
    </w:p>
    <w:p>
      <w:pPr>
        <w:pStyle w:val="94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开户银行：上海浦东发展银行苏州姑苏支行。</w:t>
      </w:r>
      <w:r>
        <w:rPr>
          <w:rFonts w:hint="eastAsia" w:ascii="宋体" w:hAnsi="宋体" w:eastAsia="宋体" w:cs="宋体"/>
          <w:bCs/>
          <w:color w:val="000000"/>
          <w:sz w:val="24"/>
          <w:szCs w:val="24"/>
          <w:highlight w:val="none"/>
        </w:rPr>
      </w:r>
      <w:r/>
    </w:p>
    <w:p>
      <w:pPr>
        <w:pStyle w:val="947"/>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11.3采购单位如果未按上述规定缴纳</w:t>
      </w:r>
      <w:r>
        <w:rPr>
          <w:rFonts w:hint="eastAsia" w:ascii="宋体" w:hAnsi="宋体" w:eastAsia="宋体" w:cs="宋体"/>
          <w:bCs/>
          <w:color w:val="000000"/>
          <w:sz w:val="24"/>
          <w:szCs w:val="24"/>
          <w:highlight w:val="none"/>
          <w:lang w:val="en-US" w:eastAsia="zh-CN"/>
        </w:rPr>
        <w:t xml:space="preserve">代理</w:t>
      </w:r>
      <w:r>
        <w:rPr>
          <w:rFonts w:hint="eastAsia" w:ascii="宋体" w:hAnsi="宋体" w:eastAsia="宋体" w:cs="宋体"/>
          <w:bCs/>
          <w:color w:val="000000"/>
          <w:sz w:val="24"/>
          <w:szCs w:val="24"/>
          <w:highlight w:val="none"/>
        </w:rPr>
        <w:t xml:space="preserve">服务费，采购代理机构将保留诉讼的权利。</w:t>
      </w:r>
      <w:r>
        <w:rPr>
          <w:rFonts w:hint="eastAsia" w:ascii="宋体" w:hAnsi="宋体" w:eastAsia="宋体" w:cs="宋体"/>
          <w:bCs/>
          <w:color w:val="000000"/>
          <w:sz w:val="24"/>
          <w:szCs w:val="24"/>
          <w:highlight w:val="none"/>
        </w:rPr>
      </w:r>
      <w:r/>
    </w:p>
    <w:p>
      <w:pPr>
        <w:pStyle w:val="947"/>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12.其他事项</w:t>
      </w:r>
      <w:r>
        <w:rPr>
          <w:rFonts w:hint="eastAsia" w:ascii="宋体" w:hAnsi="宋体" w:eastAsia="宋体" w:cs="宋体"/>
          <w:b/>
          <w:color w:val="000000"/>
          <w:sz w:val="24"/>
          <w:szCs w:val="24"/>
          <w:highlight w:val="none"/>
        </w:rPr>
      </w:r>
      <w:r/>
    </w:p>
    <w:p>
      <w:pPr>
        <w:pStyle w:val="947"/>
        <w:ind w:firstLine="5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12.1</w:t>
      </w:r>
      <w:r>
        <w:rPr>
          <w:rFonts w:hint="eastAsia" w:ascii="宋体" w:hAnsi="宋体" w:eastAsia="宋体" w:cs="宋体"/>
          <w:color w:val="000000"/>
          <w:sz w:val="24"/>
          <w:szCs w:val="24"/>
          <w:highlight w:val="none"/>
        </w:rPr>
        <w:t xml:space="preserve">按《中华人民共和国政府采购法》及其他有关法律法规的规定执行。</w:t>
      </w:r>
      <w:r>
        <w:rPr>
          <w:rFonts w:hint="eastAsia" w:ascii="宋体" w:hAnsi="宋体" w:eastAsia="宋体" w:cs="宋体"/>
          <w:color w:val="000000"/>
          <w:sz w:val="24"/>
          <w:szCs w:val="24"/>
          <w:highlight w:val="none"/>
        </w:rPr>
      </w:r>
      <w:r/>
    </w:p>
    <w:p>
      <w:pPr>
        <w:pStyle w:val="971"/>
        <w:ind w:firstLine="0"/>
        <w:jc w:val="center"/>
        <w:spacing w:line="360" w:lineRule="auto"/>
        <w:rPr>
          <w:rFonts w:hint="eastAsia" w:ascii="宋体" w:hAnsi="宋体" w:eastAsia="宋体" w:cs="宋体"/>
          <w:b/>
          <w:color w:val="000000"/>
          <w:szCs w:val="24"/>
          <w:highlight w:val="none"/>
          <w:lang w:val="zh-CN"/>
        </w:rPr>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t xml:space="preserve">第三章  </w:t>
      </w:r>
      <w:r>
        <w:rPr>
          <w:rFonts w:hint="eastAsia" w:ascii="宋体" w:hAnsi="宋体" w:eastAsia="宋体" w:cs="宋体"/>
          <w:b/>
          <w:color w:val="000000"/>
          <w:szCs w:val="24"/>
          <w:highlight w:val="none"/>
          <w:lang w:val="zh-CN"/>
        </w:rPr>
        <w:t xml:space="preserve">响应文件格式</w:t>
      </w:r>
      <w:r>
        <w:rPr>
          <w:rFonts w:hint="eastAsia" w:ascii="宋体" w:hAnsi="宋体" w:eastAsia="宋体" w:cs="宋体"/>
          <w:b/>
          <w:color w:val="000000"/>
          <w:szCs w:val="24"/>
          <w:highlight w:val="none"/>
          <w:lang w:val="zh-CN"/>
        </w:rPr>
      </w:r>
      <w:r/>
    </w:p>
    <w:p>
      <w:pPr>
        <w:pStyle w:val="971"/>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1、磋商响应函</w:t>
      </w:r>
      <w:r>
        <w:rPr>
          <w:rFonts w:hint="eastAsia" w:ascii="宋体" w:hAnsi="宋体" w:eastAsia="宋体" w:cs="宋体"/>
          <w:b/>
          <w:bCs/>
          <w:color w:val="000000"/>
          <w:szCs w:val="24"/>
          <w:highlight w:val="none"/>
        </w:rPr>
      </w:r>
      <w:r/>
    </w:p>
    <w:p>
      <w:pPr>
        <w:pStyle w:val="105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苏州正杰招投标咨询服务有限公司：</w:t>
      </w:r>
      <w:r>
        <w:rPr>
          <w:rFonts w:hint="eastAsia" w:hAnsi="宋体" w:eastAsia="宋体" w:cs="宋体"/>
          <w:color w:val="000000"/>
          <w:sz w:val="24"/>
          <w:szCs w:val="24"/>
          <w:highlight w:val="none"/>
        </w:rPr>
      </w:r>
      <w:r/>
    </w:p>
    <w:p>
      <w:pPr>
        <w:pStyle w:val="105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我们收到贵公司</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号采购文件，经仔细阅读和研究，我们决定参加采购活动。</w:t>
      </w:r>
      <w:r>
        <w:rPr>
          <w:rFonts w:hint="eastAsia" w:hAnsi="宋体" w:eastAsia="宋体" w:cs="宋体"/>
          <w:color w:val="000000"/>
          <w:sz w:val="24"/>
          <w:szCs w:val="24"/>
          <w:highlight w:val="none"/>
        </w:rPr>
      </w:r>
      <w:r/>
    </w:p>
    <w:p>
      <w:pPr>
        <w:pStyle w:val="105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1、我们愿意按照采购文件的一切要求，提供完成该项目的全部内容，</w:t>
      </w:r>
      <w:r>
        <w:rPr>
          <w:rFonts w:hint="eastAsia" w:ascii="宋体" w:hAnsi="宋体" w:eastAsia="宋体" w:cs="宋体"/>
          <w:color w:val="000000"/>
          <w:sz w:val="24"/>
          <w:szCs w:val="24"/>
          <w:highlight w:val="none"/>
        </w:rPr>
        <w:t xml:space="preserve">我们的报价包括</w:t>
      </w:r>
      <w:r>
        <w:rPr>
          <w:rFonts w:hint="eastAsia" w:ascii="宋体" w:hAnsi="宋体" w:eastAsia="宋体" w:cs="宋体"/>
          <w:color w:val="000000"/>
          <w:sz w:val="24"/>
          <w:szCs w:val="24"/>
          <w:highlight w:val="none"/>
          <w:lang w:val="zh-CN"/>
        </w:rPr>
        <w:t xml:space="preserve">完成所有采购内容以及本项目所需的劳务支出、保险、配套费用、税费及服务相关等所发生的全部费用以及企业利润、税金和政策性文件规定及合同包含的所有风险、责任等各项应有费用</w:t>
      </w:r>
      <w:r>
        <w:rPr>
          <w:rFonts w:hint="eastAsia" w:hAnsi="宋体" w:eastAsia="宋体" w:cs="宋体"/>
          <w:color w:val="000000"/>
          <w:sz w:val="24"/>
          <w:szCs w:val="24"/>
          <w:highlight w:val="none"/>
        </w:rPr>
        <w:t xml:space="preserve">。</w:t>
      </w:r>
      <w:r>
        <w:rPr>
          <w:rFonts w:hint="eastAsia" w:hAnsi="宋体" w:eastAsia="宋体" w:cs="宋体"/>
          <w:color w:val="000000"/>
          <w:sz w:val="24"/>
          <w:szCs w:val="24"/>
          <w:highlight w:val="none"/>
        </w:rPr>
      </w:r>
      <w:r/>
    </w:p>
    <w:p>
      <w:pPr>
        <w:pStyle w:val="1056"/>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2、如果我们的响应文件被接受，我们将严格履行采购文件中规定的每一项要求，按期、按质、按量履行合同的义务。</w:t>
      </w:r>
      <w:r>
        <w:rPr>
          <w:rFonts w:hint="eastAsia" w:hAnsi="宋体" w:eastAsia="宋体" w:cs="宋体"/>
          <w:color w:val="000000"/>
          <w:sz w:val="24"/>
          <w:szCs w:val="24"/>
          <w:highlight w:val="none"/>
        </w:rPr>
      </w:r>
      <w:r/>
    </w:p>
    <w:p>
      <w:pPr>
        <w:pStyle w:val="105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3、我们同意按采购文件规定，响应文件有效期限为自</w:t>
      </w:r>
      <w:r>
        <w:rPr>
          <w:rFonts w:hint="eastAsia" w:hAnsi="宋体" w:eastAsia="宋体" w:cs="宋体"/>
          <w:bCs/>
          <w:color w:val="000000"/>
          <w:sz w:val="24"/>
          <w:szCs w:val="24"/>
          <w:highlight w:val="none"/>
          <w:lang w:val="zh-CN"/>
        </w:rPr>
        <w:t xml:space="preserve">响应文件提交截止之日</w:t>
      </w:r>
      <w:r>
        <w:rPr>
          <w:rFonts w:hint="eastAsia" w:hAnsi="宋体" w:eastAsia="宋体" w:cs="宋体"/>
          <w:color w:val="000000"/>
          <w:sz w:val="24"/>
          <w:szCs w:val="24"/>
          <w:highlight w:val="none"/>
        </w:rPr>
        <w:t xml:space="preserve">起</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天。如果我们在开标后规定的有效期内撤回，我们愿承担一切责任。</w:t>
      </w:r>
      <w:r>
        <w:rPr>
          <w:rFonts w:hint="eastAsia" w:hAnsi="宋体" w:eastAsia="宋体" w:cs="宋体"/>
          <w:color w:val="000000"/>
          <w:sz w:val="24"/>
          <w:szCs w:val="24"/>
          <w:highlight w:val="none"/>
        </w:rPr>
      </w:r>
      <w:r/>
    </w:p>
    <w:p>
      <w:pPr>
        <w:pStyle w:val="105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4、我们愿意提供采购人在采购文件中要求的所有资料，也同意向贵方提供贵方可能另外要求的与其有关的任何证据或资料，并保证所提供的资料全部是真实的、有效的，若有虚假，我们愿承担一切责任。</w:t>
      </w:r>
      <w:r>
        <w:rPr>
          <w:rFonts w:hint="eastAsia" w:hAnsi="宋体" w:eastAsia="宋体" w:cs="宋体"/>
          <w:color w:val="000000"/>
          <w:sz w:val="24"/>
          <w:szCs w:val="24"/>
          <w:highlight w:val="none"/>
        </w:rPr>
      </w:r>
      <w:r/>
    </w:p>
    <w:p>
      <w:pPr>
        <w:pStyle w:val="105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5、我们认为你们有权决定供应商，还认为你们有权接受或拒绝所有的供应商。</w:t>
      </w:r>
      <w:r>
        <w:rPr>
          <w:rFonts w:hint="eastAsia" w:hAnsi="宋体" w:eastAsia="宋体" w:cs="宋体"/>
          <w:color w:val="000000"/>
          <w:sz w:val="24"/>
          <w:szCs w:val="24"/>
          <w:highlight w:val="none"/>
        </w:rPr>
      </w:r>
      <w:r/>
    </w:p>
    <w:p>
      <w:pPr>
        <w:pStyle w:val="105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6、我们愿意遵守采购文件中所列的收费标准。</w:t>
      </w:r>
      <w:r>
        <w:rPr>
          <w:rFonts w:hint="eastAsia" w:hAnsi="宋体" w:eastAsia="宋体" w:cs="宋体"/>
          <w:color w:val="000000"/>
          <w:sz w:val="24"/>
          <w:szCs w:val="24"/>
          <w:highlight w:val="none"/>
        </w:rPr>
      </w:r>
      <w:r/>
    </w:p>
    <w:p>
      <w:pPr>
        <w:pStyle w:val="105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7、我们承诺本响应文件在磋商开始后的全过程中保持有效，不作任何更改和变动。我们同意</w:t>
      </w:r>
      <w:r>
        <w:rPr>
          <w:rFonts w:hint="eastAsia" w:hAnsi="宋体" w:eastAsia="宋体" w:cs="宋体"/>
          <w:color w:val="000000"/>
          <w:sz w:val="24"/>
          <w:szCs w:val="24"/>
          <w:highlight w:val="none"/>
          <w:lang w:val="zh-CN"/>
        </w:rPr>
        <w:t xml:space="preserve">成交</w:t>
      </w:r>
      <w:r>
        <w:rPr>
          <w:rFonts w:hint="eastAsia" w:hAnsi="宋体" w:eastAsia="宋体" w:cs="宋体"/>
          <w:color w:val="000000"/>
          <w:sz w:val="24"/>
          <w:szCs w:val="24"/>
          <w:highlight w:val="none"/>
        </w:rPr>
        <w:t xml:space="preserve">后若不履行响应文件的内容要求和各项承诺及义务的即被视为违约，我们愿承担一切责任。</w:t>
      </w:r>
      <w:r>
        <w:rPr>
          <w:rFonts w:hint="eastAsia" w:hAnsi="宋体" w:eastAsia="宋体" w:cs="宋体"/>
          <w:color w:val="000000"/>
          <w:sz w:val="24"/>
          <w:szCs w:val="24"/>
          <w:highlight w:val="none"/>
        </w:rPr>
      </w:r>
      <w:r/>
    </w:p>
    <w:p>
      <w:pPr>
        <w:pStyle w:val="1056"/>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8、本函填写的电子邮箱为我方此次采购活动中的授权邮箱，该邮箱发至采购人或代理机构的函件无论是否签字或盖章，均视为我方的意思表示，我方均予以承认并承担相应后果。</w:t>
      </w:r>
      <w:r>
        <w:rPr>
          <w:rFonts w:hint="eastAsia" w:hAnsi="宋体" w:eastAsia="宋体" w:cs="宋体"/>
          <w:color w:val="000000"/>
          <w:sz w:val="24"/>
          <w:szCs w:val="24"/>
          <w:highlight w:val="none"/>
        </w:rPr>
      </w:r>
      <w:r/>
    </w:p>
    <w:p>
      <w:pPr>
        <w:pStyle w:val="1056"/>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9</w:t>
      </w:r>
      <w:r>
        <w:rPr>
          <w:rFonts w:hint="eastAsia" w:hAnsi="宋体" w:eastAsia="宋体" w:cs="宋体"/>
          <w:color w:val="000000"/>
          <w:sz w:val="24"/>
          <w:szCs w:val="24"/>
          <w:highlight w:val="none"/>
        </w:rPr>
        <w:t xml:space="preserve">、与本次磋商有关的通讯地址：</w:t>
      </w:r>
      <w:r>
        <w:rPr>
          <w:rFonts w:hint="eastAsia" w:hAnsi="宋体" w:eastAsia="宋体" w:cs="宋体"/>
          <w:color w:val="000000"/>
          <w:sz w:val="24"/>
          <w:szCs w:val="24"/>
          <w:highlight w:val="none"/>
        </w:rPr>
      </w:r>
      <w:r/>
    </w:p>
    <w:p>
      <w:pPr>
        <w:pStyle w:val="105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单位名称：                                 联系人员：</w:t>
      </w:r>
      <w:r>
        <w:rPr>
          <w:rFonts w:hint="eastAsia" w:hAnsi="宋体" w:eastAsia="宋体" w:cs="宋体"/>
          <w:color w:val="000000"/>
          <w:sz w:val="24"/>
          <w:szCs w:val="24"/>
          <w:highlight w:val="none"/>
        </w:rPr>
      </w:r>
      <w:r/>
    </w:p>
    <w:p>
      <w:pPr>
        <w:pStyle w:val="105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单位地址：                                 邮政编码：</w:t>
      </w:r>
      <w:r>
        <w:rPr>
          <w:rFonts w:hint="eastAsia" w:hAnsi="宋体" w:eastAsia="宋体" w:cs="宋体"/>
          <w:color w:val="000000"/>
          <w:sz w:val="24"/>
          <w:szCs w:val="24"/>
          <w:highlight w:val="none"/>
        </w:rPr>
      </w:r>
      <w:r/>
    </w:p>
    <w:p>
      <w:pPr>
        <w:pStyle w:val="1056"/>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联系电话：                                 传真号码：</w:t>
      </w:r>
      <w:r>
        <w:rPr>
          <w:rFonts w:hint="eastAsia" w:hAnsi="宋体" w:eastAsia="宋体" w:cs="宋体"/>
          <w:color w:val="000000"/>
          <w:sz w:val="24"/>
          <w:szCs w:val="24"/>
          <w:highlight w:val="none"/>
        </w:rPr>
      </w:r>
      <w:r/>
    </w:p>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供应商：（单位盖章）                       电子邮箱：</w:t>
      </w:r>
      <w:r>
        <w:rPr>
          <w:rFonts w:hint="eastAsia" w:ascii="宋体" w:hAnsi="宋体" w:eastAsia="宋体" w:cs="宋体"/>
          <w:color w:val="000000"/>
          <w:szCs w:val="24"/>
          <w:highlight w:val="none"/>
        </w:rPr>
      </w:r>
      <w:r/>
    </w:p>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法定代表人或代理人：（签字或盖章）</w:t>
      </w:r>
      <w:r>
        <w:rPr>
          <w:rFonts w:hint="eastAsia" w:ascii="宋体" w:hAnsi="宋体" w:eastAsia="宋体" w:cs="宋体"/>
          <w:color w:val="000000"/>
          <w:szCs w:val="24"/>
          <w:highlight w:val="none"/>
        </w:rPr>
      </w:r>
      <w:r/>
    </w:p>
    <w:p>
      <w:pPr>
        <w:pStyle w:val="971"/>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47"/>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zh-CN"/>
        </w:rPr>
        <w:t xml:space="preserve">法定代表人授权委托书</w:t>
      </w:r>
      <w:r>
        <w:rPr>
          <w:rFonts w:hint="eastAsia" w:ascii="宋体" w:hAnsi="宋体" w:eastAsia="宋体" w:cs="宋体"/>
          <w:b/>
          <w:color w:val="000000"/>
          <w:sz w:val="24"/>
          <w:szCs w:val="24"/>
          <w:highlight w:val="none"/>
          <w:lang w:val="zh-CN"/>
        </w:rPr>
      </w:r>
      <w:r/>
    </w:p>
    <w:p>
      <w:pPr>
        <w:pStyle w:val="971"/>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9"/>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本授权委托书声明：我</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（姓名）系</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（供应商名称）的法定代表人，现授权委托</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（姓名为我公司代理人，以本公司的名义参加</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（采购人名称）组织实施的编号为</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号的采购活动。代理人在投标、开标、评标、合同订立和履行过程中所签署的一切文件和处理与这有关的一切事务，我均予以承认。</w:t>
      </w:r>
      <w:r>
        <w:rPr>
          <w:rFonts w:hint="eastAsia" w:hAnsi="宋体" w:eastAsia="宋体" w:cs="宋体"/>
          <w:color w:val="000000"/>
          <w:sz w:val="24"/>
          <w:szCs w:val="24"/>
          <w:highlight w:val="none"/>
        </w:rPr>
      </w:r>
      <w:r/>
    </w:p>
    <w:p>
      <w:pPr>
        <w:pStyle w:val="1079"/>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rPr>
          <w:rFonts w:hint="eastAsia" w:hAnsi="宋体" w:eastAsia="宋体" w:cs="宋体"/>
          <w:color w:val="000000"/>
          <w:sz w:val="24"/>
          <w:szCs w:val="24"/>
          <w:highlight w:val="none"/>
        </w:rPr>
      </w:r>
      <w:r/>
    </w:p>
    <w:p>
      <w:pPr>
        <w:pStyle w:val="1079"/>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代理人无转委托权。特此委托。</w:t>
      </w:r>
      <w:r>
        <w:rPr>
          <w:rFonts w:hint="eastAsia" w:hAnsi="宋体" w:eastAsia="宋体" w:cs="宋体"/>
          <w:color w:val="000000"/>
          <w:sz w:val="24"/>
          <w:szCs w:val="24"/>
          <w:highlight w:val="none"/>
        </w:rPr>
      </w:r>
      <w:r/>
    </w:p>
    <w:p>
      <w:pPr>
        <w:pStyle w:val="1079"/>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w:t>
      </w:r>
      <w:r>
        <w:rPr>
          <w:rFonts w:hint="eastAsia" w:hAnsi="宋体" w:eastAsia="宋体" w:cs="宋体"/>
          <w:color w:val="000000"/>
          <w:sz w:val="24"/>
          <w:szCs w:val="24"/>
          <w:highlight w:val="none"/>
        </w:rPr>
      </w:r>
      <w:r/>
    </w:p>
    <w:p>
      <w:pPr>
        <w:pStyle w:val="1019"/>
        <w:ind w:firstLine="480"/>
        <w:jc w:val="both"/>
        <w:spacing w:line="360" w:lineRule="auto"/>
        <w:rPr>
          <w:rFonts w:cs="宋体"/>
          <w:color w:val="000000"/>
          <w:highlight w:val="none"/>
        </w:rPr>
      </w:pPr>
      <w:r>
        <w:rPr>
          <w:rFonts w:cs="宋体"/>
          <w:color w:val="000000"/>
          <w:highlight w:val="none"/>
        </w:rPr>
        <w:t xml:space="preserve">供应商（单位盖章）：</w:t>
      </w:r>
      <w:r>
        <w:rPr>
          <w:rFonts w:cs="宋体"/>
          <w:color w:val="000000"/>
          <w:highlight w:val="none"/>
        </w:rPr>
      </w:r>
      <w:r/>
    </w:p>
    <w:p>
      <w:pPr>
        <w:pStyle w:val="1019"/>
        <w:ind w:firstLine="480"/>
        <w:jc w:val="both"/>
        <w:spacing w:line="360" w:lineRule="auto"/>
        <w:rPr>
          <w:rFonts w:cs="宋体"/>
          <w:color w:val="000000"/>
          <w:highlight w:val="none"/>
        </w:rPr>
      </w:pPr>
      <w:r>
        <w:rPr>
          <w:rFonts w:cs="宋体"/>
          <w:color w:val="000000"/>
          <w:highlight w:val="none"/>
        </w:rPr>
        <w:t xml:space="preserve">法定代表人（签字或盖章）：</w:t>
      </w:r>
      <w:r>
        <w:rPr>
          <w:rFonts w:cs="宋体"/>
          <w:color w:val="000000"/>
          <w:highlight w:val="none"/>
        </w:rPr>
      </w:r>
      <w:r/>
    </w:p>
    <w:p>
      <w:pPr>
        <w:pStyle w:val="1019"/>
        <w:ind w:firstLine="480"/>
        <w:jc w:val="both"/>
        <w:spacing w:line="360" w:lineRule="auto"/>
        <w:rPr>
          <w:rFonts w:cs="宋体"/>
          <w:color w:val="000000"/>
          <w:highlight w:val="none"/>
        </w:rPr>
      </w:pPr>
      <w:r>
        <w:rPr>
          <w:rFonts w:cs="宋体"/>
          <w:color w:val="000000"/>
          <w:highlight w:val="none"/>
        </w:rPr>
        <w:t xml:space="preserve">代理人（签字或盖章）：</w:t>
      </w:r>
      <w:r>
        <w:rPr>
          <w:rFonts w:cs="宋体"/>
          <w:color w:val="000000"/>
          <w:highlight w:val="none"/>
        </w:rPr>
      </w:r>
      <w:r/>
    </w:p>
    <w:p>
      <w:pPr>
        <w:pStyle w:val="1019"/>
        <w:ind w:firstLine="480"/>
        <w:jc w:val="both"/>
        <w:spacing w:line="360" w:lineRule="auto"/>
        <w:rPr>
          <w:rFonts w:cs="宋体"/>
          <w:color w:val="000000"/>
          <w:highlight w:val="none"/>
        </w:rPr>
      </w:pPr>
      <w:r>
        <w:rPr>
          <w:rFonts w:cs="宋体"/>
          <w:color w:val="000000"/>
          <w:highlight w:val="none"/>
        </w:rPr>
        <w:t xml:space="preserve">日 期： </w:t>
      </w:r>
      <w:r>
        <w:rPr>
          <w:rFonts w:cs="宋体"/>
          <w:color w:val="000000"/>
          <w:highlight w:val="none"/>
        </w:rPr>
      </w:r>
      <w:r/>
    </w:p>
    <w:p>
      <w:pPr>
        <w:pStyle w:val="947"/>
        <w:ind w:firstLine="5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1"/>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注：本授权委托书仅限于法人性质供应商投标，响应文件中必须提供法定代表人和代理人身份证复印件。非法人性质供应商投标，授权委托书格式自拟，但必须同时提供受托双方身份证复印件。</w:t>
      </w:r>
      <w:r>
        <w:rPr>
          <w:rFonts w:hint="eastAsia" w:ascii="宋体" w:hAnsi="宋体" w:eastAsia="宋体" w:cs="宋体"/>
          <w:b/>
          <w:color w:val="000000"/>
          <w:szCs w:val="24"/>
          <w:highlight w:val="none"/>
        </w:rPr>
      </w:r>
      <w:r/>
    </w:p>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71"/>
        <w:ind w:right="420"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br w:type="page" w:clear="all"/>
      </w:r>
      <w:r>
        <w:rPr>
          <w:rFonts w:hint="eastAsia" w:ascii="宋体" w:hAnsi="宋体" w:eastAsia="宋体" w:cs="宋体"/>
          <w:b/>
          <w:bCs/>
          <w:color w:val="000000"/>
          <w:szCs w:val="24"/>
          <w:highlight w:val="none"/>
        </w:rPr>
        <w:t xml:space="preserve">3、关于资格文件的声明函</w:t>
      </w:r>
      <w:r>
        <w:rPr>
          <w:rFonts w:hint="eastAsia" w:ascii="宋体" w:hAnsi="宋体" w:eastAsia="宋体" w:cs="宋体"/>
          <w:b/>
          <w:bCs/>
          <w:color w:val="000000"/>
          <w:szCs w:val="24"/>
          <w:highlight w:val="none"/>
        </w:rPr>
      </w:r>
      <w:r/>
    </w:p>
    <w:p>
      <w:pPr>
        <w:pStyle w:val="971"/>
        <w:ind w:firstLine="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苏州正杰招投标咨询服务有限公司：</w:t>
      </w:r>
      <w:r>
        <w:rPr>
          <w:rFonts w:hint="eastAsia" w:ascii="宋体" w:hAnsi="宋体" w:eastAsia="宋体" w:cs="宋体"/>
          <w:color w:val="000000"/>
          <w:szCs w:val="24"/>
          <w:highlight w:val="none"/>
        </w:rPr>
      </w:r>
      <w:r/>
    </w:p>
    <w:p>
      <w:pPr>
        <w:pStyle w:val="97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愿就由贵公司组织实施的项目编号为_________号的采购活动进行响应。本公司所提交的商务、技术及报价文件中所有关于资格的文件、证明和陈述均是真实的、准确的和有效的。若与事实情况不符，本公司愿意承担由此而产生的一切后果。</w:t>
      </w:r>
      <w:r>
        <w:rPr>
          <w:rFonts w:hint="eastAsia" w:ascii="宋体" w:hAnsi="宋体" w:eastAsia="宋体" w:cs="宋体"/>
          <w:color w:val="000000"/>
          <w:szCs w:val="24"/>
          <w:highlight w:val="none"/>
        </w:rPr>
      </w:r>
      <w:r/>
    </w:p>
    <w:p>
      <w:pPr>
        <w:pStyle w:val="971"/>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rPr>
          <w:rFonts w:hint="eastAsia" w:ascii="宋体" w:hAnsi="宋体" w:eastAsia="宋体" w:cs="宋体"/>
          <w:color w:val="000000"/>
          <w:szCs w:val="24"/>
          <w:highlight w:val="none"/>
        </w:rPr>
      </w:r>
      <w:r/>
    </w:p>
    <w:p>
      <w:pPr>
        <w:pStyle w:val="971"/>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71"/>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8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7"/>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71"/>
        <w:ind w:right="420"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4、开标一览表</w:t>
      </w:r>
      <w:r>
        <w:rPr>
          <w:rFonts w:hint="eastAsia" w:ascii="宋体" w:hAnsi="宋体" w:eastAsia="宋体" w:cs="宋体"/>
          <w:b/>
          <w:bCs/>
          <w:color w:val="000000"/>
          <w:szCs w:val="24"/>
          <w:highlight w:val="none"/>
        </w:rPr>
      </w:r>
      <w:r/>
    </w:p>
    <w:p>
      <w:pPr>
        <w:pStyle w:val="947"/>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开标一览表（投标总价）</w:t>
      </w:r>
      <w:r>
        <w:rPr>
          <w:rFonts w:hint="eastAsia" w:ascii="宋体" w:hAnsi="宋体" w:eastAsia="宋体" w:cs="宋体"/>
          <w:b/>
          <w:color w:val="000000"/>
          <w:sz w:val="24"/>
          <w:szCs w:val="24"/>
          <w:highlight w:val="none"/>
        </w:rPr>
      </w:r>
      <w:r/>
    </w:p>
    <w:tbl>
      <w:tblPr>
        <w:tblW w:w="4952"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7"/>
        <w:gridCol w:w="7102"/>
      </w:tblGrid>
      <w:tr>
        <w:trPr>
          <w:cantSplit/>
          <w:trHeight w:val="832"/>
        </w:trPr>
        <w:tc>
          <w:tcPr>
            <w:tcW w:w="1361"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638"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投标总价</w:t>
            </w:r>
            <w:r>
              <w:rPr>
                <w:rFonts w:hint="eastAsia" w:ascii="宋体" w:hAnsi="宋体" w:eastAsia="宋体" w:cs="宋体"/>
                <w:color w:val="000000"/>
                <w:sz w:val="24"/>
                <w:szCs w:val="24"/>
                <w:highlight w:val="none"/>
              </w:rPr>
            </w:r>
            <w:r/>
          </w:p>
        </w:tc>
      </w:tr>
      <w:tr>
        <w:trPr>
          <w:cantSplit/>
          <w:trHeight w:val="960"/>
        </w:trPr>
        <w:tc>
          <w:tcPr>
            <w:tcW w:w="1361" w:type="dxa"/>
            <w:vAlign w:val="center"/>
            <w:textDirection w:val="lrTb"/>
            <w:noWrap w:val="false"/>
          </w:tcPr>
          <w:p>
            <w:pPr>
              <w:pStyle w:val="947"/>
              <w:spacing w:line="360" w:lineRule="auto"/>
              <w:rPr>
                <w:rFonts w:hint="eastAsia" w:ascii="宋体" w:hAnsi="宋体" w:eastAsia="宋体" w:cs="宋体"/>
                <w:color w:val="000000"/>
                <w:sz w:val="24"/>
                <w:szCs w:val="24"/>
                <w:highlight w:val="none"/>
              </w:rPr>
            </w:pPr>
            <w:r/>
            <w:bookmarkStart w:id="6" w:name="XMMC"/>
            <w:r/>
            <w:bookmarkEnd w:id="6"/>
            <w:r>
              <w:rPr>
                <w:rFonts w:hint="eastAsia" w:ascii="宋体" w:hAnsi="宋体" w:eastAsia="宋体" w:cs="宋体"/>
                <w:color w:val="000000"/>
                <w:sz w:val="24"/>
                <w:szCs w:val="24"/>
                <w:highlight w:val="none"/>
              </w:rPr>
            </w:r>
            <w:r/>
          </w:p>
        </w:tc>
        <w:tc>
          <w:tcPr>
            <w:tcW w:w="3638" w:type="dxa"/>
            <w:vAlign w:val="center"/>
            <w:textDirection w:val="lrTb"/>
            <w:noWrap w:val="false"/>
          </w:tcPr>
          <w:p>
            <w:pPr>
              <w:pStyle w:val="94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人民币小写：</w:t>
            </w:r>
            <w:bookmarkStart w:id="7" w:name="JEXX"/>
            <w:r/>
            <w:bookmarkEnd w:id="7"/>
            <w:r>
              <w:rPr>
                <w:rFonts w:hint="eastAsia" w:ascii="宋体" w:hAnsi="宋体" w:eastAsia="宋体" w:cs="宋体"/>
                <w:color w:val="000000"/>
                <w:sz w:val="24"/>
                <w:szCs w:val="24"/>
                <w:highlight w:val="none"/>
              </w:rPr>
              <w:t xml:space="preserve">                                      （元）</w:t>
            </w:r>
            <w:r>
              <w:rPr>
                <w:rFonts w:hint="eastAsia" w:ascii="宋体" w:hAnsi="宋体" w:eastAsia="宋体" w:cs="宋体"/>
                <w:color w:val="000000"/>
                <w:sz w:val="24"/>
                <w:szCs w:val="24"/>
                <w:highlight w:val="none"/>
              </w:rPr>
            </w:r>
            <w:r/>
          </w:p>
        </w:tc>
      </w:tr>
    </w:tbl>
    <w:p>
      <w:pPr>
        <w:pStyle w:val="94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8"/>
        <w:ind w:firstLine="480"/>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供应商（单位盖章）：</w:t>
      </w:r>
      <w:r>
        <w:rPr>
          <w:rFonts w:hint="eastAsia" w:hAnsi="宋体" w:eastAsia="宋体" w:cs="宋体"/>
          <w:color w:val="000000"/>
          <w:sz w:val="24"/>
          <w:szCs w:val="24"/>
          <w:highlight w:val="none"/>
        </w:rPr>
      </w:r>
      <w:r/>
    </w:p>
    <w:p>
      <w:pPr>
        <w:pStyle w:val="988"/>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法定代表人或代理人（签字或盖章）：</w:t>
      </w:r>
      <w:r>
        <w:rPr>
          <w:rFonts w:hint="eastAsia" w:hAnsi="宋体" w:eastAsia="宋体" w:cs="宋体"/>
          <w:color w:val="000000"/>
          <w:sz w:val="24"/>
          <w:szCs w:val="24"/>
          <w:highlight w:val="none"/>
        </w:rPr>
      </w:r>
      <w:r/>
    </w:p>
    <w:p>
      <w:pPr>
        <w:pStyle w:val="988"/>
        <w:ind w:firstLine="480"/>
        <w:spacing w:line="360" w:lineRule="auto"/>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lang w:val="zh-CN"/>
        </w:rPr>
      </w:r>
      <w:r/>
    </w:p>
    <w:p>
      <w:pPr>
        <w:pStyle w:val="1087"/>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1087"/>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1087"/>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1087"/>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br w:type="page" w:clear="all"/>
      </w:r>
      <w:r>
        <w:rPr>
          <w:rFonts w:hint="eastAsia" w:hAnsi="宋体" w:eastAsia="宋体" w:cs="宋体"/>
          <w:b/>
          <w:bCs/>
          <w:color w:val="000000"/>
          <w:sz w:val="24"/>
          <w:szCs w:val="24"/>
          <w:highlight w:val="none"/>
        </w:rPr>
        <w:t xml:space="preserve">5、磋商响应明细报价表</w:t>
      </w:r>
      <w:r>
        <w:rPr>
          <w:rFonts w:hint="eastAsia" w:hAnsi="宋体" w:eastAsia="宋体" w:cs="宋体"/>
          <w:b/>
          <w:bCs/>
          <w:color w:val="000000"/>
          <w:sz w:val="24"/>
          <w:szCs w:val="24"/>
          <w:highlight w:val="none"/>
        </w:rPr>
      </w:r>
      <w:r/>
    </w:p>
    <w:p>
      <w:pPr>
        <w:pStyle w:val="1087"/>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项目磋商响应明细报价表</w:t>
      </w:r>
      <w:r>
        <w:rPr>
          <w:rFonts w:hint="eastAsia"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3091"/>
        <w:gridCol w:w="906"/>
        <w:gridCol w:w="906"/>
        <w:gridCol w:w="906"/>
        <w:gridCol w:w="906"/>
        <w:gridCol w:w="1846"/>
      </w:tblGrid>
      <w:tr>
        <w:trPr>
          <w:trHeight w:val="567"/>
        </w:trPr>
        <w:tc>
          <w:tcPr>
            <w:tcW w:w="109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91"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费用条目</w:t>
            </w:r>
            <w:r>
              <w:rPr>
                <w:rFonts w:hint="eastAsia" w:ascii="宋体" w:hAnsi="宋体" w:eastAsia="宋体" w:cs="宋体"/>
                <w:color w:val="000000"/>
                <w:sz w:val="24"/>
                <w:szCs w:val="24"/>
                <w:highlight w:val="none"/>
              </w:rPr>
            </w:r>
            <w:r/>
          </w:p>
        </w:tc>
        <w:tc>
          <w:tcPr>
            <w:tcW w:w="906"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color w:val="000000"/>
                <w:sz w:val="24"/>
                <w:szCs w:val="24"/>
                <w:highlight w:val="none"/>
              </w:rPr>
            </w:r>
            <w:r/>
          </w:p>
        </w:tc>
        <w:tc>
          <w:tcPr>
            <w:tcW w:w="906"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color w:val="000000"/>
                <w:sz w:val="24"/>
                <w:szCs w:val="24"/>
                <w:highlight w:val="none"/>
              </w:rPr>
            </w:r>
            <w:r/>
          </w:p>
        </w:tc>
        <w:tc>
          <w:tcPr>
            <w:tcW w:w="906"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单价</w:t>
            </w:r>
            <w:r>
              <w:rPr>
                <w:rFonts w:hint="eastAsia" w:ascii="宋体" w:hAnsi="宋体" w:eastAsia="宋体" w:cs="宋体"/>
                <w:color w:val="000000"/>
                <w:sz w:val="24"/>
                <w:szCs w:val="24"/>
                <w:highlight w:val="none"/>
              </w:rPr>
            </w:r>
            <w:r/>
          </w:p>
        </w:tc>
        <w:tc>
          <w:tcPr>
            <w:tcW w:w="906"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总价</w:t>
            </w:r>
            <w:r>
              <w:rPr>
                <w:rFonts w:hint="eastAsia" w:ascii="宋体" w:hAnsi="宋体" w:eastAsia="宋体" w:cs="宋体"/>
                <w:color w:val="000000"/>
                <w:sz w:val="24"/>
                <w:szCs w:val="24"/>
                <w:highlight w:val="none"/>
              </w:rPr>
            </w:r>
            <w:r/>
          </w:p>
        </w:tc>
        <w:tc>
          <w:tcPr>
            <w:tcW w:w="1846"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trPr>
        <w:tc>
          <w:tcPr>
            <w:tcW w:w="1093"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3091"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84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tcW w:w="1093"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3091" w:type="dxa"/>
            <w:vAlign w:val="center"/>
            <w:textDirection w:val="lrTb"/>
            <w:noWrap w:val="false"/>
          </w:tcPr>
          <w:p>
            <w:pPr>
              <w:pStyle w:val="971"/>
              <w:ind w:right="420" w:firstLine="0"/>
              <w:spacing w:line="360" w:lineRule="auto"/>
              <w:rPr>
                <w:rStyle w:val="1028"/>
                <w:rFonts w:hint="eastAsia" w:ascii="宋体" w:hAnsi="宋体" w:eastAsia="宋体" w:cs="宋体"/>
                <w:color w:val="000000"/>
                <w:highlight w:val="none"/>
              </w:rPr>
            </w:pPr>
            <w:r>
              <w:rPr>
                <w:rStyle w:val="1028"/>
                <w:rFonts w:hint="eastAsia" w:ascii="宋体" w:hAnsi="宋体" w:eastAsia="宋体" w:cs="宋体"/>
                <w:color w:val="000000"/>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84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tcW w:w="1093"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3091"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90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846" w:type="dxa"/>
            <w:vAlign w:val="center"/>
            <w:textDirection w:val="lrTb"/>
            <w:noWrap w:val="false"/>
          </w:tcPr>
          <w:p>
            <w:pPr>
              <w:pStyle w:val="971"/>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567"/>
        </w:trPr>
        <w:tc>
          <w:tcPr>
            <w:gridSpan w:val="2"/>
            <w:tcW w:w="4184" w:type="dxa"/>
            <w:vAlign w:val="center"/>
            <w:textDirection w:val="lrTb"/>
            <w:noWrap w:val="false"/>
          </w:tcPr>
          <w:p>
            <w:pPr>
              <w:pStyle w:val="971"/>
              <w:ind w:right="420"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合计金额</w:t>
            </w:r>
            <w:r>
              <w:rPr>
                <w:rFonts w:hint="eastAsia" w:ascii="宋体" w:hAnsi="宋体" w:eastAsia="宋体" w:cs="宋体"/>
                <w:color w:val="000000"/>
                <w:szCs w:val="24"/>
                <w:highlight w:val="none"/>
              </w:rPr>
            </w:r>
            <w:r/>
          </w:p>
        </w:tc>
        <w:tc>
          <w:tcPr>
            <w:gridSpan w:val="5"/>
            <w:tcW w:w="5470" w:type="dxa"/>
            <w:vAlign w:val="center"/>
            <w:textDirection w:val="lrTb"/>
            <w:noWrap w:val="false"/>
          </w:tcPr>
          <w:p>
            <w:pPr>
              <w:pStyle w:val="971"/>
              <w:ind w:right="420"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u w:val="single"/>
              </w:rPr>
              <w:t xml:space="preserve">（大写）</w:t>
            </w:r>
            <w:r>
              <w:rPr>
                <w:rFonts w:hint="eastAsia" w:ascii="宋体" w:hAnsi="宋体" w:eastAsia="宋体" w:cs="宋体"/>
                <w:color w:val="000000"/>
                <w:sz w:val="24"/>
                <w:szCs w:val="24"/>
                <w:highlight w:val="none"/>
              </w:rPr>
              <w:t xml:space="preserve">圆（</w:t>
            </w:r>
            <w:r>
              <w:rPr>
                <w:rFonts w:hint="eastAsia" w:ascii="宋体" w:hAnsi="宋体" w:eastAsia="宋体" w:cs="宋体"/>
                <w:color w:val="000000"/>
                <w:szCs w:val="24"/>
                <w:highlight w:val="none"/>
              </w:rPr>
              <w:t xml:space="preserve">¥</w:t>
            </w:r>
            <w:r>
              <w:rPr>
                <w:rFonts w:hint="eastAsia" w:ascii="宋体" w:hAnsi="宋体" w:eastAsia="宋体" w:cs="宋体"/>
                <w:color w:val="000000"/>
                <w:sz w:val="24"/>
                <w:szCs w:val="24"/>
                <w:highlight w:val="none"/>
                <w:u w:val="single"/>
              </w:rPr>
              <w:t xml:space="preserve">（小写）</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Cs w:val="24"/>
                <w:highlight w:val="none"/>
              </w:rPr>
            </w:r>
            <w:r/>
          </w:p>
        </w:tc>
      </w:tr>
      <w:tr>
        <w:trPr>
          <w:trHeight w:val="567"/>
        </w:trPr>
        <w:tc>
          <w:tcPr>
            <w:gridSpan w:val="7"/>
            <w:tcW w:w="9654" w:type="dxa"/>
            <w:vAlign w:val="center"/>
            <w:textDirection w:val="lrTb"/>
            <w:noWrap w:val="false"/>
          </w:tcPr>
          <w:p>
            <w:pPr>
              <w:pStyle w:val="971"/>
              <w:ind w:right="42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color w:val="000000"/>
                <w:szCs w:val="21"/>
                <w:highlight w:val="none"/>
              </w:rPr>
              <w:t xml:space="preserve">本采购包中提供的符合本国产品标准的产品成本之和占该采购包提供的全部产品成本之和的比例为</w:t>
            </w:r>
            <w:r>
              <w:rPr>
                <w:rFonts w:hint="eastAsia" w:ascii="宋体" w:hAnsi="宋体" w:eastAsia="宋体" w:cs="宋体"/>
                <w:b w:val="0"/>
                <w:bCs/>
                <w:color w:val="000000"/>
                <w:szCs w:val="21"/>
                <w:highlight w:val="none"/>
                <w:u w:val="single"/>
              </w:rPr>
              <w:t xml:space="preserve">    </w:t>
            </w:r>
            <w:r>
              <w:rPr>
                <w:rFonts w:hint="eastAsia" w:ascii="宋体" w:hAnsi="宋体" w:eastAsia="宋体" w:cs="宋体"/>
                <w:b w:val="0"/>
                <w:bCs/>
                <w:color w:val="000000"/>
                <w:szCs w:val="21"/>
                <w:highlight w:val="none"/>
                <w:lang w:val="en-US" w:eastAsia="zh-CN"/>
              </w:rPr>
              <w:t xml:space="preserve">％</w:t>
            </w:r>
            <w:r>
              <w:rPr>
                <w:rFonts w:hint="eastAsia" w:ascii="宋体" w:hAnsi="宋体" w:eastAsia="宋体" w:cs="宋体"/>
                <w:b w:val="0"/>
                <w:bCs/>
                <w:color w:val="000000"/>
                <w:szCs w:val="21"/>
                <w:highlight w:val="none"/>
              </w:rPr>
              <w:t xml:space="preserve">。</w:t>
            </w:r>
            <w:r>
              <w:rPr>
                <w:rFonts w:hint="eastAsia" w:ascii="宋体" w:hAnsi="宋体" w:eastAsia="宋体" w:cs="宋体"/>
                <w:color w:val="000000"/>
                <w:sz w:val="24"/>
                <w:szCs w:val="24"/>
                <w:highlight w:val="none"/>
              </w:rPr>
            </w:r>
            <w:r/>
          </w:p>
        </w:tc>
      </w:tr>
    </w:tbl>
    <w:p>
      <w:pPr>
        <w:pStyle w:val="971"/>
        <w:ind w:left="0" w:right="118"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w:t>
      </w:r>
      <w:r>
        <w:rPr>
          <w:rFonts w:hint="eastAsia" w:ascii="宋体" w:hAnsi="宋体" w:eastAsia="宋体" w:cs="宋体"/>
          <w:color w:val="000000"/>
          <w:szCs w:val="24"/>
          <w:highlight w:val="none"/>
        </w:rPr>
      </w:r>
      <w:r/>
    </w:p>
    <w:p>
      <w:pPr>
        <w:pStyle w:val="971"/>
        <w:ind w:left="0" w:right="118"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1、供应商</w:t>
      </w:r>
      <w:r>
        <w:rPr>
          <w:rFonts w:hint="eastAsia" w:ascii="宋体" w:hAnsi="宋体" w:eastAsia="宋体" w:cs="宋体"/>
          <w:color w:val="000000"/>
          <w:szCs w:val="24"/>
          <w:highlight w:val="none"/>
        </w:rPr>
        <w:t xml:space="preserve">须对全部采购内容进行报价。本表中合计金额</w:t>
      </w:r>
      <w:r>
        <w:rPr>
          <w:rFonts w:hint="eastAsia" w:ascii="宋体" w:hAnsi="宋体" w:eastAsia="宋体" w:cs="宋体"/>
          <w:color w:val="000000"/>
          <w:szCs w:val="24"/>
          <w:highlight w:val="none"/>
          <w:lang w:val="en-US" w:eastAsia="zh-CN"/>
        </w:rPr>
        <w:t xml:space="preserve">应</w:t>
      </w:r>
      <w:r>
        <w:rPr>
          <w:rFonts w:hint="eastAsia" w:ascii="宋体" w:hAnsi="宋体" w:eastAsia="宋体" w:cs="宋体"/>
          <w:color w:val="000000"/>
          <w:szCs w:val="24"/>
          <w:highlight w:val="none"/>
        </w:rPr>
        <w:t xml:space="preserve">与“开标一览表”投标总价一致</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否则，以《开标一览表》为准。</w:t>
      </w:r>
      <w:r>
        <w:rPr>
          <w:rFonts w:hint="eastAsia" w:ascii="宋体" w:hAnsi="宋体" w:eastAsia="宋体" w:cs="宋体"/>
          <w:color w:val="000000"/>
          <w:szCs w:val="24"/>
          <w:highlight w:val="none"/>
        </w:rPr>
      </w:r>
      <w:r/>
    </w:p>
    <w:p>
      <w:pPr>
        <w:pStyle w:val="971"/>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2、各</w:t>
      </w:r>
      <w:r>
        <w:rPr>
          <w:rFonts w:hint="eastAsia" w:ascii="宋体" w:hAnsi="宋体" w:eastAsia="宋体" w:cs="宋体"/>
          <w:color w:val="000000"/>
          <w:szCs w:val="24"/>
          <w:highlight w:val="none"/>
          <w:lang w:val="en-US" w:eastAsia="zh-CN"/>
        </w:rPr>
        <w:t xml:space="preserve">供应商</w:t>
      </w:r>
      <w:r>
        <w:rPr>
          <w:rFonts w:hint="eastAsia" w:ascii="宋体" w:hAnsi="宋体" w:eastAsia="宋体" w:cs="宋体"/>
          <w:color w:val="000000"/>
          <w:szCs w:val="24"/>
          <w:highlight w:val="none"/>
        </w:rPr>
        <w:t xml:space="preserve">应根据此表格式按项目分别填写报价详细清单，如表格内容不够，可自行添加。</w:t>
      </w:r>
      <w:r>
        <w:rPr>
          <w:rFonts w:hint="eastAsia" w:ascii="宋体" w:hAnsi="宋体" w:eastAsia="宋体" w:cs="宋体"/>
          <w:color w:val="000000"/>
          <w:szCs w:val="24"/>
          <w:highlight w:val="none"/>
        </w:rPr>
      </w:r>
      <w:r/>
    </w:p>
    <w:p>
      <w:pPr>
        <w:pStyle w:val="971"/>
        <w:ind w:left="0" w:right="420" w:firstLine="482"/>
        <w:spacing w:line="360" w:lineRule="auto"/>
        <w:shd w:val="clear" w:color="auto" w:fill="auto"/>
        <w:rPr>
          <w:rFonts w:ascii="宋体" w:hAnsi="宋体" w:eastAsia="宋体" w:cs="宋体"/>
          <w:b/>
          <w:bCs/>
          <w:color w:val="000000"/>
          <w:szCs w:val="24"/>
          <w:highlight w:val="none"/>
          <w:lang w:val="en-US" w:eastAsia="zh-CN"/>
        </w:rPr>
      </w:pPr>
      <w:r>
        <w:rPr>
          <w:rFonts w:hint="eastAsia" w:ascii="宋体" w:hAnsi="宋体" w:eastAsia="宋体" w:cs="宋体"/>
          <w:b/>
          <w:bCs/>
          <w:color w:val="000000"/>
          <w:szCs w:val="24"/>
          <w:highlight w:val="none"/>
          <w:lang w:val="en-US" w:eastAsia="zh-CN"/>
        </w:rPr>
        <w:t xml:space="preserve">3、</w:t>
      </w:r>
      <w:r>
        <w:rPr>
          <w:rFonts w:hint="eastAsia" w:ascii="宋体" w:hAnsi="宋体" w:eastAsia="宋体" w:cs="宋体"/>
          <w:b/>
          <w:bCs/>
          <w:color w:val="000000"/>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eastAsia="宋体" w:cs="宋体"/>
          <w:b/>
          <w:bCs/>
          <w:color w:val="000000"/>
          <w:szCs w:val="24"/>
          <w:highlight w:val="none"/>
          <w:lang w:val="en-US" w:eastAsia="zh-CN"/>
        </w:rPr>
      </w:r>
      <w:r/>
    </w:p>
    <w:p>
      <w:pPr>
        <w:pStyle w:val="971"/>
        <w:ind w:left="0"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供应商</w:t>
      </w:r>
      <w:r>
        <w:rPr>
          <w:rFonts w:hint="eastAsia" w:ascii="宋体" w:hAnsi="宋体" w:eastAsia="宋体" w:cs="宋体"/>
          <w:color w:val="000000"/>
          <w:szCs w:val="24"/>
          <w:highlight w:val="none"/>
        </w:rPr>
        <w:t xml:space="preserve">（单位盖章）：</w:t>
      </w:r>
      <w:r>
        <w:rPr>
          <w:rFonts w:hint="eastAsia" w:ascii="宋体" w:hAnsi="宋体" w:eastAsia="宋体" w:cs="宋体"/>
          <w:color w:val="000000"/>
          <w:szCs w:val="24"/>
          <w:highlight w:val="none"/>
        </w:rPr>
      </w:r>
      <w:r/>
    </w:p>
    <w:p>
      <w:pPr>
        <w:pStyle w:val="971"/>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71"/>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88"/>
        <w:ind w:firstLine="480"/>
        <w:jc w:val="left"/>
        <w:spacing w:line="360" w:lineRule="auto"/>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r>
      <w:r/>
    </w:p>
    <w:p>
      <w:pPr>
        <w:pStyle w:val="988"/>
        <w:jc w:val="left"/>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988"/>
        <w:jc w:val="left"/>
        <w:spacing w:line="360" w:lineRule="auto"/>
        <w:rPr>
          <w:rFonts w:hint="eastAsia" w:hAnsi="宋体" w:eastAsia="宋体" w:cs="宋体"/>
          <w:b/>
          <w:bCs/>
          <w:color w:val="000000"/>
          <w:sz w:val="24"/>
          <w:szCs w:val="24"/>
          <w:highlight w:val="none"/>
        </w:rPr>
        <w:sectPr>
          <w:footerReference w:type="default" r:id="rId15"/>
          <w:footnotePr/>
          <w:endnotePr/>
          <w:type w:val="nextPage"/>
          <w:pgSz w:w="11906" w:h="16838" w:orient="portrait"/>
          <w:pgMar w:top="1134" w:right="1134" w:bottom="1134" w:left="1134" w:header="851" w:footer="567" w:gutter="0"/>
          <w:cols w:num="1" w:sep="0" w:space="1701" w:equalWidth="1"/>
          <w:docGrid w:linePitch="360"/>
        </w:sectPr>
      </w:pPr>
      <w:r>
        <w:rPr>
          <w:rFonts w:hint="eastAsia" w:hAnsi="宋体" w:eastAsia="宋体" w:cs="宋体"/>
          <w:b/>
          <w:bCs/>
          <w:color w:val="000000"/>
          <w:sz w:val="24"/>
          <w:szCs w:val="24"/>
          <w:highlight w:val="none"/>
        </w:rPr>
      </w:r>
      <w:r/>
    </w:p>
    <w:p>
      <w:pPr>
        <w:pStyle w:val="988"/>
        <w:jc w:val="left"/>
        <w:spacing w:line="360" w:lineRule="auto"/>
        <w:rPr>
          <w:rFonts w:hint="eastAsia" w:hAnsi="宋体" w:eastAsia="宋体" w:cs="宋体"/>
          <w:b/>
          <w:color w:val="000000"/>
          <w:sz w:val="24"/>
          <w:szCs w:val="24"/>
          <w:highlight w:val="none"/>
          <w:lang w:val="zh-CN"/>
        </w:rPr>
      </w:pPr>
      <w:r>
        <w:rPr>
          <w:rFonts w:hint="eastAsia" w:hAnsi="宋体" w:eastAsia="宋体" w:cs="宋体"/>
          <w:b/>
          <w:color w:val="000000"/>
          <w:sz w:val="24"/>
          <w:szCs w:val="24"/>
          <w:highlight w:val="none"/>
        </w:rPr>
        <w:t xml:space="preserve">6</w:t>
      </w:r>
      <w:r>
        <w:rPr>
          <w:rFonts w:hint="eastAsia" w:hAnsi="宋体" w:eastAsia="宋体" w:cs="宋体"/>
          <w:b/>
          <w:color w:val="000000"/>
          <w:sz w:val="24"/>
          <w:szCs w:val="24"/>
          <w:highlight w:val="none"/>
          <w:lang w:val="zh-CN"/>
        </w:rPr>
        <w:t xml:space="preserve">、中小企业声明函</w:t>
      </w:r>
      <w:r>
        <w:rPr>
          <w:rFonts w:hint="eastAsia" w:hAnsi="宋体" w:eastAsia="宋体" w:cs="宋体"/>
          <w:b/>
          <w:color w:val="000000"/>
          <w:sz w:val="24"/>
          <w:szCs w:val="24"/>
          <w:highlight w:val="none"/>
          <w:lang w:val="zh-CN"/>
        </w:rPr>
      </w:r>
      <w:r/>
    </w:p>
    <w:p>
      <w:pPr>
        <w:pStyle w:val="947"/>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苏州正杰招投标咨询服务有限公司</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4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本公司郑重声明，根据《政府采购促进中小企业发展管理办法》（财库﹝2020﹞46 号）的规定，本公司参加</w:t>
      </w:r>
      <w:r>
        <w:rPr>
          <w:rFonts w:hint="eastAsia" w:ascii="宋体" w:hAnsi="宋体" w:eastAsia="宋体" w:cs="宋体"/>
          <w:color w:val="000000"/>
          <w:sz w:val="24"/>
          <w:szCs w:val="24"/>
          <w:highlight w:val="none"/>
          <w:u w:val="single"/>
          <w:lang w:val="zh-CN"/>
        </w:rPr>
        <w:t xml:space="preserve">（单位名称）</w:t>
      </w:r>
      <w:r>
        <w:rPr>
          <w:rFonts w:hint="eastAsia" w:ascii="宋体" w:hAnsi="宋体" w:eastAsia="宋体" w:cs="宋体"/>
          <w:color w:val="000000"/>
          <w:sz w:val="24"/>
          <w:szCs w:val="24"/>
          <w:highlight w:val="none"/>
          <w:lang w:val="zh-CN"/>
        </w:rPr>
        <w:t xml:space="preserve">的</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lang w:val="zh-CN"/>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lang w:val="zh-CN"/>
        </w:rPr>
      </w:r>
      <w:r/>
    </w:p>
    <w:p>
      <w:pPr>
        <w:pStyle w:val="94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u w:val="single"/>
          <w:lang w:val="zh-CN"/>
        </w:rPr>
        <w:t xml:space="preserve">（标的名称）</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（采购文件中明确的所属行业）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；承接企业为</w:t>
      </w:r>
      <w:r>
        <w:rPr>
          <w:rFonts w:hint="eastAsia" w:ascii="宋体" w:hAnsi="宋体" w:eastAsia="宋体" w:cs="宋体"/>
          <w:color w:val="000000"/>
          <w:sz w:val="24"/>
          <w:szCs w:val="24"/>
          <w:highlight w:val="none"/>
          <w:u w:val="single"/>
          <w:lang w:val="zh-CN"/>
        </w:rPr>
        <w:t xml:space="preserve">（企业名称）</w:t>
      </w:r>
      <w:r>
        <w:rPr>
          <w:rFonts w:hint="eastAsia" w:ascii="宋体" w:hAnsi="宋体" w:eastAsia="宋体" w:cs="宋体"/>
          <w:color w:val="000000"/>
          <w:sz w:val="24"/>
          <w:szCs w:val="24"/>
          <w:highlight w:val="none"/>
          <w:lang w:val="zh-CN"/>
        </w:rPr>
        <w:t xml:space="preserve">，从业人员</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人，营业收入为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万元，资产总额为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万元，属于</w:t>
      </w:r>
      <w:r>
        <w:rPr>
          <w:rFonts w:hint="eastAsia" w:ascii="宋体" w:hAnsi="宋体" w:eastAsia="宋体" w:cs="宋体"/>
          <w:color w:val="000000"/>
          <w:sz w:val="24"/>
          <w:szCs w:val="24"/>
          <w:highlight w:val="none"/>
          <w:u w:val="single"/>
          <w:lang w:val="zh-CN"/>
        </w:rPr>
        <w:t xml:space="preserve">      （中型企业、小型企业、微型企业）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4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u w:val="single"/>
          <w:lang w:val="zh-CN"/>
        </w:rPr>
        <w:t xml:space="preserve">（标的名称）</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color w:val="000000"/>
          <w:sz w:val="24"/>
          <w:szCs w:val="24"/>
          <w:highlight w:val="none"/>
          <w:u w:val="single"/>
          <w:lang w:val="zh-CN"/>
        </w:rPr>
        <w:t xml:space="preserve">（采购文件中明确的所属行业）</w:t>
      </w:r>
      <w:r>
        <w:rPr>
          <w:rFonts w:hint="eastAsia" w:ascii="宋体" w:hAnsi="宋体" w:eastAsia="宋体" w:cs="宋体"/>
          <w:color w:val="000000"/>
          <w:sz w:val="24"/>
          <w:szCs w:val="24"/>
          <w:highlight w:val="none"/>
          <w:lang w:val="zh-CN"/>
        </w:rPr>
        <w:t xml:space="preserve">；承接企业为</w:t>
      </w:r>
      <w:r>
        <w:rPr>
          <w:rFonts w:hint="eastAsia" w:ascii="宋体" w:hAnsi="宋体" w:eastAsia="宋体" w:cs="宋体"/>
          <w:color w:val="000000"/>
          <w:sz w:val="24"/>
          <w:szCs w:val="24"/>
          <w:highlight w:val="none"/>
          <w:u w:val="single"/>
          <w:lang w:val="zh-CN"/>
        </w:rPr>
        <w:t xml:space="preserve">（企业名称）</w:t>
      </w:r>
      <w:r>
        <w:rPr>
          <w:rFonts w:hint="eastAsia" w:ascii="宋体" w:hAnsi="宋体" w:eastAsia="宋体" w:cs="宋体"/>
          <w:color w:val="000000"/>
          <w:sz w:val="24"/>
          <w:szCs w:val="24"/>
          <w:highlight w:val="none"/>
          <w:lang w:val="zh-CN"/>
        </w:rPr>
        <w:t xml:space="preserve">，从业人员</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人，营业收入为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万元，资产总额为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万元，属于</w:t>
      </w:r>
      <w:r>
        <w:rPr>
          <w:rFonts w:hint="eastAsia" w:ascii="宋体" w:hAnsi="宋体" w:eastAsia="宋体" w:cs="宋体"/>
          <w:color w:val="000000"/>
          <w:sz w:val="24"/>
          <w:szCs w:val="24"/>
          <w:highlight w:val="none"/>
          <w:u w:val="single"/>
          <w:lang w:val="zh-CN"/>
        </w:rPr>
        <w:t xml:space="preserve">       （中型企业、小型企业、微型企业）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47"/>
        <w:ind w:firstLine="7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47"/>
        <w:ind w:firstLine="7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lang w:val="zh-CN"/>
        </w:rPr>
      </w:r>
      <w:r/>
    </w:p>
    <w:p>
      <w:pPr>
        <w:pStyle w:val="947"/>
        <w:ind w:firstLine="7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本企业对上述声明内容的真实性负责。如有虚假，将依法承担相应责任。</w:t>
      </w:r>
      <w:r>
        <w:rPr>
          <w:rFonts w:hint="eastAsia" w:ascii="宋体" w:hAnsi="宋体" w:eastAsia="宋体" w:cs="宋体"/>
          <w:color w:val="000000"/>
          <w:sz w:val="24"/>
          <w:szCs w:val="24"/>
          <w:highlight w:val="none"/>
          <w:lang w:val="zh-CN"/>
        </w:rPr>
      </w:r>
      <w:r/>
    </w:p>
    <w:p>
      <w:pPr>
        <w:pStyle w:val="947"/>
        <w:ind w:firstLine="49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企业名称（盖章）：</w:t>
      </w:r>
      <w:r>
        <w:rPr>
          <w:rFonts w:hint="eastAsia" w:ascii="宋体" w:hAnsi="宋体" w:eastAsia="宋体" w:cs="宋体"/>
          <w:color w:val="000000"/>
          <w:sz w:val="24"/>
          <w:szCs w:val="24"/>
          <w:highlight w:val="none"/>
          <w:lang w:val="zh-CN"/>
        </w:rPr>
      </w:r>
      <w:r/>
    </w:p>
    <w:p>
      <w:pPr>
        <w:pStyle w:val="947"/>
        <w:ind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日期：</w:t>
      </w:r>
      <w:r>
        <w:rPr>
          <w:rFonts w:hint="eastAsia" w:ascii="宋体" w:hAnsi="宋体" w:eastAsia="宋体" w:cs="宋体"/>
          <w:color w:val="000000"/>
          <w:sz w:val="24"/>
          <w:szCs w:val="24"/>
          <w:highlight w:val="none"/>
        </w:rPr>
      </w:r>
      <w:r/>
    </w:p>
    <w:p>
      <w:pPr>
        <w:pStyle w:val="947"/>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从业人员、营业收入、资产总额填报上一年度数据，无上一年度数据的新成立企业可不填报；</w:t>
      </w:r>
      <w:r>
        <w:rPr>
          <w:rFonts w:hint="eastAsia" w:ascii="宋体" w:hAnsi="宋体" w:eastAsia="宋体" w:cs="宋体"/>
          <w:color w:val="000000"/>
          <w:sz w:val="24"/>
          <w:szCs w:val="24"/>
          <w:highlight w:val="none"/>
          <w:lang w:val="zh-CN"/>
        </w:rPr>
      </w:r>
      <w:r/>
    </w:p>
    <w:p>
      <w:pPr>
        <w:pStyle w:val="94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若供应商未在此函中对（中型企业、小型企业、微型企业）明确选择，视为非中小企业，不享受中小企业扶持政策；</w:t>
      </w:r>
      <w:r>
        <w:rPr>
          <w:rFonts w:hint="eastAsia" w:ascii="宋体" w:hAnsi="宋体" w:eastAsia="宋体" w:cs="宋体"/>
          <w:color w:val="000000"/>
          <w:sz w:val="24"/>
          <w:szCs w:val="24"/>
          <w:highlight w:val="none"/>
          <w:lang w:val="zh-CN"/>
        </w:rPr>
      </w:r>
      <w:r/>
    </w:p>
    <w:p>
      <w:pPr>
        <w:pStyle w:val="94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若供应商提供的“中小企业声明函”内容不实的，属于提供虚假材料谋取中标、成交，依照《中华人民共和国政府采购法》等国家有关规定追究相应责任。</w:t>
      </w:r>
      <w:r>
        <w:rPr>
          <w:rFonts w:hint="eastAsia" w:ascii="宋体" w:hAnsi="宋体" w:eastAsia="宋体" w:cs="宋体"/>
          <w:color w:val="000000"/>
          <w:sz w:val="24"/>
          <w:szCs w:val="24"/>
          <w:highlight w:val="none"/>
          <w:lang w:val="zh-CN"/>
        </w:rPr>
      </w:r>
      <w:r/>
    </w:p>
    <w:p>
      <w:pPr>
        <w:pStyle w:val="94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lang w:val="zh-CN"/>
        </w:rPr>
      </w:r>
      <w:r/>
    </w:p>
    <w:p>
      <w:pPr>
        <w:pStyle w:val="947"/>
        <w:ind w:firstLine="480"/>
        <w:spacing w:line="44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5、成交供应商为中小企业的，《中小企业声明函》将随成交结果同时公告。</w:t>
      </w: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附：中小企业划型标准规定</w:t>
      </w:r>
      <w:r>
        <w:rPr>
          <w:rFonts w:hint="eastAsia" w:ascii="宋体" w:hAnsi="宋体" w:eastAsia="宋体" w:cs="宋体"/>
          <w:b/>
          <w:color w:val="000000"/>
          <w:sz w:val="24"/>
          <w:szCs w:val="24"/>
          <w:highlight w:val="none"/>
        </w:rPr>
      </w:r>
      <w:r/>
    </w:p>
    <w:p>
      <w:pPr>
        <w:pStyle w:val="94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highlight w:val="none"/>
        </w:rPr>
      </w:r>
      <w:r/>
    </w:p>
    <w:p>
      <w:pPr>
        <w:pStyle w:val="94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p>
      <w:pPr>
        <w:pStyle w:val="94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94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rPr>
      </w:r>
      <w:r/>
    </w:p>
    <w:p>
      <w:pPr>
        <w:pStyle w:val="94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highlight w:val="none"/>
        </w:rPr>
      </w:r>
      <w:r/>
    </w:p>
    <w:p>
      <w:pPr>
        <w:pStyle w:val="94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4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4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r>
      <w:r/>
    </w:p>
    <w:p>
      <w:pPr>
        <w:pStyle w:val="94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highlight w:val="none"/>
        </w:rPr>
      </w:r>
      <w:r/>
    </w:p>
    <w:p>
      <w:pPr>
        <w:pStyle w:val="94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w:t>
      </w:r>
      <w:r>
        <w:rPr>
          <w:rFonts w:hint="eastAsia" w:ascii="宋体" w:hAnsi="宋体" w:eastAsia="宋体" w:cs="宋体"/>
          <w:color w:val="000000"/>
          <w:sz w:val="24"/>
          <w:szCs w:val="24"/>
          <w:highlight w:val="none"/>
        </w:rPr>
      </w:r>
      <w:r/>
    </w:p>
    <w:p>
      <w:pPr>
        <w:pStyle w:val="94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highlight w:val="none"/>
        </w:rPr>
      </w:r>
      <w:r/>
    </w:p>
    <w:p>
      <w:pPr>
        <w:pStyle w:val="94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（十五）租赁和商务服务业。</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highlight w:val="none"/>
        </w:rPr>
      </w:r>
      <w:r/>
    </w:p>
    <w:p>
      <w:pPr>
        <w:pStyle w:val="94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（十六）其他未列明行业。</w:t>
      </w:r>
      <w:r>
        <w:rPr>
          <w:rFonts w:hint="eastAsia" w:ascii="宋体" w:hAnsi="宋体" w:eastAsia="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947"/>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rPr>
        <w:t xml:space="preserve">7、残疾人福利性单位声明函</w:t>
      </w:r>
      <w:r>
        <w:rPr>
          <w:rFonts w:hint="eastAsia" w:ascii="宋体" w:hAnsi="宋体" w:eastAsia="宋体" w:cs="宋体"/>
          <w:b/>
          <w:bCs/>
          <w:color w:val="000000"/>
          <w:sz w:val="24"/>
          <w:szCs w:val="24"/>
          <w:highlight w:val="none"/>
        </w:rPr>
      </w:r>
      <w:r/>
    </w:p>
    <w:p>
      <w:pPr>
        <w:pStyle w:val="947"/>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7"/>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由本单位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47"/>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7"/>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本单位对上述声明的真实性负责。如有虚假，将依法承担相应责任。</w:t>
      </w:r>
      <w:r>
        <w:rPr>
          <w:rFonts w:hint="eastAsia" w:ascii="宋体" w:hAnsi="宋体" w:eastAsia="宋体" w:cs="宋体"/>
          <w:color w:val="000000"/>
          <w:sz w:val="24"/>
          <w:szCs w:val="24"/>
          <w:highlight w:val="none"/>
        </w:rPr>
      </w:r>
      <w:r/>
    </w:p>
    <w:p>
      <w:pPr>
        <w:pStyle w:val="947"/>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1"/>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rPr>
          <w:rFonts w:hint="eastAsia" w:ascii="宋体" w:hAnsi="宋体" w:eastAsia="宋体" w:cs="宋体"/>
          <w:color w:val="000000"/>
          <w:szCs w:val="24"/>
          <w:highlight w:val="none"/>
        </w:rPr>
      </w:r>
      <w:r/>
    </w:p>
    <w:p>
      <w:pPr>
        <w:pStyle w:val="971"/>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71"/>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47"/>
        <w:spacing w:line="360" w:lineRule="auto"/>
        <w:shd w:val="clear" w:color="auto" w:fill="auto"/>
        <w:rPr>
          <w:rFonts w:hint="eastAsia" w:ascii="宋体" w:hAnsi="宋体" w:eastAsia="宋体" w:cs="宋体"/>
          <w:b w:val="0"/>
          <w:bCs w:val="0"/>
          <w:color w:val="000000"/>
          <w:sz w:val="24"/>
          <w:szCs w:val="24"/>
          <w:highlight w:val="none"/>
          <w:lang w:val="en-US" w:eastAsia="zh-CN"/>
        </w:rPr>
        <w:outlineLvl w:val="0"/>
      </w:pPr>
      <w:r>
        <w:rPr>
          <w:rFonts w:hint="eastAsia" w:ascii="宋体" w:hAnsi="宋体" w:eastAsia="宋体" w:cs="宋体"/>
          <w:b w:val="0"/>
          <w:bCs w:val="0"/>
          <w:color w:val="000000"/>
          <w:sz w:val="24"/>
          <w:szCs w:val="24"/>
          <w:highlight w:val="none"/>
          <w:lang w:val="en-US" w:eastAsia="zh-CN"/>
        </w:rPr>
      </w:r>
      <w:r/>
    </w:p>
    <w:p>
      <w:pPr>
        <w:pStyle w:val="947"/>
        <w:spacing w:line="360" w:lineRule="auto"/>
        <w:shd w:val="clear" w:color="auto" w:fill="auto"/>
        <w:rPr>
          <w:rFonts w:hint="eastAsia" w:ascii="宋体" w:hAnsi="宋体" w:eastAsia="宋体" w:cs="宋体"/>
          <w:b w:val="0"/>
          <w:bCs w:val="0"/>
          <w:color w:val="000000"/>
          <w:sz w:val="24"/>
          <w:szCs w:val="24"/>
          <w:highlight w:val="none"/>
          <w:lang w:val="en-US" w:eastAsia="zh-CN"/>
        </w:rPr>
        <w:sectPr>
          <w:footnotePr/>
          <w:endnotePr/>
          <w:type w:val="nextPage"/>
          <w:pgSz w:w="11906" w:h="16838" w:orient="portrait"/>
          <w:pgMar w:top="1134" w:right="1134" w:bottom="1134" w:left="1134" w:header="851" w:footer="992" w:gutter="0"/>
          <w:cols w:num="1" w:sep="0" w:space="1701" w:equalWidth="1"/>
          <w:docGrid w:linePitch="360"/>
        </w:sectPr>
        <w:outlineLvl w:val="0"/>
      </w:pPr>
      <w:r>
        <w:rPr>
          <w:rFonts w:hint="eastAsia" w:ascii="宋体" w:hAnsi="宋体" w:eastAsia="宋体" w:cs="宋体"/>
          <w:b w:val="0"/>
          <w:bCs w:val="0"/>
          <w:color w:val="000000"/>
          <w:sz w:val="24"/>
          <w:szCs w:val="24"/>
          <w:highlight w:val="none"/>
          <w:lang w:val="en-US" w:eastAsia="zh-CN"/>
        </w:rPr>
      </w:r>
      <w:r/>
    </w:p>
    <w:p>
      <w:pPr>
        <w:pStyle w:val="947"/>
        <w:spacing w:line="360" w:lineRule="auto"/>
        <w:shd w:val="clear" w:color="auto" w:fill="auto"/>
        <w:rPr>
          <w:rFonts w:hint="eastAsia" w:ascii="方正魏碑_GBK" w:hAnsi="方正魏碑_GBK"/>
          <w:b/>
          <w:bCs/>
          <w:color w:val="000000"/>
          <w:sz w:val="24"/>
          <w:szCs w:val="24"/>
          <w:highlight w:val="none"/>
        </w:rPr>
        <w:outlineLvl w:val="0"/>
      </w:pPr>
      <w:r>
        <w:rPr>
          <w:rFonts w:hint="eastAsia" w:ascii="宋体" w:hAnsi="宋体" w:eastAsia="宋体" w:cs="宋体"/>
          <w:b/>
          <w:bCs/>
          <w:color w:val="000000"/>
          <w:sz w:val="24"/>
          <w:szCs w:val="24"/>
          <w:highlight w:val="none"/>
          <w:lang w:val="en-US" w:eastAsia="zh-CN"/>
        </w:rPr>
        <w:t xml:space="preserve">8、关于符合本国产品标准的声明函（采购包号：**）</w:t>
      </w:r>
      <w:r>
        <w:rPr>
          <w:rFonts w:ascii="方正魏碑_GBK" w:hAnsi="方正魏碑_GBK"/>
          <w:b/>
          <w:bCs/>
          <w:color w:val="000000"/>
          <w:sz w:val="24"/>
          <w:szCs w:val="24"/>
          <w:highlight w:val="none"/>
        </w:rPr>
        <w:t xml:space="preserve"> </w:t>
      </w:r>
      <w:r>
        <w:rPr>
          <w:rFonts w:hint="eastAsia" w:ascii="方正魏碑_GBK" w:hAnsi="方正魏碑_GBK"/>
          <w:b/>
          <w:bCs/>
          <w:color w:val="000000"/>
          <w:sz w:val="24"/>
          <w:szCs w:val="24"/>
          <w:highlight w:val="none"/>
        </w:rPr>
      </w:r>
      <w:r/>
    </w:p>
    <w:p>
      <w:pPr>
        <w:pStyle w:val="1019"/>
        <w:ind w:firstLine="42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1019"/>
        <w:ind w:firstLine="420"/>
        <w:spacing w:before="0" w:after="3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1457325</wp:posOffset>
                </wp:positionH>
                <wp:positionV relativeFrom="paragraph">
                  <wp:posOffset>472440</wp:posOffset>
                </wp:positionV>
                <wp:extent cx="728345" cy="24765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5;o:allowoverlap:true;o:allowincell:true;mso-position-horizontal-relative:text;margin-left:114.8pt;mso-position-horizontal:absolute;mso-position-vertical-relative:text;margin-top:37.2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424180</wp:posOffset>
                </wp:positionH>
                <wp:positionV relativeFrom="paragraph">
                  <wp:posOffset>472440</wp:posOffset>
                </wp:positionV>
                <wp:extent cx="728345" cy="24765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33.4pt;mso-position-horizontal:absolute;mso-position-vertical-relative:text;margin-top:37.2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4004945</wp:posOffset>
                </wp:positionH>
                <wp:positionV relativeFrom="paragraph">
                  <wp:posOffset>253365</wp:posOffset>
                </wp:positionV>
                <wp:extent cx="728345" cy="24765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8345" cy="2476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3;o:allowoverlap:true;o:allowincell:true;mso-position-horizontal-relative:text;margin-left:315.3pt;mso-position-horizontal:absolute;mso-position-vertical-relative:text;margin-top:19.9pt;mso-position-vertical:absolute;width:57.3pt;height:19.5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2912110</wp:posOffset>
                </wp:positionH>
                <wp:positionV relativeFrom="paragraph">
                  <wp:posOffset>253365</wp:posOffset>
                </wp:positionV>
                <wp:extent cx="728345" cy="24765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2;o:allowoverlap:true;o:allowincell:true;mso-position-horizontal-relative:text;margin-left:229.3pt;mso-position-horizontal:absolute;mso-position-vertical-relative:text;margin-top:19.9pt;mso-position-vertical:absolute;width:57.3pt;height:19.5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1821180</wp:posOffset>
                </wp:positionH>
                <wp:positionV relativeFrom="paragraph">
                  <wp:posOffset>253365</wp:posOffset>
                </wp:positionV>
                <wp:extent cx="728345" cy="24765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1;o:allowoverlap:true;o:allowincell:true;mso-position-horizontal-relative:text;margin-left:143.4pt;mso-position-horizontal:absolute;mso-position-vertical-relative:text;margin-top:19.9pt;mso-position-vertical:absolute;width:57.3pt;height:19.5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4810125</wp:posOffset>
                </wp:positionH>
                <wp:positionV relativeFrom="paragraph">
                  <wp:posOffset>5715</wp:posOffset>
                </wp:positionV>
                <wp:extent cx="728345" cy="24765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524288;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b w:val="0"/>
          <w:bCs w:val="0"/>
          <w:color w:val="000000"/>
          <w:sz w:val="24"/>
          <w:szCs w:val="24"/>
          <w:highlight w:val="none"/>
          <w:shd w:val="clear" w:color="auto" w:fill="ffffff"/>
        </w:rPr>
        <w:t xml:space="preserve">1.</w:t>
      </w:r>
      <w:r>
        <w:rPr>
          <w:rStyle w:val="1148"/>
          <w:rFonts w:hint="eastAsia" w:ascii="宋体" w:hAnsi="宋体" w:eastAsia="宋体" w:cs="宋体"/>
          <w:b w:val="0"/>
          <w:bCs w:val="0"/>
          <w:i w:val="0"/>
          <w:color w:val="000000"/>
          <w:sz w:val="24"/>
          <w:szCs w:val="24"/>
          <w:highlight w:val="none"/>
          <w:u w:val="single"/>
          <w:shd w:val="clear" w:color="auto" w:fill="ffffff"/>
        </w:rPr>
        <w:t xml:space="preserve">（产品名称1）</w:t>
      </w:r>
      <w:r>
        <w:rPr>
          <w:rStyle w:val="1148"/>
          <w:rFonts w:hint="eastAsia" w:ascii="宋体" w:hAnsi="宋体" w:eastAsia="宋体" w:cs="宋体"/>
          <w:b w:val="0"/>
          <w:bCs w:val="0"/>
          <w:i w:val="0"/>
          <w:color w:val="000000"/>
          <w:sz w:val="24"/>
          <w:szCs w:val="24"/>
          <w:highlight w:val="none"/>
          <w:shd w:val="clear" w:color="auto" w:fill="ffffff"/>
          <w:vertAlign w:val="superscript"/>
        </w:rPr>
        <w:t xml:space="preserve">1</w:t>
      </w:r>
      <w:r>
        <w:rPr>
          <w:rFonts w:hint="eastAsia" w:ascii="宋体" w:hAnsi="宋体" w:eastAsia="宋体" w:cs="宋体"/>
          <w:b w:val="0"/>
          <w:bCs w:val="0"/>
          <w:color w:val="000000"/>
          <w:sz w:val="24"/>
          <w:szCs w:val="24"/>
          <w:highlight w:val="none"/>
          <w:shd w:val="clear" w:color="auto" w:fill="ffffff"/>
        </w:rPr>
        <w:t xml:space="preserve">，生产厂为</w:t>
      </w:r>
      <w:r>
        <w:rPr>
          <w:rStyle w:val="1148"/>
          <w:rFonts w:hint="eastAsia" w:ascii="宋体" w:hAnsi="宋体" w:eastAsia="宋体" w:cs="宋体"/>
          <w:b w:val="0"/>
          <w:bCs w:val="0"/>
          <w:i w:val="0"/>
          <w:color w:val="000000"/>
          <w:sz w:val="24"/>
          <w:szCs w:val="24"/>
          <w:highlight w:val="none"/>
          <w:u w:val="single"/>
          <w:shd w:val="clear" w:color="auto" w:fill="ffffff"/>
        </w:rPr>
        <w:t xml:space="preserve">（厂名）</w:t>
      </w:r>
      <w:r>
        <w:rPr>
          <w:rStyle w:val="1148"/>
          <w:rFonts w:hint="eastAsia" w:ascii="宋体" w:hAnsi="宋体" w:eastAsia="宋体" w:cs="宋体"/>
          <w:b w:val="0"/>
          <w:bCs w:val="0"/>
          <w:i w:val="0"/>
          <w:color w:val="000000"/>
          <w:sz w:val="24"/>
          <w:szCs w:val="24"/>
          <w:highlight w:val="none"/>
          <w:shd w:val="clear" w:color="auto" w:fill="ffffff"/>
          <w:vertAlign w:val="superscript"/>
        </w:rPr>
        <w:t xml:space="preserve">2</w:t>
      </w:r>
      <w:r>
        <w:rPr>
          <w:rFonts w:hint="eastAsia" w:ascii="宋体" w:hAnsi="宋体" w:eastAsia="宋体" w:cs="宋体"/>
          <w:b w:val="0"/>
          <w:bCs w:val="0"/>
          <w:color w:val="000000"/>
          <w:sz w:val="24"/>
          <w:szCs w:val="24"/>
          <w:highlight w:val="none"/>
          <w:shd w:val="clear" w:color="auto" w:fill="ffffff"/>
        </w:rPr>
        <w:t xml:space="preserve">，厂址为</w:t>
      </w:r>
      <w:r>
        <w:rPr>
          <w:rStyle w:val="1148"/>
          <w:rFonts w:hint="eastAsia" w:ascii="宋体" w:hAnsi="宋体" w:eastAsia="宋体" w:cs="宋体"/>
          <w:b w:val="0"/>
          <w:bCs w:val="0"/>
          <w:i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 </w:t>
      </w:r>
      <w:r>
        <w:rPr>
          <w:rStyle w:val="1148"/>
          <w:rFonts w:hint="eastAsia" w:ascii="宋体" w:hAnsi="宋体" w:eastAsia="宋体" w:cs="宋体"/>
          <w:b w:val="0"/>
          <w:bCs w:val="0"/>
          <w:i w:val="0"/>
          <w:color w:val="000000"/>
          <w:sz w:val="24"/>
          <w:szCs w:val="24"/>
          <w:highlight w:val="none"/>
          <w:u w:val="single"/>
          <w:shd w:val="clear" w:color="auto" w:fill="ffffff"/>
        </w:rPr>
        <w:t xml:space="preserve">（产品名称1） </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Style w:val="1148"/>
          <w:rFonts w:hint="eastAsia" w:ascii="宋体" w:hAnsi="宋体" w:eastAsia="宋体" w:cs="宋体"/>
          <w:b w:val="0"/>
          <w:bCs w:val="0"/>
          <w:i w:val="0"/>
          <w:color w:val="000000"/>
          <w:sz w:val="24"/>
          <w:szCs w:val="24"/>
          <w:highlight w:val="none"/>
          <w:u w:val="single"/>
          <w:shd w:val="clear" w:color="auto" w:fill="ffffff"/>
        </w:rPr>
        <w:t xml:space="preserve">（规定比例）</w:t>
      </w:r>
      <w:r>
        <w:rPr>
          <w:rStyle w:val="1148"/>
          <w:rFonts w:hint="eastAsia" w:ascii="宋体" w:hAnsi="宋体" w:eastAsia="宋体" w:cs="宋体"/>
          <w:b w:val="0"/>
          <w:bCs w:val="0"/>
          <w:i w:val="0"/>
          <w:color w:val="000000"/>
          <w:sz w:val="24"/>
          <w:szCs w:val="24"/>
          <w:highlight w:val="none"/>
          <w:shd w:val="clear" w:color="auto" w:fill="ffffff"/>
          <w:vertAlign w:val="superscript"/>
        </w:rPr>
        <w:t xml:space="preserve">3</w:t>
      </w:r>
      <w:r>
        <w:rPr>
          <w:rFonts w:hint="eastAsia" w:ascii="宋体" w:hAnsi="宋体" w:eastAsia="宋体" w:cs="宋体"/>
          <w:b w:val="0"/>
          <w:bCs w:val="0"/>
          <w:color w:val="000000"/>
          <w:sz w:val="24"/>
          <w:szCs w:val="24"/>
          <w:highlight w:val="none"/>
          <w:shd w:val="clear" w:color="auto" w:fill="ffffff"/>
        </w:rPr>
        <w:t xml:space="preserve">。</w:t>
      </w:r>
      <w:r>
        <w:rPr>
          <w:rStyle w:val="1148"/>
          <w:rFonts w:hint="eastAsia" w:ascii="宋体" w:hAnsi="宋体" w:eastAsia="宋体" w:cs="宋体"/>
          <w:b w:val="0"/>
          <w:bCs w:val="0"/>
          <w:i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Style w:val="1148"/>
          <w:rFonts w:hint="eastAsia" w:ascii="宋体" w:hAnsi="宋体" w:eastAsia="宋体" w:cs="宋体"/>
          <w:b w:val="0"/>
          <w:bCs w:val="0"/>
          <w:i w:val="0"/>
          <w:color w:val="000000"/>
          <w:sz w:val="24"/>
          <w:szCs w:val="24"/>
          <w:highlight w:val="none"/>
          <w:u w:val="single"/>
          <w:shd w:val="clear" w:color="auto" w:fill="ffffff"/>
        </w:rPr>
        <w:t xml:space="preserve">（关键组件）</w:t>
      </w:r>
      <w:r>
        <w:rPr>
          <w:rStyle w:val="1148"/>
          <w:rFonts w:hint="eastAsia" w:ascii="宋体" w:hAnsi="宋体" w:eastAsia="宋体" w:cs="宋体"/>
          <w:b w:val="0"/>
          <w:bCs w:val="0"/>
          <w:i w:val="0"/>
          <w:color w:val="000000"/>
          <w:sz w:val="24"/>
          <w:szCs w:val="24"/>
          <w:highlight w:val="none"/>
          <w:shd w:val="clear" w:color="auto" w:fill="ffffff"/>
          <w:vertAlign w:val="superscript"/>
        </w:rPr>
        <w:t xml:space="preserve">4</w:t>
      </w:r>
      <w:r>
        <w:rPr>
          <w:rFonts w:hint="eastAsia" w:ascii="宋体" w:hAnsi="宋体" w:eastAsia="宋体" w:cs="宋体"/>
          <w:b w:val="0"/>
          <w:bCs w:val="0"/>
          <w:color w:val="000000"/>
          <w:sz w:val="24"/>
          <w:szCs w:val="24"/>
          <w:highlight w:val="none"/>
          <w:shd w:val="clear" w:color="auto" w:fill="ffffff"/>
        </w:rPr>
        <w:t xml:space="preserve">在中国境内生产。</w:t>
      </w:r>
      <w:r>
        <w:rPr>
          <w:rStyle w:val="1148"/>
          <w:rFonts w:hint="eastAsia" w:ascii="宋体" w:hAnsi="宋体" w:eastAsia="宋体" w:cs="宋体"/>
          <w:b w:val="0"/>
          <w:bCs w:val="0"/>
          <w:i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Style w:val="1148"/>
          <w:rFonts w:hint="eastAsia" w:ascii="宋体" w:hAnsi="宋体" w:eastAsia="宋体" w:cs="宋体"/>
          <w:b w:val="0"/>
          <w:bCs w:val="0"/>
          <w:i w:val="0"/>
          <w:color w:val="000000"/>
          <w:sz w:val="24"/>
          <w:szCs w:val="24"/>
          <w:highlight w:val="none"/>
          <w:u w:val="single"/>
          <w:shd w:val="clear" w:color="auto" w:fill="ffffff"/>
        </w:rPr>
        <w:t xml:space="preserve">（关键工序）</w:t>
      </w:r>
      <w:r>
        <w:rPr>
          <w:rStyle w:val="1148"/>
          <w:rFonts w:hint="eastAsia" w:ascii="宋体" w:hAnsi="宋体" w:eastAsia="宋体" w:cs="宋体"/>
          <w:b w:val="0"/>
          <w:bCs w:val="0"/>
          <w:i w:val="0"/>
          <w:color w:val="000000"/>
          <w:sz w:val="24"/>
          <w:szCs w:val="24"/>
          <w:highlight w:val="none"/>
          <w:shd w:val="clear" w:color="auto" w:fill="ffffff"/>
          <w:vertAlign w:val="superscript"/>
        </w:rPr>
        <w:t xml:space="preserve">5</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sz w:val="24"/>
          <w:szCs w:val="24"/>
          <w:highlight w:val="none"/>
        </w:rPr>
      </w:r>
      <w:r/>
    </w:p>
    <w:p>
      <w:pPr>
        <w:pStyle w:val="1019"/>
        <w:ind w:firstLine="420"/>
        <w:spacing w:before="0" w:after="3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728980</wp:posOffset>
                </wp:positionH>
                <wp:positionV relativeFrom="paragraph">
                  <wp:posOffset>495300</wp:posOffset>
                </wp:positionV>
                <wp:extent cx="728345" cy="24765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51;o:allowoverlap:true;o:allowincell:true;mso-position-horizontal-relative:text;margin-left:57.4pt;mso-position-horizontal:absolute;mso-position-vertical-relative:text;margin-top:39.0pt;mso-position-vertical:absolute;width:57.3pt;height:19.5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posOffset>-130809</wp:posOffset>
                </wp:positionH>
                <wp:positionV relativeFrom="paragraph">
                  <wp:posOffset>495300</wp:posOffset>
                </wp:positionV>
                <wp:extent cx="728345" cy="24765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0;o:allowoverlap:true;o:allowincell:true;mso-position-horizontal-relative:margin;margin-left:-10.3pt;mso-position-horizontal:absolute;mso-position-vertical-relative:text;margin-top:39.0pt;mso-position-vertical:absolute;width:57.3pt;height:19.5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3733800</wp:posOffset>
                </wp:positionH>
                <wp:positionV relativeFrom="paragraph">
                  <wp:posOffset>247650</wp:posOffset>
                </wp:positionV>
                <wp:extent cx="728345" cy="24765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9;o:allowoverlap:true;o:allowincell:true;mso-position-horizontal-relative:text;margin-left:294.0pt;mso-position-horizontal:absolute;mso-position-vertical-relative:text;margin-top:19.5pt;mso-position-vertical:absolute;width:57.3pt;height:19.5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2616835</wp:posOffset>
                </wp:positionH>
                <wp:positionV relativeFrom="paragraph">
                  <wp:posOffset>247650</wp:posOffset>
                </wp:positionV>
                <wp:extent cx="728345" cy="24765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48;o:allowoverlap:true;o:allowincell:true;mso-position-horizontal-relative:text;margin-left:206.0pt;mso-position-horizontal:absolute;mso-position-vertical-relative:text;margin-top:19.5pt;mso-position-vertical:absolute;width:57.3pt;height:19.5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1457325</wp:posOffset>
                </wp:positionH>
                <wp:positionV relativeFrom="paragraph">
                  <wp:posOffset>247650</wp:posOffset>
                </wp:positionV>
                <wp:extent cx="728345" cy="24765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47;o:allowoverlap:true;o:allowincell:true;mso-position-horizontal-relative:text;margin-left:114.8pt;mso-position-horizontal:absolute;mso-position-vertical-relative:text;margin-top:19.5pt;mso-position-vertical:absolute;width:57.3pt;height:19.5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4686300</wp:posOffset>
                </wp:positionH>
                <wp:positionV relativeFrom="paragraph">
                  <wp:posOffset>0</wp:posOffset>
                </wp:positionV>
                <wp:extent cx="728345" cy="24765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46;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b w:val="0"/>
          <w:bCs w:val="0"/>
          <w:color w:val="000000"/>
          <w:sz w:val="24"/>
          <w:szCs w:val="24"/>
          <w:highlight w:val="none"/>
          <w:shd w:val="clear" w:color="auto" w:fill="ffffff"/>
        </w:rPr>
        <w:t xml:space="preserve">2.</w:t>
      </w:r>
      <w:r>
        <w:rPr>
          <w:rStyle w:val="1148"/>
          <w:rFonts w:hint="eastAsia" w:ascii="宋体" w:hAnsi="宋体" w:eastAsia="宋体" w:cs="宋体"/>
          <w:b w:val="0"/>
          <w:bCs w:val="0"/>
          <w:i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，生产厂为</w:t>
      </w:r>
      <w:r>
        <w:rPr>
          <w:rStyle w:val="1148"/>
          <w:rFonts w:hint="eastAsia" w:ascii="宋体" w:hAnsi="宋体" w:eastAsia="宋体" w:cs="宋体"/>
          <w:b w:val="0"/>
          <w:bCs w:val="0"/>
          <w:i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Style w:val="1148"/>
          <w:rFonts w:hint="eastAsia" w:ascii="宋体" w:hAnsi="宋体" w:eastAsia="宋体" w:cs="宋体"/>
          <w:b w:val="0"/>
          <w:bCs w:val="0"/>
          <w:i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Style w:val="1148"/>
          <w:rFonts w:hint="eastAsia" w:ascii="宋体" w:hAnsi="宋体" w:eastAsia="宋体" w:cs="宋体"/>
          <w:b w:val="0"/>
          <w:bCs w:val="0"/>
          <w:i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Style w:val="1148"/>
          <w:rFonts w:hint="eastAsia" w:ascii="宋体" w:hAnsi="宋体" w:eastAsia="宋体" w:cs="宋体"/>
          <w:b w:val="0"/>
          <w:bCs w:val="0"/>
          <w:i w:val="0"/>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Style w:val="1148"/>
          <w:rFonts w:hint="eastAsia" w:ascii="宋体" w:hAnsi="宋体" w:eastAsia="宋体" w:cs="宋体"/>
          <w:b w:val="0"/>
          <w:bCs w:val="0"/>
          <w:i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Style w:val="1148"/>
          <w:rFonts w:hint="eastAsia" w:ascii="宋体" w:hAnsi="宋体" w:eastAsia="宋体" w:cs="宋体"/>
          <w:b w:val="0"/>
          <w:bCs w:val="0"/>
          <w:i w:val="0"/>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Style w:val="1148"/>
          <w:rFonts w:hint="eastAsia" w:ascii="宋体" w:hAnsi="宋体" w:eastAsia="宋体" w:cs="宋体"/>
          <w:b w:val="0"/>
          <w:bCs w:val="0"/>
          <w:i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Style w:val="1148"/>
          <w:rFonts w:hint="eastAsia" w:ascii="宋体" w:hAnsi="宋体" w:eastAsia="宋体" w:cs="宋体"/>
          <w:b w:val="0"/>
          <w:bCs w:val="0"/>
          <w:i w:val="0"/>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sz w:val="24"/>
          <w:szCs w:val="24"/>
          <w:highlight w:val="none"/>
        </w:rPr>
      </w:r>
      <w:r/>
    </w:p>
    <w:p>
      <w:pPr>
        <w:pStyle w:val="1019"/>
        <w:ind w:firstLine="420"/>
        <w:spacing w:before="30" w:after="3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1019"/>
        <w:ind w:firstLine="420"/>
        <w:spacing w:before="30" w:after="3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1019"/>
        <w:jc w:val="right"/>
        <w:spacing w:before="30" w:after="3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947"/>
        <w:jc w:val="center"/>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                               </w:t>
      </w:r>
      <w:r>
        <w:rPr>
          <w:rFonts w:hint="eastAsia" w:ascii="宋体" w:hAnsi="宋体" w:eastAsia="宋体" w:cs="宋体"/>
          <w:color w:val="000000"/>
          <w:sz w:val="24"/>
          <w:szCs w:val="24"/>
          <w:highlight w:val="none"/>
          <w:shd w:val="clear" w:color="auto" w:fill="ffffff"/>
          <w:lang w:val="en-US" w:eastAsia="zh-CN"/>
        </w:rPr>
        <w:t xml:space="preserve">      </w:t>
      </w:r>
      <w:r>
        <w:rPr>
          <w:rFonts w:hint="eastAsia" w:ascii="宋体" w:hAnsi="宋体" w:eastAsia="宋体" w:cs="宋体"/>
          <w:color w:val="000000"/>
          <w:sz w:val="24"/>
          <w:szCs w:val="24"/>
          <w:highlight w:val="none"/>
          <w:shd w:val="clear" w:color="auto" w:fill="ffffff"/>
        </w:rPr>
        <w:t xml:space="preserve">日期：    年   月   日    </w:t>
      </w:r>
      <w:r>
        <w:rPr>
          <w:rFonts w:hint="eastAsia" w:ascii="宋体" w:hAnsi="宋体" w:eastAsia="宋体" w:cs="宋体"/>
          <w:color w:val="000000"/>
          <w:sz w:val="24"/>
          <w:szCs w:val="24"/>
          <w:highlight w:val="none"/>
          <w:shd w:val="clear" w:color="auto" w:fill="ffffff"/>
        </w:rPr>
      </w:r>
      <w:r/>
    </w:p>
    <w:p>
      <w:pPr>
        <w:pStyle w:val="94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w:t>
      </w:r>
      <w:r>
        <w:rPr>
          <w:rFonts w:hint="eastAsia" w:ascii="宋体" w:hAnsi="宋体" w:eastAsia="宋体" w:cs="Times New Roman"/>
          <w:bCs/>
          <w:color w:val="000000"/>
          <w:sz w:val="24"/>
          <w:szCs w:val="24"/>
          <w:highlight w:val="none"/>
        </w:rPr>
        <w:t xml:space="preserve">_________________</w:t>
      </w:r>
      <w:r>
        <w:rPr>
          <w:rFonts w:hint="eastAsia" w:ascii="宋体" w:hAnsi="宋体" w:eastAsia="宋体" w:cs="Times New Roman"/>
          <w:bCs/>
          <w:color w:val="000000"/>
          <w:sz w:val="24"/>
          <w:szCs w:val="24"/>
          <w:highlight w:val="none"/>
        </w:rPr>
      </w:r>
      <w:r/>
    </w:p>
    <w:p>
      <w:pPr>
        <w:pStyle w:val="94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1.产品如有型号，请在“产品名称”栏一并填写。</w:t>
      </w:r>
      <w:r>
        <w:rPr>
          <w:rFonts w:hint="eastAsia" w:ascii="宋体" w:hAnsi="宋体" w:eastAsia="宋体" w:cs="Times New Roman"/>
          <w:bCs/>
          <w:color w:val="000000"/>
          <w:sz w:val="24"/>
          <w:szCs w:val="24"/>
          <w:highlight w:val="none"/>
        </w:rPr>
      </w:r>
      <w:r/>
    </w:p>
    <w:p>
      <w:pPr>
        <w:pStyle w:val="94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2.生产厂名与厂址应与生产厂营业执照载明的相关信息保持一致。</w:t>
      </w:r>
      <w:r>
        <w:rPr>
          <w:rFonts w:hint="eastAsia" w:ascii="宋体" w:hAnsi="宋体" w:eastAsia="宋体" w:cs="Times New Roman"/>
          <w:bCs/>
          <w:color w:val="000000"/>
          <w:sz w:val="24"/>
          <w:szCs w:val="24"/>
          <w:highlight w:val="none"/>
        </w:rPr>
      </w:r>
      <w:r/>
    </w:p>
    <w:p>
      <w:pPr>
        <w:pStyle w:val="94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3.该产品的中国境内生产的组件成本占比相关要求实施前，“规定比例”栏可不填，下同。</w:t>
      </w:r>
      <w:r>
        <w:rPr>
          <w:rFonts w:hint="eastAsia" w:ascii="宋体" w:hAnsi="宋体" w:eastAsia="宋体" w:cs="Times New Roman"/>
          <w:bCs/>
          <w:color w:val="000000"/>
          <w:sz w:val="24"/>
          <w:szCs w:val="24"/>
          <w:highlight w:val="none"/>
        </w:rPr>
      </w:r>
      <w:r/>
    </w:p>
    <w:p>
      <w:pPr>
        <w:pStyle w:val="94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4.该产品的关键组件要求实施前，“关键组件”栏可不填，下同。</w:t>
      </w:r>
      <w:r>
        <w:rPr>
          <w:rFonts w:hint="eastAsia" w:ascii="宋体" w:hAnsi="宋体" w:eastAsia="宋体" w:cs="Times New Roman"/>
          <w:bCs/>
          <w:color w:val="000000"/>
          <w:sz w:val="24"/>
          <w:szCs w:val="24"/>
          <w:highlight w:val="none"/>
        </w:rPr>
      </w:r>
      <w:r/>
    </w:p>
    <w:p>
      <w:pPr>
        <w:pStyle w:val="94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5.该产品的关键工序要求实施前，“关键工序”栏可不填，下同。</w:t>
      </w:r>
      <w:r>
        <w:rPr>
          <w:rFonts w:hint="eastAsia" w:ascii="宋体" w:hAnsi="宋体" w:eastAsia="宋体" w:cs="Times New Roman"/>
          <w:bCs/>
          <w:color w:val="000000"/>
          <w:sz w:val="24"/>
          <w:szCs w:val="24"/>
          <w:highlight w:val="none"/>
        </w:rPr>
      </w:r>
      <w:r/>
    </w:p>
    <w:p>
      <w:pPr>
        <w:pStyle w:val="947"/>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6.用斜线划除的地方无需填写。</w:t>
      </w:r>
      <w:r>
        <w:rPr>
          <w:rFonts w:hint="eastAsia" w:ascii="宋体" w:hAnsi="宋体" w:eastAsia="宋体" w:cs="Times New Roman"/>
          <w:bCs/>
          <w:color w:val="000000"/>
          <w:sz w:val="24"/>
          <w:szCs w:val="24"/>
          <w:highlight w:val="none"/>
        </w:rPr>
      </w:r>
      <w:r/>
    </w:p>
    <w:p>
      <w:pPr>
        <w:pStyle w:val="947"/>
        <w:jc w:val="left"/>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947"/>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第四章 采购需求</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bookmarkStart w:id="8" w:name="_Toc13642116"/>
      <w:r>
        <w:rPr>
          <w:rFonts w:hint="eastAsia" w:ascii="宋体" w:hAnsi="宋体" w:eastAsia="宋体" w:cs="宋体"/>
          <w:bCs/>
          <w:color w:val="000000"/>
          <w:sz w:val="24"/>
          <w:szCs w:val="24"/>
          <w:highlight w:val="none"/>
        </w:rPr>
        <w:t xml:space="preserve">苏州正杰招投标咨询服务有限公司受</w:t>
      </w:r>
      <w:r>
        <w:rPr>
          <w:rFonts w:hint="eastAsia" w:ascii="宋体" w:hAnsi="宋体" w:eastAsia="宋体" w:cs="宋体"/>
          <w:bCs/>
          <w:color w:val="000000"/>
          <w:sz w:val="24"/>
          <w:szCs w:val="24"/>
          <w:highlight w:val="none"/>
          <w:lang w:eastAsia="zh-CN"/>
        </w:rPr>
        <w:t xml:space="preserve">苏州丝绸博物馆</w:t>
      </w:r>
      <w:r>
        <w:rPr>
          <w:rFonts w:hint="eastAsia" w:ascii="宋体" w:hAnsi="宋体" w:eastAsia="宋体" w:cs="宋体"/>
          <w:bCs/>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苏州丝绸博物馆可移动文物预防性保护</w:t>
      </w:r>
      <w:r>
        <w:rPr>
          <w:rFonts w:hint="eastAsia" w:ascii="宋体" w:hAnsi="宋体" w:eastAsia="宋体" w:cs="宋体"/>
          <w:color w:val="000000"/>
          <w:sz w:val="24"/>
          <w:szCs w:val="24"/>
          <w:highlight w:val="none"/>
        </w:rPr>
        <w:t xml:space="preserve">项目</w:t>
      </w:r>
      <w:r>
        <w:rPr>
          <w:rFonts w:hint="eastAsia" w:ascii="宋体" w:hAnsi="宋体" w:eastAsia="宋体" w:cs="宋体"/>
          <w:bCs/>
          <w:color w:val="000000"/>
          <w:sz w:val="24"/>
          <w:szCs w:val="24"/>
          <w:highlight w:val="none"/>
        </w:rPr>
        <w:t xml:space="preserve">以竞争性磋商方式组织政府采购，欢迎符合条件的供应商参加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一、项目编号：</w:t>
      </w:r>
      <w:r>
        <w:rPr>
          <w:rFonts w:hint="eastAsia" w:ascii="宋体" w:hAnsi="宋体" w:eastAsia="宋体" w:cs="宋体"/>
          <w:b/>
          <w:bCs/>
          <w:color w:val="000000"/>
          <w:sz w:val="24"/>
          <w:szCs w:val="24"/>
          <w:highlight w:val="none"/>
          <w:lang w:eastAsia="zh-CN"/>
        </w:rPr>
        <w:t xml:space="preserve">JSZC-320500-SZZJ-C2026-0023</w:t>
      </w:r>
      <w:r>
        <w:rPr>
          <w:rFonts w:hint="eastAsia" w:ascii="宋体" w:hAnsi="宋体" w:eastAsia="宋体" w:cs="宋体"/>
          <w:b/>
          <w:bCs/>
          <w:color w:val="000000"/>
          <w:sz w:val="24"/>
          <w:szCs w:val="24"/>
          <w:highlight w:val="none"/>
        </w:rPr>
        <w:t xml:space="preserve">号。</w:t>
      </w:r>
      <w:r>
        <w:rPr>
          <w:rFonts w:hint="eastAsia" w:ascii="宋体" w:hAnsi="宋体" w:eastAsia="宋体" w:cs="宋体"/>
          <w:b/>
          <w:bCs/>
          <w:color w:val="000000"/>
          <w:sz w:val="24"/>
          <w:szCs w:val="24"/>
          <w:highlight w:val="none"/>
        </w:rPr>
      </w:r>
      <w:r/>
    </w:p>
    <w:p>
      <w:pPr>
        <w:pStyle w:val="947"/>
        <w:ind w:firstLine="472"/>
        <w:spacing w:line="360" w:lineRule="auto"/>
        <w:rPr>
          <w:rFonts w:hint="eastAsia" w:ascii="宋体" w:hAnsi="宋体" w:eastAsia="宋体" w:cs="宋体"/>
          <w:b/>
          <w:bCs/>
          <w:color w:val="000000"/>
          <w:sz w:val="24"/>
          <w:szCs w:val="24"/>
          <w:highlight w:val="none"/>
        </w:rPr>
      </w:pPr>
      <w:r/>
      <w:bookmarkEnd w:id="8"/>
      <w:r>
        <w:rPr>
          <w:rFonts w:hint="eastAsia" w:ascii="宋体" w:hAnsi="宋体" w:eastAsia="宋体" w:cs="宋体"/>
          <w:b/>
          <w:bCs/>
          <w:color w:val="000000"/>
          <w:sz w:val="24"/>
          <w:szCs w:val="24"/>
          <w:highlight w:val="none"/>
        </w:rPr>
        <w:t xml:space="preserve">二、采购需求：</w:t>
      </w:r>
      <w:r>
        <w:rPr>
          <w:rFonts w:hint="eastAsia" w:ascii="宋体" w:hAnsi="宋体" w:eastAsia="宋体" w:cs="宋体"/>
          <w:b/>
          <w:bCs/>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（一）项目概况：</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主要以提升和改善博物馆古代厅、民国街展厅文物展示和藏展环境质量为目的，通过提升文物展示设备，配置主动环境调控设备等多种调控手段进行文物保存环境调控工作，建立馆藏文物保存环境调控系统，使文物保存微环境达到比较“稳定、洁净 ”的状态，提升该馆馆藏文物的预防性保护的能力。</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项目目标和采购内容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1、项目设计：包括展陈文物保存设施定制、照明等本项目所涉及的所有内容的图纸设计、各类专项设计、非标准设备设计和施工图、竣工图编制等工作，以及各类专项审核、审查、各类论证等相关工作。</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2、定制设备设施：对符合项目设计要求的所有定制设备设施的采购、安装及保修期内的保修、缺陷修复等相关服务工作。</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预防性保护管理服务：包括各项工作、各个专业、人员之间就可移动文物预防性保护方面的管理和协调工作，项目前、中、后期对相关展陈文物保存设施的密封性和恒湿性等的定期监测及相关手续办理、资料整理存档，配合各类专项验收及备案、项目移交，做好后续管理服务工作。</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（三）项目现状：</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本次苏州丝绸博物馆可移动文物预防性保护项目的目标展厅是古代厅</w:t>
      </w:r>
      <w:r>
        <w:rPr>
          <w:rFonts w:hint="eastAsia" w:ascii="宋体" w:hAnsi="宋体" w:eastAsia="宋体" w:cs="宋体"/>
          <w:color w:val="000000"/>
          <w:sz w:val="24"/>
          <w:szCs w:val="24"/>
          <w:highlight w:val="none"/>
          <w:lang w:val="en-US" w:eastAsia="zh-CN"/>
        </w:rPr>
        <w:t xml:space="preserve">和民国街</w:t>
      </w:r>
      <w:r>
        <w:rPr>
          <w:rFonts w:hint="eastAsia" w:ascii="宋体" w:hAnsi="宋体" w:eastAsia="宋体" w:cs="宋体"/>
          <w:color w:val="000000"/>
          <w:sz w:val="24"/>
          <w:szCs w:val="24"/>
          <w:highlight w:val="none"/>
        </w:rPr>
        <w:t xml:space="preserve">，现就具体情况说明如下：</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苏州丝绸博物馆古代厅、民国街的现有展柜由于前期设计</w:t>
      </w:r>
      <w:r>
        <w:rPr>
          <w:rFonts w:hint="eastAsia" w:ascii="宋体" w:hAnsi="宋体" w:eastAsia="宋体" w:cs="宋体"/>
          <w:color w:val="000000"/>
          <w:sz w:val="24"/>
          <w:szCs w:val="24"/>
          <w:highlight w:val="none"/>
          <w:lang w:val="en-US" w:eastAsia="zh-CN"/>
        </w:rPr>
        <w:t xml:space="preserve">缺陷</w:t>
      </w:r>
      <w:r>
        <w:rPr>
          <w:rFonts w:hint="eastAsia" w:ascii="宋体" w:hAnsi="宋体" w:eastAsia="宋体" w:cs="宋体"/>
          <w:color w:val="000000"/>
          <w:sz w:val="24"/>
          <w:szCs w:val="24"/>
          <w:highlight w:val="none"/>
          <w:lang w:eastAsia="zh-CN"/>
        </w:rPr>
        <w:t xml:space="preserve">，柜体下部结构空间局促，缺乏足够的预留位置，导致微环境调控设备无法安装与存放，使得展柜内温湿度等关键环境参数的调控工作受到极大限制，严重影响文物保存的稳定性。</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此外，这些展柜因使用年限较长，密封条已经老化脱落，现有展柜密封性较差，柜体存在较大缝隙，导致展柜内微环境直接与展厅小环境相连通，容易引入外部温湿度波动、灰尘及污染物，从而威胁展陈文物的长期安全。</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在照明方面，柜内均只采用泛光照明，无法实现针对文物的重点聚焦照明，展示效果平淡；同时，通柜内现有照明光源照度过高、</w:t>
      </w:r>
      <w:r>
        <w:rPr>
          <w:rFonts w:hint="eastAsia" w:ascii="宋体" w:hAnsi="宋体" w:eastAsia="宋体" w:cs="宋体"/>
          <w:color w:val="000000"/>
          <w:sz w:val="24"/>
          <w:szCs w:val="24"/>
          <w:highlight w:val="none"/>
          <w:lang w:val="en-US" w:eastAsia="zh-CN"/>
        </w:rPr>
        <w:t xml:space="preserve">展柜本体进深过窄以及玻璃反光严重等导致柜内光照无法</w:t>
      </w:r>
      <w:r>
        <w:rPr>
          <w:rFonts w:hint="eastAsia" w:ascii="宋体" w:hAnsi="宋体" w:eastAsia="宋体" w:cs="宋体"/>
          <w:color w:val="000000"/>
          <w:sz w:val="24"/>
          <w:szCs w:val="24"/>
          <w:highlight w:val="none"/>
          <w:lang w:eastAsia="zh-CN"/>
        </w:rPr>
        <w:t xml:space="preserve">调节，</w:t>
      </w:r>
      <w:r>
        <w:rPr>
          <w:rFonts w:hint="eastAsia" w:ascii="宋体" w:hAnsi="宋体" w:eastAsia="宋体" w:cs="宋体"/>
          <w:color w:val="000000"/>
          <w:sz w:val="24"/>
          <w:szCs w:val="24"/>
          <w:highlight w:val="none"/>
          <w:lang w:val="en-US" w:eastAsia="zh-CN"/>
        </w:rPr>
        <w:t xml:space="preserve">柜外打光眩光，</w:t>
      </w:r>
      <w:r>
        <w:rPr>
          <w:rFonts w:hint="eastAsia" w:ascii="宋体" w:hAnsi="宋体" w:eastAsia="宋体" w:cs="宋体"/>
          <w:color w:val="000000"/>
          <w:sz w:val="24"/>
          <w:szCs w:val="24"/>
          <w:highlight w:val="none"/>
          <w:lang w:eastAsia="zh-CN"/>
        </w:rPr>
        <w:t xml:space="preserve">不仅无法突出文物细节，还</w:t>
      </w:r>
      <w:r>
        <w:rPr>
          <w:rFonts w:hint="eastAsia" w:ascii="宋体" w:hAnsi="宋体" w:eastAsia="宋体" w:cs="宋体"/>
          <w:color w:val="000000"/>
          <w:sz w:val="24"/>
          <w:szCs w:val="24"/>
          <w:highlight w:val="none"/>
          <w:lang w:val="en-US" w:eastAsia="zh-CN"/>
        </w:rPr>
        <w:t xml:space="preserve">会</w:t>
      </w:r>
      <w:r>
        <w:rPr>
          <w:rFonts w:hint="eastAsia" w:ascii="宋体" w:hAnsi="宋体" w:eastAsia="宋体" w:cs="宋体"/>
          <w:color w:val="000000"/>
          <w:sz w:val="24"/>
          <w:szCs w:val="24"/>
          <w:highlight w:val="none"/>
          <w:lang w:eastAsia="zh-CN"/>
        </w:rPr>
        <w:t xml:space="preserve">可能因光线过强、</w:t>
      </w:r>
      <w:r>
        <w:rPr>
          <w:rFonts w:hint="eastAsia" w:ascii="宋体" w:hAnsi="宋体" w:eastAsia="宋体" w:cs="宋体"/>
          <w:color w:val="000000"/>
          <w:sz w:val="24"/>
          <w:szCs w:val="24"/>
          <w:highlight w:val="none"/>
          <w:lang w:val="en-US" w:eastAsia="zh-CN"/>
        </w:rPr>
        <w:t xml:space="preserve">光照不均</w:t>
      </w:r>
      <w:r>
        <w:rPr>
          <w:rFonts w:hint="eastAsia" w:ascii="宋体" w:hAnsi="宋体" w:eastAsia="宋体" w:cs="宋体"/>
          <w:color w:val="000000"/>
          <w:sz w:val="24"/>
          <w:szCs w:val="24"/>
          <w:highlight w:val="none"/>
          <w:lang w:eastAsia="zh-CN"/>
        </w:rPr>
        <w:t xml:space="preserve">加速文物材质的老化</w:t>
      </w:r>
      <w:r>
        <w:rPr>
          <w:rFonts w:hint="eastAsia" w:ascii="宋体" w:hAnsi="宋体" w:eastAsia="宋体" w:cs="宋体"/>
          <w:color w:val="000000"/>
          <w:sz w:val="24"/>
          <w:szCs w:val="24"/>
          <w:highlight w:val="none"/>
          <w:lang w:val="en-US" w:eastAsia="zh-CN"/>
        </w:rPr>
        <w:t xml:space="preserve">和局部褪色</w:t>
      </w:r>
      <w:r>
        <w:rPr>
          <w:rFonts w:hint="eastAsia" w:ascii="宋体" w:hAnsi="宋体" w:eastAsia="宋体" w:cs="宋体"/>
          <w:color w:val="000000"/>
          <w:sz w:val="24"/>
          <w:szCs w:val="24"/>
          <w:highlight w:val="none"/>
          <w:lang w:eastAsia="zh-CN"/>
        </w:rPr>
        <w:t xml:space="preserve">，影响展示体验与保护要求。</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（四）设计依据：</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本实施方案编制的相关法律、法规、标准等文件依据如下：</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1、《中华人民共和国文物保护法》，由中华人民共和国第十四届全国人民代表大会常务委员会第十二次会议于2024年11月8日修订通过，自2025年3月1日起施行。</w:t>
      </w:r>
      <w:r>
        <w:rPr>
          <w:rFonts w:hint="eastAsia"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2、《中华人民共和国文物保护法实施条例》（2017 年修订），根据《中华人民共和国文物保护法》制定，2003年5月13日国务院第 8 次常务会议通过，2017年10月7日第四次修订，自2003年7月1日起施行。</w:t>
      </w:r>
      <w:r>
        <w:rPr>
          <w:rFonts w:hint="eastAsia"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3、《“十四五”文物保护和科技创新规划》（国办发〔2021〕43号），由国务院办公厅于2021年10月28日印发实施</w:t>
      </w:r>
      <w:r>
        <w:rPr>
          <w:rFonts w:hint="eastAsia"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4、《国家文物保护资金管理办法》（财教〔2023〕279 号），财政部、国家文物局发布，2024年1月31日起施行，原《国家重点文物保护专项补助资金管理办法》（财文〔2018〕178 号）同时废止。</w:t>
      </w:r>
      <w:r>
        <w:rPr>
          <w:rFonts w:hint="eastAsia"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5、《馆藏文物保存环境质量检测技术规范 第1部分：指标要求》（WW/T 0016.1-2023）、《馆藏文物保存环境质量检测技术规范 第2部分：检测方法》（WW/T 0016.2-2023），国家文物局发布，2024年7月1日实施，替代原WW/T 0016-2008。</w:t>
      </w:r>
      <w:r>
        <w:rPr>
          <w:rFonts w:hint="eastAsia"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6、《博物馆照明设计规范》（GB/T 23863-2024），国家市场监督管理总局、国家标准化管理委员会于2024年8月23日发布，2024年12月1日实施，替代原 GB/T 23863-2009。</w:t>
      </w:r>
      <w:r>
        <w:rPr>
          <w:rFonts w:hint="eastAsia"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7、国家科技支撑计划课题《馆藏文物保存环境应用技术研究（2006BAK20B01）》和《珍贵文物保存环境控制关键技术研究（2010BAK67B15）》相关研究成果。</w:t>
      </w:r>
      <w:r>
        <w:rPr>
          <w:rFonts w:hint="eastAsia"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8、《文物展柜基本技术要求及检测》（GB/T 36111-2018）、《文物展柜密封性能及检测》（GB/T 36110-2018），现行推荐性国家标准</w:t>
      </w:r>
      <w:r>
        <w:rPr>
          <w:rFonts w:hint="eastAsia"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9、《关于加强馆藏文物展陈安全工作的若干意见》（江苏省文物局，2017年1月19日），现行有效。</w:t>
      </w:r>
      <w:r>
        <w:rPr>
          <w:rFonts w:hint="eastAsia"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10、《馆藏文物展藏多功能展柜技术要求》(WW/T 0109-2020)，国家文物局 2021年6月2日发布并实施。</w:t>
      </w:r>
      <w:r>
        <w:rPr>
          <w:rFonts w:hint="eastAsia"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11、《博物馆陈列展览形式设计与施工规范》（WW/T 0089-2018），国家文物局2019年1月31日发布，2019年6月1日实施。</w:t>
      </w:r>
      <w:r>
        <w:rPr>
          <w:rFonts w:hint="eastAsia"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12、《江苏省 “十四五” 文化和旅游发展规划》（江苏省文物局，2021年10月15日），规划期内现行有效。</w:t>
      </w:r>
      <w:r>
        <w:rPr>
          <w:rFonts w:hint="eastAsia" w:ascii="宋体" w:hAnsi="宋体" w:eastAsia="宋体" w:cs="宋体"/>
          <w:color w:val="000000"/>
          <w:sz w:val="24"/>
          <w:szCs w:val="24"/>
          <w:highlight w:val="none"/>
        </w:rPr>
      </w:r>
      <w:r/>
    </w:p>
    <w:p>
      <w:pPr>
        <w:pStyle w:val="947"/>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注：上述内容如有更新，供应商须按照最新颁布的相关标准规范执行。</w:t>
      </w:r>
      <w:r>
        <w:rPr>
          <w:rFonts w:hint="eastAsia" w:ascii="宋体" w:hAnsi="宋体" w:eastAsia="宋体" w:cs="宋体"/>
          <w:color w:val="000000"/>
          <w:sz w:val="24"/>
          <w:szCs w:val="24"/>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（五）项目要求：</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功能要求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（1）操作性：可由一人独立操作，展示空间、设备维护空间、照明系统空间均为独立结构，独立开启，互不干扰。</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（2）协调性：材料使用和照明系统配置等，要从文物展品的风格、特质出发，使其融入展览环境中，尽量隐形，以重点突出文物展品。</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（3）安全性：采用钢架结构以保证整体结构的可靠性；玻璃采用符合防盗标准的双层</w:t>
      </w:r>
      <w:r>
        <w:rPr>
          <w:rFonts w:hint="eastAsia" w:ascii="宋体" w:hAnsi="宋体" w:eastAsia="宋体" w:cs="宋体"/>
          <w:color w:val="000000"/>
          <w:sz w:val="24"/>
          <w:szCs w:val="24"/>
          <w:highlight w:val="none"/>
          <w:lang w:val="en-US" w:eastAsia="zh-CN"/>
        </w:rPr>
        <w:t xml:space="preserve">低反射</w:t>
      </w:r>
      <w:r>
        <w:rPr>
          <w:rFonts w:hint="eastAsia" w:ascii="宋体" w:hAnsi="宋体" w:eastAsia="宋体" w:cs="宋体"/>
          <w:color w:val="000000"/>
          <w:sz w:val="24"/>
          <w:szCs w:val="24"/>
          <w:highlight w:val="none"/>
        </w:rPr>
        <w:t xml:space="preserve">夹层玻璃；锁具采用高保安性能锁具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符合博物馆安防相关要求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7"/>
        <w:ind w:firstLine="470"/>
        <w:spacing w:line="360" w:lineRule="auto"/>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4）照明控制性能：无论采用何种照明方式，达到《博物馆照明设计规范》的要求；营造氛围，突出文物展品，兼顾辅助物品的照明；隐蔽出光点，调控照度及角度，过滤红外光、紫外光以及热量，以防对文物展品造成损害。</w:t>
      </w:r>
      <w:r>
        <w:rPr>
          <w:rFonts w:hint="eastAsia" w:ascii="宋体" w:hAnsi="宋体" w:eastAsia="宋体" w:cs="宋体"/>
          <w:color w:val="000000"/>
          <w:sz w:val="24"/>
          <w:szCs w:val="24"/>
          <w:highlight w:val="none"/>
          <w:lang w:val="en-US" w:eastAsia="zh-CN"/>
        </w:rPr>
        <w:t xml:space="preserve">同时应具有人工调控等相关功能，以满足不同文物的照度需求。</w:t>
      </w:r>
      <w:r>
        <w:rPr>
          <w:rFonts w:ascii="宋体" w:hAnsi="宋体" w:eastAsia="宋体" w:cs="宋体"/>
          <w:color w:val="000000"/>
          <w:sz w:val="24"/>
          <w:szCs w:val="24"/>
          <w:highlight w:val="none"/>
          <w:lang w:val="en-US"/>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（5）耐用性：应确保结构在室内环境长期使用，不出现明显变化。</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（6）环境控制性能：应确保结构的密封性，密封性要做到空气交换率不大于0.5次/每天，以实现内部微环境的调控。</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（7）环保性：应采用惰性材料，以保证文物展品不会因为化学反应而遭到破坏；不可替代的非惰性材料，如粘接胶、板材、织物等。</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技术要求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（1）材料要求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①★亚麻布甲醛含量应符合</w:t>
      </w:r>
      <w:r>
        <w:rPr>
          <w:rFonts w:hint="eastAsia" w:ascii="宋体" w:hAnsi="宋体" w:eastAsia="宋体" w:cs="宋体"/>
          <w:color w:val="000000"/>
          <w:sz w:val="24"/>
          <w:szCs w:val="24"/>
          <w:highlight w:val="none"/>
          <w:lang w:val="en-US" w:eastAsia="zh-CN"/>
        </w:rPr>
        <w:t xml:space="preserve">相关国家最新标准</w:t>
      </w:r>
      <w:r>
        <w:rPr>
          <w:rFonts w:hint="eastAsia" w:ascii="宋体" w:hAnsi="宋体" w:eastAsia="宋体" w:cs="宋体"/>
          <w:color w:val="000000"/>
          <w:sz w:val="24"/>
          <w:szCs w:val="24"/>
          <w:highlight w:val="none"/>
        </w:rPr>
        <w:t xml:space="preserve">的A</w:t>
      </w:r>
      <w:r>
        <w:rPr>
          <w:rFonts w:hint="eastAsia" w:ascii="宋体" w:hAnsi="宋体" w:eastAsia="宋体" w:cs="宋体"/>
          <w:color w:val="000000"/>
          <w:sz w:val="24"/>
          <w:szCs w:val="24"/>
          <w:highlight w:val="none"/>
          <w:lang w:val="en-US" w:eastAsia="zh-CN"/>
        </w:rPr>
        <w:t xml:space="preserve">类</w:t>
      </w:r>
      <w:r>
        <w:rPr>
          <w:rFonts w:hint="eastAsia" w:ascii="宋体" w:hAnsi="宋体" w:eastAsia="宋体" w:cs="宋体"/>
          <w:color w:val="000000"/>
          <w:sz w:val="24"/>
          <w:szCs w:val="24"/>
          <w:highlight w:val="none"/>
        </w:rPr>
        <w:t xml:space="preserve">要求，燃烧性能应</w:t>
      </w:r>
      <w:r>
        <w:rPr>
          <w:rFonts w:hint="eastAsia" w:ascii="宋体" w:hAnsi="宋体" w:eastAsia="宋体" w:cs="宋体"/>
          <w:color w:val="000000"/>
          <w:sz w:val="24"/>
          <w:szCs w:val="24"/>
          <w:highlight w:val="none"/>
          <w:lang w:val="en-US" w:eastAsia="zh-CN"/>
        </w:rPr>
        <w:t xml:space="preserve">符合相关国家最新</w:t>
      </w:r>
      <w:r>
        <w:rPr>
          <w:rFonts w:hint="eastAsia" w:ascii="宋体" w:hAnsi="宋体" w:eastAsia="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rPr>
        <w:t xml:space="preserve">的B1级。</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②★内部背板、展台板等用的中密度纤维板应符合</w:t>
      </w:r>
      <w:r>
        <w:rPr>
          <w:rFonts w:hint="eastAsia" w:ascii="宋体" w:hAnsi="宋体" w:eastAsia="宋体" w:cs="宋体"/>
          <w:color w:val="000000"/>
          <w:sz w:val="24"/>
          <w:szCs w:val="24"/>
          <w:highlight w:val="none"/>
          <w:lang w:val="en-US" w:eastAsia="zh-CN"/>
        </w:rPr>
        <w:t xml:space="preserve">相关国家最新</w:t>
      </w:r>
      <w:r>
        <w:rPr>
          <w:rFonts w:hint="eastAsia" w:ascii="宋体" w:hAnsi="宋体" w:eastAsia="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rPr>
        <w:t xml:space="preserve">要求；密度在0.65～0.80g/cm³区间，含水率在3.0～13.0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区间，静曲强度≥22.0MPa，内胶合强度≥0.45MPa，吸水厚度膨胀率≤12.0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，甲醛释放量≤0.025mg/m³。</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（2）空气要求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柜</w:t>
      </w:r>
      <w:r>
        <w:rPr>
          <w:rFonts w:hint="eastAsia" w:ascii="宋体" w:hAnsi="宋体" w:eastAsia="宋体" w:cs="宋体"/>
          <w:color w:val="000000"/>
          <w:sz w:val="24"/>
          <w:szCs w:val="24"/>
          <w:highlight w:val="none"/>
        </w:rPr>
        <w:t xml:space="preserve">内甲醛、甲酸</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≤100μg/m³，乙酸</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≤250μg/m³，挥发性有机化合物（VOCs）</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≤600μg/m³，二氧化硫、臭氧</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≤5μg/m³，二氧化氮</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≤10μg/m³，氨</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≤50μg/m³，</w:t>
      </w:r>
      <w:r>
        <w:rPr>
          <w:rFonts w:hint="eastAsia" w:ascii="宋体" w:hAnsi="宋体" w:eastAsia="宋体" w:cs="宋体"/>
          <w:color w:val="000000"/>
          <w:sz w:val="24"/>
          <w:szCs w:val="24"/>
          <w:highlight w:val="none"/>
          <w:lang w:val="en-US" w:eastAsia="zh-CN"/>
        </w:rPr>
        <w:t xml:space="preserve">供应商应承诺</w:t>
      </w:r>
      <w:r>
        <w:rPr>
          <w:rFonts w:hint="eastAsia" w:ascii="宋体" w:hAnsi="宋体" w:eastAsia="宋体" w:cs="宋体"/>
          <w:color w:val="000000"/>
          <w:sz w:val="24"/>
          <w:szCs w:val="24"/>
          <w:highlight w:val="none"/>
        </w:rPr>
        <w:t xml:space="preserve">无有害气体超标风险，可保障文物长期安全稳定保存。</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（3）结构要求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主体结构由上箱、储藏部分、基座三部分组成，各部分独立开启、管理。骨架采用不低于 50*50*</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mm 规格的优质镀锌</w:t>
      </w:r>
      <w:r>
        <w:rPr>
          <w:rFonts w:hint="eastAsia" w:ascii="宋体" w:hAnsi="宋体" w:eastAsia="宋体" w:cs="宋体"/>
          <w:color w:val="000000"/>
          <w:sz w:val="24"/>
          <w:szCs w:val="24"/>
          <w:highlight w:val="none"/>
          <w:lang w:val="en-US" w:eastAsia="zh-CN"/>
        </w:rPr>
        <w:t xml:space="preserve">方</w:t>
      </w:r>
      <w:r>
        <w:rPr>
          <w:rFonts w:hint="eastAsia" w:ascii="宋体" w:hAnsi="宋体" w:eastAsia="宋体" w:cs="宋体"/>
          <w:color w:val="000000"/>
          <w:sz w:val="24"/>
          <w:szCs w:val="24"/>
          <w:highlight w:val="none"/>
        </w:rPr>
        <w:t xml:space="preserve">管，经切割、焊接、调校、磨平，防锈处理后采用静电氟碳喷涂工艺，水平及垂直度±≤2mm，并设计有水平调节地脚装置。</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所用</w:t>
      </w:r>
      <w:r>
        <w:rPr>
          <w:rFonts w:hint="eastAsia" w:ascii="宋体" w:hAnsi="宋体" w:eastAsia="宋体" w:cs="宋体"/>
          <w:color w:val="000000"/>
          <w:sz w:val="24"/>
          <w:szCs w:val="24"/>
          <w:highlight w:val="none"/>
        </w:rPr>
        <w:t xml:space="preserve">镀锌方管应</w:t>
      </w:r>
      <w:r>
        <w:rPr>
          <w:rFonts w:hint="eastAsia" w:ascii="宋体" w:hAnsi="宋体" w:eastAsia="宋体" w:cs="宋体"/>
          <w:color w:val="000000"/>
          <w:sz w:val="24"/>
          <w:szCs w:val="24"/>
          <w:highlight w:val="none"/>
          <w:lang w:val="en-US" w:eastAsia="zh-CN"/>
        </w:rPr>
        <w:t xml:space="preserve">符合相关国家最新</w:t>
      </w:r>
      <w:r>
        <w:rPr>
          <w:rFonts w:hint="eastAsia" w:ascii="宋体" w:hAnsi="宋体" w:eastAsia="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rPr>
        <w:t xml:space="preserve">要求，方管化学成分中碳（C）≤0.20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、硫（S）≤0.045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、硅（Si）≤0.35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、锰（Mn）≤1.40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、磷（P）≤0.045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；力学性能中上屈服强度≥235MPa、抗拉强度在370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560MPa</w:t>
      </w:r>
      <w:r>
        <w:rPr>
          <w:rFonts w:hint="eastAsia" w:ascii="宋体" w:hAnsi="宋体" w:eastAsia="宋体" w:cs="宋体"/>
          <w:color w:val="000000"/>
          <w:sz w:val="24"/>
          <w:szCs w:val="24"/>
          <w:highlight w:val="none"/>
          <w:lang w:val="en-US" w:eastAsia="zh-CN"/>
        </w:rPr>
        <w:t xml:space="preserve">之间</w:t>
      </w:r>
      <w:r>
        <w:rPr>
          <w:rFonts w:hint="eastAsia" w:ascii="宋体" w:hAnsi="宋体" w:eastAsia="宋体" w:cs="宋体"/>
          <w:color w:val="000000"/>
          <w:sz w:val="24"/>
          <w:szCs w:val="24"/>
          <w:highlight w:val="none"/>
        </w:rPr>
        <w:t xml:space="preserve">、断后伸长率≥24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；内外表面镀锌层单位面积总重量不低于200g/m²的要求，且硫酸铜浸渍试验未见变红。</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（4）型材要求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所使用的铝型材必须符合6063牌号的标准要求，并经过T6时效处理，以保障其具备良好的强度和硬度性能；同时，型材的壁厚应不小于3mm，确保结构承载能力和耐久性满足实际应用需求。</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（5）饰面要求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①外饰面应采用厚度≥1.2mm的冷轧钢板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②★冷轧钢板应符合</w:t>
      </w:r>
      <w:r>
        <w:rPr>
          <w:rFonts w:hint="eastAsia" w:ascii="宋体" w:hAnsi="宋体" w:eastAsia="宋体" w:cs="宋体"/>
          <w:color w:val="000000"/>
          <w:sz w:val="24"/>
          <w:szCs w:val="24"/>
          <w:highlight w:val="none"/>
          <w:lang w:val="en-US" w:eastAsia="zh-CN"/>
        </w:rPr>
        <w:t xml:space="preserve">相关国家最新</w:t>
      </w:r>
      <w:r>
        <w:rPr>
          <w:rFonts w:hint="eastAsia" w:ascii="宋体" w:hAnsi="宋体" w:eastAsia="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rPr>
        <w:t xml:space="preserve">力学性能要求，抗拉强度≥485Mpa；断后伸长率≥40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t xml:space="preserve">★喷涂粉末应符合</w:t>
      </w:r>
      <w:r>
        <w:rPr>
          <w:rFonts w:hint="eastAsia" w:ascii="宋体" w:hAnsi="宋体" w:eastAsia="宋体" w:cs="宋体"/>
          <w:color w:val="000000"/>
          <w:sz w:val="24"/>
          <w:szCs w:val="24"/>
          <w:highlight w:val="none"/>
          <w:lang w:val="en-US" w:eastAsia="zh-CN"/>
        </w:rPr>
        <w:t xml:space="preserve">相关国家最新</w:t>
      </w:r>
      <w:r>
        <w:rPr>
          <w:rFonts w:hint="eastAsia" w:ascii="宋体" w:hAnsi="宋体" w:eastAsia="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rPr>
        <w:t xml:space="preserve">要求，外观色泽均匀、无异物，呈松散粉末状，附着力≤1级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耐盐雾性500h划痕处单向腐蚀蔓延宽度≤2.0mm，未划痕区应无起泡、生锈、开裂、剥落等异常现象。</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（6）玻璃及工艺要求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①采用不低于6mm+6mm</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低反射夹层玻璃，符合馆藏、文物展陈专业的展示要求，所有夹胶玻璃在加工过程中保证无划痕、气泡、内含物、细小纹路和其它瑕疵等。</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②★低反射夹层玻璃光学性能按</w:t>
      </w:r>
      <w:r>
        <w:rPr>
          <w:rFonts w:hint="eastAsia" w:ascii="宋体" w:hAnsi="宋体" w:eastAsia="宋体" w:cs="宋体"/>
          <w:color w:val="000000"/>
          <w:sz w:val="24"/>
          <w:szCs w:val="24"/>
          <w:highlight w:val="none"/>
          <w:lang w:val="en-US" w:eastAsia="zh-CN"/>
        </w:rPr>
        <w:t xml:space="preserve">相关国家最新</w:t>
      </w:r>
      <w:r>
        <w:rPr>
          <w:rFonts w:hint="eastAsia" w:ascii="宋体" w:hAnsi="宋体" w:eastAsia="宋体" w:cs="宋体"/>
          <w:color w:val="000000"/>
          <w:sz w:val="24"/>
          <w:szCs w:val="24"/>
          <w:highlight w:val="none"/>
        </w:rPr>
        <w:t xml:space="preserve">规定的方法检测，检测结果符合可见光透射比≥97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、可见光反射比≤1.5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、紫外线透射比≤1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的要求。</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③★低反射夹层玻璃夹胶后的力学性能应符合</w:t>
      </w:r>
      <w:r>
        <w:rPr>
          <w:rFonts w:hint="eastAsia" w:ascii="宋体" w:hAnsi="宋体" w:eastAsia="宋体" w:cs="宋体"/>
          <w:color w:val="000000"/>
          <w:sz w:val="24"/>
          <w:szCs w:val="24"/>
          <w:highlight w:val="none"/>
          <w:lang w:val="en-US" w:eastAsia="zh-CN"/>
        </w:rPr>
        <w:t xml:space="preserve">相关国家最新</w:t>
      </w:r>
      <w:r>
        <w:rPr>
          <w:rFonts w:hint="eastAsia" w:ascii="宋体" w:hAnsi="宋体" w:eastAsia="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rPr>
        <w:t xml:space="preserve">要求，耐热性试验后应无气泡或其它缺陷，落球冲击剥离性能在钢球质量为1040±10g冲击高度分别为3000和3800时中间层应未断裂、未暴露，耐辐照性试验后应无显著变色、气泡及浑浊现象。</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（7）密闭性要求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①柜内采用整体密闭型结构，密封性能良好，无漏光现象。密封采用专用</w:t>
      </w:r>
      <w:r>
        <w:rPr>
          <w:rFonts w:hint="eastAsia" w:ascii="宋体" w:hAnsi="宋体" w:eastAsia="宋体" w:cs="宋体"/>
          <w:color w:val="000000"/>
          <w:sz w:val="24"/>
          <w:szCs w:val="24"/>
          <w:highlight w:val="none"/>
          <w:lang w:val="en-US" w:eastAsia="zh-CN"/>
        </w:rPr>
        <w:t xml:space="preserve">结构</w:t>
      </w:r>
      <w:r>
        <w:rPr>
          <w:rFonts w:hint="eastAsia" w:ascii="宋体" w:hAnsi="宋体" w:eastAsia="宋体" w:cs="宋体"/>
          <w:color w:val="000000"/>
          <w:sz w:val="24"/>
          <w:szCs w:val="24"/>
          <w:highlight w:val="none"/>
        </w:rPr>
        <w:t xml:space="preserve">密封胶和硅胶密封条密封，保证其密闭性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②★密封胶应符合</w:t>
      </w:r>
      <w:r>
        <w:rPr>
          <w:rFonts w:hint="eastAsia" w:ascii="宋体" w:hAnsi="宋体" w:eastAsia="宋体" w:cs="宋体"/>
          <w:color w:val="000000"/>
          <w:sz w:val="24"/>
          <w:szCs w:val="24"/>
          <w:highlight w:val="none"/>
          <w:lang w:val="en-US" w:eastAsia="zh-CN"/>
        </w:rPr>
        <w:t xml:space="preserve">相关国家最新</w:t>
      </w:r>
      <w:r>
        <w:rPr>
          <w:rFonts w:hint="eastAsia" w:ascii="宋体" w:hAnsi="宋体" w:eastAsia="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rPr>
        <w:t xml:space="preserve">中2C、S</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G/AL技术指标要求，外观无气泡、结块、结皮或凝胶，搅拌后应为细腻均匀膏状物；垂直放置下垂度≤3mm，表干时间≤3h，适用期≤10s，邵氏硬度</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20～60HA</w:t>
      </w:r>
      <w:r>
        <w:rPr>
          <w:rFonts w:hint="eastAsia" w:ascii="宋体" w:hAnsi="宋体" w:eastAsia="宋体" w:cs="宋体"/>
          <w:color w:val="000000"/>
          <w:sz w:val="24"/>
          <w:szCs w:val="24"/>
          <w:highlight w:val="none"/>
          <w:lang w:val="en-US" w:eastAsia="zh-CN"/>
        </w:rPr>
        <w:t xml:space="preserve">之间</w:t>
      </w:r>
      <w:r>
        <w:rPr>
          <w:rFonts w:hint="eastAsia" w:ascii="宋体" w:hAnsi="宋体" w:eastAsia="宋体" w:cs="宋体"/>
          <w:color w:val="000000"/>
          <w:sz w:val="24"/>
          <w:szCs w:val="24"/>
          <w:highlight w:val="none"/>
        </w:rPr>
        <w:t xml:space="preserve">；拉伸粘结强度、剪切强度、定伸粘结性等性能满足标准规定，烷烃增塑剂不得检出。</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③密封条</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外观光滑、无扭曲变形，表面无裂纹、无气泡、无明显杂质及其他缺陷、颜色均匀一致。拉伸强度</w:t>
      </w:r>
      <w:r>
        <w:rPr>
          <w:rFonts w:hint="eastAsia" w:ascii="宋体" w:hAnsi="宋体" w:eastAsia="宋体" w:cs="宋体"/>
          <w:color w:val="000000"/>
          <w:sz w:val="24"/>
          <w:szCs w:val="24"/>
          <w:highlight w:val="none"/>
          <w:lang w:val="en-US" w:eastAsia="zh-CN"/>
        </w:rPr>
        <w:t xml:space="preserve">不小于</w:t>
      </w:r>
      <w:r>
        <w:rPr>
          <w:rFonts w:hint="eastAsia" w:ascii="宋体" w:hAnsi="宋体" w:eastAsia="宋体" w:cs="宋体"/>
          <w:color w:val="000000"/>
          <w:sz w:val="24"/>
          <w:szCs w:val="24"/>
          <w:highlight w:val="none"/>
        </w:rPr>
        <w:t xml:space="preserve">6MPa。拉断伸长</w:t>
      </w:r>
      <w:r>
        <w:rPr>
          <w:rFonts w:hint="eastAsia" w:ascii="宋体" w:hAnsi="宋体" w:eastAsia="宋体" w:cs="宋体"/>
          <w:color w:val="000000"/>
          <w:sz w:val="24"/>
          <w:szCs w:val="24"/>
          <w:highlight w:val="none"/>
          <w:lang w:val="en-US" w:eastAsia="zh-CN"/>
        </w:rPr>
        <w:t xml:space="preserve">率不小于300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。永久变形</w:t>
      </w:r>
      <w:r>
        <w:rPr>
          <w:rFonts w:hint="eastAsia" w:ascii="宋体" w:hAnsi="宋体" w:eastAsia="宋体" w:cs="宋体"/>
          <w:color w:val="000000"/>
          <w:sz w:val="24"/>
          <w:szCs w:val="24"/>
          <w:highlight w:val="none"/>
          <w:lang w:val="en-US" w:eastAsia="zh-CN"/>
        </w:rPr>
        <w:t xml:space="preserve">不大于</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。硬度HA60±5。撕裂强度</w:t>
      </w:r>
      <w:r>
        <w:rPr>
          <w:rFonts w:hint="eastAsia" w:ascii="宋体" w:hAnsi="宋体" w:eastAsia="宋体" w:cs="宋体"/>
          <w:color w:val="000000"/>
          <w:sz w:val="24"/>
          <w:szCs w:val="24"/>
          <w:highlight w:val="none"/>
          <w:lang w:val="en-US" w:eastAsia="zh-CN"/>
        </w:rPr>
        <w:t xml:space="preserve">不小于20</w:t>
      </w:r>
      <w:r>
        <w:rPr>
          <w:rFonts w:hint="eastAsia" w:ascii="宋体" w:hAnsi="宋体" w:eastAsia="宋体" w:cs="宋体"/>
          <w:color w:val="000000"/>
          <w:sz w:val="24"/>
          <w:szCs w:val="24"/>
          <w:highlight w:val="none"/>
        </w:rPr>
        <w:t xml:space="preserve">kN/m。</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（8）开启方式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通柜采用电动推出手动平移式开启设计，用户可通过电动控制推出</w:t>
      </w:r>
      <w:r>
        <w:rPr>
          <w:rFonts w:hint="eastAsia" w:ascii="宋体" w:hAnsi="宋体" w:eastAsia="宋体" w:cs="宋体"/>
          <w:color w:val="000000"/>
          <w:sz w:val="24"/>
          <w:szCs w:val="24"/>
          <w:highlight w:val="none"/>
          <w:lang w:val="en-US" w:eastAsia="zh-CN"/>
        </w:rPr>
        <w:t xml:space="preserve">柜门</w:t>
      </w:r>
      <w:r>
        <w:rPr>
          <w:rFonts w:hint="eastAsia" w:ascii="宋体" w:hAnsi="宋体" w:eastAsia="宋体" w:cs="宋体"/>
          <w:color w:val="000000"/>
          <w:sz w:val="24"/>
          <w:szCs w:val="24"/>
          <w:highlight w:val="none"/>
          <w:lang w:eastAsia="zh-CN"/>
        </w:rPr>
        <w:t xml:space="preserve">，再手动平移打开，操作简便且节省空间；</w:t>
      </w:r>
      <w:r>
        <w:rPr>
          <w:rFonts w:hint="eastAsia" w:ascii="宋体" w:hAnsi="宋体" w:eastAsia="宋体" w:cs="宋体"/>
          <w:color w:val="000000"/>
          <w:sz w:val="24"/>
          <w:szCs w:val="24"/>
          <w:highlight w:val="none"/>
          <w:lang w:val="en-US" w:eastAsia="zh-CN"/>
        </w:rPr>
        <w:t xml:space="preserve">同时必须保证开启方式符合博物馆安防相关要求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独立柜则配备90度合页式开启机制，门扇可旋转90度完全展开，便于内部物品的存取和管理。</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（9）照明系统要求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照明系统应遵循有利于观赏展品和保护展品的原则，根据不同的展陈内容可调节照明，既要突出陈列效果，又要保护文物，达到安全可靠、经济适用、经久耐用、技术先进、节约环保、维修方便的要求；照度、亮度、眩光、视野、色温、一般显色指数、采光系数等照明设计符合《博物馆照明设计规范》，并符合相关国家标准要求。</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②灯具应采用无辐射的LED光源的照明灯具，要求显色性能高，色温适中，材料利于散热，安装便捷。</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③射灯角度可调，可</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度倾斜，360度旋转。</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④光源显色指数Ra＞90、色温≤3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00K、平均使用寿命≥50000小时。</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⑤照明装置要对文物展品有保护功能，消除红外线、紫外线等有害射线对文物展品的影响和伤害，并阻断照明热。</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⑥应具有人工调控等相关功能，以满足不同文物的照度需求。</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⑦照明系统应与展示空间分开，在不开启柜门的情况下能进行维修和调整。</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抗震</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★展柜应符合</w:t>
      </w:r>
      <w:r>
        <w:rPr>
          <w:rFonts w:hint="eastAsia" w:ascii="宋体" w:hAnsi="宋体" w:eastAsia="宋体" w:cs="宋体"/>
          <w:color w:val="000000"/>
          <w:sz w:val="24"/>
          <w:szCs w:val="24"/>
          <w:highlight w:val="none"/>
          <w:lang w:val="en-US" w:eastAsia="zh-CN"/>
        </w:rPr>
        <w:t xml:space="preserve">相关国家最新</w:t>
      </w:r>
      <w:r>
        <w:rPr>
          <w:rFonts w:hint="eastAsia" w:ascii="宋体" w:hAnsi="宋体" w:eastAsia="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rPr>
        <w:t xml:space="preserve">要求，在阻尼比0.05，抗震设防烈度9度的多遇地震(0.14g)、设防地震(0.4g)、罕遇地震(0.62g)三条人工地震波抗震考核试验后，展柜柜门未打开，展柜未出现跳起或倾覆，展柜各部件未出现脱离、脱落的情况，内置光源可以正常工作。</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环境调控系统</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1）净化恒湿机（小型）</w:t>
      </w:r>
      <w:r>
        <w:rPr>
          <w:rFonts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①湿度调控精度：≤±3％RH。</w:t>
      </w:r>
      <w:r>
        <w:rPr>
          <w:rFonts w:hint="eastAsia"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②调控体积≤5m³。</w:t>
      </w:r>
      <w:r>
        <w:rPr>
          <w:rFonts w:hint="eastAsia"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③★传感器应严格按照</w:t>
      </w:r>
      <w:r>
        <w:rPr>
          <w:rFonts w:hint="eastAsia" w:ascii="宋体" w:hAnsi="宋体" w:eastAsia="宋体" w:cs="宋体"/>
          <w:color w:val="000000"/>
          <w:sz w:val="24"/>
          <w:szCs w:val="24"/>
          <w:highlight w:val="none"/>
          <w:lang w:val="en-US" w:eastAsia="zh-CN"/>
        </w:rPr>
        <w:t xml:space="preserve">相关国家最新</w:t>
      </w:r>
      <w:r>
        <w:rPr>
          <w:rFonts w:hint="eastAsia" w:ascii="宋体" w:hAnsi="宋体" w:eastAsia="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rPr>
        <w:t xml:space="preserve">要求执行，温度与湿度示值误差、测量准确性、量值溯源性等关键指标均符合校准规范与文物微环境监测精度要求；传感器经校准，温度示值误差</w:t>
      </w:r>
      <w:r>
        <w:rPr>
          <w:rFonts w:hint="eastAsia" w:ascii="宋体" w:hAnsi="宋体" w:eastAsia="宋体" w:cs="宋体"/>
          <w:color w:val="000000"/>
          <w:sz w:val="24"/>
          <w:szCs w:val="24"/>
          <w:highlight w:val="none"/>
          <w:lang w:val="en-US" w:eastAsia="zh-CN"/>
        </w:rPr>
        <w:t xml:space="preserve">不超过</w:t>
      </w:r>
      <w:r>
        <w:rPr>
          <w:rFonts w:hint="eastAsia" w:ascii="宋体" w:hAnsi="宋体" w:eastAsia="宋体" w:cs="宋体"/>
          <w:color w:val="000000"/>
          <w:sz w:val="24"/>
          <w:szCs w:val="24"/>
          <w:highlight w:val="none"/>
        </w:rPr>
        <w:t xml:space="preserve">±0.3℃，湿度示值误差控制在合理区间，扩展不确定度温度U≤0.3℃（k=2）、湿度U≤1.2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RH（k=2）。</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④额定电压：AC220V</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额定频率：50Hz。</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⑤蓄水箱容积：≤1.7L</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⑥</w:t>
      </w:r>
      <w:r>
        <w:rPr>
          <w:rFonts w:hint="eastAsia" w:ascii="宋体" w:hAnsi="宋体" w:eastAsia="宋体" w:cs="宋体"/>
          <w:color w:val="000000"/>
          <w:sz w:val="24"/>
          <w:szCs w:val="24"/>
          <w:highlight w:val="none"/>
          <w:lang w:val="en-US" w:eastAsia="zh-CN"/>
        </w:rPr>
        <w:t xml:space="preserve">最大</w:t>
      </w:r>
      <w:r>
        <w:rPr>
          <w:rFonts w:hint="eastAsia" w:ascii="宋体" w:hAnsi="宋体" w:eastAsia="宋体" w:cs="宋体"/>
          <w:color w:val="000000"/>
          <w:sz w:val="24"/>
          <w:szCs w:val="24"/>
          <w:highlight w:val="none"/>
        </w:rPr>
        <w:t xml:space="preserve">功耗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0W</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⑦湿度调控范围：</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70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（微环境密封性能会影响控制能力）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⑧★外壳防护等级：IP20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⑨★设备工作噪音：距离声源1m，设备工作噪音≤50分贝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⑩★</w:t>
      </w:r>
      <w:r>
        <w:rPr>
          <w:rFonts w:hint="eastAsia" w:ascii="宋体" w:hAnsi="宋体" w:eastAsia="宋体" w:cs="宋体"/>
          <w:color w:val="000000"/>
          <w:sz w:val="24"/>
          <w:szCs w:val="24"/>
          <w:highlight w:val="none"/>
          <w:lang w:val="en-US" w:eastAsia="zh-CN"/>
        </w:rPr>
        <w:t xml:space="preserve">恒定湿热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分别在15℃ 60％RH、40℃ 60％RH、22℃ 30％RH、22℃ 70％RH四种条件下</w:t>
      </w:r>
      <w:r>
        <w:rPr>
          <w:rFonts w:hint="eastAsia" w:ascii="宋体" w:hAnsi="宋体" w:eastAsia="宋体" w:cs="宋体"/>
          <w:color w:val="000000"/>
          <w:sz w:val="24"/>
          <w:szCs w:val="24"/>
          <w:highlight w:val="none"/>
        </w:rPr>
        <w:t xml:space="preserve">，调节目标湿度设为50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RH，调湿误差≤±1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RH；湿度波动度≤1.5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⑪</w:t>
      </w:r>
      <w:r>
        <w:rPr>
          <w:rFonts w:hint="eastAsia" w:ascii="宋体" w:hAnsi="宋体" w:eastAsia="宋体" w:cs="宋体"/>
          <w:color w:val="000000"/>
          <w:sz w:val="24"/>
          <w:szCs w:val="24"/>
          <w:highlight w:val="none"/>
        </w:rPr>
        <w:t xml:space="preserve">★无线通讯模块，能通过调控设备控制网关接入局域网，实现同监控服务器和客户端的实时通讯；工作人员能远程对净化恒湿机的运行状态进行监测，根据需要远程修改参数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⑫</w:t>
      </w:r>
      <w:r>
        <w:rPr>
          <w:rFonts w:hint="eastAsia" w:ascii="宋体" w:hAnsi="宋体" w:eastAsia="宋体" w:cs="宋体"/>
          <w:color w:val="000000"/>
          <w:sz w:val="24"/>
          <w:szCs w:val="24"/>
          <w:highlight w:val="none"/>
        </w:rPr>
        <w:t xml:space="preserve">★恒湿机控制系统，能够对设备的运行状态和参数进行控制，能够将数据传输到环境监测平台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2）净化恒湿机（中型）</w:t>
      </w:r>
      <w:r>
        <w:rPr>
          <w:rFonts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①湿度调控精度：≤±3％RH。</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②调控体积≤</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m³。</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③传感器应严格按照</w:t>
      </w:r>
      <w:r>
        <w:rPr>
          <w:rFonts w:hint="eastAsia" w:ascii="宋体" w:hAnsi="宋体" w:eastAsia="宋体" w:cs="宋体"/>
          <w:color w:val="000000"/>
          <w:sz w:val="24"/>
          <w:szCs w:val="24"/>
          <w:highlight w:val="none"/>
          <w:lang w:val="en-US" w:eastAsia="zh-CN"/>
        </w:rPr>
        <w:t xml:space="preserve">相关国家最新标准</w:t>
      </w:r>
      <w:r>
        <w:rPr>
          <w:rFonts w:hint="eastAsia" w:ascii="宋体" w:hAnsi="宋体" w:eastAsia="宋体" w:cs="宋体"/>
          <w:color w:val="000000"/>
          <w:sz w:val="24"/>
          <w:szCs w:val="24"/>
          <w:highlight w:val="none"/>
        </w:rPr>
        <w:t xml:space="preserve">要求执行，温度与湿度示值误差、测量准确性、量值溯源性等关键指标均符合校准规范与文物微环境监测精度要求；传感器经校准，温度示值误差≤±0.3℃，湿度示值误差控制在合理区间，扩展不确定度温度U≤0.3℃（k=2）、湿度U≤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RH（k=2），测量精准稳定、数据可靠可追溯，满足文物保存环境温湿度实时监测与高精度调控配套使用要求。</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④额定电压：AC220V</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额定频率：50Hz。</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⑤蓄水箱容积：≤</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L</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⑥</w:t>
      </w:r>
      <w:r>
        <w:rPr>
          <w:rFonts w:hint="eastAsia" w:ascii="宋体" w:hAnsi="宋体" w:eastAsia="宋体" w:cs="宋体"/>
          <w:color w:val="000000"/>
          <w:sz w:val="24"/>
          <w:szCs w:val="24"/>
          <w:highlight w:val="none"/>
          <w:lang w:val="en-US" w:eastAsia="zh-CN"/>
        </w:rPr>
        <w:t xml:space="preserve">最大</w:t>
      </w:r>
      <w:r>
        <w:rPr>
          <w:rFonts w:hint="eastAsia" w:ascii="宋体" w:hAnsi="宋体" w:eastAsia="宋体" w:cs="宋体"/>
          <w:color w:val="000000"/>
          <w:sz w:val="24"/>
          <w:szCs w:val="24"/>
          <w:highlight w:val="none"/>
        </w:rPr>
        <w:t xml:space="preserve">功耗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0W</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⑦湿度调控范围：</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70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（微环境密封性能会影响控制能力）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⑧外壳防护等级：IP20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⑨设备工作噪音：距离声源1m，设备工作噪音≤50分贝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⑩工作稳定性：装置通电后正常工作时间不小于2d，调节目标湿度设为50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RH，调湿误差≤±1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RH；湿度调控波动度≤1.5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⑪</w:t>
      </w:r>
      <w:r>
        <w:rPr>
          <w:rFonts w:hint="eastAsia" w:ascii="宋体" w:hAnsi="宋体" w:eastAsia="宋体" w:cs="宋体"/>
          <w:color w:val="000000"/>
          <w:sz w:val="24"/>
          <w:szCs w:val="24"/>
          <w:highlight w:val="none"/>
        </w:rPr>
        <w:t xml:space="preserve">无线通讯模块，能通过调控设备控制网关接入局域网，实现同监控服务器和客户端的实时通讯；工作人员能远程对净化恒湿机的运行状态进行监测，根据需要远程修改参数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⑫</w:t>
      </w:r>
      <w:r>
        <w:rPr>
          <w:rFonts w:hint="eastAsia" w:ascii="宋体" w:hAnsi="宋体" w:eastAsia="宋体" w:cs="宋体"/>
          <w:color w:val="000000"/>
          <w:sz w:val="24"/>
          <w:szCs w:val="24"/>
          <w:highlight w:val="none"/>
        </w:rPr>
        <w:t xml:space="preserve">恒湿机控制系统，能够对设备的运行状态和参数进行控制，能够将数据传输到环境监测平台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）无线温湿度监测终端</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温度测量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测量范围：-5℃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分辨率：0.1℃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测量精确度：±0.3℃(10℃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30℃) ±0.9℃ (10 ℃以下或 30 ℃以上)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湿度测量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测量范围：10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RH～90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分辨率：0.1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测量精确度：±2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RH(40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RH(40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RH以下或80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工作时长：采用超低功耗电路设计，锂电池供电在采样周期10min情况下可以连续工作1年。</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）无线光照紫外线温湿度监测终端</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温度测量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测量范围：-5℃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分辨率：0.1℃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测量精确度：±0.3℃(10℃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30℃) ±0.9℃ (10 ℃以下或 30 ℃以上)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湿度测量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测量范围：10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RH～90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分辨率：0.1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测量精确度：±2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RH(40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RH(40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RH以下或80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RH以上)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eastAsia="zh-CN"/>
        </w:rPr>
        <w:t xml:space="preserve">光照度测量：</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测量范围：0.01～5000LX；</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分辨率：0.01Lux；</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测量精确度：≤±4％。</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eastAsia="zh-CN"/>
        </w:rPr>
        <w:t xml:space="preserve">紫外线测量：</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测量范围：0.02～230μw/cm2；</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分辨率：0.01μW/cm2；</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测量精确度：≤±8％。</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eastAsia="zh-CN"/>
        </w:rPr>
        <w:t xml:space="preserve">工作时长：采用超低功耗电路设计，锂电池供电在采样周期10min情况下可以连续工作1年。</w:t>
      </w:r>
      <w:r>
        <w:rPr>
          <w:rFonts w:hint="eastAsia" w:ascii="宋体" w:hAnsi="宋体" w:eastAsia="宋体" w:cs="宋体"/>
          <w:color w:val="000000"/>
          <w:sz w:val="24"/>
          <w:szCs w:val="24"/>
          <w:highlight w:val="none"/>
          <w:lang w:eastAsia="zh-CN"/>
        </w:rPr>
      </w:r>
      <w:r/>
    </w:p>
    <w:p>
      <w:pPr>
        <w:pStyle w:val="947"/>
        <w:ind w:firstLine="47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）无线有机挥发物 VOC温湿度监测终端</w:t>
      </w:r>
      <w:r>
        <w:rPr>
          <w:rFonts w:hint="eastAsia" w:ascii="宋体" w:hAnsi="宋体" w:eastAsia="宋体" w:cs="宋体"/>
          <w:color w:val="000000"/>
          <w:sz w:val="24"/>
          <w:szCs w:val="24"/>
          <w:highlight w:val="none"/>
          <w:lang w:val="en-US" w:eastAsia="zh-CN"/>
        </w:rPr>
        <w:t xml:space="preserve">要求：</w:t>
      </w:r>
      <w:r>
        <w:rPr>
          <w:rFonts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温度测量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测量范围:-5℃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分辨率：0.1℃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测量精确度：±0.3℃(10℃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30℃) ±0.9℃ (10 ℃以下或 30 ℃以上)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lang w:eastAsia="zh-CN"/>
        </w:rPr>
        <w:t xml:space="preserve">湿度测量：</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测量范围：10％RH～90％RH；</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分辨率：0.1％RH；</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测量精确度：±2％RH(40％～80％RH)±4％RH(40％RH以下或80％RH以上)。</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eastAsia="zh-CN"/>
        </w:rPr>
        <w:t xml:space="preserve">VOC测量：</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测量范围：0～20ppm；</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测量精确度：0.01ppm。</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eastAsia="zh-CN"/>
        </w:rPr>
        <w:t xml:space="preserve">工作时长：采用超低功耗电路设计，锂电池供电在采样周期30 min 情况下可以连续工作半年。</w:t>
      </w:r>
      <w:r>
        <w:rPr>
          <w:rFonts w:hint="eastAsia" w:ascii="宋体" w:hAnsi="宋体" w:eastAsia="宋体" w:cs="宋体"/>
          <w:color w:val="000000"/>
          <w:sz w:val="24"/>
          <w:szCs w:val="24"/>
          <w:highlight w:val="none"/>
          <w:lang w:eastAsia="zh-CN"/>
        </w:rPr>
      </w:r>
      <w:r/>
    </w:p>
    <w:p>
      <w:pPr>
        <w:pStyle w:val="947"/>
        <w:ind w:firstLine="47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）中继</w:t>
      </w:r>
      <w:r>
        <w:rPr>
          <w:rFonts w:hint="eastAsia" w:ascii="宋体" w:hAnsi="宋体" w:eastAsia="宋体" w:cs="宋体"/>
          <w:color w:val="000000"/>
          <w:sz w:val="24"/>
          <w:szCs w:val="24"/>
          <w:highlight w:val="none"/>
          <w:lang w:val="en-US" w:eastAsia="zh-CN"/>
        </w:rPr>
        <w:t xml:space="preserve">要求：</w:t>
      </w:r>
      <w:r>
        <w:rPr>
          <w:rFonts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总体指标：</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使用国家无委会核准频段为398MHz</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525MHz；</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优先选择获得国家无线电发射设备型号核准证的产品；</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辐射标准：应符合</w:t>
      </w:r>
      <w:r>
        <w:rPr>
          <w:rFonts w:hint="eastAsia" w:ascii="宋体" w:hAnsi="宋体" w:eastAsia="宋体" w:cs="宋体"/>
          <w:color w:val="000000"/>
          <w:sz w:val="24"/>
          <w:szCs w:val="24"/>
          <w:highlight w:val="none"/>
          <w:lang w:val="en-US" w:eastAsia="zh-CN"/>
        </w:rPr>
        <w:t xml:space="preserve">相关国家最新标准</w:t>
      </w:r>
      <w:r>
        <w:rPr>
          <w:rFonts w:hint="eastAsia" w:ascii="宋体" w:hAnsi="宋体" w:eastAsia="宋体" w:cs="宋体"/>
          <w:color w:val="000000"/>
          <w:sz w:val="24"/>
          <w:szCs w:val="24"/>
          <w:highlight w:val="none"/>
        </w:rPr>
        <w:t xml:space="preserve">的A级限值要求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组网方式：</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具有自组织网络的能力，能够自行搜索及加入网络；</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具有周期性心跳包，周期性向网关发送心跳包以表征工作状态；</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具有记录和上报路由信息的能力，发出的心跳包到达数据转发中继的路径能够被上位机解析，供其描绘网络拓扑关系图；</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具有链路质量侦测能力。在信号微弱或不稳定情况下，能够自行判别，并搜索和优选更优质的网络传输路径。</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数据传输：</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具有数据校验的能力。在收到数据包时，能够根据数据包的CRC信息验证数据的正确性；转发的数据包中携带CRC校验信息，在数据包被父节点收到后，上位机能验证数据的正确性；</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具有反馈能力，成功接收到数据包后，予以回复，表明成功接收状态；</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具有数据重发机制，当数据发送失败后，具有回避及重发机制。如果数据发送多次不成功，能够优选父节点，并重新发送；</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具有下行转发能力，自父节点接收下行包，并根据路由机制，转发至目标子节点；</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无线数据转发中继与上位机通过远程方式连接，可以通过多种方式如网线、3G、4G、WIFI 等连入Internet；</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发送功率≤22dBm；通讯距离大于1000米（空旷条件下）。</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rPr>
        <w:t xml:space="preserve">供电方式：</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具有灵活的供电方式，以便灵活安装，直流低压供电与交流市电供电可选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rPr>
        <w:t xml:space="preserve">外壳材料：</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建议采用铝合金材质的工程机外壳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⑥</w:t>
      </w:r>
      <w:r>
        <w:rPr>
          <w:rFonts w:hint="eastAsia" w:ascii="宋体" w:hAnsi="宋体" w:eastAsia="宋体" w:cs="宋体"/>
          <w:color w:val="000000"/>
          <w:sz w:val="24"/>
          <w:szCs w:val="24"/>
          <w:highlight w:val="none"/>
        </w:rPr>
        <w:t xml:space="preserve">电路板保护：</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防潮、防霉、防静电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eastAsia="zh-CN"/>
        </w:rPr>
        <w:t xml:space="preserve">）博物馆文物保存环境监测</w:t>
      </w:r>
      <w:r>
        <w:rPr>
          <w:rFonts w:hint="eastAsia" w:ascii="宋体" w:hAnsi="宋体" w:eastAsia="宋体" w:cs="宋体"/>
          <w:color w:val="000000"/>
          <w:sz w:val="24"/>
          <w:szCs w:val="24"/>
          <w:highlight w:val="none"/>
        </w:rPr>
        <w:t xml:space="preserve">平台</w:t>
      </w:r>
      <w:r>
        <w:rPr>
          <w:rFonts w:hint="eastAsia" w:ascii="宋体" w:hAnsi="宋体" w:eastAsia="宋体" w:cs="宋体"/>
          <w:color w:val="000000"/>
          <w:sz w:val="24"/>
          <w:szCs w:val="24"/>
          <w:highlight w:val="none"/>
          <w:lang w:val="en-US" w:eastAsia="zh-CN"/>
        </w:rPr>
        <w:t xml:space="preserve">要求：</w:t>
      </w:r>
      <w:r>
        <w:rPr>
          <w:rFonts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博物馆文物保存环境监测站的博物馆环境监测</w:t>
      </w:r>
      <w:r>
        <w:rPr>
          <w:rFonts w:hint="eastAsia" w:ascii="宋体" w:hAnsi="宋体" w:eastAsia="宋体" w:cs="宋体"/>
          <w:color w:val="000000"/>
          <w:sz w:val="24"/>
          <w:szCs w:val="24"/>
          <w:highlight w:val="none"/>
        </w:rPr>
        <w:t xml:space="preserve">平台</w:t>
      </w:r>
      <w:r>
        <w:rPr>
          <w:rFonts w:hint="eastAsia" w:ascii="宋体" w:hAnsi="宋体" w:eastAsia="宋体" w:cs="宋体"/>
          <w:color w:val="000000"/>
          <w:sz w:val="24"/>
          <w:szCs w:val="24"/>
          <w:highlight w:val="none"/>
        </w:rPr>
        <w:t xml:space="preserve">，需要根据单位的实际情况定制博物馆环境监测平台，即该</w:t>
      </w:r>
      <w:r>
        <w:rPr>
          <w:rFonts w:hint="eastAsia" w:ascii="宋体" w:hAnsi="宋体" w:eastAsia="宋体" w:cs="宋体"/>
          <w:color w:val="000000"/>
          <w:sz w:val="24"/>
          <w:szCs w:val="24"/>
          <w:highlight w:val="none"/>
        </w:rPr>
        <w:t xml:space="preserve">平台</w:t>
      </w:r>
      <w:r>
        <w:rPr>
          <w:rFonts w:hint="eastAsia" w:ascii="宋体" w:hAnsi="宋体" w:eastAsia="宋体" w:cs="宋体"/>
          <w:color w:val="000000"/>
          <w:sz w:val="24"/>
          <w:szCs w:val="24"/>
          <w:highlight w:val="none"/>
        </w:rPr>
        <w:t xml:space="preserve">将针对博物馆陈列展厅、文物、博物馆等实际需要而开发。用户可通过监测平台对文物保护环境的监测指标进行实时信息监测、登录、储存、分析、评估、预警、查询、交流和管理决策。</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使用人员可以通过平台的人机界面，随时查看各文物保存环境监测点的状况，以图标或文字形式进行环境质量分析，在出现异常情况时自动向有关人员报警。</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在植入应急预案后，可以支持高效风险预控的科学管理。</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该监测平台，应具有监测点位和参数设置、专业数据分析、列表或图示化显示、实时报警、历史数据查询、校正公式设置、离线检测数据登录等功能，支持“全国馆藏文物保存环境监测评估系统平台”，并具备扩展接口，能按规范扩展兼容更多成熟监测终端和调控装置无线数据等的接入。</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配套：</w:t>
      </w:r>
      <w:r>
        <w:rPr>
          <w:rFonts w:hint="eastAsia"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专用网线1000米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6类规格网线（根据实际情况调整数量）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布线辅料</w:t>
      </w:r>
      <w:r>
        <w:rPr>
          <w:rFonts w:hint="eastAsia" w:ascii="宋体" w:hAnsi="宋体" w:eastAsia="宋体" w:cs="宋体"/>
          <w:color w:val="000000"/>
          <w:sz w:val="24"/>
          <w:szCs w:val="24"/>
          <w:highlight w:val="none"/>
          <w:lang w:eastAsia="zh-CN"/>
        </w:rPr>
        <w:t xml:space="preserve">：穿线管，固定线卡，接线头，网线水晶头，防水胶带等。</w:t>
      </w:r>
      <w:r>
        <w:rPr>
          <w:rFonts w:hint="eastAsia" w:ascii="宋体" w:hAnsi="宋体" w:eastAsia="宋体" w:cs="宋体"/>
          <w:color w:val="000000"/>
          <w:sz w:val="24"/>
          <w:szCs w:val="24"/>
          <w:highlight w:val="none"/>
          <w:lang w:eastAsia="zh-CN"/>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3、展陈文物保存设施采购内容清单：</w:t>
      </w:r>
      <w:r>
        <w:rPr>
          <w:rFonts w:hint="eastAsia" w:ascii="宋体" w:hAnsi="宋体" w:eastAsia="宋体" w:cs="宋体"/>
          <w:color w:val="000000"/>
          <w:sz w:val="24"/>
          <w:szCs w:val="24"/>
          <w:highlight w:val="none"/>
        </w:rPr>
      </w:r>
      <w:r/>
    </w:p>
    <w:tbl>
      <w:tblPr>
        <w:tblStyle w:val="1149"/>
        <w:tblW w:w="9638" w:type="dxa"/>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4A0" w:firstRow="1" w:lastRow="0" w:firstColumn="1" w:lastColumn="0" w:noHBand="0" w:noVBand="1"/>
      </w:tblPr>
      <w:tblGrid>
        <w:gridCol w:w="625"/>
        <w:gridCol w:w="675"/>
        <w:gridCol w:w="2282"/>
        <w:gridCol w:w="1875"/>
        <w:gridCol w:w="645"/>
        <w:gridCol w:w="645"/>
        <w:gridCol w:w="2891"/>
      </w:tblGrid>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350"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位置</w:t>
            </w: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规格</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350" w:type="dxa"/>
            <w:vAlign w:val="center"/>
            <w:vMerge w:val="restart"/>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古代厅</w:t>
            </w: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通柜-3</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2120*700*3450</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玻璃高度：2450</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350"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通柜-4</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2815*700*3450</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玻璃高度：2450</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350"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通柜-5</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5110*700*3450</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玻璃高度：2450</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350"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通柜-6</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2500*1000*3450</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玻璃高度：2450，双面</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350"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通柜-7</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3200*1000*3450</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玻璃高度：2450，双面</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350"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通柜-8</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3270*700*3450</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玻璃高度：2450</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350"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通柜-9</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3815*700*3450</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玻璃高度：2450</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350"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通柜-10</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2785*700*3450</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玻璃高度：2450</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350"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通柜-11</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6470*850*3450</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玻璃高度：2450</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350"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通柜-12、13</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15740*800*3450</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玻璃高度：2450，L形</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350"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通柜-14</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3270*700*3450</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玻璃高度：2450</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350"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独立柜1-6</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600*600*2200</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1499" w:type="dxa"/>
            <w:vAlign w:val="center"/>
            <w:vMerge w:val="restart"/>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下箱体600顶部超薄60玻璃高度1540</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350"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独立柜7-8</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800*800*2200</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499"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W w:w="350" w:type="dxa"/>
            <w:vAlign w:val="center"/>
            <w:vMerge w:val="restart"/>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民国街</w:t>
            </w: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通柜</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1500*750*2690</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玻璃高度：1690</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350"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通柜</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5700*900*2680</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玻璃高度：1680L形；双面</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eastAsia="zh-CN"/>
              </w:rPr>
            </w:r>
            <w:r/>
          </w:p>
        </w:tc>
        <w:tc>
          <w:tcPr>
            <w:tcW w:w="350" w:type="dxa"/>
            <w:vAlign w:val="center"/>
            <w:vMerge w:val="restart"/>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古代厅/民国街</w:t>
            </w: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净化恒湿机（小型）</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调控体积≤5m³</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W w:w="350"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净化恒湿机（中型）</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调控体积≤10m³</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c>
          <w:tcPr>
            <w:tcW w:w="350"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无线温湿度监测终端</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val="en-US" w:eastAsia="zh-CN"/>
              </w:rPr>
            </w:r>
            <w:r/>
          </w:p>
        </w:tc>
        <w:tc>
          <w:tcPr>
            <w:tcW w:w="350"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无线光照紫外线温湿度监测终端</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r>
            <w:r/>
          </w:p>
        </w:tc>
        <w:tc>
          <w:tcPr>
            <w:tcW w:w="350"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无线有机挥发物VOC温湿度监测终端</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r>
            <w:r/>
          </w:p>
        </w:tc>
        <w:tc>
          <w:tcPr>
            <w:tcW w:w="350"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中继</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只</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接收监测终端信号</w:t>
            </w:r>
            <w:r>
              <w:rPr>
                <w:rFonts w:hint="eastAsia" w:ascii="宋体" w:hAnsi="宋体" w:eastAsia="宋体" w:cs="宋体"/>
                <w:color w:val="000000"/>
                <w:sz w:val="24"/>
                <w:szCs w:val="24"/>
                <w:highlight w:val="none"/>
                <w:lang w:val="en-US" w:eastAsia="zh-CN"/>
              </w:rPr>
            </w:r>
            <w:r/>
          </w:p>
        </w:tc>
      </w:tr>
      <w:tr>
        <w:trPr>
          <w:trHeight w:val="567"/>
        </w:trPr>
        <w:tc>
          <w:tcPr>
            <w:tcW w:w="32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c>
          <w:tcPr>
            <w:tcW w:w="350" w:type="dxa"/>
            <w:vAlign w:val="center"/>
            <w:vMerge w:val="continue"/>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8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博物馆文物保存环境监测平台</w:t>
            </w:r>
            <w:r>
              <w:rPr>
                <w:rFonts w:hint="eastAsia" w:ascii="宋体" w:hAnsi="宋体" w:eastAsia="宋体" w:cs="宋体"/>
                <w:color w:val="000000"/>
                <w:sz w:val="24"/>
                <w:szCs w:val="24"/>
                <w:highlight w:val="none"/>
                <w:lang w:val="en-US" w:eastAsia="zh-CN"/>
              </w:rPr>
            </w:r>
            <w:r/>
          </w:p>
        </w:tc>
        <w:tc>
          <w:tcPr>
            <w:tcW w:w="972"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rPr>
            </w:r>
            <w:r/>
          </w:p>
        </w:tc>
        <w:tc>
          <w:tcPr>
            <w:tcW w:w="334"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499"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包含平台1套+专用网线1000米+布线辅料</w:t>
            </w:r>
            <w:r>
              <w:rPr>
                <w:rFonts w:hint="eastAsia" w:ascii="宋体" w:hAnsi="宋体" w:eastAsia="宋体" w:cs="宋体"/>
                <w:color w:val="000000"/>
                <w:sz w:val="24"/>
                <w:szCs w:val="24"/>
                <w:highlight w:val="none"/>
                <w:lang w:val="en-US" w:eastAsia="zh-CN"/>
              </w:rPr>
            </w:r>
            <w:r/>
          </w:p>
        </w:tc>
      </w:tr>
    </w:tbl>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4、项目实施要求：</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（1）本项目实施期间不得影响采购人的正常运营开放，应设置外观具有一定美化性的围挡、悬挂等进行遮挡，并进行噪音控制。</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（2）本项目实施期间需对相关文物展品进行提取转运，完成后再进行陈列布展，在此过程供应商须严格保障文物安全。</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本项目实施期间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应做好地面及墙体保护，遵守博物馆相关施工规定，并做好施工人员的安全培训工作，听从博物馆的相关安排。</w:t>
      </w:r>
      <w:r>
        <w:rPr>
          <w:rFonts w:hint="eastAsia" w:ascii="宋体" w:hAnsi="宋体" w:eastAsia="宋体" w:cs="宋体"/>
          <w:color w:val="000000"/>
          <w:sz w:val="24"/>
          <w:szCs w:val="24"/>
          <w:highlight w:val="none"/>
          <w:lang w:val="en-US" w:eastAsia="zh-CN"/>
        </w:rPr>
      </w:r>
      <w:r/>
    </w:p>
    <w:p>
      <w:pPr>
        <w:pStyle w:val="947"/>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5、历史馆(古代厅、民国街)展品清单如下：</w:t>
      </w:r>
      <w:r>
        <w:rPr>
          <w:rFonts w:hint="eastAsia" w:ascii="宋体" w:hAnsi="宋体" w:eastAsia="宋体" w:cs="宋体"/>
          <w:color w:val="000000"/>
          <w:sz w:val="24"/>
          <w:szCs w:val="24"/>
          <w:highlight w:val="none"/>
          <w:lang w:val="en-US" w:eastAsia="zh-CN"/>
        </w:rPr>
      </w:r>
      <w:r/>
    </w:p>
    <w:tbl>
      <w:tblPr>
        <w:tblStyle w:val="1026"/>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640"/>
        <w:gridCol w:w="1695"/>
        <w:gridCol w:w="765"/>
        <w:gridCol w:w="2385"/>
        <w:gridCol w:w="1420"/>
      </w:tblGrid>
      <w:tr>
        <w:trPr>
          <w:trHeight w:val="567"/>
        </w:trPr>
        <w:tc>
          <w:tcPr>
            <w:tcW w:w="733"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2640"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展品名称</w:t>
            </w:r>
            <w:r>
              <w:rPr>
                <w:rFonts w:hint="eastAsia" w:ascii="宋体" w:hAnsi="宋体" w:eastAsia="宋体" w:cs="宋体"/>
                <w:color w:val="000000"/>
                <w:sz w:val="24"/>
                <w:szCs w:val="24"/>
                <w:highlight w:val="none"/>
                <w:lang w:val="en-US" w:eastAsia="zh-CN"/>
              </w:rPr>
            </w:r>
            <w:r/>
          </w:p>
        </w:tc>
        <w:tc>
          <w:tcPr>
            <w:tcW w:w="1695"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年代</w:t>
            </w:r>
            <w:r>
              <w:rPr>
                <w:rFonts w:hint="eastAsia" w:ascii="宋体" w:hAnsi="宋体" w:eastAsia="宋体" w:cs="宋体"/>
                <w:color w:val="000000"/>
                <w:sz w:val="24"/>
                <w:szCs w:val="24"/>
                <w:highlight w:val="none"/>
                <w:lang w:val="en-US" w:eastAsia="zh-CN"/>
              </w:rPr>
            </w:r>
            <w:r/>
          </w:p>
        </w:tc>
        <w:tc>
          <w:tcPr>
            <w:tcW w:w="765"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lang w:val="en-US" w:eastAsia="zh-CN"/>
              </w:rPr>
            </w:r>
            <w:r/>
          </w:p>
        </w:tc>
        <w:tc>
          <w:tcPr>
            <w:tcW w:w="2385"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尺寸（cm）</w:t>
            </w:r>
            <w:r>
              <w:rPr>
                <w:rFonts w:hint="eastAsia" w:ascii="宋体" w:hAnsi="宋体" w:eastAsia="宋体" w:cs="宋体"/>
                <w:color w:val="000000"/>
                <w:sz w:val="24"/>
                <w:szCs w:val="24"/>
                <w:highlight w:val="none"/>
                <w:lang w:val="en-US" w:eastAsia="zh-CN"/>
              </w:rPr>
            </w:r>
            <w:r/>
          </w:p>
        </w:tc>
        <w:tc>
          <w:tcPr>
            <w:tcW w:w="1420"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val="en-US" w:eastAsia="zh-CN"/>
              </w:rPr>
            </w:r>
            <w:r/>
          </w:p>
        </w:tc>
      </w:tr>
      <w:tr>
        <w:trPr>
          <w:trHeight w:val="567"/>
        </w:trPr>
        <w:tc>
          <w:tcPr>
            <w:gridSpan w:val="6"/>
            <w:tcW w:w="9638" w:type="dxa"/>
            <w:vAlign w:val="center"/>
            <w:textDirection w:val="lrTb"/>
            <w:noWrap w:val="false"/>
          </w:tcPr>
          <w:p>
            <w:pPr>
              <w:pStyle w:val="947"/>
              <w:jc w:val="both"/>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一、古代厅</w:t>
            </w:r>
            <w:r>
              <w:rPr>
                <w:rFonts w:ascii="宋体" w:hAnsi="宋体" w:eastAsia="宋体" w:cs="宋体"/>
                <w:color w:val="000000"/>
                <w:sz w:val="24"/>
                <w:szCs w:val="24"/>
                <w:highlight w:val="none"/>
                <w:lang w:val="en-US" w:eastAsia="zh-CN"/>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打纬刀</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现代仿新石器</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43*4.5</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分经器</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现代仿新石器</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长21</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棕刷</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现代仿新石器</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长10.5</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骨针（复制品）</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现代仿新石器</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长7.4</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山顶洞人骨针（复制品）</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现代仿新石器</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长8.5</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蚕纹盅</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现代仿新石器</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直径4.5</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青玉蚕</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现代仿商</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2.3*0.5</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白玉蚕</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现代仿商</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keepLines w:val="0"/>
              <w:keepNext w:val="0"/>
              <w:spacing w:line="360" w:lineRule="auto"/>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方孔纱</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东周（复制件）</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幅宽52</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000000"/>
                <w:sz w:val="24"/>
                <w:szCs w:val="24"/>
                <w:highlight w:val="none"/>
                <w:lang w:val="en-US" w:eastAsia="zh-TW" w:bidi="ar-SA"/>
              </w:rPr>
              <w:t xml:space="preserve">条形几何纹锦</w:t>
            </w:r>
            <w:r>
              <w:rPr>
                <w:rFonts w:hint="eastAsia" w:ascii="宋体" w:hAnsi="宋体" w:eastAsia="宋体" w:cs="宋体"/>
                <w:color w:val="000000"/>
                <w:sz w:val="24"/>
                <w:szCs w:val="24"/>
                <w:highlight w:val="none"/>
                <w:lang w:val="en-US" w:eastAsia="zh-TW"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东周（复制件）</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幅宽50</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000000"/>
                <w:sz w:val="24"/>
                <w:szCs w:val="24"/>
                <w:highlight w:val="none"/>
                <w:lang w:val="en-US" w:eastAsia="zh-TW" w:bidi="ar-SA"/>
              </w:rPr>
              <w:t xml:space="preserve">狩猎纹锦</w:t>
            </w:r>
            <w:r>
              <w:rPr>
                <w:rFonts w:hint="eastAsia" w:ascii="宋体" w:hAnsi="宋体" w:eastAsia="宋体" w:cs="宋体"/>
                <w:color w:val="000000"/>
                <w:sz w:val="24"/>
                <w:szCs w:val="24"/>
                <w:highlight w:val="none"/>
                <w:lang w:val="en-US" w:eastAsia="zh-TW"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东周（复制件）</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7*170</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中空斜纹斜编</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战国（复制件）</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长137</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菱格六边形纹绦</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战国（复制件）</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10.6*19</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凤鸟凫几何纹锦</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战国（复制件）</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装具：51.2*36.2</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舞人动物纹锦</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战国（复制件）</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幅宽50</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宴乐采桑渔猎攻战纹图壶</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现代仿战国</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壶高31.6，口径10.9</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塔形纹锦</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战国（复制件）</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幅宽50</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菱纹罗</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西汉</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约20</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对鸟纹绮</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西汉</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约20</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“五星出东方利中国锦”护膊</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东汉（复制件）</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18.5×12.5</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延年益寿大宜子孙锦</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东汉（复制件）</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幅宽52</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“王侯合昏千秋万寿宜子孙锦”被单</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东汉（复制件）</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幅宽92</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缂毛织物残片</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东汉</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17×5.5</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黄地花树对凤纹锦残片</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汉</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装具：88.4*41.2</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绿地花树纹锦残片</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汉</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装具：60.3*25.4</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树纹锦</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北朝（复制件）</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幅宽50</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黄地灯树纹锦残片</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北朝</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装具：87.2*39.4</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四骑士狩猎纹锦</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现代仿唐</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49×350</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TW" w:bidi="ar-SA"/>
              </w:rPr>
              <w:outlineLvl w:val="9"/>
            </w:pPr>
            <w:r>
              <w:rPr>
                <w:rFonts w:hint="eastAsia" w:ascii="宋体" w:hAnsi="宋体" w:eastAsia="宋体" w:cs="宋体"/>
                <w:color w:val="000000"/>
                <w:sz w:val="24"/>
                <w:szCs w:val="24"/>
                <w:highlight w:val="none"/>
                <w:lang w:val="en-US" w:eastAsia="zh-CN" w:bidi="ar-SA"/>
              </w:rPr>
              <w:t xml:space="preserve">红地花瓣联珠对羊纹锦残片</w:t>
            </w:r>
            <w:r>
              <w:rPr>
                <w:rFonts w:hint="eastAsia" w:ascii="宋体" w:hAnsi="宋体" w:eastAsia="宋体" w:cs="宋体"/>
                <w:color w:val="000000"/>
                <w:sz w:val="24"/>
                <w:szCs w:val="24"/>
                <w:highlight w:val="none"/>
                <w:lang w:val="en-US" w:eastAsia="zh-TW"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唐代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1件套</w:t>
            </w:r>
            <w:r>
              <w:rPr>
                <w:rFonts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36×5，10×5，20×5</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绿地花瓣团窠纹锦残片</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唐代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16×13</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联珠团窠瑞鸟纹锦残片</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唐代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34×9</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黄地小窠联珠镜花锦</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唐代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4*11</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花瓣团窠对鸟纹锦残片</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唐代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1件套</w:t>
            </w:r>
            <w:r>
              <w:rPr>
                <w:rFonts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23×9；18×12</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黄地小窠镜花锦</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唐（复制件）</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幅宽45</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花瓣团窠瑞鸟衔绶锦</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唐（复制件）</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幅宽72</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黄地宝花团窠对鸟锦</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唐（复制件）</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幅宽55</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绿地狩猎纹印花纱</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唐（复制件）</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幅宽51.5</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花鸟纹锦</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唐（复制件）</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幅宽50</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浅棕地瑞花印花绢</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唐（复制件）</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幅宽54</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褐色菱形罗地菩提纹绣衣残片</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辽代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35×35</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褐色锁纹团花纹锦残片</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辽代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24.5×29</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褐色飞鸟宝相团花纹锦残片</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辽代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27×27</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黄地牡丹花罗残片</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南宋</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36×40</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万字牡丹暗花绮</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南宋</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27×24</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黄地凤穿牡丹绢</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元代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52.5×19</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黄地折枝花绢</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元代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57×25</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深褐色素缎孔雀盘金绣补子右衽长袍</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明代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110*210</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朱红地蓝云纹缎册面</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明代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38*13</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蓝地如意花卉藻井纹宋锦</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清代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197*125</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朱红缎地彩绣风景花卉纹对襟女褂</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清代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100×148</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白地绣八仙领饰</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清代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外径35</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白地盘金绣人物动物花卉风景纹云肩</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清代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外径56</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打籽绣花钱袋</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清代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1件套</w:t>
            </w:r>
            <w:r>
              <w:rPr>
                <w:rFonts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16×11（每件）</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石青色团龙地景纹织金妆花缎女褂</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清代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109*148</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绣寿星</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清代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34×64</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缂丝麻姑挂轴</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清代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328×184</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红地蔓草纹加金细锦</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清代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22×37</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黄地荷莲纹云锦残片</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清代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装具：60.3*25.4</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蓝色云凤纹妆花缎藏袍</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清代</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145*207</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古代厅展品</w:t>
            </w:r>
            <w:r>
              <w:rPr>
                <w:rFonts w:hint="eastAsia" w:ascii="宋体" w:hAnsi="宋体" w:eastAsia="宋体" w:cs="宋体"/>
                <w:color w:val="000000"/>
                <w:sz w:val="24"/>
                <w:szCs w:val="24"/>
                <w:highlight w:val="none"/>
                <w:lang w:val="en-US" w:eastAsia="zh-CN" w:bidi="ar-SA"/>
              </w:rPr>
            </w:r>
            <w:r/>
          </w:p>
        </w:tc>
      </w:tr>
      <w:tr>
        <w:trPr>
          <w:trHeight w:val="567"/>
        </w:trPr>
        <w:tc>
          <w:tcPr>
            <w:gridSpan w:val="6"/>
            <w:tcW w:w="9638" w:type="dxa"/>
            <w:vAlign w:val="center"/>
            <w:textDirection w:val="lrTb"/>
            <w:noWrap w:val="false"/>
          </w:tcPr>
          <w:p>
            <w:pPr>
              <w:pStyle w:val="947"/>
              <w:jc w:val="both"/>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二、民国街</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元地紫花花累缎女袄</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民国</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65*113</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民国街展品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大红缎地绣花礼裙</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民国</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90*42</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民国街展品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青色提花绸无袖棉旗袍</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民国</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124</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民国街展品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紫红地朵花纹印花绸长袖夹棉旗袍</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民国</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107*136</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民国街展品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绿色团花纹提花绸棉袍</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民国</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130*162</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民国街展品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元色小几何纹提花葛马褂</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民国</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163*56</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民国街展品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玫红梅竹暗花绸镶边女棉袄</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民国</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123*96.5</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民国街展品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提花葛长袖旗袍</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民国</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1件</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124*136</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民国街展品</w:t>
            </w:r>
            <w:r>
              <w:rPr>
                <w:rFonts w:hint="eastAsia" w:ascii="宋体" w:hAnsi="宋体" w:eastAsia="宋体" w:cs="宋体"/>
                <w:color w:val="000000"/>
                <w:sz w:val="24"/>
                <w:szCs w:val="24"/>
                <w:highlight w:val="none"/>
                <w:lang w:val="en-US" w:eastAsia="zh-CN" w:bidi="ar-SA"/>
              </w:rPr>
            </w:r>
            <w:r/>
          </w:p>
        </w:tc>
      </w:tr>
      <w:tr>
        <w:trPr>
          <w:trHeight w:val="567"/>
        </w:trPr>
        <w:tc>
          <w:tcPr>
            <w:tcW w:w="733" w:type="dxa"/>
            <w:vAlign w:val="center"/>
            <w:textDirection w:val="lrTb"/>
            <w:noWrap w:val="false"/>
          </w:tcPr>
          <w:p>
            <w:pPr>
              <w:pStyle w:val="1150"/>
              <w:numPr>
                <w:ilvl w:val="0"/>
                <w:numId w:val="2"/>
              </w:numPr>
              <w:ind w:left="0" w:firstLine="0"/>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40"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发禄袋</w:t>
            </w:r>
            <w:r>
              <w:rPr>
                <w:rFonts w:hint="eastAsia" w:ascii="宋体" w:hAnsi="宋体" w:eastAsia="宋体" w:cs="宋体"/>
                <w:color w:val="000000"/>
                <w:sz w:val="24"/>
                <w:szCs w:val="24"/>
                <w:highlight w:val="none"/>
                <w:lang w:val="en-US" w:eastAsia="zh-CN" w:bidi="ar-SA"/>
              </w:rPr>
            </w:r>
            <w:r/>
          </w:p>
        </w:tc>
        <w:tc>
          <w:tcPr>
            <w:tcW w:w="169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民国</w:t>
            </w:r>
            <w:r>
              <w:rPr>
                <w:rFonts w:hint="eastAsia" w:ascii="宋体" w:hAnsi="宋体" w:eastAsia="宋体" w:cs="宋体"/>
                <w:color w:val="000000"/>
                <w:sz w:val="24"/>
                <w:szCs w:val="24"/>
                <w:highlight w:val="none"/>
                <w:lang w:val="en-US" w:eastAsia="zh-CN" w:bidi="ar-SA"/>
              </w:rPr>
            </w:r>
            <w:r/>
          </w:p>
        </w:tc>
        <w:tc>
          <w:tcPr>
            <w:tcW w:w="765"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1组</w:t>
            </w:r>
            <w:r>
              <w:rPr>
                <w:rFonts w:hint="eastAsia" w:ascii="宋体" w:hAnsi="宋体" w:eastAsia="宋体" w:cs="宋体"/>
                <w:color w:val="000000"/>
                <w:sz w:val="24"/>
                <w:szCs w:val="24"/>
                <w:highlight w:val="none"/>
                <w:lang w:val="en-US" w:eastAsia="zh-CN" w:bidi="ar-SA"/>
              </w:rPr>
            </w:r>
            <w:r/>
          </w:p>
        </w:tc>
        <w:tc>
          <w:tcPr>
            <w:tcW w:w="2385" w:type="dxa"/>
            <w:vAlign w:val="center"/>
            <w:textDirection w:val="lrTb"/>
            <w:noWrap w:val="false"/>
          </w:tcPr>
          <w:p>
            <w:pPr>
              <w:pStyle w:val="947"/>
              <w:numPr>
                <w:ilvl w:val="0"/>
                <w:numId w:val="0"/>
              </w:numPr>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3件</w:t>
            </w:r>
            <w:r>
              <w:rPr>
                <w:rFonts w:hint="eastAsia" w:ascii="宋体" w:hAnsi="宋体" w:eastAsia="宋体" w:cs="宋体"/>
                <w:color w:val="000000"/>
                <w:sz w:val="24"/>
                <w:szCs w:val="24"/>
                <w:highlight w:val="none"/>
                <w:lang w:val="en-US" w:eastAsia="zh-CN" w:bidi="ar-SA"/>
              </w:rPr>
            </w:r>
            <w:r/>
          </w:p>
        </w:tc>
        <w:tc>
          <w:tcPr>
            <w:tcW w:w="1420" w:type="dxa"/>
            <w:vAlign w:val="center"/>
            <w:textDirection w:val="lrTb"/>
            <w:noWrap w:val="false"/>
          </w:tcPr>
          <w:p>
            <w:pPr>
              <w:pStyle w:val="947"/>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民国街展品</w:t>
            </w:r>
            <w:r>
              <w:rPr>
                <w:rFonts w:hint="eastAsia" w:ascii="宋体" w:hAnsi="宋体" w:eastAsia="宋体" w:cs="宋体"/>
                <w:color w:val="000000"/>
                <w:sz w:val="24"/>
                <w:szCs w:val="24"/>
                <w:highlight w:val="none"/>
                <w:lang w:val="en-US" w:eastAsia="zh-CN" w:bidi="ar-SA"/>
              </w:rPr>
            </w:r>
            <w:r/>
          </w:p>
        </w:tc>
      </w:tr>
    </w:tbl>
    <w:p>
      <w:pPr>
        <w:pStyle w:val="94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三、综合说明：</w:t>
      </w:r>
      <w:r>
        <w:rPr>
          <w:rFonts w:hint="eastAsia" w:ascii="宋体" w:hAnsi="宋体" w:eastAsia="宋体" w:cs="宋体"/>
          <w:b/>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1、供应商所提供的相关货物或服务应符合国家有关</w:t>
      </w:r>
      <w:r>
        <w:rPr>
          <w:rFonts w:hint="eastAsia" w:ascii="宋体" w:hAnsi="宋体" w:eastAsia="宋体" w:cs="宋体"/>
          <w:color w:val="000000"/>
          <w:sz w:val="24"/>
          <w:szCs w:val="24"/>
          <w:highlight w:val="none"/>
          <w:lang w:val="en-US" w:eastAsia="zh-CN"/>
        </w:rPr>
        <w:t xml:space="preserve">最新</w:t>
      </w:r>
      <w:r>
        <w:rPr>
          <w:rFonts w:hint="eastAsia" w:ascii="宋体" w:hAnsi="宋体" w:eastAsia="宋体" w:cs="宋体"/>
          <w:color w:val="000000"/>
          <w:sz w:val="24"/>
          <w:szCs w:val="24"/>
          <w:highlight w:val="none"/>
        </w:rPr>
        <w:t xml:space="preserve">标准和规范，并遵循采购文件的要求，应达到或优于采购要求，并提供详细说明。若采购要求中涉及品牌或品牌导向，则仅作参考。响应文件必须如实进行实质性响应，量化指标必须列明具体数值。供应商在其响应文件中对于采购文件已提供以及未提供的货物或服务情况均须进行完整的阐述和说明，否则其响应文件将有被拒绝的可能。</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提供的响应文件内容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rPr>
          <w:rFonts w:hint="eastAsia" w:ascii="宋体" w:hAnsi="宋体" w:eastAsia="宋体" w:cs="宋体"/>
          <w:color w:val="000000"/>
          <w:sz w:val="24"/>
          <w:szCs w:val="24"/>
          <w:highlight w:val="none"/>
        </w:rPr>
      </w:r>
      <w:r/>
    </w:p>
    <w:p>
      <w:pPr>
        <w:pStyle w:val="947"/>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3、供应商应保证</w:t>
      </w:r>
      <w:r>
        <w:rPr>
          <w:rFonts w:hint="eastAsia" w:ascii="宋体" w:hAnsi="宋体" w:eastAsia="宋体" w:cs="宋体"/>
          <w:color w:val="000000"/>
          <w:sz w:val="24"/>
          <w:szCs w:val="24"/>
          <w:highlight w:val="none"/>
          <w:lang w:val="zh-CN"/>
        </w:rPr>
        <w:t xml:space="preserve">对所提供货物</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val="zh-CN"/>
        </w:rPr>
        <w:t xml:space="preserve">服务等知识产权方面的一切产权关系负全部责任</w:t>
      </w:r>
      <w:r>
        <w:rPr>
          <w:rFonts w:hint="eastAsia" w:ascii="宋体" w:hAnsi="宋体" w:eastAsia="宋体" w:cs="宋体"/>
          <w:color w:val="000000"/>
          <w:sz w:val="24"/>
          <w:szCs w:val="24"/>
          <w:highlight w:val="none"/>
        </w:rPr>
        <w:t xml:space="preserve">，不会产生因第三方提出侵犯其专利权、商标权或其它知识产权而引起的法律和经济纠纷，如因专利权、商标权或其它知识产权而引起法律和经济纠纷，由供应商承担所有相关责任。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highlight w:val="none"/>
        </w:rPr>
      </w:r>
      <w:r/>
    </w:p>
    <w:p>
      <w:pPr>
        <w:pStyle w:val="947"/>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供应商需编制本项目的技术方案，包括但不限于：对现场实际情况和项目需求理解进一步详细说明；对展陈文物所需形成的预防性风险管理机制和预防性保护切实措施作进一步的详细说明；对与履约结果相符的保障和实现方式作详细说明；提供项目综合服务能力及技术方案的说明；供应商对本项目履约意愿的评价</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r>
      <w:r/>
    </w:p>
    <w:p>
      <w:pPr>
        <w:pStyle w:val="94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5、供应商拟投入本项目的团队需具有履约能力，有服务项目人员，便于项目实施。</w:t>
      </w:r>
      <w:r>
        <w:rPr>
          <w:rFonts w:hint="eastAsia" w:ascii="宋体" w:hAnsi="宋体" w:eastAsia="宋体" w:cs="宋体"/>
          <w:color w:val="000000"/>
          <w:sz w:val="24"/>
          <w:szCs w:val="24"/>
          <w:highlight w:val="none"/>
        </w:rPr>
      </w:r>
      <w:r/>
    </w:p>
    <w:p>
      <w:pPr>
        <w:pStyle w:val="94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6、供应商需有丰富的类似项目经验等内容。</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7、供应商在项目实施期间应无条件的接受采购人的监督管理，提出的质量问题要及时整改，整改完毕后通知采购人检查验收，合格后书面报送采购人备案。</w:t>
      </w:r>
      <w:r>
        <w:rPr>
          <w:rFonts w:hint="eastAsia" w:ascii="宋体" w:hAnsi="宋体" w:eastAsia="宋体" w:cs="宋体"/>
          <w:color w:val="000000"/>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8、与本次采购项目有关的质量、安全问题均由成交供应商终生负责，相关的人员、财产责任风险均由供应商全部承担，与他人无涉。</w:t>
      </w:r>
      <w:r>
        <w:rPr>
          <w:rFonts w:hint="eastAsia" w:ascii="宋体" w:hAnsi="宋体" w:eastAsia="宋体" w:cs="宋体"/>
          <w:bCs/>
          <w:color w:val="000000"/>
          <w:sz w:val="24"/>
          <w:szCs w:val="24"/>
          <w:highlight w:val="none"/>
        </w:rPr>
      </w:r>
      <w:r/>
    </w:p>
    <w:p>
      <w:pPr>
        <w:pStyle w:val="94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9、项目地点：采购人指定地点（苏州大市范围内）。</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服务要求：</w:t>
      </w:r>
      <w:r>
        <w:rPr>
          <w:rFonts w:hint="eastAsia" w:ascii="宋体" w:hAnsi="宋体" w:eastAsia="宋体" w:cs="宋体"/>
          <w:color w:val="000000"/>
          <w:sz w:val="24"/>
          <w:szCs w:val="24"/>
          <w:highlight w:val="none"/>
        </w:rPr>
        <w:t xml:space="preserve">供应商须为本项目提供每周7×24小时免费服务热线，无条件响应采购人在该项目上的时间安排，并提供不低于24个月的免费质保维护期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47"/>
        <w:ind w:firstLine="480"/>
        <w:jc w:val="left"/>
        <w:spacing w:line="360" w:lineRule="auto"/>
        <w:rPr>
          <w:color w:val="000000"/>
          <w:highlight w:val="none"/>
        </w:rPr>
      </w:pPr>
      <w:r>
        <w:rPr>
          <w:rFonts w:hint="eastAsia" w:ascii="宋体" w:hAnsi="宋体" w:eastAsia="宋体" w:cs="宋体"/>
          <w:color w:val="000000"/>
          <w:sz w:val="24"/>
          <w:szCs w:val="24"/>
          <w:highlight w:val="none"/>
        </w:rPr>
        <w:t xml:space="preserve">11、验收要求：标的物须符合我国</w:t>
      </w:r>
      <w:r>
        <w:rPr>
          <w:rFonts w:hint="eastAsia" w:ascii="宋体" w:hAnsi="宋体" w:eastAsia="宋体" w:cs="宋体"/>
          <w:color w:val="000000"/>
          <w:sz w:val="24"/>
          <w:szCs w:val="24"/>
          <w:highlight w:val="none"/>
        </w:rPr>
        <w:t xml:space="preserve">最新颁布的与之相关的技术规范与标准，并同时满足采购文件要求和成交供应商所作承诺。在供应商完成全部采购内容并交付验收时，采购人应当自标的物交付验收之日起七个工作日内组织验收，并在验收通过后出具一份验收合格报告以作为采购人的验收依据，但不作为有关标的物质量、规格、数量或性能的最终检验结果。供应商须在其响应文件中提供一份验收办法，但此标准不得对抗相关部门的验收和采购文件中的验收要求，未提供验收办法的响应文件将被视为非实质性响应。供应商对货物或服务缺陷不予更正，采购人有权另请其他单位更正，所发生的费用由供应商承担。</w:t>
      </w:r>
      <w:r>
        <w:rPr>
          <w:color w:val="000000"/>
          <w:highlight w:val="none"/>
        </w:rPr>
      </w:r>
      <w:r/>
    </w:p>
    <w:p>
      <w:pPr>
        <w:pStyle w:val="97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12、凡涉及采购文件的补充说明和修改，均以苏州市政府采购网上公示信息为准。</w:t>
      </w: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第五章 合同主要条款</w:t>
      </w:r>
      <w:r>
        <w:rPr>
          <w:rFonts w:hint="eastAsia" w:ascii="宋体" w:hAnsi="宋体" w:eastAsia="宋体" w:cs="宋体"/>
          <w:b/>
          <w:color w:val="000000"/>
          <w:sz w:val="24"/>
          <w:szCs w:val="24"/>
          <w:highlight w:val="none"/>
        </w:rPr>
      </w:r>
      <w:r/>
    </w:p>
    <w:p>
      <w:pPr>
        <w:pStyle w:val="94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                       </w:t>
      </w:r>
      <w:r>
        <w:rPr>
          <w:rFonts w:hint="eastAsia" w:ascii="宋体" w:hAnsi="宋体" w:eastAsia="宋体" w:cs="宋体"/>
          <w:b/>
          <w:color w:val="000000"/>
          <w:sz w:val="24"/>
          <w:szCs w:val="24"/>
          <w:highlight w:val="none"/>
        </w:rPr>
      </w:r>
      <w:r/>
    </w:p>
    <w:p>
      <w:pPr>
        <w:pStyle w:val="947"/>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项目编号：</w:t>
      </w:r>
      <w:r>
        <w:rPr>
          <w:rFonts w:hint="eastAsia" w:ascii="宋体" w:hAnsi="宋体" w:eastAsia="宋体" w:cs="宋体"/>
          <w:color w:val="000000"/>
          <w:sz w:val="24"/>
          <w:szCs w:val="24"/>
          <w:highlight w:val="none"/>
        </w:rPr>
      </w:r>
      <w:r/>
    </w:p>
    <w:p>
      <w:pPr>
        <w:pStyle w:val="947"/>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甲方（项目采购人）：</w:t>
      </w:r>
      <w:r>
        <w:rPr>
          <w:rFonts w:hint="eastAsia" w:ascii="宋体" w:hAnsi="宋体" w:eastAsia="宋体" w:cs="宋体"/>
          <w:b/>
          <w:color w:val="000000"/>
          <w:sz w:val="24"/>
          <w:szCs w:val="24"/>
          <w:highlight w:val="none"/>
        </w:rPr>
      </w:r>
      <w:r/>
    </w:p>
    <w:p>
      <w:pPr>
        <w:pStyle w:val="94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4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rPr>
      </w:r>
      <w:r/>
    </w:p>
    <w:p>
      <w:pPr>
        <w:pStyle w:val="94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947"/>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7"/>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乙方（成交供应商）：</w:t>
      </w:r>
      <w:r>
        <w:rPr>
          <w:rFonts w:hint="eastAsia" w:ascii="宋体" w:hAnsi="宋体" w:eastAsia="宋体" w:cs="宋体"/>
          <w:b/>
          <w:color w:val="000000"/>
          <w:sz w:val="24"/>
          <w:szCs w:val="24"/>
          <w:highlight w:val="none"/>
        </w:rPr>
      </w:r>
      <w:r/>
    </w:p>
    <w:p>
      <w:pPr>
        <w:pStyle w:val="94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4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rPr>
      </w:r>
      <w:r/>
    </w:p>
    <w:p>
      <w:pPr>
        <w:pStyle w:val="94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947"/>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甲方所需</w:t>
      </w:r>
      <w:r>
        <w:rPr>
          <w:rFonts w:hint="eastAsia" w:ascii="宋体" w:hAnsi="宋体" w:eastAsia="宋体" w:cs="宋体"/>
          <w:color w:val="000000"/>
          <w:sz w:val="24"/>
          <w:szCs w:val="24"/>
          <w:highlight w:val="none"/>
          <w:u w:val="single"/>
          <w:lang w:eastAsia="zh-CN"/>
        </w:rPr>
        <w:t xml:space="preserve">苏州丝绸博物馆可移动文物预防性保护</w:t>
      </w:r>
      <w:r>
        <w:rPr>
          <w:rFonts w:hint="eastAsia" w:ascii="宋体" w:hAnsi="宋体" w:eastAsia="宋体" w:cs="宋体"/>
          <w:color w:val="000000"/>
          <w:sz w:val="24"/>
          <w:szCs w:val="24"/>
          <w:highlight w:val="none"/>
        </w:rPr>
        <w:t xml:space="preserve">项目经</w:t>
      </w:r>
      <w:r>
        <w:rPr>
          <w:rFonts w:hint="eastAsia" w:ascii="宋体" w:hAnsi="宋体" w:eastAsia="宋体" w:cs="宋体"/>
          <w:color w:val="000000"/>
          <w:sz w:val="24"/>
          <w:szCs w:val="24"/>
          <w:highlight w:val="none"/>
          <w:u w:val="single"/>
        </w:rPr>
        <w:t xml:space="preserve">苏州正杰招投标咨询服务有限公司</w:t>
      </w:r>
      <w:r>
        <w:rPr>
          <w:rFonts w:hint="eastAsia" w:ascii="宋体" w:hAnsi="宋体" w:eastAsia="宋体" w:cs="宋体"/>
          <w:color w:val="000000"/>
          <w:sz w:val="24"/>
          <w:szCs w:val="24"/>
          <w:highlight w:val="none"/>
        </w:rPr>
        <w:t xml:space="preserve">以竞争性磋商方式进行采购，并依法确定乙方为成交供应商。根据《中华人民共和国民法典》和《中华人民共和国政府采购法》等有关法律法规，为明确甲方和乙方采购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sz w:val="24"/>
          <w:szCs w:val="24"/>
          <w:highlight w:val="none"/>
        </w:rPr>
      </w:r>
      <w:r/>
    </w:p>
    <w:p>
      <w:pPr>
        <w:pStyle w:val="94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一、合同文件</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以下文件是构成本合同不可分割的部分：</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（一）本项目采购文件；</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（二）乙方响应文件；</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（三）合同条款；</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（四）乙方做出的有关澄清、说明或者补正文件（若有）；</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（五）确定乙方的文件（包括但不限于成交通知书等）；</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（六）本合同附件（若有）。</w:t>
      </w:r>
      <w:r>
        <w:rPr>
          <w:rFonts w:hint="eastAsia" w:ascii="宋体" w:hAnsi="宋体" w:eastAsia="宋体" w:cs="宋体"/>
          <w:bCs/>
          <w:color w:val="000000"/>
          <w:sz w:val="24"/>
          <w:szCs w:val="24"/>
          <w:highlight w:val="none"/>
        </w:rPr>
      </w:r>
      <w:r/>
    </w:p>
    <w:p>
      <w:pPr>
        <w:pStyle w:val="94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二、服务要求</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本合同项下乙方所提供的服务内容为：详见采购文件中的采购需求。</w:t>
      </w:r>
      <w:r>
        <w:rPr>
          <w:rFonts w:hint="eastAsia" w:ascii="宋体" w:hAnsi="宋体" w:eastAsia="宋体" w:cs="宋体"/>
          <w:bCs/>
          <w:color w:val="000000"/>
          <w:sz w:val="24"/>
          <w:szCs w:val="24"/>
          <w:highlight w:val="none"/>
        </w:rPr>
      </w:r>
      <w:r/>
    </w:p>
    <w:p>
      <w:pPr>
        <w:pStyle w:val="94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三、合同金额</w:t>
      </w:r>
      <w:r>
        <w:rPr>
          <w:rFonts w:hint="eastAsia" w:ascii="宋体" w:hAnsi="宋体" w:eastAsia="宋体" w:cs="宋体"/>
          <w:b/>
          <w:color w:val="000000"/>
          <w:sz w:val="24"/>
          <w:szCs w:val="24"/>
          <w:highlight w:val="none"/>
        </w:rPr>
      </w:r>
      <w:r/>
    </w:p>
    <w:p>
      <w:pPr>
        <w:pStyle w:val="947"/>
        <w:ind w:firstLine="482"/>
        <w:spacing w:line="360" w:lineRule="auto"/>
        <w:rPr>
          <w:rFonts w:hint="eastAsia" w:ascii="宋体" w:hAnsi="宋体" w:eastAsia="宋体" w:cs="宋体"/>
          <w:b/>
          <w:color w:val="000000"/>
          <w:sz w:val="24"/>
          <w:szCs w:val="24"/>
          <w:highlight w:val="none"/>
          <w:u w:val="single"/>
        </w:rPr>
      </w:pPr>
      <w:r/>
      <w:bookmarkStart w:id="9" w:name="_Hlk56427584"/>
      <w:r>
        <w:rPr>
          <w:rFonts w:hint="eastAsia" w:ascii="宋体" w:hAnsi="宋体" w:eastAsia="宋体" w:cs="宋体"/>
          <w:b/>
          <w:color w:val="000000"/>
          <w:sz w:val="24"/>
          <w:szCs w:val="24"/>
          <w:highlight w:val="none"/>
        </w:rPr>
        <w:t xml:space="preserve">合同总金额为</w:t>
      </w:r>
      <w:r>
        <w:rPr>
          <w:rFonts w:hint="eastAsia" w:ascii="宋体" w:hAnsi="宋体" w:eastAsia="宋体" w:cs="宋体"/>
          <w:b/>
          <w:color w:val="000000"/>
          <w:sz w:val="24"/>
          <w:szCs w:val="24"/>
          <w:highlight w:val="none"/>
          <w:u w:val="single"/>
        </w:rPr>
        <w:t xml:space="preserve">人民币          元，大写：        。</w:t>
      </w:r>
      <w:r>
        <w:rPr>
          <w:rFonts w:hint="eastAsia" w:ascii="宋体" w:hAnsi="宋体" w:eastAsia="宋体" w:cs="宋体"/>
          <w:b/>
          <w:color w:val="000000"/>
          <w:sz w:val="24"/>
          <w:szCs w:val="24"/>
          <w:highlight w:val="none"/>
          <w:u w:val="single"/>
        </w:rPr>
      </w:r>
      <w:r/>
    </w:p>
    <w:p>
      <w:pPr>
        <w:pStyle w:val="1056"/>
        <w:ind w:firstLine="482"/>
        <w:spacing w:line="360" w:lineRule="auto"/>
        <w:rPr>
          <w:rFonts w:hint="eastAsia"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合同总金额包括完成所有采购内容以及本项目所需的劳务支出、保险、配套费用、税费及服务相关等所发生的全部费用以及</w:t>
      </w:r>
      <w:r>
        <w:rPr>
          <w:rFonts w:hint="eastAsia" w:ascii="宋体" w:hAnsi="宋体" w:eastAsia="宋体" w:cs="宋体"/>
          <w:b/>
          <w:bCs/>
          <w:color w:val="000000"/>
          <w:sz w:val="24"/>
          <w:szCs w:val="24"/>
          <w:highlight w:val="none"/>
          <w:lang w:val="en-US" w:eastAsia="zh-CN"/>
        </w:rPr>
        <w:t xml:space="preserve">乙方</w:t>
      </w:r>
      <w:r>
        <w:rPr>
          <w:rFonts w:hint="eastAsia" w:ascii="宋体" w:hAnsi="宋体" w:eastAsia="宋体" w:cs="宋体"/>
          <w:b/>
          <w:bCs/>
          <w:color w:val="000000"/>
          <w:sz w:val="24"/>
          <w:szCs w:val="24"/>
          <w:highlight w:val="none"/>
        </w:rPr>
        <w:t xml:space="preserve">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rPr>
          <w:rFonts w:hint="eastAsia" w:hAnsi="宋体" w:eastAsia="宋体" w:cs="宋体"/>
          <w:b/>
          <w:bCs/>
          <w:color w:val="000000"/>
          <w:sz w:val="24"/>
          <w:szCs w:val="24"/>
          <w:highlight w:val="none"/>
        </w:rPr>
        <w:t xml:space="preserve">。</w:t>
      </w:r>
      <w:r>
        <w:rPr>
          <w:rFonts w:hint="eastAsia" w:hAnsi="宋体" w:eastAsia="宋体" w:cs="宋体"/>
          <w:b/>
          <w:bCs/>
          <w:color w:val="000000"/>
          <w:sz w:val="24"/>
          <w:szCs w:val="24"/>
          <w:highlight w:val="none"/>
        </w:rPr>
      </w:r>
      <w:r/>
    </w:p>
    <w:p>
      <w:pPr>
        <w:pStyle w:val="94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四、付款约定</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bookmarkEnd w:id="9"/>
      <w:r>
        <w:rPr>
          <w:rFonts w:hint="eastAsia" w:ascii="宋体" w:hAnsi="宋体" w:eastAsia="宋体" w:cs="宋体"/>
          <w:bCs/>
          <w:color w:val="000000"/>
          <w:sz w:val="24"/>
          <w:szCs w:val="24"/>
          <w:highlight w:val="none"/>
        </w:rPr>
        <w:t xml:space="preserve">1、甲方根据乙方在本合同中所提供银行开户信息转账支付。</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乙方开户名称：</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银行账号：</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乙方银行账户如需变更，应至少于付款期限届满前10个工作日书面通知甲方，否则产生的一切责任、因变更引起的额外费用由乙方承担。</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2、付款步骤：</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（1）合同生效后，由甲方向乙方支付合同金额的30％作为预付款。</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（2）待乙方完成全部采购内容且经甲方验收合格后，由甲方向乙方支付合同金额的65％。</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（3）待项目质保期（自验收合格之日起）满一年且经甲方确认无质量问题遗留后，由甲方向乙方支付合同金额的5％。</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注：甲方每次付款前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乙方均应当向甲方开具等额、合法的发票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否则甲方有权延迟付款且无须承担任何责任。</w:t>
      </w:r>
      <w:r>
        <w:rPr>
          <w:rFonts w:hint="eastAsia" w:ascii="宋体" w:hAnsi="宋体" w:eastAsia="宋体" w:cs="宋体"/>
          <w:color w:val="000000"/>
          <w:sz w:val="24"/>
          <w:szCs w:val="24"/>
          <w:highlight w:val="none"/>
        </w:rPr>
      </w:r>
      <w:r/>
    </w:p>
    <w:p>
      <w:pPr>
        <w:pStyle w:val="94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五、服务履行地点、期限</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1、服务履行地点：</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指定地点（苏州大市范围内）</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2、服务期限：</w:t>
      </w:r>
      <w:r>
        <w:rPr>
          <w:rFonts w:hint="eastAsia" w:ascii="宋体" w:hAnsi="宋体" w:eastAsia="宋体" w:cs="宋体"/>
          <w:color w:val="000000"/>
          <w:sz w:val="24"/>
          <w:szCs w:val="28"/>
          <w:highlight w:val="none"/>
          <w:lang w:eastAsia="zh-CN"/>
        </w:rPr>
        <w:t xml:space="preserve">在2026年</w:t>
      </w:r>
      <w:r>
        <w:rPr>
          <w:rFonts w:hint="eastAsia" w:ascii="宋体" w:hAnsi="宋体" w:eastAsia="宋体" w:cs="宋体"/>
          <w:color w:val="000000"/>
          <w:sz w:val="24"/>
          <w:szCs w:val="28"/>
          <w:highlight w:val="none"/>
          <w:u w:val="none"/>
          <w:lang w:val="en-US" w:eastAsia="zh-CN"/>
        </w:rPr>
        <w:t xml:space="preserve">9</w:t>
      </w:r>
      <w:r>
        <w:rPr>
          <w:rFonts w:hint="eastAsia" w:ascii="宋体" w:hAnsi="宋体" w:eastAsia="宋体" w:cs="宋体"/>
          <w:color w:val="000000"/>
          <w:sz w:val="24"/>
          <w:szCs w:val="28"/>
          <w:highlight w:val="none"/>
          <w:lang w:eastAsia="zh-CN"/>
        </w:rPr>
        <w:t xml:space="preserve">月</w:t>
      </w:r>
      <w:r>
        <w:rPr>
          <w:rFonts w:hint="eastAsia" w:ascii="宋体" w:hAnsi="宋体" w:eastAsia="宋体" w:cs="宋体"/>
          <w:color w:val="000000"/>
          <w:sz w:val="24"/>
          <w:szCs w:val="28"/>
          <w:highlight w:val="none"/>
          <w:u w:val="none"/>
          <w:lang w:val="en-US" w:eastAsia="zh-CN"/>
        </w:rPr>
        <w:t xml:space="preserve">11</w:t>
      </w:r>
      <w:r>
        <w:rPr>
          <w:rFonts w:hint="eastAsia" w:ascii="宋体" w:hAnsi="宋体" w:eastAsia="宋体" w:cs="宋体"/>
          <w:color w:val="000000"/>
          <w:sz w:val="24"/>
          <w:szCs w:val="28"/>
          <w:highlight w:val="none"/>
          <w:lang w:eastAsia="zh-CN"/>
        </w:rPr>
        <w:t xml:space="preserve">日前完成全部采购内容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六、服务要求</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乙方须为本项目提供每周7×24小时免费服务热线，无条件响应甲方在该项目上的时间安排，并提供24个月的免费质保维护期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七、验收</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1、验收要求参照《江苏省政府采购履约验收管理办法》相关要求执行。</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2、验收标准：本合同政府采购文件中项目采购需求的各项标准和要求。</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3、任一项验收不合格的，乙方应负责在甲方限定的期限内完成整改，因整改而导致的费用和损失由乙方自行承担，若导致项目逾期的，乙方承担逾期违约责任。</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4、甲方所有验收意见将以书面形式做出并加盖甲方公章，因此除非甲方书面明示通过验收，否则任何其他行为均不代表甲方已验收合格。</w:t>
      </w:r>
      <w:r>
        <w:rPr>
          <w:rFonts w:hint="eastAsia" w:ascii="宋体" w:hAnsi="宋体" w:eastAsia="宋体" w:cs="宋体"/>
          <w:bCs/>
          <w:color w:val="000000"/>
          <w:sz w:val="24"/>
          <w:szCs w:val="24"/>
          <w:highlight w:val="none"/>
        </w:rPr>
      </w:r>
      <w:r/>
    </w:p>
    <w:p>
      <w:pPr>
        <w:pStyle w:val="94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八、服务质量</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1、乙方应保证提供给甲方的服务完全符合本项目采购文件规定的服务标准。</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2、乙方应保证提供的服务应符合中华人民共和国相关标准及相应的技术规范、本次采购相关文件中的全部相关要求及相关标准及相应的技术规范中之较高者。</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3、乙方保证提供的服务符合中华人民共和国国家及行业的安全质量标准、环保标准中之较高者。</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、最终知识产权归</w:t>
      </w:r>
      <w:r>
        <w:rPr>
          <w:rFonts w:hint="eastAsia" w:ascii="宋体" w:hAnsi="宋体" w:eastAsia="宋体" w:cs="宋体"/>
          <w:b w:val="0"/>
          <w:bCs/>
          <w:color w:val="000000"/>
          <w:sz w:val="24"/>
          <w:szCs w:val="24"/>
          <w:highlight w:val="none"/>
          <w:lang w:val="en-US" w:eastAsia="zh-CN"/>
        </w:rPr>
        <w:t xml:space="preserve">甲方</w:t>
      </w:r>
      <w:r>
        <w:rPr>
          <w:rFonts w:hint="eastAsia" w:ascii="宋体" w:hAnsi="宋体" w:eastAsia="宋体" w:cs="宋体"/>
          <w:b w:val="0"/>
          <w:bCs/>
          <w:color w:val="000000"/>
          <w:sz w:val="24"/>
          <w:szCs w:val="24"/>
          <w:highlight w:val="none"/>
        </w:rPr>
        <w:t xml:space="preserve">所属。</w:t>
      </w:r>
      <w:r>
        <w:rPr>
          <w:rFonts w:hint="eastAsia" w:ascii="宋体" w:hAnsi="宋体" w:eastAsia="宋体" w:cs="宋体"/>
          <w:b w:val="0"/>
          <w:bCs/>
          <w:color w:val="000000"/>
          <w:sz w:val="24"/>
          <w:szCs w:val="24"/>
          <w:highlight w:val="none"/>
          <w:lang w:val="en-US" w:eastAsia="zh-CN"/>
        </w:rPr>
        <w:t xml:space="preserve">乙方</w:t>
      </w:r>
      <w:r>
        <w:rPr>
          <w:rFonts w:hint="eastAsia" w:ascii="宋体" w:hAnsi="宋体" w:eastAsia="宋体" w:cs="宋体"/>
          <w:b w:val="0"/>
          <w:bCs/>
          <w:color w:val="000000"/>
          <w:sz w:val="24"/>
          <w:szCs w:val="24"/>
          <w:highlight w:val="none"/>
        </w:rPr>
        <w:t xml:space="preserve">履行本项目过程中形成的所有项目成果（包括但不限于项目设计文件、施工图、竣工图、各类专项设计方案、非标准设备设计文件、定制设备设施的技术资料、预防性保护管理服务过程中产生的监测数据、分析报告、评估报告、技术要点汇编、数据库文件、阶段性成果及其草稿、源代码、底层数据成果等）的全部知识产权（包括但不限于著作权、专利申请权、数据权益等）及相关权益，自产生之日起即全部归属于</w:t>
      </w:r>
      <w:r>
        <w:rPr>
          <w:rFonts w:hint="eastAsia" w:ascii="宋体" w:hAnsi="宋体" w:eastAsia="宋体" w:cs="宋体"/>
          <w:b w:val="0"/>
          <w:bCs/>
          <w:color w:val="000000"/>
          <w:sz w:val="24"/>
          <w:szCs w:val="24"/>
          <w:highlight w:val="none"/>
          <w:lang w:val="en-US" w:eastAsia="zh-CN"/>
        </w:rPr>
        <w:t xml:space="preserve">甲方</w:t>
      </w:r>
      <w:r>
        <w:rPr>
          <w:rFonts w:hint="eastAsia" w:ascii="宋体" w:hAnsi="宋体" w:eastAsia="宋体" w:cs="宋体"/>
          <w:b w:val="0"/>
          <w:bCs/>
          <w:color w:val="000000"/>
          <w:sz w:val="24"/>
          <w:szCs w:val="24"/>
          <w:highlight w:val="none"/>
        </w:rPr>
        <w:t xml:space="preserve">所有。</w:t>
      </w:r>
      <w:r>
        <w:rPr>
          <w:rFonts w:hint="eastAsia" w:ascii="宋体" w:hAnsi="宋体" w:eastAsia="宋体" w:cs="宋体"/>
          <w:b w:val="0"/>
          <w:bCs/>
          <w:color w:val="000000"/>
          <w:sz w:val="24"/>
          <w:szCs w:val="24"/>
          <w:highlight w:val="none"/>
          <w:lang w:val="en-US" w:eastAsia="zh-CN"/>
        </w:rPr>
        <w:t xml:space="preserve">甲方</w:t>
      </w:r>
      <w:r>
        <w:rPr>
          <w:rFonts w:hint="eastAsia" w:ascii="宋体" w:hAnsi="宋体" w:eastAsia="宋体" w:cs="宋体"/>
          <w:b w:val="0"/>
          <w:bCs/>
          <w:color w:val="000000"/>
          <w:sz w:val="24"/>
          <w:szCs w:val="24"/>
          <w:highlight w:val="none"/>
        </w:rPr>
        <w:t xml:space="preserve">享有完全的、不受限制的专有使用权，可自行决定在任何范围、以任何方式（包括再许可、对外提供、与其他数据整合等）无偿使用、复制、修改、演绎、分发。</w:t>
      </w:r>
      <w:r>
        <w:rPr>
          <w:rFonts w:hint="eastAsia" w:ascii="宋体" w:hAnsi="宋体" w:eastAsia="宋体" w:cs="宋体"/>
          <w:b w:val="0"/>
          <w:bCs/>
          <w:color w:val="000000"/>
          <w:sz w:val="24"/>
          <w:szCs w:val="24"/>
          <w:highlight w:val="none"/>
        </w:rPr>
      </w:r>
      <w:r/>
    </w:p>
    <w:p>
      <w:pPr>
        <w:pStyle w:val="947"/>
        <w:ind w:firstLine="482"/>
        <w:spacing w:line="360" w:lineRule="auto"/>
        <w:rPr>
          <w:rFonts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九、履约保证金：无。</w:t>
      </w:r>
      <w:r>
        <w:rPr>
          <w:rFonts w:ascii="宋体" w:hAnsi="宋体" w:eastAsia="宋体" w:cs="宋体"/>
          <w:bCs/>
          <w:color w:val="000000"/>
          <w:sz w:val="24"/>
          <w:szCs w:val="24"/>
          <w:highlight w:val="none"/>
        </w:rPr>
      </w:r>
      <w:r/>
    </w:p>
    <w:p>
      <w:pPr>
        <w:pStyle w:val="94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十、违约责任</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1、甲方违约责任</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 在合同生效后，甲方无故要求终止服务的，应向乙方偿付合同总价款的5％，作为违约金，违约金不足以补偿损失的，乙方有权要求甲方补足。</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 甲方逾期付款的应按照逾期付款金额的每天万分之四支付逾期付款违约金。</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 甲方违反合同约定，拒绝接受乙方交付的合格服务的，应当承担乙方由此造成的损失。</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2、乙方违约责任</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 乙方不能服务（逾期超过24小时视为不能服务），或服务不合格从而影响甲方按期正常使用的，甲方有权解除合同，乙方向甲方赔偿合同总价款5％的违约金，违约金不足以补偿损失的甲方有权要求乙方补足。</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 乙方逾期提供服务的，应在服务前与甲方和招标代理协商，甲方仍需求的，乙方应立即提供服务并应按照逾期服务部分贷款的每天万分之四支付逾期服务违约金，同时承担甲方因此遭致的损失费用。</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3、如果出现政府采购监管部门在处理投诉事项期间，通知甲方暂停采购活动的情形，或者询问或质疑事项可能影响最终成交结果的，导致甲方中止履行合同的情形，均不视为甲方违约。</w:t>
      </w:r>
      <w:r>
        <w:rPr>
          <w:rFonts w:hint="eastAsia" w:ascii="宋体" w:hAnsi="宋体" w:eastAsia="宋体" w:cs="宋体"/>
          <w:bCs/>
          <w:color w:val="000000"/>
          <w:sz w:val="24"/>
          <w:szCs w:val="24"/>
          <w:highlight w:val="none"/>
        </w:rPr>
      </w:r>
      <w:r/>
    </w:p>
    <w:p>
      <w:pPr>
        <w:pStyle w:val="94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十一、合同的解除和转让</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1、甲方和乙方协商一致，可以解除合同。</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2、有下列情形之一，合同一方可以解除合同：</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（1）因不可抗力致使不能实现合同目的，未受不可抗力影响的一方有权解除合同；</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（2）采购文件约定的解除合同的情形。</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3、政府采购合同继续履行将损害国家利益和社会公共利益，甲方有权变更、中止或者终止、解除合同。</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4、乙方提交的投标材料虚假，或者乙方故意隐瞒足以导致不能中标的事实被发现的，甲方可以单方解除本合同，由此造成甲方的损失由乙方承担赔偿（包括但不限于诉讼费、合理律师费等）。</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5、本合同不得以任何形式转让，否则视为乙方违约，甲方可以单方解除本合同，由此造成甲方的损失由乙方承担赔偿（包括但不限于诉讼费、合理律师费等）。</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6、本合同未经甲方书面同意不得分包，否则视为乙方违约，甲方可以单方解除本合同，由此造成甲方的损失由乙方承担赔偿（包括但不限于诉讼费、合理律师费等）。</w:t>
      </w:r>
      <w:r>
        <w:rPr>
          <w:rFonts w:hint="eastAsia" w:ascii="宋体" w:hAnsi="宋体" w:eastAsia="宋体" w:cs="宋体"/>
          <w:bCs/>
          <w:color w:val="000000"/>
          <w:sz w:val="24"/>
          <w:szCs w:val="24"/>
          <w:highlight w:val="none"/>
        </w:rPr>
      </w:r>
      <w:r/>
    </w:p>
    <w:p>
      <w:pPr>
        <w:pStyle w:val="1044"/>
        <w:ind w:firstLine="480"/>
        <w:rPr>
          <w:rFonts w:hint="eastAsia" w:hAnsi="宋体" w:cs="宋体"/>
          <w:color w:val="000000"/>
          <w:highlight w:val="none"/>
        </w:rPr>
      </w:pPr>
      <w:r>
        <w:rPr>
          <w:rFonts w:hint="eastAsia" w:hAnsi="宋体" w:cs="宋体"/>
          <w:color w:val="000000"/>
          <w:szCs w:val="24"/>
          <w:highlight w:val="none"/>
        </w:rPr>
        <w:t xml:space="preserve">7、有权解除合同的一方，应当在违约事实或不可抗力发生之后三十天内书面通知对方以主张解除合同，合同在书面通知到达对方时解除。</w:t>
      </w:r>
      <w:r>
        <w:rPr>
          <w:rFonts w:hint="eastAsia" w:hAnsi="宋体" w:cs="宋体"/>
          <w:color w:val="000000"/>
          <w:highlight w:val="none"/>
        </w:rPr>
      </w:r>
      <w:r/>
    </w:p>
    <w:p>
      <w:pPr>
        <w:pStyle w:val="94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十二、不可抗力</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1、不可抗力指下列事件：战争、动乱、瘟疫、严重火灾、洪水、地震、风暴或其他自然灾害，以及本合同各方不可预见、不可防止并不能避免或克服的一切其他因素及事件。</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4、合同各方应根据不可抗力对本合同履行的影响程度，协商确定是否终止本合同，或是继续履行本合同。</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本合同在执行过程中如遇政府征用土地或其他甲方不能预见的情形发生致使本合同无法履行，应视为不可抗力事件，甲方免责。本合同终止后甲方应支付乙方实际履行时间（天数）的服务款项（单价不予调整）。</w:t>
      </w:r>
      <w:r>
        <w:rPr>
          <w:rFonts w:hint="eastAsia" w:ascii="宋体" w:hAnsi="宋体" w:eastAsia="宋体" w:cs="宋体"/>
          <w:bCs/>
          <w:color w:val="000000"/>
          <w:sz w:val="24"/>
          <w:szCs w:val="24"/>
          <w:highlight w:val="none"/>
        </w:rPr>
      </w:r>
      <w:r/>
    </w:p>
    <w:p>
      <w:pPr>
        <w:pStyle w:val="94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十三、保密条款</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1、任何一方对其获知的本合同及附件中其他各方的商业秘密和国家秘密等非公开信息负有保密义务。</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rPr>
          <w:rFonts w:hint="eastAsia" w:ascii="宋体" w:hAnsi="宋体" w:eastAsia="宋体" w:cs="宋体"/>
          <w:bCs/>
          <w:color w:val="000000"/>
          <w:sz w:val="24"/>
          <w:szCs w:val="24"/>
          <w:highlight w:val="none"/>
        </w:rPr>
      </w:r>
      <w:r/>
    </w:p>
    <w:p>
      <w:pPr>
        <w:pStyle w:val="94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十四、联系方式</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3、上述发出通知、回复的费用由发出一方承担。</w:t>
      </w:r>
      <w:r>
        <w:rPr>
          <w:rFonts w:hint="eastAsia" w:ascii="宋体" w:hAnsi="宋体" w:eastAsia="宋体" w:cs="宋体"/>
          <w:bCs/>
          <w:color w:val="000000"/>
          <w:sz w:val="24"/>
          <w:szCs w:val="24"/>
          <w:highlight w:val="none"/>
        </w:rPr>
      </w:r>
      <w:r/>
    </w:p>
    <w:p>
      <w:pPr>
        <w:pStyle w:val="947"/>
        <w:ind w:firstLine="482"/>
        <w:spacing w:line="360" w:lineRule="auto"/>
        <w:rPr>
          <w:rFonts w:hint="eastAsia" w:ascii="宋体" w:hAnsi="宋体" w:eastAsia="宋体" w:cs="宋体"/>
          <w:b/>
          <w:color w:val="000000"/>
          <w:sz w:val="24"/>
          <w:szCs w:val="24"/>
          <w:highlight w:val="none"/>
        </w:rPr>
      </w:pPr>
      <w:r/>
      <w:bookmarkStart w:id="10" w:name="_Toc9497"/>
      <w:r/>
      <w:bookmarkStart w:id="11" w:name="_Toc32454"/>
      <w:r/>
      <w:bookmarkStart w:id="12" w:name="_Toc18683"/>
      <w:r/>
      <w:bookmarkStart w:id="13" w:name="_Toc26807"/>
      <w:r/>
      <w:bookmarkStart w:id="14" w:name="_Toc51257766"/>
      <w:r/>
      <w:bookmarkStart w:id="15" w:name="_Toc30329"/>
      <w:r>
        <w:rPr>
          <w:rFonts w:hint="eastAsia" w:ascii="宋体" w:hAnsi="宋体" w:eastAsia="宋体" w:cs="宋体"/>
          <w:b/>
          <w:color w:val="000000"/>
          <w:sz w:val="24"/>
          <w:szCs w:val="24"/>
          <w:highlight w:val="none"/>
        </w:rPr>
        <w:t xml:space="preserve">十五、争议的解决</w:t>
      </w:r>
      <w:bookmarkEnd w:id="10"/>
      <w:r/>
      <w:bookmarkEnd w:id="11"/>
      <w:r/>
      <w:bookmarkEnd w:id="12"/>
      <w:r/>
      <w:bookmarkEnd w:id="13"/>
      <w:r/>
      <w:bookmarkEnd w:id="14"/>
      <w:r/>
      <w:bookmarkEnd w:id="15"/>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与本合同有关的一切争议，双方应通过友好协商解决。如果经协商不能达成协议，可以向甲方所在地有管辖权的人民法院起诉。</w:t>
      </w:r>
      <w:r>
        <w:rPr>
          <w:rFonts w:hint="eastAsia" w:ascii="宋体" w:hAnsi="宋体" w:eastAsia="宋体" w:cs="宋体"/>
          <w:bCs/>
          <w:color w:val="000000"/>
          <w:sz w:val="24"/>
          <w:szCs w:val="24"/>
          <w:highlight w:val="none"/>
        </w:rPr>
      </w:r>
      <w:r/>
    </w:p>
    <w:p>
      <w:pPr>
        <w:pStyle w:val="94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十六、合同生效及其他</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1、本合同经甲乙双方签字盖章之日起生效。</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合同系指本文件及其附件中的所有部分，采购文件、成交的响应文件、成交通知书、乙方在招标过程中的澄清和承诺等为本合同不可缺少的组成部分。本合同履行过程中发生相关修改内容，须符合《中华人民共和国政府采购法》和相关法律法规规定；补充协议作为本合同不可分割的一部分。</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3、本合同壹式肆份，甲乙双方各执壹份，采购代理机构贰份，具有同等法律效力。</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4、本合同应按照中华人民共和国的现行法律进行解释。</w:t>
      </w:r>
      <w:r>
        <w:rPr>
          <w:rFonts w:hint="eastAsia" w:ascii="宋体" w:hAnsi="宋体" w:eastAsia="宋体" w:cs="宋体"/>
          <w:bCs/>
          <w:color w:val="000000"/>
          <w:sz w:val="24"/>
          <w:szCs w:val="24"/>
          <w:highlight w:val="none"/>
        </w:rPr>
      </w:r>
      <w:r/>
    </w:p>
    <w:p>
      <w:pPr>
        <w:pStyle w:val="97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    方：                                乙    方：</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名称（公章）：                              名称（公章）：</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法定代表人/负责人：                       法定代表人/负责人：</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或授权代理人                              或授权代理人：</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（签字）                                 （签字）</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Cs/>
          <w:color w:val="000000"/>
          <w:sz w:val="24"/>
          <w:szCs w:val="24"/>
          <w:highlight w:val="none"/>
        </w:rPr>
        <w:t xml:space="preserve">签订日期：                                签订日期：</w:t>
      </w:r>
      <w:r>
        <w:rPr>
          <w:rFonts w:hint="eastAsia" w:ascii="宋体" w:hAnsi="宋体" w:eastAsia="宋体" w:cs="宋体"/>
          <w:b/>
          <w:color w:val="000000"/>
          <w:sz w:val="24"/>
          <w:szCs w:val="24"/>
          <w:highlight w:val="none"/>
        </w:rPr>
      </w:r>
      <w:r/>
    </w:p>
    <w:p>
      <w:pPr>
        <w:pStyle w:val="97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第六章 评审方法及评审标准</w:t>
      </w:r>
      <w:r>
        <w:rPr>
          <w:rFonts w:hint="eastAsia" w:ascii="宋体" w:hAnsi="宋体" w:eastAsia="宋体" w:cs="宋体"/>
          <w:b/>
          <w:bCs/>
          <w:color w:val="000000"/>
          <w:sz w:val="24"/>
          <w:szCs w:val="24"/>
          <w:highlight w:val="none"/>
        </w:rPr>
      </w:r>
      <w:r/>
    </w:p>
    <w:p>
      <w:pPr>
        <w:pStyle w:val="94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一、评审方法</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1、本次评审方法采用综合评分法，即在满足磋商文件实质性要求前提下，按照磋商文件中规定的评审标准和各项因素进行综合评审，以评审总得分最高的供应商作为成交候选人。</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％（权重），技术与质量及其它占</w:t>
      </w: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rPr>
        <w:t xml:space="preserve">％（权重）。</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出现评审总得分最高的供应商有两个或两个以上的，以实际最后报价较低者优先作为成交供应商，如果最后报价也相同的，以提供优先采购产品最多的供应商优先中标（如属优先采购产品），否则由磋商小组组织以抽签方式确定成交供应商。</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6、磋商小组对最后报价进行复核，报价以大写为准。</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cs="宋体"/>
          <w:b/>
          <w:bCs/>
          <w:color w:val="000000"/>
          <w:sz w:val="24"/>
          <w:szCs w:val="24"/>
          <w:highlight w:val="none"/>
        </w:rPr>
        <w:t xml:space="preserve">评分标准</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总分值为100分，评审因素及各比重如下：价格分值占总分值的比重为</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％（权重），技术及其他分值占总分值的比重为</w:t>
      </w: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rPr>
        <w:t xml:space="preserve">％（权重）。</w:t>
      </w:r>
      <w:r>
        <w:rPr>
          <w:rFonts w:hint="eastAsia" w:ascii="宋体" w:hAnsi="宋体" w:eastAsia="宋体" w:cs="宋体"/>
          <w:color w:val="000000"/>
          <w:highlight w:val="none"/>
        </w:rPr>
      </w:r>
      <w:r/>
    </w:p>
    <w:p>
      <w:pPr>
        <w:pStyle w:val="94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（一）价格得分（</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第一步：响应报价（最终报价）不超过采购预算价格及最高限价的为有效报价，超出此范围的响应报价视为无效，其响应文件不进行评审，也不得标。</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第二步：以满足采购文件实质性要求且响应价格最低的有效报价为评标基准价，其价格分为满分，其他有效报价的价格分统一按照下列公式计算（计算结果四舍五入保留两位小数）：</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响应报价得分＝（评标基准价/最终报价）×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p>
      <w:pPr>
        <w:pStyle w:val="947"/>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（二）技术及其他分值：85分</w:t>
      </w:r>
      <w:r>
        <w:rPr>
          <w:rFonts w:hint="eastAsia" w:ascii="宋体" w:hAnsi="宋体" w:eastAsia="宋体" w:cs="宋体"/>
          <w:color w:val="000000"/>
          <w:sz w:val="24"/>
          <w:szCs w:val="24"/>
          <w:highlight w:val="none"/>
          <w:lang w:val="en-US" w:eastAsia="zh-CN" w:bidi="ar"/>
        </w:rPr>
      </w:r>
      <w:r/>
    </w:p>
    <w:p>
      <w:pPr>
        <w:pStyle w:val="947"/>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在采购文件中载明的“（三）项目现状”基础上，对现场实际情况和项目需求理解进一步详细说明。上述“现场实际情况”，须以图文形式结合本项目展陈文物保存设施的实际现状和现有微环境问题（含温度、湿度及照明）进行提交。本项最高12分，综合评定：优的得12分；综合评定：良的得8分；综合评定：差的得4分；与项目实际不符、内容缺失或不提供者不得分。</w:t>
      </w:r>
      <w:r>
        <w:rPr>
          <w:rFonts w:hint="eastAsia" w:ascii="宋体" w:hAnsi="宋体" w:eastAsia="宋体" w:cs="宋体"/>
          <w:color w:val="000000"/>
          <w:sz w:val="24"/>
          <w:szCs w:val="24"/>
          <w:highlight w:val="none"/>
          <w:lang w:val="en-US" w:eastAsia="zh-CN" w:bidi="ar"/>
        </w:rPr>
      </w:r>
      <w:r/>
    </w:p>
    <w:p>
      <w:pPr>
        <w:pStyle w:val="947"/>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在采购文件中载明的“（四）设计依据”基础上，对展陈文物所需形成的预防性风险管理机制和预防性保护切实措施作进一步的详细说明。本项最高10分，综合评定：优的得10分；综合评定：良的得7分；综合评定：差的得4分；与项目实际不符、内容缺失或不提供者不得分。</w:t>
      </w:r>
      <w:r>
        <w:rPr>
          <w:rFonts w:hint="eastAsia" w:ascii="宋体" w:hAnsi="宋体" w:eastAsia="宋体" w:cs="宋体"/>
          <w:color w:val="000000"/>
          <w:sz w:val="24"/>
          <w:szCs w:val="24"/>
          <w:highlight w:val="none"/>
          <w:lang w:val="en-US" w:eastAsia="zh-CN" w:bidi="ar"/>
        </w:rPr>
      </w:r>
      <w:r/>
    </w:p>
    <w:p>
      <w:pPr>
        <w:pStyle w:val="947"/>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3、在采购文件中载明的“</w:t>
      </w:r>
      <w:r>
        <w:rPr>
          <w:rFonts w:hint="eastAsia" w:ascii="宋体" w:hAnsi="宋体" w:eastAsia="宋体" w:cs="宋体"/>
          <w:color w:val="000000"/>
          <w:sz w:val="24"/>
          <w:szCs w:val="24"/>
          <w:highlight w:val="none"/>
        </w:rPr>
        <w:t xml:space="preserve">（五）项目要求</w:t>
      </w:r>
      <w:r>
        <w:rPr>
          <w:rFonts w:hint="eastAsia" w:ascii="宋体" w:hAnsi="宋体" w:eastAsia="宋体" w:cs="宋体"/>
          <w:color w:val="000000"/>
          <w:sz w:val="24"/>
          <w:szCs w:val="24"/>
          <w:highlight w:val="none"/>
          <w:lang w:val="en-US" w:eastAsia="zh-CN" w:bidi="ar"/>
        </w:rPr>
        <w:t xml:space="preserve">”基础上，对以下内容进行评价（最高25分）：</w:t>
      </w:r>
      <w:r>
        <w:rPr>
          <w:rFonts w:hint="eastAsia" w:ascii="宋体" w:hAnsi="宋体" w:eastAsia="宋体" w:cs="宋体"/>
          <w:color w:val="000000"/>
          <w:sz w:val="24"/>
          <w:szCs w:val="24"/>
          <w:highlight w:val="none"/>
          <w:lang w:val="en-US" w:eastAsia="zh-CN" w:bidi="ar"/>
        </w:rPr>
      </w:r>
      <w:r/>
    </w:p>
    <w:p>
      <w:pPr>
        <w:pStyle w:val="947"/>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在“1、功能要求”项下，及达成采购文件所列出的各项功能要求（含：操作性；协调性；安全性；照明控制性能；耐用性；环境控制性能；环保性）的基础上，对与履约结果相符的保障和实现方式作详细说明。本项最高10分，综合评定：优的得10分；综合评定：良的得7分；综合评定：差的得4分；与项目实际不符、内容缺失或不提供者不得分。</w:t>
      </w:r>
      <w:r>
        <w:rPr>
          <w:rFonts w:hint="eastAsia" w:ascii="宋体" w:hAnsi="宋体" w:eastAsia="宋体" w:cs="宋体"/>
          <w:color w:val="000000"/>
          <w:sz w:val="24"/>
          <w:szCs w:val="24"/>
          <w:highlight w:val="none"/>
          <w:lang w:val="en-US" w:eastAsia="zh-CN" w:bidi="ar"/>
        </w:rPr>
      </w:r>
      <w:r/>
    </w:p>
    <w:p>
      <w:pPr>
        <w:pStyle w:val="947"/>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在“2、技术要求”项下，须提供响应产品技术对照表（格式自拟，供应商须对照采购文件所列出的各项技术要求，在响应文件中逐条列出全部响应产品的技术参数情况，并注明“无偏离”或“负偏离”，不得遗漏）。本项最高15分，其中：</w:t>
      </w:r>
      <w:r>
        <w:rPr>
          <w:rFonts w:hint="eastAsia" w:ascii="宋体" w:hAnsi="宋体" w:eastAsia="宋体" w:cs="宋体"/>
          <w:color w:val="000000"/>
          <w:sz w:val="24"/>
          <w:szCs w:val="24"/>
          <w:highlight w:val="none"/>
          <w:lang w:val="en-US" w:eastAsia="zh-CN" w:bidi="ar"/>
        </w:rPr>
      </w:r>
      <w:r/>
    </w:p>
    <w:p>
      <w:pPr>
        <w:pStyle w:val="947"/>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①技术参数全部达到或优于采购文件所列出的对应技术要求的视为无偏离，得15分；</w:t>
      </w:r>
      <w:r>
        <w:rPr>
          <w:rFonts w:hint="eastAsia" w:ascii="宋体" w:hAnsi="宋体" w:eastAsia="宋体" w:cs="宋体"/>
          <w:color w:val="000000"/>
          <w:sz w:val="24"/>
          <w:szCs w:val="24"/>
          <w:highlight w:val="none"/>
          <w:lang w:val="en-US" w:eastAsia="zh-CN" w:bidi="ar"/>
        </w:rPr>
      </w:r>
      <w:r/>
    </w:p>
    <w:p>
      <w:pPr>
        <w:pStyle w:val="947"/>
        <w:ind w:left="0" w:right="0" w:firstLine="480"/>
        <w:jc w:val="both"/>
        <w:keepLines w:val="0"/>
        <w:keepNext w:val="0"/>
        <w:spacing w:before="0" w:beforeAutospacing="0" w:after="0" w:afterAutospacing="0" w:line="360" w:lineRule="auto"/>
        <w:widowControl w:val="off"/>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②技术参数低于采购文件所列出的对应技术要求的，视为负偏离，每有1项负偏离扣1分，扣完为止。</w:t>
      </w:r>
      <w:r>
        <w:rPr>
          <w:rFonts w:ascii="宋体" w:hAnsi="宋体" w:eastAsia="宋体" w:cs="宋体"/>
          <w:color w:val="000000"/>
          <w:sz w:val="24"/>
          <w:szCs w:val="24"/>
          <w:highlight w:val="none"/>
          <w:lang w:val="en-US" w:eastAsia="zh-CN" w:bidi="ar"/>
        </w:rPr>
      </w:r>
      <w:r/>
    </w:p>
    <w:p>
      <w:pPr>
        <w:pStyle w:val="947"/>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注：在“2、技术要求”项下中的“★”标项须提供</w:t>
      </w:r>
      <w:r>
        <w:rPr>
          <w:rFonts w:hint="eastAsia" w:ascii="宋体" w:hAnsi="宋体" w:eastAsia="宋体" w:cs="宋体"/>
          <w:color w:val="000000"/>
          <w:sz w:val="24"/>
          <w:szCs w:val="24"/>
          <w:highlight w:val="none"/>
        </w:rPr>
        <w:t xml:space="preserve">具有检测检验资质的检测机构出具的有效的检测（检验）报告</w:t>
      </w:r>
      <w:r>
        <w:rPr>
          <w:rFonts w:hint="eastAsia" w:ascii="宋体" w:hAnsi="宋体" w:eastAsia="宋体" w:cs="宋体"/>
          <w:color w:val="000000"/>
          <w:sz w:val="24"/>
          <w:szCs w:val="24"/>
          <w:highlight w:val="none"/>
          <w:lang w:val="en-US" w:eastAsia="zh-CN" w:bidi="ar"/>
        </w:rPr>
        <w:t xml:space="preserve">，并以此作为评审得分的判定依据。同时上述检验（检测）报告所示检验（检测）结果达到或优于“2、技术要求”项下中的“★”标项所列示的内容及要求的视为无偏离，低于的视为负偏离。供应商须在其响应文件中提供上述可清晰辨识的检验（检测）报告复印件。</w:t>
      </w:r>
      <w:r>
        <w:rPr>
          <w:rFonts w:hint="eastAsia" w:ascii="宋体" w:hAnsi="宋体" w:eastAsia="宋体" w:cs="宋体"/>
          <w:color w:val="000000"/>
          <w:sz w:val="24"/>
          <w:szCs w:val="24"/>
          <w:highlight w:val="none"/>
          <w:lang w:val="en-US" w:eastAsia="zh-CN" w:bidi="ar"/>
        </w:rPr>
      </w:r>
      <w:r/>
    </w:p>
    <w:p>
      <w:pPr>
        <w:pStyle w:val="947"/>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rPr>
        <w:t xml:space="preserve">提供项目</w:t>
      </w:r>
      <w:r>
        <w:rPr>
          <w:rFonts w:hint="eastAsia" w:ascii="宋体" w:hAnsi="宋体" w:eastAsia="宋体" w:cs="宋体"/>
          <w:color w:val="000000"/>
          <w:sz w:val="24"/>
          <w:szCs w:val="24"/>
          <w:highlight w:val="none"/>
          <w:lang w:val="en-US" w:eastAsia="zh-CN" w:bidi="ar"/>
        </w:rPr>
        <w:t xml:space="preserve">综合服务能力及技术方案的说明，</w:t>
      </w:r>
      <w:r>
        <w:rPr>
          <w:rFonts w:hint="eastAsia" w:ascii="宋体" w:hAnsi="宋体" w:eastAsia="宋体"/>
          <w:color w:val="000000"/>
          <w:sz w:val="24"/>
          <w:szCs w:val="24"/>
        </w:rPr>
        <w:t xml:space="preserve">须包括但不限于</w:t>
      </w:r>
      <w:r>
        <w:rPr>
          <w:rFonts w:hint="eastAsia" w:ascii="宋体" w:hAnsi="宋体" w:eastAsia="宋体" w:cs="宋体"/>
          <w:color w:val="000000"/>
          <w:sz w:val="24"/>
          <w:szCs w:val="24"/>
          <w:highlight w:val="none"/>
          <w:lang w:val="en-US" w:eastAsia="zh-CN" w:bidi="ar"/>
        </w:rPr>
        <w:t xml:space="preserve">服务理念、文物保护专项服务经验、整体服务配套规划、售后保障、项目重点难点应对预案等。本项最高15分，综合评定：优的得15分；综合评定：良的得10分；综合评定：差的得5分；与项目实际不符、内容缺失或不提供者不得分。</w:t>
      </w:r>
      <w:r>
        <w:rPr>
          <w:rFonts w:hint="eastAsia" w:ascii="宋体" w:hAnsi="宋体" w:eastAsia="宋体" w:cs="宋体"/>
          <w:color w:val="000000"/>
          <w:sz w:val="24"/>
          <w:szCs w:val="24"/>
          <w:highlight w:val="none"/>
          <w:lang w:val="en-US" w:eastAsia="zh-CN" w:bidi="ar"/>
        </w:rPr>
      </w:r>
      <w:r/>
    </w:p>
    <w:p>
      <w:pPr>
        <w:pStyle w:val="947"/>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t xml:space="preserve">供应商对本项目履约意愿的评价，含：①提供针对本项目实施的服务人员管理制度说明；②提供能最大程度满足“2、技术要求”项下的响应产品生产、安装及调试工作所必需的设备购置证明（如发票扫描件或租赁合同及租赁发票扫描件，设备包含但不限于工业机器人、螺杆机、切割机、折弯机、自动成型机）；③结合采购文件合同价款的支付及付款方式，提供针对本项目的财务收支管理办法；④提供与本项目相符且合理的工期计划。本项最高10分，综合评定：优的得10分；综合评定：良的得7分；综合评定：差的得4分；与项目实际不符、内容缺失或不提供者不得分。</w:t>
      </w:r>
      <w:r>
        <w:rPr>
          <w:rFonts w:hint="eastAsia" w:ascii="宋体" w:hAnsi="宋体" w:eastAsia="宋体" w:cs="宋体"/>
          <w:color w:val="000000"/>
          <w:sz w:val="24"/>
          <w:szCs w:val="24"/>
          <w:highlight w:val="none"/>
          <w:lang w:val="en-US" w:eastAsia="zh-CN" w:bidi="ar"/>
        </w:rPr>
      </w:r>
      <w:r/>
    </w:p>
    <w:p>
      <w:pPr>
        <w:pStyle w:val="947"/>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6、供应商具备在有效期内的：质量管理体系认证证书的得1分；环境管理体系认证证书的得1分；职业健康安全管理体系认证证书的得1分。本项最高3分，上述证书覆盖范围应与本项目相关且须提供中国国家认证认可监督管理委员会网站查询页面完整截图，否则对应内容不得分。</w:t>
      </w:r>
      <w:r>
        <w:rPr>
          <w:rFonts w:hint="eastAsia" w:ascii="宋体" w:hAnsi="宋体" w:eastAsia="宋体" w:cs="宋体"/>
          <w:color w:val="000000"/>
          <w:sz w:val="24"/>
          <w:szCs w:val="24"/>
          <w:highlight w:val="none"/>
        </w:rPr>
      </w:r>
      <w:r/>
    </w:p>
    <w:p>
      <w:pPr>
        <w:pStyle w:val="947"/>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7、提供自2023年1月1日至今（以合同签订日期为准）由供应商独立承担（非联合体）的类似项目业绩，每份2分，最高10分。</w:t>
      </w:r>
      <w:r>
        <w:rPr>
          <w:rFonts w:hint="eastAsia" w:ascii="宋体" w:hAnsi="宋体" w:eastAsia="宋体" w:cs="宋体"/>
          <w:color w:val="000000"/>
          <w:sz w:val="24"/>
          <w:szCs w:val="24"/>
          <w:highlight w:val="none"/>
          <w:lang w:val="en-US" w:eastAsia="zh-CN" w:bidi="ar"/>
        </w:rPr>
        <w:t xml:space="preserve">响应文件中必</w:t>
      </w:r>
      <w:r>
        <w:rPr>
          <w:rFonts w:hint="eastAsia" w:ascii="宋体" w:hAnsi="宋体" w:eastAsia="宋体" w:cs="宋体"/>
          <w:color w:val="000000"/>
          <w:sz w:val="24"/>
          <w:szCs w:val="24"/>
          <w:highlight w:val="none"/>
          <w:lang w:val="en-US" w:eastAsia="zh-CN"/>
        </w:rPr>
        <w:t xml:space="preserve">须提供采购合同复印件及对应的任意一期发票复印件</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t xml:space="preserve">否则对应内容不得分。</w:t>
      </w:r>
      <w:r>
        <w:rPr>
          <w:rFonts w:hint="eastAsia" w:ascii="宋体" w:hAnsi="宋体" w:eastAsia="宋体" w:cs="宋体"/>
          <w:color w:val="000000"/>
          <w:sz w:val="24"/>
          <w:szCs w:val="24"/>
          <w:highlight w:val="none"/>
        </w:rPr>
      </w:r>
      <w:r/>
    </w:p>
    <w:p>
      <w:pPr>
        <w:pStyle w:val="947"/>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47"/>
        <w:ind w:firstLine="480"/>
        <w:spacing w:line="360" w:lineRule="auto"/>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评审说明：</w:t>
      </w:r>
      <w:r>
        <w:rPr>
          <w:rFonts w:ascii="宋体" w:hAnsi="宋体" w:eastAsia="宋体" w:cs="宋体"/>
          <w:color w:val="000000"/>
          <w:sz w:val="24"/>
          <w:szCs w:val="24"/>
          <w:highlight w:val="none"/>
        </w:rPr>
      </w:r>
      <w:r/>
    </w:p>
    <w:p>
      <w:pPr>
        <w:pStyle w:val="947"/>
        <w:ind w:firstLine="48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1、综合评定释义：</w:t>
      </w:r>
      <w:r>
        <w:rPr>
          <w:rFonts w:hint="eastAsia" w:ascii="宋体" w:hAnsi="宋体" w:eastAsia="宋体" w:cs="宋体"/>
          <w:color w:val="000000"/>
          <w:sz w:val="24"/>
          <w:szCs w:val="24"/>
          <w:highlight w:val="none"/>
        </w:rPr>
      </w:r>
      <w:r/>
    </w:p>
    <w:p>
      <w:pPr>
        <w:pStyle w:val="947"/>
        <w:ind w:firstLine="48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综合评定：优，是指方案内容详细完整、针对性可行性强、技术措施规范；</w:t>
      </w:r>
      <w:r>
        <w:rPr>
          <w:rFonts w:hint="eastAsia" w:ascii="宋体" w:hAnsi="宋体" w:eastAsia="宋体" w:cs="宋体"/>
          <w:color w:val="000000"/>
          <w:sz w:val="24"/>
          <w:szCs w:val="24"/>
          <w:highlight w:val="none"/>
        </w:rPr>
      </w:r>
      <w:r/>
    </w:p>
    <w:p>
      <w:pPr>
        <w:pStyle w:val="947"/>
        <w:ind w:firstLine="48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综合评定：良，是指方案内容较为完整、针对性可行性一般、技术措施基本规范；</w:t>
      </w:r>
      <w:r>
        <w:rPr>
          <w:rFonts w:hint="eastAsia" w:ascii="宋体" w:hAnsi="宋体" w:eastAsia="宋体" w:cs="宋体"/>
          <w:color w:val="000000"/>
          <w:sz w:val="24"/>
          <w:szCs w:val="24"/>
          <w:highlight w:val="none"/>
        </w:rPr>
      </w:r>
      <w:r/>
    </w:p>
    <w:p>
      <w:pPr>
        <w:pStyle w:val="947"/>
        <w:ind w:firstLine="48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综合评定：差，是指方案内容简单笼统、针对性可行性弱、技术措施规范性不足。</w:t>
      </w:r>
      <w:r>
        <w:rPr>
          <w:rFonts w:hint="eastAsia" w:ascii="宋体" w:hAnsi="宋体" w:eastAsia="宋体" w:cs="宋体"/>
          <w:color w:val="000000"/>
          <w:sz w:val="24"/>
          <w:szCs w:val="24"/>
          <w:highlight w:val="none"/>
        </w:rPr>
      </w:r>
      <w:r/>
    </w:p>
    <w:p>
      <w:pPr>
        <w:pStyle w:val="94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2、其他评审未尽事宜由评审委员会根据有关规定讨论决定。</w:t>
      </w:r>
      <w:r>
        <w:rPr>
          <w:rFonts w:hint="eastAsia" w:ascii="宋体" w:hAnsi="宋体" w:eastAsia="宋体" w:cs="宋体"/>
          <w:color w:val="000000"/>
          <w:sz w:val="24"/>
          <w:szCs w:val="24"/>
          <w:highlight w:val="none"/>
        </w:rPr>
      </w:r>
      <w:r/>
    </w:p>
    <w:p>
      <w:pPr>
        <w:pStyle w:val="94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7"/>
        <w:ind w:firstLine="482"/>
        <w:spacing w:line="360" w:lineRule="auto"/>
        <w:rPr>
          <w:rStyle w:val="1135"/>
          <w:rFonts w:hint="eastAsia" w:ascii="宋体" w:hAnsi="宋体" w:eastAsia="宋体" w:cs="宋体"/>
          <w:b/>
          <w:color w:val="000000"/>
          <w:sz w:val="24"/>
          <w:szCs w:val="24"/>
          <w:highlight w:val="none"/>
        </w:rPr>
      </w:pPr>
      <w:r>
        <w:rPr>
          <w:rStyle w:val="1135"/>
          <w:rFonts w:hint="eastAsia" w:ascii="宋体" w:hAnsi="宋体" w:eastAsia="宋体" w:cs="宋体"/>
          <w:b/>
          <w:color w:val="000000"/>
          <w:sz w:val="24"/>
          <w:szCs w:val="24"/>
          <w:highlight w:val="none"/>
        </w:rPr>
        <w:t xml:space="preserve">三、政府采购政策： </w:t>
      </w:r>
      <w:r>
        <w:rPr>
          <w:rStyle w:val="1135"/>
          <w:rFonts w:hint="eastAsia" w:ascii="宋体" w:hAnsi="宋体" w:eastAsia="宋体" w:cs="宋体"/>
          <w:b/>
          <w:color w:val="000000"/>
          <w:sz w:val="24"/>
          <w:szCs w:val="24"/>
          <w:highlight w:val="none"/>
        </w:rPr>
      </w:r>
      <w:r/>
    </w:p>
    <w:p>
      <w:pPr>
        <w:pStyle w:val="947"/>
        <w:ind w:firstLine="480"/>
        <w:spacing w:line="360" w:lineRule="auto"/>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1、针对中小型企业的评审：</w:t>
      </w:r>
      <w:r>
        <w:rPr>
          <w:rFonts w:hint="eastAsia" w:ascii="宋体" w:hAnsi="宋体" w:eastAsia="宋体" w:cs="宋体"/>
          <w:color w:val="000000"/>
          <w:sz w:val="24"/>
          <w:szCs w:val="24"/>
          <w:highlight w:val="none"/>
        </w:rPr>
      </w:r>
      <w:r/>
    </w:p>
    <w:p>
      <w:pPr>
        <w:pStyle w:val="94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（1）本项目专门面向中小企业采购。</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（3）本项目采购标的对应的中小企业划型标准规定所属行业为：</w:t>
      </w:r>
      <w:r>
        <w:rPr>
          <w:rFonts w:hint="eastAsia" w:ascii="宋体" w:hAnsi="宋体" w:eastAsia="宋体" w:cs="宋体"/>
          <w:b/>
          <w:bCs/>
          <w:color w:val="000000"/>
          <w:sz w:val="24"/>
          <w:szCs w:val="24"/>
          <w:highlight w:val="none"/>
        </w:rPr>
        <w:t xml:space="preserve">其他未列明行业</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Style w:val="1135"/>
          <w:rFonts w:hint="eastAsia" w:ascii="宋体" w:hAnsi="宋体" w:eastAsia="宋体" w:cs="宋体"/>
          <w:bCs/>
          <w:color w:val="000000"/>
          <w:sz w:val="24"/>
          <w:szCs w:val="24"/>
          <w:highlight w:val="none"/>
        </w:rPr>
        <w:t xml:space="preserve">中小企业参加政府采购活动，应当出具《政府采购促进中小企业发展管理办法》附件规定《中小企业声明函》，否则不得享受相关中小企业扶持政策。</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rPr>
          <w:rFonts w:hint="eastAsia" w:ascii="宋体" w:hAnsi="宋体" w:eastAsia="宋体" w:cs="宋体"/>
          <w:bCs/>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未按本项目采购标的对应的中小企业划型标准规定所属行业承诺的《中小企业声明函》为无效《中小企业声明函》。</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3、针对监狱企业的评审：</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根据财政部、司法部《关于政府采购支持监狱企业发展有关问题的通知》（财库〔2014〕68号）的规定，对属于监狱企业的供应商给予评审：</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4、针对残疾人福利性单位的评审：</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000000"/>
          <w:sz w:val="24"/>
          <w:szCs w:val="24"/>
          <w:highlight w:val="none"/>
        </w:rPr>
        <w:t xml:space="preserve">的规定</w:t>
      </w:r>
      <w:r>
        <w:rPr>
          <w:rFonts w:hint="eastAsia" w:ascii="宋体" w:hAnsi="宋体" w:eastAsia="宋体" w:cs="宋体"/>
          <w:color w:val="000000"/>
          <w:sz w:val="24"/>
          <w:szCs w:val="24"/>
          <w:highlight w:val="none"/>
        </w:rPr>
        <w:t xml:space="preserve">，对属于残疾人福利性单位的供应商给予评审：</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根据供应商提供的《残疾人福利性单位声明函》。</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（1）供应商对上述声明的真实性负责，若供应商提供的《残疾人福利性单位声明函》与事实不符的，依照《政府采购法》第七十七条第一款的规定追究法律责任。</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（2）供应商为残疾人福利性单位的，采购代理机构将随中标结果同时公告其《残疾人福利性单位声明函》，接受社会监督。</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5、上述针对中小型企业、监狱企业和残疾人福利性单位的评审政策不重复享受。</w:t>
      </w:r>
      <w:r>
        <w:rPr>
          <w:rFonts w:hint="eastAsia" w:ascii="宋体" w:hAnsi="宋体" w:eastAsia="宋体" w:cs="宋体"/>
          <w:color w:val="000000"/>
          <w:sz w:val="24"/>
          <w:szCs w:val="24"/>
          <w:highlight w:val="none"/>
        </w:rPr>
      </w:r>
      <w:r/>
    </w:p>
    <w:p>
      <w:pPr>
        <w:pStyle w:val="94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6、实施本国产品标准及相关政策：</w:t>
      </w:r>
      <w:r>
        <w:rPr>
          <w:rFonts w:hint="eastAsia" w:ascii="宋体" w:hAnsi="宋体" w:eastAsia="宋体" w:cs="宋体"/>
          <w:color w:val="000000"/>
          <w:sz w:val="24"/>
          <w:szCs w:val="24"/>
          <w:highlight w:val="none"/>
          <w:lang w:val="en-US" w:eastAsia="zh-CN"/>
        </w:rPr>
      </w:r>
      <w:r/>
    </w:p>
    <w:p>
      <w:pPr>
        <w:pStyle w:val="947"/>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
          <w:bCs/>
          <w:color w:val="000000"/>
          <w:sz w:val="24"/>
          <w:szCs w:val="24"/>
          <w:highlight w:val="none"/>
        </w:rPr>
        <w:t xml:space="preserve">根据《国务院办公厅关于在政府采购中实施本国产品标准及相关政策的通知》（国办发（2025）34号）的规定，本项目对采购本国产品给予政策支持。</w:t>
      </w:r>
      <w:r>
        <w:rPr>
          <w:rFonts w:hint="eastAsia" w:ascii="宋体" w:hAnsi="宋体" w:eastAsia="宋体" w:cs="宋体"/>
          <w:b/>
          <w:bCs/>
          <w:color w:val="000000"/>
          <w:sz w:val="24"/>
          <w:szCs w:val="24"/>
          <w:highlight w:val="none"/>
        </w:rPr>
      </w:r>
      <w:r/>
    </w:p>
    <w:p>
      <w:pPr>
        <w:pStyle w:val="94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rPr>
      </w:r>
      <w:r/>
    </w:p>
    <w:p>
      <w:pPr>
        <w:pStyle w:val="94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rPr>
      </w:r>
      <w:r/>
    </w:p>
    <w:p>
      <w:pPr>
        <w:pStyle w:val="94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94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highlight w:val="none"/>
          <w:u w:val="single"/>
        </w:rPr>
        <w:t xml:space="preserve">80</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以上时（供应商需在“第三章 响应文件格式”的“磋商响应明细报价表”中填写比例数值），依法对该供应商提供的全部产品给予价格评审优惠，即对该供应商提供的全部产品的总报价给予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b/>
          <w:bCs/>
          <w:color w:val="000000"/>
          <w:sz w:val="24"/>
          <w:szCs w:val="24"/>
          <w:highlight w:val="none"/>
        </w:rPr>
        <w:t xml:space="preserve">供应商未填写比例数值，或比例数值未达到</w:t>
      </w:r>
      <w:r>
        <w:rPr>
          <w:rFonts w:hint="eastAsia" w:ascii="宋体" w:hAnsi="宋体" w:eastAsia="宋体" w:cs="宋体"/>
          <w:b/>
          <w:bCs/>
          <w:color w:val="000000"/>
          <w:sz w:val="24"/>
          <w:szCs w:val="24"/>
          <w:highlight w:val="none"/>
          <w:u w:val="single"/>
        </w:rPr>
        <w:t xml:space="preserve">80</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b/>
          <w:bCs/>
          <w:color w:val="000000"/>
          <w:sz w:val="24"/>
          <w:szCs w:val="24"/>
          <w:highlight w:val="none"/>
        </w:rPr>
        <w:t xml:space="preserve">的，</w:t>
      </w:r>
      <w:r>
        <w:rPr>
          <w:rFonts w:hint="eastAsia" w:ascii="宋体" w:hAnsi="宋体" w:eastAsia="宋体" w:cs="宋体"/>
          <w:b/>
          <w:color w:val="000000"/>
          <w:sz w:val="24"/>
          <w:szCs w:val="24"/>
          <w:highlight w:val="none"/>
        </w:rPr>
        <w:t xml:space="preserve">将不享受本国产品价格评审优惠。</w:t>
      </w:r>
      <w:r>
        <w:rPr>
          <w:rFonts w:hint="eastAsia" w:ascii="宋体" w:hAnsi="宋体" w:eastAsia="宋体" w:cs="宋体"/>
          <w:color w:val="000000"/>
          <w:sz w:val="24"/>
          <w:szCs w:val="24"/>
          <w:highlight w:val="none"/>
        </w:rPr>
      </w:r>
      <w:r/>
    </w:p>
    <w:p>
      <w:pPr>
        <w:pStyle w:val="94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）供应商需按照</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文件的要求提供《关于符合本国产品标准的声明函》（以下简称《声明函》）或财政部会同有关部门规定的有关证明文件的，</w:t>
      </w:r>
      <w:r>
        <w:rPr>
          <w:rFonts w:hint="eastAsia" w:ascii="宋体" w:hAnsi="宋体" w:eastAsia="宋体" w:cs="宋体"/>
          <w:b/>
          <w:color w:val="000000"/>
          <w:sz w:val="24"/>
          <w:szCs w:val="24"/>
          <w:highlight w:val="none"/>
        </w:rPr>
        <w:t xml:space="preserve">如不提供或提供不符要求的将不享受本国产品价格评审优惠。</w:t>
      </w:r>
      <w:r>
        <w:rPr>
          <w:rFonts w:hint="eastAsia" w:ascii="宋体" w:hAnsi="宋体" w:eastAsia="宋体" w:cs="宋体"/>
          <w:color w:val="000000"/>
          <w:sz w:val="24"/>
          <w:szCs w:val="24"/>
          <w:highlight w:val="none"/>
        </w:rPr>
      </w:r>
      <w:r/>
    </w:p>
    <w:p>
      <w:pPr>
        <w:pStyle w:val="94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b/>
          <w:color w:val="000000"/>
          <w:sz w:val="24"/>
          <w:szCs w:val="24"/>
          <w:highlight w:val="none"/>
        </w:rPr>
        <w:t xml:space="preserve">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947"/>
        <w:ind w:firstLine="42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文件规定的，</w:t>
      </w:r>
      <w:r>
        <w:rPr>
          <w:rFonts w:hint="eastAsia" w:ascii="宋体" w:hAnsi="宋体" w:eastAsia="宋体" w:cs="宋体"/>
          <w:b/>
          <w:color w:val="000000"/>
          <w:sz w:val="24"/>
          <w:szCs w:val="24"/>
          <w:highlight w:val="none"/>
        </w:rPr>
        <w:t xml:space="preserve">供应商提供的相关产品视为不符合本国产品标准。</w:t>
      </w:r>
      <w:r>
        <w:rPr>
          <w:rFonts w:ascii="宋体" w:hAnsi="宋体" w:eastAsia="宋体" w:cs="宋体"/>
          <w:color w:val="000000"/>
          <w:sz w:val="24"/>
          <w:szCs w:val="24"/>
          <w:highlight w:val="none"/>
          <w:lang w:val="en-US" w:eastAsia="zh-CN"/>
        </w:rPr>
      </w:r>
      <w:r/>
    </w:p>
    <w:p>
      <w:pPr>
        <w:pStyle w:val="1044"/>
        <w:ind w:firstLine="0"/>
        <w:jc w:val="right"/>
        <w:spacing w:line="360" w:lineRule="auto"/>
        <w:rPr>
          <w:rFonts w:hint="eastAsia"/>
          <w:color w:val="000000"/>
          <w:highlight w:val="none"/>
        </w:rPr>
      </w:pPr>
      <w:r>
        <w:rPr>
          <w:rFonts w:hint="eastAsia"/>
          <w:color w:val="000000"/>
          <w:highlight w:val="none"/>
        </w:rPr>
        <w:t xml:space="preserve">（全文完）</w:t>
      </w:r>
      <w:r/>
    </w:p>
    <w:sectPr>
      <w:footnotePr/>
      <w:endnotePr/>
      <w:type w:val="nextPage"/>
      <w:pgSz w:w="11906" w:h="16838" w:orient="portrait"/>
      <w:pgMar w:top="1134" w:right="1134" w:bottom="1134" w:left="1134" w:header="851"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华文细黑">
    <w:panose1 w:val="02010600040101010101"/>
  </w:font>
  <w:font w:name="Cambria">
    <w:panose1 w:val="02040503050406030204"/>
  </w:font>
  <w:font w:name="仿宋">
    <w:panose1 w:val="02010609060101010101"/>
  </w:font>
  <w:font w:name="Calibri">
    <w:panose1 w:val="020F0502020204030204"/>
  </w:font>
  <w:font w:name="微软雅黑">
    <w:panose1 w:val="020B0503020204020204"/>
  </w:font>
  <w:font w:name="Batang">
    <w:panose1 w:val="02010600040101010101"/>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right="360"/>
      <w:tabs>
        <w:tab w:val="center" w:pos="4819"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- 37 -</w:t>
                          </w:r>
                          <w:r>
                            <w:fldChar w:fldCharType="end"/>
                          </w:r>
                          <w:r/>
                        </w:p>
                        <w:p>
                          <w:pPr>
                            <w:pStyle w:val="94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- 37 -</w:t>
                    </w:r>
                    <w:r>
                      <w:fldChar w:fldCharType="end"/>
                    </w:r>
                    <w:r/>
                  </w:p>
                  <w:p>
                    <w:pPr>
                      <w:pStyle w:val="94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left"/>
      <w:tabs>
        <w:tab w:val="center" w:pos="4153" w:leader="none"/>
        <w:tab w:val="right" w:pos="8306" w:leader="none"/>
      </w:tabs>
      <w:rPr>
        <w:rFonts w:hint="eastAsia" w:ascii="宋体" w:hAnsi="宋体" w:eastAsia="宋体" w:cs="宋体"/>
        <w:lang w:eastAsia="zh-CN"/>
      </w:rPr>
    </w:pPr>
    <w:r>
      <w:rPr>
        <w:rFonts w:hint="eastAsia" w:ascii="宋体" w:hAnsi="宋体" w:cs="宋体"/>
      </w:rPr>
      <w:t xml:space="preserve">政府采购文件                                              </w:t>
    </w:r>
    <w:r>
      <w:rPr>
        <w:rFonts w:hint="eastAsia" w:ascii="宋体" w:hAnsi="宋体" w:cs="宋体"/>
        <w:lang w:val="en-US" w:eastAsia="zh-CN"/>
      </w:rPr>
      <w:t xml:space="preserve"> </w:t>
    </w:r>
    <w:r>
      <w:rPr>
        <w:rFonts w:hint="eastAsia" w:ascii="宋体" w:hAnsi="宋体" w:cs="宋体"/>
      </w:rPr>
      <w:t xml:space="preserve">          </w:t>
    </w:r>
    <w:r>
      <w:rPr>
        <w:rFonts w:ascii="宋体" w:hAnsi="宋体"/>
      </w:rPr>
      <w:t xml:space="preserve"> </w:t>
    </w:r>
    <w:r>
      <w:rPr>
        <w:rFonts w:hint="eastAsia" w:ascii="宋体" w:hAnsi="宋体"/>
      </w:rPr>
      <w:t xml:space="preserve">项目编号：</w:t>
    </w:r>
    <w:r>
      <w:rPr>
        <w:rFonts w:hint="eastAsia" w:ascii="宋体" w:hAnsi="宋体" w:cs="宋体"/>
        <w:lang w:eastAsia="zh-CN"/>
      </w:rPr>
      <w:t xml:space="preserve">JSZC-320500-SZZJ-C2026-0023</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pStyle w:val="9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Heading 1"/>
    <w:basedOn w:val="947"/>
    <w:next w:val="947"/>
    <w:link w:val="771"/>
    <w:uiPriority w:val="9"/>
    <w:qFormat/>
    <w:pPr>
      <w:keepLines/>
      <w:keepNext/>
      <w:spacing w:before="480" w:after="200"/>
      <w:outlineLvl w:val="0"/>
    </w:pPr>
    <w:rPr>
      <w:rFonts w:ascii="Arial" w:hAnsi="Arial" w:eastAsia="Arial" w:cs="Arial"/>
      <w:sz w:val="40"/>
      <w:szCs w:val="40"/>
    </w:rPr>
  </w:style>
  <w:style w:type="character" w:styleId="771">
    <w:name w:val="Heading 1 Char"/>
    <w:link w:val="770"/>
    <w:uiPriority w:val="9"/>
    <w:rPr>
      <w:rFonts w:ascii="Arial" w:hAnsi="Arial" w:eastAsia="Arial" w:cs="Arial"/>
      <w:sz w:val="40"/>
      <w:szCs w:val="40"/>
    </w:rPr>
  </w:style>
  <w:style w:type="paragraph" w:styleId="772">
    <w:name w:val="Heading 2"/>
    <w:basedOn w:val="947"/>
    <w:next w:val="947"/>
    <w:link w:val="773"/>
    <w:uiPriority w:val="9"/>
    <w:unhideWhenUsed/>
    <w:qFormat/>
    <w:pPr>
      <w:keepLines/>
      <w:keepNext/>
      <w:spacing w:before="360" w:after="200"/>
      <w:outlineLvl w:val="1"/>
    </w:pPr>
    <w:rPr>
      <w:rFonts w:ascii="Arial" w:hAnsi="Arial" w:eastAsia="Arial" w:cs="Arial"/>
      <w:sz w:val="34"/>
    </w:rPr>
  </w:style>
  <w:style w:type="character" w:styleId="773">
    <w:name w:val="Heading 2 Char"/>
    <w:link w:val="772"/>
    <w:uiPriority w:val="9"/>
    <w:rPr>
      <w:rFonts w:ascii="Arial" w:hAnsi="Arial" w:eastAsia="Arial" w:cs="Arial"/>
      <w:sz w:val="34"/>
    </w:rPr>
  </w:style>
  <w:style w:type="paragraph" w:styleId="774">
    <w:name w:val="Heading 3"/>
    <w:basedOn w:val="947"/>
    <w:next w:val="947"/>
    <w:link w:val="775"/>
    <w:uiPriority w:val="9"/>
    <w:unhideWhenUsed/>
    <w:qFormat/>
    <w:pPr>
      <w:keepLines/>
      <w:keepNext/>
      <w:spacing w:before="320" w:after="200"/>
      <w:outlineLvl w:val="2"/>
    </w:pPr>
    <w:rPr>
      <w:rFonts w:ascii="Arial" w:hAnsi="Arial" w:eastAsia="Arial" w:cs="Arial"/>
      <w:sz w:val="30"/>
      <w:szCs w:val="30"/>
    </w:rPr>
  </w:style>
  <w:style w:type="character" w:styleId="775">
    <w:name w:val="Heading 3 Char"/>
    <w:link w:val="774"/>
    <w:uiPriority w:val="9"/>
    <w:rPr>
      <w:rFonts w:ascii="Arial" w:hAnsi="Arial" w:eastAsia="Arial" w:cs="Arial"/>
      <w:sz w:val="30"/>
      <w:szCs w:val="30"/>
    </w:rPr>
  </w:style>
  <w:style w:type="paragraph" w:styleId="776">
    <w:name w:val="Heading 4"/>
    <w:basedOn w:val="947"/>
    <w:next w:val="947"/>
    <w:link w:val="777"/>
    <w:uiPriority w:val="9"/>
    <w:unhideWhenUsed/>
    <w:qFormat/>
    <w:pPr>
      <w:keepLines/>
      <w:keepNext/>
      <w:spacing w:before="320" w:after="200"/>
      <w:outlineLvl w:val="3"/>
    </w:pPr>
    <w:rPr>
      <w:rFonts w:ascii="Arial" w:hAnsi="Arial" w:eastAsia="Arial" w:cs="Arial"/>
      <w:b/>
      <w:bCs/>
      <w:sz w:val="26"/>
      <w:szCs w:val="26"/>
    </w:rPr>
  </w:style>
  <w:style w:type="character" w:styleId="777">
    <w:name w:val="Heading 4 Char"/>
    <w:link w:val="776"/>
    <w:uiPriority w:val="9"/>
    <w:rPr>
      <w:rFonts w:ascii="Arial" w:hAnsi="Arial" w:eastAsia="Arial" w:cs="Arial"/>
      <w:b/>
      <w:bCs/>
      <w:sz w:val="26"/>
      <w:szCs w:val="26"/>
    </w:rPr>
  </w:style>
  <w:style w:type="paragraph" w:styleId="778">
    <w:name w:val="Heading 5"/>
    <w:basedOn w:val="947"/>
    <w:next w:val="947"/>
    <w:link w:val="779"/>
    <w:uiPriority w:val="9"/>
    <w:unhideWhenUsed/>
    <w:qFormat/>
    <w:pPr>
      <w:keepLines/>
      <w:keepNext/>
      <w:spacing w:before="320" w:after="200"/>
      <w:outlineLvl w:val="4"/>
    </w:pPr>
    <w:rPr>
      <w:rFonts w:ascii="Arial" w:hAnsi="Arial" w:eastAsia="Arial" w:cs="Arial"/>
      <w:b/>
      <w:bCs/>
      <w:sz w:val="24"/>
      <w:szCs w:val="24"/>
    </w:rPr>
  </w:style>
  <w:style w:type="character" w:styleId="779">
    <w:name w:val="Heading 5 Char"/>
    <w:link w:val="778"/>
    <w:uiPriority w:val="9"/>
    <w:rPr>
      <w:rFonts w:ascii="Arial" w:hAnsi="Arial" w:eastAsia="Arial" w:cs="Arial"/>
      <w:b/>
      <w:bCs/>
      <w:sz w:val="24"/>
      <w:szCs w:val="24"/>
    </w:rPr>
  </w:style>
  <w:style w:type="paragraph" w:styleId="780">
    <w:name w:val="Heading 6"/>
    <w:basedOn w:val="947"/>
    <w:next w:val="947"/>
    <w:link w:val="781"/>
    <w:uiPriority w:val="9"/>
    <w:unhideWhenUsed/>
    <w:qFormat/>
    <w:pPr>
      <w:keepLines/>
      <w:keepNext/>
      <w:spacing w:before="320" w:after="200"/>
      <w:outlineLvl w:val="5"/>
    </w:pPr>
    <w:rPr>
      <w:rFonts w:ascii="Arial" w:hAnsi="Arial" w:eastAsia="Arial" w:cs="Arial"/>
      <w:b/>
      <w:bCs/>
      <w:sz w:val="22"/>
      <w:szCs w:val="22"/>
    </w:rPr>
  </w:style>
  <w:style w:type="character" w:styleId="781">
    <w:name w:val="Heading 6 Char"/>
    <w:link w:val="780"/>
    <w:uiPriority w:val="9"/>
    <w:rPr>
      <w:rFonts w:ascii="Arial" w:hAnsi="Arial" w:eastAsia="Arial" w:cs="Arial"/>
      <w:b/>
      <w:bCs/>
      <w:sz w:val="22"/>
      <w:szCs w:val="22"/>
    </w:rPr>
  </w:style>
  <w:style w:type="paragraph" w:styleId="782">
    <w:name w:val="Heading 7"/>
    <w:basedOn w:val="947"/>
    <w:next w:val="947"/>
    <w:link w:val="783"/>
    <w:uiPriority w:val="9"/>
    <w:unhideWhenUsed/>
    <w:qFormat/>
    <w:pPr>
      <w:keepLines/>
      <w:keepNext/>
      <w:spacing w:before="320" w:after="200"/>
      <w:outlineLvl w:val="6"/>
    </w:pPr>
    <w:rPr>
      <w:rFonts w:ascii="Arial" w:hAnsi="Arial" w:eastAsia="Arial" w:cs="Arial"/>
      <w:b/>
      <w:bCs/>
      <w:i/>
      <w:iCs/>
      <w:sz w:val="22"/>
      <w:szCs w:val="22"/>
    </w:rPr>
  </w:style>
  <w:style w:type="character" w:styleId="783">
    <w:name w:val="Heading 7 Char"/>
    <w:link w:val="782"/>
    <w:uiPriority w:val="9"/>
    <w:rPr>
      <w:rFonts w:ascii="Arial" w:hAnsi="Arial" w:eastAsia="Arial" w:cs="Arial"/>
      <w:b/>
      <w:bCs/>
      <w:i/>
      <w:iCs/>
      <w:sz w:val="22"/>
      <w:szCs w:val="22"/>
    </w:rPr>
  </w:style>
  <w:style w:type="paragraph" w:styleId="784">
    <w:name w:val="Heading 8"/>
    <w:basedOn w:val="947"/>
    <w:next w:val="947"/>
    <w:link w:val="785"/>
    <w:uiPriority w:val="9"/>
    <w:unhideWhenUsed/>
    <w:qFormat/>
    <w:pPr>
      <w:keepLines/>
      <w:keepNext/>
      <w:spacing w:before="320" w:after="200"/>
      <w:outlineLvl w:val="7"/>
    </w:pPr>
    <w:rPr>
      <w:rFonts w:ascii="Arial" w:hAnsi="Arial" w:eastAsia="Arial" w:cs="Arial"/>
      <w:i/>
      <w:iCs/>
      <w:sz w:val="22"/>
      <w:szCs w:val="22"/>
    </w:rPr>
  </w:style>
  <w:style w:type="character" w:styleId="785">
    <w:name w:val="Heading 8 Char"/>
    <w:link w:val="784"/>
    <w:uiPriority w:val="9"/>
    <w:rPr>
      <w:rFonts w:ascii="Arial" w:hAnsi="Arial" w:eastAsia="Arial" w:cs="Arial"/>
      <w:i/>
      <w:iCs/>
      <w:sz w:val="22"/>
      <w:szCs w:val="22"/>
    </w:rPr>
  </w:style>
  <w:style w:type="paragraph" w:styleId="786">
    <w:name w:val="Heading 9"/>
    <w:basedOn w:val="947"/>
    <w:next w:val="947"/>
    <w:link w:val="787"/>
    <w:uiPriority w:val="9"/>
    <w:unhideWhenUsed/>
    <w:qFormat/>
    <w:pPr>
      <w:keepLines/>
      <w:keepNext/>
      <w:spacing w:before="320" w:after="200"/>
      <w:outlineLvl w:val="8"/>
    </w:pPr>
    <w:rPr>
      <w:rFonts w:ascii="Arial" w:hAnsi="Arial" w:eastAsia="Arial" w:cs="Arial"/>
      <w:i/>
      <w:iCs/>
      <w:sz w:val="21"/>
      <w:szCs w:val="21"/>
    </w:rPr>
  </w:style>
  <w:style w:type="character" w:styleId="787">
    <w:name w:val="Heading 9 Char"/>
    <w:link w:val="786"/>
    <w:uiPriority w:val="9"/>
    <w:rPr>
      <w:rFonts w:ascii="Arial" w:hAnsi="Arial" w:eastAsia="Arial" w:cs="Arial"/>
      <w:i/>
      <w:iCs/>
      <w:sz w:val="21"/>
      <w:szCs w:val="21"/>
    </w:rPr>
  </w:style>
  <w:style w:type="paragraph" w:styleId="788">
    <w:name w:val="No Spacing"/>
    <w:uiPriority w:val="1"/>
    <w:qFormat/>
    <w:pPr>
      <w:spacing w:before="0" w:after="0" w:line="240" w:lineRule="auto"/>
    </w:pPr>
  </w:style>
  <w:style w:type="paragraph" w:styleId="789">
    <w:name w:val="Title"/>
    <w:basedOn w:val="947"/>
    <w:next w:val="947"/>
    <w:link w:val="790"/>
    <w:uiPriority w:val="10"/>
    <w:qFormat/>
    <w:pPr>
      <w:contextualSpacing/>
      <w:spacing w:before="300" w:after="200"/>
    </w:pPr>
    <w:rPr>
      <w:sz w:val="48"/>
      <w:szCs w:val="48"/>
    </w:rPr>
  </w:style>
  <w:style w:type="character" w:styleId="790">
    <w:name w:val="Title Char"/>
    <w:link w:val="789"/>
    <w:uiPriority w:val="10"/>
    <w:rPr>
      <w:sz w:val="48"/>
      <w:szCs w:val="48"/>
    </w:rPr>
  </w:style>
  <w:style w:type="paragraph" w:styleId="791">
    <w:name w:val="Subtitle"/>
    <w:basedOn w:val="947"/>
    <w:next w:val="947"/>
    <w:link w:val="792"/>
    <w:uiPriority w:val="11"/>
    <w:qFormat/>
    <w:pPr>
      <w:spacing w:before="200" w:after="200"/>
    </w:pPr>
    <w:rPr>
      <w:sz w:val="24"/>
      <w:szCs w:val="24"/>
    </w:rPr>
  </w:style>
  <w:style w:type="character" w:styleId="792">
    <w:name w:val="Subtitle Char"/>
    <w:link w:val="791"/>
    <w:uiPriority w:val="11"/>
    <w:rPr>
      <w:sz w:val="24"/>
      <w:szCs w:val="24"/>
    </w:rPr>
  </w:style>
  <w:style w:type="paragraph" w:styleId="793">
    <w:name w:val="Quote"/>
    <w:basedOn w:val="947"/>
    <w:next w:val="947"/>
    <w:link w:val="794"/>
    <w:uiPriority w:val="29"/>
    <w:qFormat/>
    <w:pPr>
      <w:ind w:left="720" w:right="720"/>
    </w:pPr>
    <w:rPr>
      <w:i/>
    </w:rPr>
  </w:style>
  <w:style w:type="character" w:styleId="794">
    <w:name w:val="Quote Char"/>
    <w:link w:val="793"/>
    <w:uiPriority w:val="29"/>
    <w:rPr>
      <w:i/>
    </w:rPr>
  </w:style>
  <w:style w:type="paragraph" w:styleId="795">
    <w:name w:val="Intense Quote"/>
    <w:basedOn w:val="947"/>
    <w:next w:val="947"/>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link w:val="795"/>
    <w:uiPriority w:val="30"/>
    <w:rPr>
      <w:i/>
    </w:rPr>
  </w:style>
  <w:style w:type="paragraph" w:styleId="797">
    <w:name w:val="Header"/>
    <w:basedOn w:val="947"/>
    <w:link w:val="798"/>
    <w:uiPriority w:val="99"/>
    <w:unhideWhenUsed/>
    <w:pPr>
      <w:spacing w:after="0" w:line="240" w:lineRule="auto"/>
      <w:tabs>
        <w:tab w:val="center" w:pos="7143" w:leader="none"/>
        <w:tab w:val="right" w:pos="14287" w:leader="none"/>
      </w:tabs>
    </w:pPr>
  </w:style>
  <w:style w:type="character" w:styleId="798">
    <w:name w:val="Header Char"/>
    <w:link w:val="797"/>
    <w:uiPriority w:val="99"/>
  </w:style>
  <w:style w:type="paragraph" w:styleId="799">
    <w:name w:val="Footer"/>
    <w:basedOn w:val="947"/>
    <w:link w:val="802"/>
    <w:uiPriority w:val="99"/>
    <w:unhideWhenUsed/>
    <w:pPr>
      <w:spacing w:after="0" w:line="240" w:lineRule="auto"/>
      <w:tabs>
        <w:tab w:val="center" w:pos="7143" w:leader="none"/>
        <w:tab w:val="right" w:pos="14287" w:leader="none"/>
      </w:tabs>
    </w:pPr>
  </w:style>
  <w:style w:type="character" w:styleId="800">
    <w:name w:val="Footer Char"/>
    <w:link w:val="799"/>
    <w:uiPriority w:val="99"/>
  </w:style>
  <w:style w:type="paragraph" w:styleId="801">
    <w:name w:val="Caption"/>
    <w:basedOn w:val="947"/>
    <w:next w:val="947"/>
    <w:uiPriority w:val="35"/>
    <w:semiHidden/>
    <w:unhideWhenUsed/>
    <w:qFormat/>
    <w:pPr>
      <w:spacing w:line="276" w:lineRule="auto"/>
    </w:pPr>
    <w:rPr>
      <w:b/>
      <w:bCs/>
      <w:color w:val="4f81bd" w:themeColor="accent1"/>
      <w:sz w:val="18"/>
      <w:szCs w:val="18"/>
    </w:rPr>
  </w:style>
  <w:style w:type="character" w:styleId="802">
    <w:name w:val="Caption Char"/>
    <w:basedOn w:val="801"/>
    <w:link w:val="799"/>
    <w:uiPriority w:val="99"/>
  </w:style>
  <w:style w:type="table" w:styleId="8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9">
    <w:name w:val="Hyperlink"/>
    <w:uiPriority w:val="99"/>
    <w:unhideWhenUsed/>
    <w:rPr>
      <w:color w:val="0000ff" w:themeColor="hyperlink"/>
      <w:u w:val="single"/>
    </w:rPr>
  </w:style>
  <w:style w:type="paragraph" w:styleId="930">
    <w:name w:val="footnote text"/>
    <w:basedOn w:val="947"/>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uiPriority w:val="99"/>
    <w:unhideWhenUsed/>
    <w:rPr>
      <w:vertAlign w:val="superscript"/>
    </w:rPr>
  </w:style>
  <w:style w:type="paragraph" w:styleId="933">
    <w:name w:val="endnote text"/>
    <w:basedOn w:val="947"/>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uiPriority w:val="99"/>
    <w:semiHidden/>
    <w:unhideWhenUsed/>
    <w:rPr>
      <w:vertAlign w:val="superscript"/>
    </w:rPr>
  </w:style>
  <w:style w:type="paragraph" w:styleId="936">
    <w:name w:val="toc 1"/>
    <w:basedOn w:val="947"/>
    <w:next w:val="947"/>
    <w:uiPriority w:val="39"/>
    <w:unhideWhenUsed/>
    <w:pPr>
      <w:ind w:left="0" w:right="0" w:firstLine="0"/>
      <w:spacing w:after="57"/>
    </w:pPr>
  </w:style>
  <w:style w:type="paragraph" w:styleId="937">
    <w:name w:val="toc 2"/>
    <w:basedOn w:val="947"/>
    <w:next w:val="947"/>
    <w:uiPriority w:val="39"/>
    <w:unhideWhenUsed/>
    <w:pPr>
      <w:ind w:left="283" w:right="0" w:firstLine="0"/>
      <w:spacing w:after="57"/>
    </w:pPr>
  </w:style>
  <w:style w:type="paragraph" w:styleId="938">
    <w:name w:val="toc 3"/>
    <w:basedOn w:val="947"/>
    <w:next w:val="947"/>
    <w:uiPriority w:val="39"/>
    <w:unhideWhenUsed/>
    <w:pPr>
      <w:ind w:left="567" w:right="0" w:firstLine="0"/>
      <w:spacing w:after="57"/>
    </w:pPr>
  </w:style>
  <w:style w:type="paragraph" w:styleId="939">
    <w:name w:val="toc 4"/>
    <w:basedOn w:val="947"/>
    <w:next w:val="947"/>
    <w:uiPriority w:val="39"/>
    <w:unhideWhenUsed/>
    <w:pPr>
      <w:ind w:left="850" w:right="0" w:firstLine="0"/>
      <w:spacing w:after="57"/>
    </w:pPr>
  </w:style>
  <w:style w:type="paragraph" w:styleId="940">
    <w:name w:val="toc 5"/>
    <w:basedOn w:val="947"/>
    <w:next w:val="947"/>
    <w:uiPriority w:val="39"/>
    <w:unhideWhenUsed/>
    <w:pPr>
      <w:ind w:left="1134" w:right="0" w:firstLine="0"/>
      <w:spacing w:after="57"/>
    </w:pPr>
  </w:style>
  <w:style w:type="paragraph" w:styleId="941">
    <w:name w:val="toc 6"/>
    <w:basedOn w:val="947"/>
    <w:next w:val="947"/>
    <w:uiPriority w:val="39"/>
    <w:unhideWhenUsed/>
    <w:pPr>
      <w:ind w:left="1417" w:right="0" w:firstLine="0"/>
      <w:spacing w:after="57"/>
    </w:pPr>
  </w:style>
  <w:style w:type="paragraph" w:styleId="942">
    <w:name w:val="toc 7"/>
    <w:basedOn w:val="947"/>
    <w:next w:val="947"/>
    <w:uiPriority w:val="39"/>
    <w:unhideWhenUsed/>
    <w:pPr>
      <w:ind w:left="1701" w:right="0" w:firstLine="0"/>
      <w:spacing w:after="57"/>
    </w:pPr>
  </w:style>
  <w:style w:type="paragraph" w:styleId="943">
    <w:name w:val="toc 8"/>
    <w:basedOn w:val="947"/>
    <w:next w:val="947"/>
    <w:uiPriority w:val="39"/>
    <w:unhideWhenUsed/>
    <w:pPr>
      <w:ind w:left="1984" w:right="0" w:firstLine="0"/>
      <w:spacing w:after="57"/>
    </w:pPr>
  </w:style>
  <w:style w:type="paragraph" w:styleId="944">
    <w:name w:val="toc 9"/>
    <w:basedOn w:val="947"/>
    <w:next w:val="947"/>
    <w:uiPriority w:val="39"/>
    <w:unhideWhenUsed/>
    <w:pPr>
      <w:ind w:left="2268" w:right="0" w:firstLine="0"/>
      <w:spacing w:after="57"/>
    </w:p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next w:val="947"/>
    <w:link w:val="947"/>
    <w:qFormat/>
    <w:pPr>
      <w:jc w:val="both"/>
      <w:widowControl w:val="off"/>
    </w:pPr>
    <w:rPr>
      <w:rFonts w:eastAsia="楷体_GB2312"/>
      <w:sz w:val="26"/>
      <w:lang w:val="en-US" w:eastAsia="zh-CN" w:bidi="ar-SA"/>
    </w:rPr>
  </w:style>
  <w:style w:type="paragraph" w:styleId="948">
    <w:name w:val="标题 1"/>
    <w:basedOn w:val="947"/>
    <w:next w:val="947"/>
    <w:link w:val="959"/>
    <w:qFormat/>
    <w:pPr>
      <w:keepLines/>
      <w:keepNext/>
      <w:spacing w:before="340" w:after="330" w:line="578" w:lineRule="auto"/>
      <w:outlineLvl w:val="0"/>
    </w:pPr>
    <w:rPr>
      <w:b/>
      <w:sz w:val="44"/>
    </w:rPr>
  </w:style>
  <w:style w:type="paragraph" w:styleId="949">
    <w:name w:val="标题 2"/>
    <w:basedOn w:val="947"/>
    <w:next w:val="947"/>
    <w:link w:val="960"/>
    <w:qFormat/>
    <w:pPr>
      <w:jc w:val="left"/>
      <w:keepLines/>
      <w:keepNext/>
      <w:outlineLvl w:val="1"/>
    </w:pPr>
    <w:rPr>
      <w:rFonts w:ascii="宋体" w:hAnsi="宋体"/>
      <w:b/>
    </w:rPr>
  </w:style>
  <w:style w:type="paragraph" w:styleId="950">
    <w:name w:val="标题 3"/>
    <w:basedOn w:val="947"/>
    <w:next w:val="947"/>
    <w:link w:val="961"/>
    <w:qFormat/>
    <w:pPr>
      <w:jc w:val="left"/>
      <w:keepLines/>
      <w:keepNext/>
      <w:outlineLvl w:val="2"/>
    </w:pPr>
    <w:rPr>
      <w:b/>
    </w:rPr>
  </w:style>
  <w:style w:type="paragraph" w:styleId="951">
    <w:name w:val="标题 4"/>
    <w:basedOn w:val="947"/>
    <w:next w:val="947"/>
    <w:link w:val="962"/>
    <w:qFormat/>
    <w:pPr>
      <w:keepLines/>
      <w:keepNext/>
      <w:spacing w:before="280" w:after="290" w:line="376" w:lineRule="auto"/>
      <w:outlineLvl w:val="3"/>
    </w:pPr>
    <w:rPr>
      <w:rFonts w:ascii="Arial" w:hAnsi="Arial" w:eastAsia="黑体"/>
      <w:b/>
      <w:bCs/>
      <w:sz w:val="28"/>
      <w:szCs w:val="28"/>
    </w:rPr>
  </w:style>
  <w:style w:type="paragraph" w:styleId="952">
    <w:name w:val="标题 5"/>
    <w:basedOn w:val="947"/>
    <w:next w:val="947"/>
    <w:link w:val="963"/>
    <w:qFormat/>
    <w:pPr>
      <w:jc w:val="left"/>
      <w:keepLines/>
      <w:keepNext/>
      <w:spacing w:before="280" w:after="290" w:line="376" w:lineRule="atLeast"/>
      <w:outlineLvl w:val="4"/>
    </w:pPr>
    <w:rPr>
      <w:rFonts w:ascii="宋体" w:hAnsi="Tms Rmn" w:eastAsia="宋体"/>
      <w:b/>
      <w:sz w:val="28"/>
    </w:rPr>
  </w:style>
  <w:style w:type="paragraph" w:styleId="953">
    <w:name w:val="标题 6"/>
    <w:basedOn w:val="947"/>
    <w:next w:val="947"/>
    <w:link w:val="964"/>
    <w:qFormat/>
    <w:pPr>
      <w:jc w:val="left"/>
      <w:keepLines/>
      <w:keepNext/>
      <w:spacing w:before="240" w:after="64" w:line="320" w:lineRule="atLeast"/>
      <w:outlineLvl w:val="5"/>
    </w:pPr>
    <w:rPr>
      <w:rFonts w:ascii="黑体" w:hAnsi="Tms Rmn" w:eastAsia="黑体"/>
      <w:b/>
      <w:sz w:val="24"/>
    </w:rPr>
  </w:style>
  <w:style w:type="paragraph" w:styleId="954">
    <w:name w:val="标题 7"/>
    <w:basedOn w:val="947"/>
    <w:next w:val="947"/>
    <w:link w:val="965"/>
    <w:qFormat/>
    <w:pPr>
      <w:jc w:val="left"/>
      <w:keepLines/>
      <w:keepNext/>
      <w:spacing w:before="240" w:after="64" w:line="320" w:lineRule="atLeast"/>
      <w:outlineLvl w:val="6"/>
    </w:pPr>
    <w:rPr>
      <w:rFonts w:ascii="宋体" w:hAnsi="Tms Rmn" w:eastAsia="宋体"/>
      <w:b/>
      <w:sz w:val="24"/>
    </w:rPr>
  </w:style>
  <w:style w:type="paragraph" w:styleId="955">
    <w:name w:val="标题 8"/>
    <w:basedOn w:val="947"/>
    <w:next w:val="947"/>
    <w:link w:val="966"/>
    <w:qFormat/>
    <w:pPr>
      <w:keepLines/>
      <w:keepNext/>
      <w:spacing w:before="240" w:after="64" w:line="320" w:lineRule="auto"/>
      <w:outlineLvl w:val="7"/>
    </w:pPr>
    <w:rPr>
      <w:rFonts w:ascii="Arial" w:hAnsi="Arial" w:eastAsia="黑体"/>
      <w:sz w:val="24"/>
      <w:szCs w:val="24"/>
    </w:rPr>
  </w:style>
  <w:style w:type="paragraph" w:styleId="956">
    <w:name w:val="标题 9"/>
    <w:basedOn w:val="947"/>
    <w:next w:val="947"/>
    <w:link w:val="967"/>
    <w:qFormat/>
    <w:pPr>
      <w:keepLines/>
      <w:keepNext/>
      <w:spacing w:before="240" w:after="64" w:line="320" w:lineRule="auto"/>
      <w:outlineLvl w:val="8"/>
    </w:pPr>
    <w:rPr>
      <w:rFonts w:ascii="Arial" w:hAnsi="Arial" w:eastAsia="黑体"/>
      <w:sz w:val="24"/>
      <w:szCs w:val="21"/>
    </w:rPr>
  </w:style>
  <w:style w:type="character" w:styleId="957">
    <w:name w:val="默认段落字体"/>
    <w:next w:val="957"/>
    <w:link w:val="947"/>
    <w:rPr>
      <w:rFonts w:ascii="Tahoma" w:hAnsi="Tahoma" w:eastAsia="宋体"/>
      <w:sz w:val="24"/>
    </w:rPr>
  </w:style>
  <w:style w:type="table" w:styleId="958">
    <w:name w:val="普通表格"/>
    <w:next w:val="958"/>
    <w:link w:val="947"/>
    <w:uiPriority w:val="99"/>
    <w:unhideWhenUsed/>
    <w:tblPr/>
  </w:style>
  <w:style w:type="character" w:styleId="959">
    <w:name w:val="标题 1 字符"/>
    <w:next w:val="959"/>
    <w:link w:val="948"/>
    <w:rPr>
      <w:rFonts w:ascii="Times New Roman" w:hAnsi="Times New Roman" w:eastAsia="楷体_GB2312" w:cs="Times New Roman"/>
      <w:b/>
      <w:sz w:val="44"/>
      <w:szCs w:val="20"/>
    </w:rPr>
  </w:style>
  <w:style w:type="character" w:styleId="960">
    <w:name w:val="标题 2 字符"/>
    <w:next w:val="960"/>
    <w:link w:val="949"/>
    <w:rPr>
      <w:rFonts w:ascii="宋体" w:hAnsi="宋体" w:eastAsia="楷体_GB2312" w:cs="Times New Roman"/>
      <w:b/>
      <w:sz w:val="26"/>
      <w:szCs w:val="20"/>
    </w:rPr>
  </w:style>
  <w:style w:type="character" w:styleId="961">
    <w:name w:val="标题 3 字符"/>
    <w:next w:val="961"/>
    <w:link w:val="950"/>
    <w:rPr>
      <w:rFonts w:ascii="Times New Roman" w:hAnsi="Times New Roman" w:eastAsia="楷体_GB2312" w:cs="Times New Roman"/>
      <w:b/>
      <w:sz w:val="26"/>
      <w:szCs w:val="20"/>
    </w:rPr>
  </w:style>
  <w:style w:type="character" w:styleId="962">
    <w:name w:val="标题 4 字符"/>
    <w:next w:val="962"/>
    <w:link w:val="951"/>
    <w:rPr>
      <w:rFonts w:ascii="Arial" w:hAnsi="Arial" w:eastAsia="黑体" w:cs="Times New Roman"/>
      <w:b/>
      <w:bCs/>
      <w:sz w:val="28"/>
      <w:szCs w:val="28"/>
    </w:rPr>
  </w:style>
  <w:style w:type="character" w:styleId="963">
    <w:name w:val="标题 5 字符"/>
    <w:next w:val="963"/>
    <w:link w:val="952"/>
    <w:rPr>
      <w:rFonts w:ascii="宋体" w:hAnsi="Tms Rmn" w:eastAsia="宋体" w:cs="Times New Roman"/>
      <w:b/>
      <w:sz w:val="28"/>
      <w:szCs w:val="20"/>
    </w:rPr>
  </w:style>
  <w:style w:type="character" w:styleId="964">
    <w:name w:val="标题 6 字符"/>
    <w:next w:val="964"/>
    <w:link w:val="953"/>
    <w:rPr>
      <w:rFonts w:ascii="黑体" w:hAnsi="Tms Rmn" w:eastAsia="黑体" w:cs="Times New Roman"/>
      <w:b/>
      <w:sz w:val="24"/>
      <w:szCs w:val="20"/>
    </w:rPr>
  </w:style>
  <w:style w:type="character" w:styleId="965">
    <w:name w:val="标题 7 字符"/>
    <w:next w:val="965"/>
    <w:link w:val="954"/>
    <w:rPr>
      <w:rFonts w:ascii="宋体" w:hAnsi="Tms Rmn" w:eastAsia="宋体" w:cs="Times New Roman"/>
      <w:b/>
      <w:sz w:val="24"/>
      <w:szCs w:val="20"/>
    </w:rPr>
  </w:style>
  <w:style w:type="character" w:styleId="966">
    <w:name w:val="标题 8 字符"/>
    <w:next w:val="966"/>
    <w:link w:val="955"/>
    <w:rPr>
      <w:rFonts w:ascii="Arial" w:hAnsi="Arial" w:eastAsia="黑体" w:cs="Times New Roman"/>
      <w:sz w:val="24"/>
      <w:szCs w:val="24"/>
    </w:rPr>
  </w:style>
  <w:style w:type="character" w:styleId="967">
    <w:name w:val="标题 9 字符"/>
    <w:next w:val="967"/>
    <w:link w:val="956"/>
    <w:rPr>
      <w:rFonts w:ascii="Arial" w:hAnsi="Arial" w:eastAsia="黑体" w:cs="Times New Roman"/>
      <w:sz w:val="24"/>
      <w:szCs w:val="21"/>
    </w:rPr>
  </w:style>
  <w:style w:type="paragraph" w:styleId="968">
    <w:name w:val="目录 7"/>
    <w:basedOn w:val="948"/>
    <w:next w:val="947"/>
    <w:link w:val="947"/>
    <w:pPr>
      <w:ind w:left="2520"/>
    </w:pPr>
  </w:style>
  <w:style w:type="paragraph" w:styleId="969">
    <w:name w:val="索引 8"/>
    <w:basedOn w:val="947"/>
    <w:next w:val="947"/>
    <w:link w:val="947"/>
    <w:pPr>
      <w:ind w:left="2940"/>
    </w:pPr>
  </w:style>
  <w:style w:type="paragraph" w:styleId="970">
    <w:name w:val="列表编号"/>
    <w:basedOn w:val="947"/>
    <w:next w:val="970"/>
    <w:link w:val="947"/>
    <w:pPr>
      <w:ind w:left="1125" w:hanging="555"/>
      <w:tabs>
        <w:tab w:val="left" w:pos="1125" w:leader="none"/>
      </w:tabs>
    </w:pPr>
    <w:rPr>
      <w:rFonts w:eastAsia="宋体"/>
      <w:sz w:val="21"/>
      <w:szCs w:val="24"/>
    </w:rPr>
  </w:style>
  <w:style w:type="paragraph" w:styleId="971">
    <w:name w:val="正文缩进"/>
    <w:basedOn w:val="947"/>
    <w:next w:val="947"/>
    <w:link w:val="972"/>
    <w:qFormat/>
    <w:pPr>
      <w:ind w:firstLine="420"/>
      <w:jc w:val="left"/>
    </w:pPr>
    <w:rPr>
      <w:sz w:val="24"/>
    </w:rPr>
  </w:style>
  <w:style w:type="character" w:styleId="972">
    <w:name w:val="正文缩进 字符"/>
    <w:next w:val="972"/>
    <w:link w:val="971"/>
    <w:qFormat/>
    <w:rPr>
      <w:rFonts w:eastAsia="楷体_GB2312"/>
      <w:sz w:val="24"/>
    </w:rPr>
  </w:style>
  <w:style w:type="paragraph" w:styleId="973">
    <w:name w:val="索引 5"/>
    <w:basedOn w:val="947"/>
    <w:next w:val="947"/>
    <w:link w:val="947"/>
    <w:pPr>
      <w:ind w:left="1680"/>
    </w:pPr>
  </w:style>
  <w:style w:type="paragraph" w:styleId="974">
    <w:name w:val="文档结构图"/>
    <w:basedOn w:val="947"/>
    <w:next w:val="974"/>
    <w:link w:val="975"/>
    <w:pPr>
      <w:shd w:val="clear" w:color="auto" w:fill="000080"/>
    </w:pPr>
    <w:rPr>
      <w:rFonts w:eastAsia="宋体"/>
      <w:sz w:val="24"/>
      <w:shd w:val="clear" w:color="auto" w:fill="000080"/>
    </w:rPr>
  </w:style>
  <w:style w:type="character" w:styleId="975">
    <w:name w:val="文档结构图 字符"/>
    <w:next w:val="975"/>
    <w:link w:val="974"/>
    <w:rPr>
      <w:rFonts w:ascii="Times New Roman" w:hAnsi="Times New Roman" w:eastAsia="宋体" w:cs="Times New Roman"/>
      <w:sz w:val="24"/>
      <w:szCs w:val="20"/>
      <w:shd w:val="clear" w:color="auto" w:fill="000080"/>
    </w:rPr>
  </w:style>
  <w:style w:type="paragraph" w:styleId="976">
    <w:name w:val="批注文字"/>
    <w:basedOn w:val="947"/>
    <w:next w:val="976"/>
    <w:link w:val="977"/>
    <w:pPr>
      <w:jc w:val="left"/>
    </w:pPr>
  </w:style>
  <w:style w:type="character" w:styleId="977">
    <w:name w:val="批注文字 字符1"/>
    <w:next w:val="977"/>
    <w:link w:val="976"/>
    <w:rPr>
      <w:rFonts w:ascii="Times New Roman" w:hAnsi="Times New Roman" w:eastAsia="楷体_GB2312" w:cs="Times New Roman"/>
      <w:sz w:val="26"/>
      <w:szCs w:val="20"/>
    </w:rPr>
  </w:style>
  <w:style w:type="paragraph" w:styleId="978">
    <w:name w:val="索引 6"/>
    <w:basedOn w:val="947"/>
    <w:next w:val="947"/>
    <w:link w:val="947"/>
    <w:pPr>
      <w:ind w:left="2100"/>
    </w:pPr>
  </w:style>
  <w:style w:type="paragraph" w:styleId="979">
    <w:name w:val="正文文本"/>
    <w:basedOn w:val="947"/>
    <w:next w:val="979"/>
    <w:link w:val="980"/>
    <w:pPr>
      <w:spacing w:line="400" w:lineRule="exact"/>
    </w:pPr>
    <w:rPr>
      <w:rFonts w:ascii="楷体_GB2312"/>
      <w:sz w:val="28"/>
    </w:rPr>
  </w:style>
  <w:style w:type="character" w:styleId="980">
    <w:name w:val="正文文本 字符"/>
    <w:next w:val="980"/>
    <w:link w:val="979"/>
    <w:rPr>
      <w:rFonts w:ascii="楷体_GB2312" w:hAnsi="Times New Roman" w:eastAsia="楷体_GB2312" w:cs="Times New Roman"/>
      <w:sz w:val="28"/>
      <w:szCs w:val="20"/>
    </w:rPr>
  </w:style>
  <w:style w:type="paragraph" w:styleId="981">
    <w:name w:val="正文文本缩进"/>
    <w:basedOn w:val="947"/>
    <w:next w:val="947"/>
    <w:link w:val="982"/>
    <w:pPr>
      <w:ind w:left="570"/>
      <w:spacing w:line="520" w:lineRule="exact"/>
    </w:pPr>
    <w:rPr>
      <w:rFonts w:ascii="方正仿宋简体" w:hAnsi="创艺简仿宋" w:eastAsia="方正仿宋简体"/>
      <w:sz w:val="24"/>
    </w:rPr>
  </w:style>
  <w:style w:type="character" w:styleId="982">
    <w:name w:val="正文文本缩进 字符"/>
    <w:next w:val="982"/>
    <w:link w:val="981"/>
    <w:rPr>
      <w:rFonts w:ascii="方正仿宋简体" w:hAnsi="创艺简仿宋" w:eastAsia="方正仿宋简体" w:cs="Times New Roman"/>
      <w:sz w:val="24"/>
      <w:szCs w:val="20"/>
    </w:rPr>
  </w:style>
  <w:style w:type="paragraph" w:styleId="983">
    <w:name w:val="列表 2"/>
    <w:basedOn w:val="948"/>
    <w:next w:val="968"/>
    <w:link w:val="947"/>
    <w:qFormat/>
    <w:pPr>
      <w:ind w:left="100" w:firstLine="3640"/>
      <w:spacing w:before="0" w:after="0" w:line="240" w:lineRule="auto"/>
    </w:pPr>
    <w:rPr>
      <w:rFonts w:ascii="Times New Roman" w:hAnsi="Times New Roman" w:cs="Times New Roman"/>
    </w:rPr>
  </w:style>
  <w:style w:type="paragraph" w:styleId="984">
    <w:name w:val="文本块"/>
    <w:basedOn w:val="947"/>
    <w:next w:val="984"/>
    <w:link w:val="947"/>
    <w:pPr>
      <w:ind w:left="630" w:right="-609" w:firstLine="420"/>
      <w:spacing w:line="360" w:lineRule="auto"/>
    </w:pPr>
    <w:rPr>
      <w:rFonts w:ascii="仿宋_GB2312" w:eastAsia="仿宋_GB2312"/>
      <w:sz w:val="21"/>
    </w:rPr>
  </w:style>
  <w:style w:type="paragraph" w:styleId="985">
    <w:name w:val="索引 4"/>
    <w:basedOn w:val="947"/>
    <w:next w:val="947"/>
    <w:link w:val="947"/>
    <w:pPr>
      <w:ind w:left="1260"/>
    </w:pPr>
  </w:style>
  <w:style w:type="paragraph" w:styleId="986">
    <w:name w:val="目录 5"/>
    <w:basedOn w:val="947"/>
    <w:next w:val="947"/>
    <w:link w:val="947"/>
    <w:pPr>
      <w:ind w:left="1680"/>
    </w:pPr>
  </w:style>
  <w:style w:type="paragraph" w:styleId="987">
    <w:name w:val="目录 3"/>
    <w:basedOn w:val="947"/>
    <w:next w:val="947"/>
    <w:link w:val="947"/>
    <w:pPr>
      <w:ind w:left="840"/>
    </w:pPr>
  </w:style>
  <w:style w:type="paragraph" w:styleId="988">
    <w:name w:val="纯文本"/>
    <w:basedOn w:val="947"/>
    <w:next w:val="988"/>
    <w:link w:val="989"/>
    <w:qFormat/>
    <w:rPr>
      <w:rFonts w:ascii="宋体" w:hAnsi="Courier New"/>
    </w:rPr>
  </w:style>
  <w:style w:type="character" w:styleId="989">
    <w:name w:val="纯文本 字符"/>
    <w:next w:val="989"/>
    <w:link w:val="988"/>
    <w:qFormat/>
    <w:rPr>
      <w:rFonts w:ascii="宋体" w:hAnsi="Courier New" w:eastAsia="楷体_GB2312"/>
      <w:sz w:val="26"/>
    </w:rPr>
  </w:style>
  <w:style w:type="paragraph" w:styleId="990">
    <w:name w:val="目录 8"/>
    <w:basedOn w:val="947"/>
    <w:next w:val="947"/>
    <w:link w:val="947"/>
    <w:pPr>
      <w:ind w:left="2940"/>
    </w:pPr>
  </w:style>
  <w:style w:type="paragraph" w:styleId="991">
    <w:name w:val="索引 3"/>
    <w:basedOn w:val="947"/>
    <w:next w:val="947"/>
    <w:link w:val="947"/>
    <w:pPr>
      <w:ind w:left="840"/>
    </w:pPr>
  </w:style>
  <w:style w:type="paragraph" w:styleId="992">
    <w:name w:val="日期"/>
    <w:basedOn w:val="947"/>
    <w:next w:val="947"/>
    <w:link w:val="993"/>
    <w:rPr>
      <w:rFonts w:ascii="宋体" w:hAnsi="宋体"/>
      <w:sz w:val="24"/>
    </w:rPr>
  </w:style>
  <w:style w:type="character" w:styleId="993">
    <w:name w:val="日期 字符"/>
    <w:next w:val="993"/>
    <w:link w:val="992"/>
    <w:rPr>
      <w:rFonts w:ascii="宋体" w:hAnsi="宋体" w:eastAsia="楷体_GB2312" w:cs="Times New Roman"/>
      <w:sz w:val="24"/>
      <w:szCs w:val="20"/>
    </w:rPr>
  </w:style>
  <w:style w:type="paragraph" w:styleId="994">
    <w:name w:val="正文文本缩进 2"/>
    <w:basedOn w:val="947"/>
    <w:next w:val="994"/>
    <w:link w:val="995"/>
    <w:pPr>
      <w:ind w:firstLine="502"/>
      <w:spacing w:line="360" w:lineRule="auto"/>
      <w:tabs>
        <w:tab w:val="left" w:pos="0" w:leader="none"/>
      </w:tabs>
    </w:pPr>
    <w:rPr>
      <w:rFonts w:ascii="宋体" w:eastAsia="宋体"/>
      <w:b/>
      <w:bCs/>
      <w:sz w:val="24"/>
    </w:rPr>
  </w:style>
  <w:style w:type="character" w:styleId="995">
    <w:name w:val="正文文本缩进 2 字符"/>
    <w:next w:val="995"/>
    <w:link w:val="994"/>
    <w:rPr>
      <w:rFonts w:ascii="宋体" w:hAnsi="Times New Roman" w:eastAsia="宋体" w:cs="Times New Roman"/>
      <w:b/>
      <w:bCs/>
      <w:sz w:val="24"/>
      <w:szCs w:val="20"/>
    </w:rPr>
  </w:style>
  <w:style w:type="paragraph" w:styleId="996">
    <w:name w:val="批注框文本"/>
    <w:basedOn w:val="947"/>
    <w:next w:val="996"/>
    <w:link w:val="997"/>
    <w:rPr>
      <w:sz w:val="18"/>
      <w:szCs w:val="18"/>
    </w:rPr>
  </w:style>
  <w:style w:type="character" w:styleId="997">
    <w:name w:val="批注框文本 字符"/>
    <w:next w:val="997"/>
    <w:link w:val="996"/>
    <w:rPr>
      <w:rFonts w:ascii="Times New Roman" w:hAnsi="Times New Roman" w:eastAsia="楷体_GB2312" w:cs="Times New Roman"/>
      <w:sz w:val="18"/>
      <w:szCs w:val="18"/>
    </w:rPr>
  </w:style>
  <w:style w:type="paragraph" w:styleId="998">
    <w:name w:val="页脚"/>
    <w:basedOn w:val="947"/>
    <w:next w:val="998"/>
    <w:link w:val="999"/>
    <w:uiPriority w:val="99"/>
    <w:pPr>
      <w:jc w:val="left"/>
      <w:tabs>
        <w:tab w:val="center" w:pos="4153" w:leader="none"/>
        <w:tab w:val="right" w:pos="8306" w:leader="none"/>
      </w:tabs>
    </w:pPr>
    <w:rPr>
      <w:rFonts w:ascii="Tahoma" w:hAnsi="Tahoma" w:eastAsia="宋体"/>
      <w:sz w:val="18"/>
      <w:szCs w:val="18"/>
    </w:rPr>
  </w:style>
  <w:style w:type="character" w:styleId="999">
    <w:name w:val="页脚 字符"/>
    <w:next w:val="999"/>
    <w:link w:val="998"/>
    <w:uiPriority w:val="99"/>
    <w:rPr>
      <w:rFonts w:ascii="Tahoma" w:hAnsi="Tahoma" w:eastAsia="宋体"/>
      <w:sz w:val="18"/>
      <w:szCs w:val="18"/>
    </w:rPr>
  </w:style>
  <w:style w:type="paragraph" w:styleId="1000">
    <w:name w:val="寄信人地址"/>
    <w:basedOn w:val="947"/>
    <w:next w:val="1000"/>
    <w:link w:val="947"/>
    <w:qFormat/>
    <w:rPr>
      <w:rFonts w:ascii="Arial" w:hAnsi="Arial"/>
    </w:rPr>
  </w:style>
  <w:style w:type="paragraph" w:styleId="1001">
    <w:name w:val="页眉"/>
    <w:basedOn w:val="947"/>
    <w:next w:val="1001"/>
    <w:link w:val="1002"/>
    <w:qFormat/>
    <w:pPr>
      <w:jc w:val="center"/>
      <w:tabs>
        <w:tab w:val="center" w:pos="4153" w:leader="none"/>
        <w:tab w:val="right" w:pos="8306" w:leader="none"/>
      </w:tabs>
      <w:pBdr>
        <w:bottom w:val="single" w:color="000000" w:sz="6" w:space="1"/>
      </w:pBdr>
    </w:pPr>
    <w:rPr>
      <w:rFonts w:ascii="Tahoma" w:hAnsi="Tahoma" w:eastAsia="宋体"/>
      <w:sz w:val="18"/>
      <w:szCs w:val="18"/>
    </w:rPr>
  </w:style>
  <w:style w:type="character" w:styleId="1002">
    <w:name w:val="页眉 字符"/>
    <w:next w:val="1002"/>
    <w:link w:val="1001"/>
    <w:qFormat/>
    <w:rPr>
      <w:rFonts w:ascii="Tahoma" w:hAnsi="Tahoma" w:eastAsia="宋体"/>
      <w:sz w:val="18"/>
      <w:szCs w:val="18"/>
    </w:rPr>
  </w:style>
  <w:style w:type="paragraph" w:styleId="1003">
    <w:name w:val="目录 1"/>
    <w:basedOn w:val="947"/>
    <w:next w:val="947"/>
    <w:link w:val="947"/>
    <w:pPr>
      <w:ind w:firstLine="751"/>
      <w:jc w:val="left"/>
      <w:spacing w:line="360" w:lineRule="auto"/>
      <w:tabs>
        <w:tab w:val="right" w:pos="9538" w:leader="dot"/>
      </w:tabs>
    </w:pPr>
    <w:rPr>
      <w:sz w:val="24"/>
    </w:rPr>
  </w:style>
  <w:style w:type="paragraph" w:styleId="1004">
    <w:name w:val="目录 4"/>
    <w:basedOn w:val="947"/>
    <w:next w:val="947"/>
    <w:link w:val="947"/>
    <w:pPr>
      <w:ind w:left="1260"/>
    </w:pPr>
  </w:style>
  <w:style w:type="paragraph" w:styleId="1005">
    <w:name w:val="索引标题"/>
    <w:basedOn w:val="947"/>
    <w:next w:val="1006"/>
    <w:link w:val="947"/>
  </w:style>
  <w:style w:type="paragraph" w:styleId="1006">
    <w:name w:val="索引 1"/>
    <w:basedOn w:val="947"/>
    <w:next w:val="947"/>
    <w:link w:val="947"/>
  </w:style>
  <w:style w:type="paragraph" w:styleId="1007">
    <w:name w:val="脚注文本"/>
    <w:basedOn w:val="947"/>
    <w:next w:val="1007"/>
    <w:link w:val="1008"/>
    <w:pPr>
      <w:jc w:val="left"/>
    </w:pPr>
    <w:rPr>
      <w:sz w:val="18"/>
    </w:rPr>
  </w:style>
  <w:style w:type="character" w:styleId="1008">
    <w:name w:val="脚注文本 字符"/>
    <w:next w:val="1008"/>
    <w:link w:val="1007"/>
    <w:rPr>
      <w:rFonts w:ascii="Times New Roman" w:hAnsi="Times New Roman" w:eastAsia="楷体_GB2312" w:cs="Times New Roman"/>
      <w:sz w:val="18"/>
      <w:szCs w:val="20"/>
    </w:rPr>
  </w:style>
  <w:style w:type="paragraph" w:styleId="1009">
    <w:name w:val="目录 6"/>
    <w:basedOn w:val="947"/>
    <w:next w:val="947"/>
    <w:link w:val="947"/>
    <w:pPr>
      <w:ind w:left="2100"/>
    </w:pPr>
  </w:style>
  <w:style w:type="paragraph" w:styleId="1010">
    <w:name w:val="正文文本缩进 3"/>
    <w:basedOn w:val="947"/>
    <w:next w:val="1010"/>
    <w:link w:val="1011"/>
    <w:pPr>
      <w:ind w:firstLine="617"/>
      <w:spacing w:line="360" w:lineRule="auto"/>
    </w:pPr>
    <w:rPr>
      <w:rFonts w:eastAsia="宋体"/>
      <w:sz w:val="24"/>
      <w:szCs w:val="24"/>
    </w:rPr>
  </w:style>
  <w:style w:type="character" w:styleId="1011">
    <w:name w:val="正文文本缩进 3 字符"/>
    <w:next w:val="1011"/>
    <w:link w:val="1010"/>
    <w:rPr>
      <w:rFonts w:ascii="Times New Roman" w:hAnsi="Times New Roman" w:eastAsia="宋体" w:cs="Times New Roman"/>
      <w:sz w:val="24"/>
      <w:szCs w:val="24"/>
    </w:rPr>
  </w:style>
  <w:style w:type="paragraph" w:styleId="1012">
    <w:name w:val="索引 7"/>
    <w:basedOn w:val="947"/>
    <w:next w:val="947"/>
    <w:link w:val="947"/>
    <w:pPr>
      <w:ind w:left="2520"/>
    </w:pPr>
  </w:style>
  <w:style w:type="paragraph" w:styleId="1013">
    <w:name w:val="索引 9"/>
    <w:basedOn w:val="947"/>
    <w:next w:val="947"/>
    <w:link w:val="947"/>
    <w:pPr>
      <w:ind w:left="3360"/>
    </w:pPr>
  </w:style>
  <w:style w:type="paragraph" w:styleId="1014">
    <w:name w:val="图表目录"/>
    <w:basedOn w:val="947"/>
    <w:next w:val="947"/>
    <w:link w:val="947"/>
    <w:pPr>
      <w:ind w:left="420" w:hanging="420"/>
      <w:jc w:val="left"/>
    </w:pPr>
    <w:rPr>
      <w:smallCaps/>
      <w:sz w:val="24"/>
    </w:rPr>
  </w:style>
  <w:style w:type="paragraph" w:styleId="1015">
    <w:name w:val="目录 2"/>
    <w:basedOn w:val="947"/>
    <w:next w:val="947"/>
    <w:link w:val="947"/>
    <w:pPr>
      <w:ind w:left="420"/>
    </w:pPr>
  </w:style>
  <w:style w:type="paragraph" w:styleId="1016">
    <w:name w:val="目录 9"/>
    <w:basedOn w:val="947"/>
    <w:next w:val="947"/>
    <w:link w:val="947"/>
    <w:pPr>
      <w:ind w:left="3360"/>
    </w:pPr>
  </w:style>
  <w:style w:type="paragraph" w:styleId="1017">
    <w:name w:val="HTML 预设格式"/>
    <w:basedOn w:val="947"/>
    <w:next w:val="1017"/>
    <w:link w:val="101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18">
    <w:name w:val="HTML 预设格式 字符"/>
    <w:next w:val="1018"/>
    <w:link w:val="1017"/>
    <w:rPr>
      <w:rFonts w:ascii="黑体" w:hAnsi="Courier New" w:eastAsia="黑体" w:cs="楷体_GB2312"/>
      <w:sz w:val="20"/>
      <w:szCs w:val="20"/>
    </w:rPr>
  </w:style>
  <w:style w:type="paragraph" w:styleId="1019">
    <w:name w:val="普通(网站)"/>
    <w:basedOn w:val="947"/>
    <w:next w:val="1019"/>
    <w:link w:val="947"/>
    <w:uiPriority w:val="99"/>
    <w:qFormat/>
    <w:pPr>
      <w:jc w:val="left"/>
      <w:spacing w:before="100" w:beforeAutospacing="1" w:after="100" w:afterAutospacing="1"/>
      <w:widowControl/>
    </w:pPr>
    <w:rPr>
      <w:rFonts w:hint="eastAsia" w:ascii="宋体" w:hAnsi="宋体" w:eastAsia="宋体"/>
      <w:sz w:val="24"/>
      <w:szCs w:val="24"/>
    </w:rPr>
  </w:style>
  <w:style w:type="paragraph" w:styleId="1020">
    <w:name w:val="索引 2"/>
    <w:basedOn w:val="947"/>
    <w:next w:val="947"/>
    <w:link w:val="947"/>
    <w:pPr>
      <w:ind w:left="420"/>
    </w:pPr>
  </w:style>
  <w:style w:type="paragraph" w:styleId="1021">
    <w:name w:val="批注主题"/>
    <w:basedOn w:val="976"/>
    <w:next w:val="976"/>
    <w:link w:val="1022"/>
    <w:rPr>
      <w:b/>
      <w:bCs/>
    </w:rPr>
  </w:style>
  <w:style w:type="character" w:styleId="1022">
    <w:name w:val="批注主题 字符"/>
    <w:next w:val="1022"/>
    <w:link w:val="1021"/>
    <w:rPr>
      <w:rFonts w:ascii="Times New Roman" w:hAnsi="Times New Roman" w:eastAsia="楷体_GB2312" w:cs="Times New Roman"/>
      <w:b/>
      <w:bCs/>
      <w:sz w:val="26"/>
      <w:szCs w:val="20"/>
    </w:rPr>
  </w:style>
  <w:style w:type="paragraph" w:styleId="1023">
    <w:name w:val="正文首行缩进"/>
    <w:basedOn w:val="979"/>
    <w:next w:val="1023"/>
    <w:link w:val="1024"/>
    <w:pPr>
      <w:ind w:firstLine="420"/>
      <w:spacing w:after="120" w:line="240" w:lineRule="auto"/>
    </w:pPr>
    <w:rPr>
      <w:rFonts w:ascii="Times New Roman"/>
      <w:sz w:val="26"/>
    </w:rPr>
  </w:style>
  <w:style w:type="character" w:styleId="1024">
    <w:name w:val="正文文本首行缩进 字符"/>
    <w:next w:val="1024"/>
    <w:link w:val="1023"/>
    <w:rPr>
      <w:rFonts w:ascii="Times New Roman" w:hAnsi="Times New Roman" w:eastAsia="楷体_GB2312" w:cs="Times New Roman"/>
      <w:sz w:val="26"/>
      <w:szCs w:val="20"/>
    </w:rPr>
  </w:style>
  <w:style w:type="paragraph" w:styleId="1025">
    <w:name w:val="正文首行缩进 2"/>
    <w:basedOn w:val="981"/>
    <w:next w:val="1025"/>
    <w:link w:val="947"/>
    <w:qFormat/>
    <w:pPr>
      <w:ind w:firstLine="420"/>
    </w:pPr>
  </w:style>
  <w:style w:type="table" w:styleId="1026">
    <w:name w:val="网格型"/>
    <w:basedOn w:val="958"/>
    <w:next w:val="1026"/>
    <w:link w:val="947"/>
    <w:uiPriority w:val="59"/>
    <w:unhideWhenUsed/>
    <w:qFormat/>
    <w:pPr>
      <w:jc w:val="both"/>
      <w:widowControl w:val="off"/>
    </w:pPr>
    <w:tblPr/>
  </w:style>
  <w:style w:type="character" w:styleId="1027">
    <w:name w:val="要点"/>
    <w:next w:val="1027"/>
    <w:link w:val="947"/>
    <w:qFormat/>
    <w:rPr>
      <w:rFonts w:ascii="Tahoma" w:hAnsi="Tahoma" w:eastAsia="宋体"/>
      <w:b/>
      <w:sz w:val="24"/>
    </w:rPr>
  </w:style>
  <w:style w:type="character" w:styleId="1028">
    <w:name w:val="页码"/>
    <w:basedOn w:val="957"/>
    <w:next w:val="1028"/>
    <w:link w:val="947"/>
  </w:style>
  <w:style w:type="character" w:styleId="1029">
    <w:name w:val="强调"/>
    <w:next w:val="1029"/>
    <w:link w:val="947"/>
    <w:uiPriority w:val="20"/>
    <w:qFormat/>
    <w:rPr>
      <w:b/>
      <w:bCs/>
      <w:i w:val="0"/>
      <w:iCs w:val="0"/>
    </w:rPr>
  </w:style>
  <w:style w:type="character" w:styleId="1030">
    <w:name w:val="HTML 定义"/>
    <w:next w:val="1030"/>
    <w:link w:val="947"/>
    <w:uiPriority w:val="99"/>
    <w:unhideWhenUsed/>
    <w:rPr>
      <w:i w:val="0"/>
      <w:iCs w:val="0"/>
    </w:rPr>
  </w:style>
  <w:style w:type="character" w:styleId="1031">
    <w:name w:val="HTML 打字机"/>
    <w:next w:val="1031"/>
    <w:link w:val="947"/>
    <w:uiPriority w:val="99"/>
    <w:unhideWhenUsed/>
    <w:rPr>
      <w:rFonts w:ascii="monospace" w:hAnsi="monospace" w:eastAsia="monospace" w:cs="monospace"/>
      <w:sz w:val="20"/>
    </w:rPr>
  </w:style>
  <w:style w:type="character" w:styleId="1032">
    <w:name w:val="HTML 缩写"/>
    <w:next w:val="1032"/>
    <w:link w:val="947"/>
    <w:uiPriority w:val="99"/>
    <w:unhideWhenUsed/>
  </w:style>
  <w:style w:type="character" w:styleId="1033">
    <w:name w:val="HTML 变量"/>
    <w:next w:val="1033"/>
    <w:link w:val="947"/>
    <w:uiPriority w:val="99"/>
    <w:unhideWhenUsed/>
    <w:rPr>
      <w:i w:val="0"/>
      <w:iCs w:val="0"/>
    </w:rPr>
  </w:style>
  <w:style w:type="character" w:styleId="1034">
    <w:name w:val="超链接"/>
    <w:next w:val="1034"/>
    <w:link w:val="947"/>
    <w:rPr>
      <w:color w:val="0000ff"/>
      <w:u w:val="none"/>
    </w:rPr>
  </w:style>
  <w:style w:type="character" w:styleId="1035">
    <w:name w:val="HTML 代码"/>
    <w:next w:val="1035"/>
    <w:link w:val="947"/>
    <w:uiPriority w:val="99"/>
    <w:unhideWhenUsed/>
    <w:rPr>
      <w:rFonts w:ascii="monospace" w:hAnsi="monospace" w:eastAsia="monospace" w:cs="monospace"/>
      <w:i w:val="0"/>
      <w:iCs w:val="0"/>
      <w:sz w:val="20"/>
    </w:rPr>
  </w:style>
  <w:style w:type="character" w:styleId="1036">
    <w:name w:val="批注引用"/>
    <w:next w:val="1036"/>
    <w:link w:val="947"/>
    <w:rPr>
      <w:sz w:val="21"/>
      <w:szCs w:val="21"/>
    </w:rPr>
  </w:style>
  <w:style w:type="character" w:styleId="1037">
    <w:name w:val="HTML 引文"/>
    <w:next w:val="1037"/>
    <w:link w:val="947"/>
    <w:uiPriority w:val="99"/>
    <w:unhideWhenUsed/>
    <w:rPr>
      <w:i w:val="0"/>
      <w:iCs w:val="0"/>
    </w:rPr>
  </w:style>
  <w:style w:type="character" w:styleId="1038">
    <w:name w:val="脚注引用"/>
    <w:next w:val="1038"/>
    <w:link w:val="947"/>
    <w:rPr>
      <w:vertAlign w:val="superscript"/>
    </w:rPr>
  </w:style>
  <w:style w:type="character" w:styleId="1039">
    <w:name w:val="HTML 键盘"/>
    <w:next w:val="1039"/>
    <w:link w:val="947"/>
    <w:uiPriority w:val="99"/>
    <w:unhideWhenUsed/>
    <w:rPr>
      <w:rFonts w:ascii="monospace" w:hAnsi="monospace" w:eastAsia="monospace" w:cs="monospace"/>
      <w:sz w:val="20"/>
    </w:rPr>
  </w:style>
  <w:style w:type="character" w:styleId="1040">
    <w:name w:val="HTML 样本"/>
    <w:next w:val="1040"/>
    <w:link w:val="947"/>
    <w:uiPriority w:val="99"/>
    <w:unhideWhenUsed/>
    <w:rPr>
      <w:rFonts w:ascii="monospace" w:hAnsi="monospace" w:eastAsia="monospace" w:cs="monospace"/>
    </w:rPr>
  </w:style>
  <w:style w:type="paragraph" w:styleId="1041">
    <w:name w:val="正文1"/>
    <w:next w:val="947"/>
    <w:link w:val="947"/>
    <w:qFormat/>
    <w:pPr>
      <w:jc w:val="both"/>
      <w:spacing w:line="360" w:lineRule="atLeast"/>
      <w:widowControl w:val="off"/>
    </w:pPr>
    <w:rPr>
      <w:lang w:val="en-US" w:eastAsia="zh-CN" w:bidi="ar-SA"/>
    </w:rPr>
  </w:style>
  <w:style w:type="paragraph" w:styleId="1042">
    <w:name w:val="正文首行缩进 211"/>
    <w:basedOn w:val="1043"/>
    <w:next w:val="1042"/>
    <w:link w:val="947"/>
    <w:qFormat/>
    <w:pPr>
      <w:ind w:left="420"/>
      <w:spacing w:after="120" w:line="240" w:lineRule="auto"/>
    </w:pPr>
    <w:rPr>
      <w:rFonts w:ascii="Times New Roman" w:hAnsi="Times New Roman"/>
      <w:sz w:val="21"/>
      <w:szCs w:val="20"/>
      <w:lang w:val="en-US" w:eastAsia="zh-CN"/>
    </w:rPr>
  </w:style>
  <w:style w:type="paragraph" w:styleId="1043">
    <w:name w:val="正文文本缩进11"/>
    <w:basedOn w:val="947"/>
    <w:next w:val="947"/>
    <w:link w:val="947"/>
    <w:qFormat/>
    <w:pPr>
      <w:ind w:firstLine="420"/>
      <w:spacing w:line="360" w:lineRule="exact"/>
    </w:pPr>
    <w:rPr>
      <w:sz w:val="24"/>
    </w:rPr>
  </w:style>
  <w:style w:type="paragraph" w:styleId="1044">
    <w:name w:val="段"/>
    <w:next w:val="947"/>
    <w:link w:val="947"/>
    <w:uiPriority w:val="99"/>
    <w:pPr>
      <w:ind w:firstLine="200"/>
      <w:jc w:val="both"/>
      <w:spacing w:line="360" w:lineRule="auto"/>
    </w:pPr>
    <w:rPr>
      <w:rFonts w:ascii="宋体" w:hAnsi="Calibri"/>
      <w:sz w:val="24"/>
      <w:szCs w:val="22"/>
      <w:lang w:val="en-US" w:eastAsia="zh-CN" w:bidi="ar-SA"/>
    </w:rPr>
  </w:style>
  <w:style w:type="character" w:styleId="1045">
    <w:name w:val="font121"/>
    <w:next w:val="1045"/>
    <w:link w:val="947"/>
    <w:rPr>
      <w:rFonts w:ascii="微软雅黑" w:hAnsi="微软雅黑" w:eastAsia="微软雅黑" w:cs="微软雅黑"/>
      <w:i w:val="0"/>
      <w:color w:val="000000"/>
      <w:sz w:val="21"/>
      <w:szCs w:val="21"/>
      <w:u w:val="none"/>
    </w:rPr>
  </w:style>
  <w:style w:type="character" w:styleId="1046">
    <w:name w:val="font91"/>
    <w:next w:val="1046"/>
    <w:link w:val="947"/>
    <w:rPr>
      <w:rFonts w:ascii="微软雅黑" w:hAnsi="微软雅黑" w:eastAsia="微软雅黑" w:cs="微软雅黑"/>
      <w:i w:val="0"/>
      <w:color w:val="ff0000"/>
      <w:sz w:val="21"/>
      <w:szCs w:val="21"/>
      <w:u w:val="none"/>
    </w:rPr>
  </w:style>
  <w:style w:type="character" w:styleId="1047">
    <w:name w:val="font191"/>
    <w:next w:val="1047"/>
    <w:link w:val="947"/>
    <w:rPr>
      <w:rFonts w:hint="eastAsia" w:ascii="宋体" w:hAnsi="宋体" w:eastAsia="宋体" w:cs="宋体"/>
      <w:i w:val="0"/>
      <w:color w:val="000000"/>
      <w:sz w:val="21"/>
      <w:szCs w:val="21"/>
      <w:u w:val="none"/>
    </w:rPr>
  </w:style>
  <w:style w:type="character" w:styleId="1048">
    <w:name w:val="纯文本 Char1"/>
    <w:next w:val="1048"/>
    <w:link w:val="947"/>
    <w:rPr>
      <w:rFonts w:ascii="宋体" w:hAnsi="Courier New" w:eastAsia="宋体" w:cs="Courier New"/>
      <w:sz w:val="24"/>
      <w:szCs w:val="21"/>
    </w:rPr>
  </w:style>
  <w:style w:type="character" w:styleId="1049">
    <w:name w:val="font161"/>
    <w:next w:val="1049"/>
    <w:link w:val="947"/>
    <w:rPr>
      <w:rFonts w:hint="eastAsia" w:ascii="宋体" w:hAnsi="宋体" w:eastAsia="宋体" w:cs="宋体"/>
      <w:i w:val="0"/>
      <w:color w:val="333333"/>
      <w:sz w:val="20"/>
      <w:szCs w:val="20"/>
      <w:u w:val="none"/>
    </w:rPr>
  </w:style>
  <w:style w:type="character" w:styleId="1050">
    <w:name w:val="font51"/>
    <w:next w:val="1050"/>
    <w:link w:val="947"/>
    <w:rPr>
      <w:rFonts w:ascii="Times New Roman" w:hAnsi="Times New Roman" w:eastAsia="宋体" w:cs="Times New Roman"/>
      <w:i w:val="0"/>
      <w:color w:val="000000"/>
      <w:sz w:val="21"/>
      <w:szCs w:val="21"/>
      <w:u w:val="none"/>
    </w:rPr>
  </w:style>
  <w:style w:type="character" w:styleId="1051">
    <w:name w:val="font101"/>
    <w:next w:val="1051"/>
    <w:link w:val="947"/>
    <w:rPr>
      <w:rFonts w:hint="eastAsia" w:ascii="宋体" w:hAnsi="宋体" w:eastAsia="宋体" w:cs="宋体"/>
      <w:i w:val="0"/>
      <w:color w:val="000000"/>
      <w:sz w:val="21"/>
      <w:szCs w:val="21"/>
      <w:u w:val="none"/>
    </w:rPr>
  </w:style>
  <w:style w:type="character" w:styleId="1052">
    <w:name w:val="font151"/>
    <w:next w:val="1052"/>
    <w:link w:val="947"/>
    <w:rPr>
      <w:rFonts w:ascii="Times New Roman" w:hAnsi="Times New Roman" w:eastAsia="宋体" w:cs="Times New Roman"/>
      <w:i w:val="0"/>
      <w:color w:val="dd0806"/>
      <w:sz w:val="21"/>
      <w:szCs w:val="21"/>
      <w:u w:val="none"/>
    </w:rPr>
  </w:style>
  <w:style w:type="character" w:styleId="1053">
    <w:name w:val="font31"/>
    <w:next w:val="1053"/>
    <w:link w:val="947"/>
    <w:rPr>
      <w:rFonts w:ascii="微软雅黑" w:hAnsi="微软雅黑" w:eastAsia="微软雅黑" w:cs="微软雅黑"/>
      <w:i w:val="0"/>
      <w:color w:val="000000"/>
      <w:sz w:val="21"/>
      <w:szCs w:val="21"/>
      <w:u w:val="none"/>
    </w:rPr>
  </w:style>
  <w:style w:type="character" w:styleId="1054">
    <w:name w:val="mini-outputtext1"/>
    <w:next w:val="1054"/>
    <w:link w:val="947"/>
  </w:style>
  <w:style w:type="character" w:styleId="1055">
    <w:name w:val="Plain Text Char1"/>
    <w:next w:val="1055"/>
    <w:link w:val="1056"/>
    <w:qFormat/>
    <w:rPr>
      <w:rFonts w:ascii="宋体" w:hAnsi="Courier New" w:eastAsia="楷体_GB2312"/>
      <w:sz w:val="26"/>
    </w:rPr>
  </w:style>
  <w:style w:type="paragraph" w:styleId="1056">
    <w:name w:val="纯文本1"/>
    <w:basedOn w:val="947"/>
    <w:next w:val="1056"/>
    <w:link w:val="1055"/>
    <w:qFormat/>
    <w:rPr>
      <w:rFonts w:ascii="宋体" w:hAnsi="Courier New"/>
    </w:rPr>
  </w:style>
  <w:style w:type="character" w:styleId="1057">
    <w:name w:val="font71"/>
    <w:next w:val="1057"/>
    <w:link w:val="947"/>
    <w:rPr>
      <w:rFonts w:ascii="Times New Roman" w:hAnsi="Times New Roman" w:eastAsia="宋体" w:cs="Times New Roman"/>
      <w:i w:val="0"/>
      <w:color w:val="000000"/>
      <w:sz w:val="21"/>
      <w:szCs w:val="21"/>
      <w:u w:val="none"/>
    </w:rPr>
  </w:style>
  <w:style w:type="character" w:styleId="1058">
    <w:name w:val="批注文字 字符"/>
    <w:next w:val="1058"/>
    <w:link w:val="947"/>
    <w:rPr>
      <w:rFonts w:ascii="Times New Roman" w:hAnsi="Times New Roman" w:eastAsia="楷体_GB2312" w:cs="Times New Roman"/>
      <w:sz w:val="26"/>
      <w:szCs w:val="20"/>
    </w:rPr>
  </w:style>
  <w:style w:type="character" w:styleId="1059">
    <w:name w:val="font81"/>
    <w:next w:val="1059"/>
    <w:link w:val="947"/>
    <w:rPr>
      <w:rFonts w:ascii="微软雅黑" w:hAnsi="微软雅黑" w:eastAsia="微软雅黑" w:cs="微软雅黑"/>
      <w:i w:val="0"/>
      <w:color w:val="000000"/>
      <w:sz w:val="21"/>
      <w:szCs w:val="21"/>
      <w:u w:val="none"/>
    </w:rPr>
  </w:style>
  <w:style w:type="character" w:styleId="1060">
    <w:name w:val="font181"/>
    <w:next w:val="1060"/>
    <w:link w:val="947"/>
    <w:rPr>
      <w:rFonts w:ascii="Times New Roman" w:hAnsi="Times New Roman" w:eastAsia="宋体" w:cs="Times New Roman"/>
      <w:i w:val="0"/>
      <w:color w:val="000000"/>
      <w:sz w:val="21"/>
      <w:szCs w:val="21"/>
      <w:u w:val="none"/>
      <w:vertAlign w:val="subscript"/>
    </w:rPr>
  </w:style>
  <w:style w:type="character" w:styleId="1061">
    <w:name w:val="apple-style-span"/>
    <w:next w:val="1061"/>
    <w:link w:val="947"/>
  </w:style>
  <w:style w:type="character" w:styleId="1062">
    <w:name w:val="font21"/>
    <w:next w:val="1062"/>
    <w:link w:val="947"/>
    <w:rPr>
      <w:rFonts w:hint="eastAsia" w:ascii="宋体" w:hAnsi="宋体" w:eastAsia="宋体" w:cs="宋体"/>
      <w:b/>
      <w:i w:val="0"/>
      <w:color w:val="000000"/>
      <w:sz w:val="22"/>
      <w:szCs w:val="22"/>
      <w:u w:val="none"/>
    </w:rPr>
  </w:style>
  <w:style w:type="character" w:styleId="1063">
    <w:name w:val="hover2"/>
    <w:next w:val="1063"/>
    <w:link w:val="947"/>
    <w:rPr>
      <w:color w:val="2590eb"/>
    </w:rPr>
  </w:style>
  <w:style w:type="character" w:styleId="1064">
    <w:name w:val="font171"/>
    <w:next w:val="1064"/>
    <w:link w:val="947"/>
    <w:rPr>
      <w:rFonts w:ascii="微软雅黑" w:hAnsi="微软雅黑" w:eastAsia="微软雅黑" w:cs="微软雅黑"/>
      <w:i w:val="0"/>
      <w:color w:val="000000"/>
      <w:sz w:val="21"/>
      <w:szCs w:val="21"/>
      <w:u w:val="none"/>
    </w:rPr>
  </w:style>
  <w:style w:type="character" w:styleId="1065">
    <w:name w:val="font01"/>
    <w:next w:val="1065"/>
    <w:link w:val="947"/>
    <w:rPr>
      <w:rFonts w:hint="eastAsia" w:ascii="宋体" w:hAnsi="宋体" w:eastAsia="宋体" w:cs="宋体"/>
      <w:i w:val="0"/>
      <w:color w:val="333333"/>
      <w:sz w:val="24"/>
      <w:szCs w:val="24"/>
      <w:u w:val="none"/>
    </w:rPr>
  </w:style>
  <w:style w:type="character" w:styleId="1066">
    <w:name w:val="font131"/>
    <w:next w:val="1066"/>
    <w:link w:val="947"/>
    <w:rPr>
      <w:rFonts w:ascii="Times New Roman" w:hAnsi="Times New Roman" w:eastAsia="宋体" w:cs="Times New Roman"/>
      <w:i w:val="0"/>
      <w:color w:val="333333"/>
      <w:sz w:val="20"/>
      <w:szCs w:val="20"/>
      <w:u w:val="none"/>
    </w:rPr>
  </w:style>
  <w:style w:type="character" w:styleId="1067">
    <w:name w:val="font11"/>
    <w:next w:val="1067"/>
    <w:link w:val="947"/>
    <w:rPr>
      <w:rFonts w:hint="eastAsia" w:ascii="宋体" w:hAnsi="宋体" w:eastAsia="宋体" w:cs="宋体"/>
      <w:i w:val="0"/>
      <w:color w:val="000000"/>
      <w:sz w:val="24"/>
      <w:szCs w:val="24"/>
      <w:u w:val="none"/>
    </w:rPr>
  </w:style>
  <w:style w:type="character" w:styleId="1068">
    <w:name w:val="hover1"/>
    <w:next w:val="1068"/>
    <w:link w:val="947"/>
    <w:rPr>
      <w:color w:val="2590eb"/>
    </w:rPr>
  </w:style>
  <w:style w:type="character" w:styleId="1069">
    <w:name w:val="无间隔 字符"/>
    <w:next w:val="1069"/>
    <w:link w:val="1070"/>
    <w:rPr>
      <w:sz w:val="22"/>
      <w:szCs w:val="22"/>
      <w:lang w:val="en-US" w:eastAsia="en-US" w:bidi="ar-SA"/>
    </w:rPr>
  </w:style>
  <w:style w:type="paragraph" w:styleId="1070">
    <w:name w:val="无间隔"/>
    <w:next w:val="1070"/>
    <w:link w:val="1069"/>
    <w:qFormat/>
    <w:rPr>
      <w:sz w:val="22"/>
      <w:szCs w:val="22"/>
      <w:lang w:val="en-US" w:eastAsia="en-US" w:bidi="ar-SA"/>
    </w:rPr>
  </w:style>
  <w:style w:type="character" w:styleId="1071">
    <w:name w:val="hover"/>
    <w:next w:val="1071"/>
    <w:link w:val="947"/>
  </w:style>
  <w:style w:type="character" w:styleId="1072">
    <w:name w:val="font61"/>
    <w:next w:val="1072"/>
    <w:link w:val="947"/>
    <w:rPr>
      <w:rFonts w:ascii="Batang" w:hAnsi="Batang" w:eastAsia="Batang" w:cs="Batang"/>
      <w:i w:val="0"/>
      <w:color w:val="000000"/>
      <w:sz w:val="21"/>
      <w:szCs w:val="21"/>
      <w:u w:val="none"/>
    </w:rPr>
  </w:style>
  <w:style w:type="character" w:styleId="1073">
    <w:name w:val="表正文,正文非缩进,特点,缩进,ALT+Z,标题4,四号,正文小标题,段1,正文不缩进,正文顶格悬挂,正文缩进 Char1,正文缩进 Char Char,首行缩进,正文编号,正文（首行缩进两字） Char,正文缩进 Char,正文文字3,正文对齐,identication,水上软件,正文文字 Char,Normal Indent Char,表正文 Char,正文非缩进 Char,特点 Char,标题4 Char Char Char,body text,鋘drad,???änd,图表标题"/>
    <w:next w:val="1073"/>
    <w:link w:val="947"/>
    <w:qFormat/>
    <w:rPr>
      <w:rFonts w:ascii="楷体_GB2312" w:hAnsi="Tahoma" w:eastAsia="宋体"/>
      <w:sz w:val="21"/>
      <w:lang w:val="en-US" w:eastAsia="zh-CN" w:bidi="ar-SA"/>
    </w:rPr>
  </w:style>
  <w:style w:type="character" w:styleId="1074">
    <w:name w:val="font141"/>
    <w:next w:val="1074"/>
    <w:link w:val="947"/>
    <w:rPr>
      <w:rFonts w:ascii="Times New Roman" w:hAnsi="Times New Roman" w:eastAsia="宋体" w:cs="Times New Roman"/>
      <w:i w:val="0"/>
      <w:color w:val="000000"/>
      <w:sz w:val="21"/>
      <w:szCs w:val="21"/>
      <w:u w:val="none"/>
      <w:vertAlign w:val="superscript"/>
    </w:rPr>
  </w:style>
  <w:style w:type="character" w:styleId="1075">
    <w:name w:val="font111"/>
    <w:next w:val="1075"/>
    <w:link w:val="947"/>
    <w:rPr>
      <w:rFonts w:ascii="Times New Roman" w:hAnsi="Times New Roman" w:eastAsia="宋体" w:cs="Times New Roman"/>
      <w:i w:val="0"/>
      <w:color w:val="000000"/>
      <w:sz w:val="21"/>
      <w:szCs w:val="21"/>
      <w:u w:val="none"/>
      <w:vertAlign w:val="subscript"/>
    </w:rPr>
  </w:style>
  <w:style w:type="character" w:styleId="1076">
    <w:name w:val="font41"/>
    <w:next w:val="1076"/>
    <w:link w:val="947"/>
    <w:qFormat/>
    <w:rPr>
      <w:rFonts w:hint="eastAsia" w:ascii="宋体" w:hAnsi="宋体" w:eastAsia="宋体" w:cs="宋体"/>
      <w:color w:val="000000"/>
      <w:sz w:val="18"/>
      <w:szCs w:val="18"/>
      <w:u w:val="none"/>
    </w:rPr>
  </w:style>
  <w:style w:type="paragraph" w:styleId="1077">
    <w:name w:val="xl54"/>
    <w:basedOn w:val="947"/>
    <w:next w:val="1077"/>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8">
    <w:name w:val="Char Char Char1 Char Char Char Char"/>
    <w:basedOn w:val="947"/>
    <w:next w:val="1078"/>
    <w:link w:val="947"/>
    <w:pPr>
      <w:jc w:val="left"/>
      <w:spacing w:after="160" w:line="240" w:lineRule="exact"/>
      <w:widowControl/>
    </w:pPr>
    <w:rPr>
      <w:rFonts w:eastAsia="宋体"/>
      <w:sz w:val="24"/>
      <w:szCs w:val="24"/>
    </w:rPr>
  </w:style>
  <w:style w:type="paragraph" w:styleId="1079">
    <w:name w:val="纯文本4"/>
    <w:basedOn w:val="947"/>
    <w:next w:val="1079"/>
    <w:link w:val="947"/>
    <w:qFormat/>
    <w:rPr>
      <w:rFonts w:ascii="宋体" w:hAnsi="Courier New" w:eastAsia="楷体_GB2312"/>
      <w:sz w:val="26"/>
      <w:szCs w:val="20"/>
    </w:rPr>
  </w:style>
  <w:style w:type="paragraph" w:styleId="1080">
    <w:name w:val="Char Char1 Char Char Char Char Char Char Char Char Char Char Char Char Char Char Char Char"/>
    <w:basedOn w:val="947"/>
    <w:next w:val="1080"/>
    <w:link w:val="947"/>
    <w:pPr>
      <w:jc w:val="left"/>
      <w:spacing w:after="160" w:line="240" w:lineRule="exact"/>
      <w:widowControl/>
    </w:pPr>
    <w:rPr>
      <w:rFonts w:ascii="Verdana" w:hAnsi="Verdana" w:eastAsia="宋体"/>
      <w:sz w:val="20"/>
      <w:lang w:eastAsia="en-US"/>
    </w:rPr>
  </w:style>
  <w:style w:type="paragraph" w:styleId="1081">
    <w:name w:val="msolistparagraph"/>
    <w:basedOn w:val="947"/>
    <w:next w:val="1081"/>
    <w:link w:val="947"/>
    <w:qFormat/>
    <w:pPr>
      <w:ind w:firstLine="420"/>
    </w:pPr>
    <w:rPr>
      <w:szCs w:val="21"/>
    </w:rPr>
  </w:style>
  <w:style w:type="paragraph" w:styleId="1082">
    <w:name w:val="xl66"/>
    <w:basedOn w:val="947"/>
    <w:next w:val="1082"/>
    <w:link w:val="9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3">
    <w:name w:val="xl65"/>
    <w:basedOn w:val="947"/>
    <w:next w:val="1083"/>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4">
    <w:name w:val="Plain Text"/>
    <w:basedOn w:val="947"/>
    <w:next w:val="1084"/>
    <w:link w:val="947"/>
    <w:rPr>
      <w:rFonts w:ascii="宋体" w:hAnsi="Courier New"/>
      <w:sz w:val="28"/>
    </w:rPr>
  </w:style>
  <w:style w:type="paragraph" w:styleId="1085">
    <w:name w:val="分标题"/>
    <w:basedOn w:val="947"/>
    <w:next w:val="971"/>
    <w:link w:val="947"/>
    <w:pPr>
      <w:ind w:left="567" w:hanging="567"/>
      <w:spacing w:before="120" w:after="120" w:line="360" w:lineRule="exact"/>
      <w:tabs>
        <w:tab w:val="left" w:pos="567" w:leader="none"/>
      </w:tabs>
      <w:outlineLvl w:val="3"/>
    </w:pPr>
    <w:rPr>
      <w:rFonts w:ascii="宋体" w:hAnsi="宋体" w:eastAsia="宋体"/>
      <w:b/>
      <w:sz w:val="24"/>
      <w:szCs w:val="24"/>
    </w:rPr>
  </w:style>
  <w:style w:type="paragraph" w:styleId="1086">
    <w:name w:val="xl47"/>
    <w:basedOn w:val="947"/>
    <w:next w:val="1086"/>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87">
    <w:name w:val="纯文本2"/>
    <w:basedOn w:val="947"/>
    <w:next w:val="1087"/>
    <w:link w:val="947"/>
    <w:qFormat/>
    <w:rPr>
      <w:rFonts w:ascii="宋体" w:hAnsi="Courier New"/>
      <w:sz w:val="28"/>
    </w:rPr>
  </w:style>
  <w:style w:type="paragraph" w:styleId="1088">
    <w:name w:val="+正文"/>
    <w:basedOn w:val="947"/>
    <w:next w:val="1088"/>
    <w:link w:val="947"/>
    <w:pPr>
      <w:ind w:firstLine="200"/>
      <w:spacing w:line="360" w:lineRule="auto"/>
    </w:pPr>
    <w:rPr>
      <w:rFonts w:eastAsia="宋体"/>
      <w:sz w:val="24"/>
      <w:szCs w:val="28"/>
    </w:rPr>
  </w:style>
  <w:style w:type="paragraph" w:styleId="1089">
    <w:name w:val="000左齐平"/>
    <w:basedOn w:val="947"/>
    <w:next w:val="1089"/>
    <w:link w:val="947"/>
    <w:qFormat/>
    <w:pPr>
      <w:ind w:firstLine="0"/>
      <w:jc w:val="left"/>
    </w:pPr>
    <w:rPr>
      <w:color w:val="000000"/>
    </w:rPr>
  </w:style>
  <w:style w:type="paragraph" w:styleId="1090">
    <w:name w:val="列表段落"/>
    <w:basedOn w:val="947"/>
    <w:next w:val="1090"/>
    <w:link w:val="947"/>
    <w:qFormat/>
    <w:pPr>
      <w:ind w:firstLine="420"/>
    </w:pPr>
  </w:style>
  <w:style w:type="paragraph" w:styleId="1091">
    <w:name w:val="xl52"/>
    <w:basedOn w:val="947"/>
    <w:next w:val="1091"/>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2">
    <w:name w:val="xl62"/>
    <w:basedOn w:val="947"/>
    <w:next w:val="1092"/>
    <w:link w:val="9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93">
    <w:name w:val="并列样式"/>
    <w:basedOn w:val="947"/>
    <w:next w:val="947"/>
    <w:link w:val="947"/>
    <w:pPr>
      <w:ind w:left="839" w:hanging="419"/>
      <w:spacing w:before="120" w:after="120" w:line="360" w:lineRule="exact"/>
      <w:tabs>
        <w:tab w:val="left" w:pos="839" w:leader="none"/>
      </w:tabs>
    </w:pPr>
    <w:rPr>
      <w:rFonts w:eastAsia="宋体"/>
      <w:sz w:val="24"/>
    </w:rPr>
  </w:style>
  <w:style w:type="paragraph" w:styleId="1094">
    <w:name w:val="xl61"/>
    <w:basedOn w:val="947"/>
    <w:next w:val="1094"/>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95">
    <w:name w:val="正文 A"/>
    <w:next w:val="1095"/>
    <w:link w:val="947"/>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096">
    <w:name w:val="Char Char1 Char Char Char Char Char Char Char"/>
    <w:basedOn w:val="947"/>
    <w:next w:val="1096"/>
    <w:link w:val="947"/>
  </w:style>
  <w:style w:type="paragraph" w:styleId="1097">
    <w:name w:val="小四 段落 宋体 Char Char Char Char Char Char"/>
    <w:next w:val="1097"/>
    <w:link w:val="947"/>
    <w:pPr>
      <w:ind w:firstLine="480"/>
    </w:pPr>
    <w:rPr>
      <w:rFonts w:ascii="宋体" w:hAnsi="宋体"/>
      <w:lang w:val="en-US" w:eastAsia="zh-CN" w:bidi="ar-SA"/>
    </w:rPr>
  </w:style>
  <w:style w:type="paragraph" w:styleId="1098">
    <w:name w:val="xl45"/>
    <w:basedOn w:val="947"/>
    <w:next w:val="1098"/>
    <w:link w:val="9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9">
    <w:name w:val="xl53"/>
    <w:basedOn w:val="947"/>
    <w:next w:val="1099"/>
    <w:link w:val="9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0">
    <w:name w:val="节标题"/>
    <w:basedOn w:val="947"/>
    <w:next w:val="971"/>
    <w:link w:val="947"/>
    <w:pPr>
      <w:ind w:left="420" w:hanging="420"/>
      <w:spacing w:before="120" w:after="120" w:line="360" w:lineRule="exact"/>
      <w:tabs>
        <w:tab w:val="left" w:pos="420" w:leader="none"/>
      </w:tabs>
      <w:outlineLvl w:val="1"/>
    </w:pPr>
    <w:rPr>
      <w:rFonts w:eastAsia="宋体"/>
      <w:b/>
      <w:bCs/>
      <w:sz w:val="28"/>
    </w:rPr>
  </w:style>
  <w:style w:type="paragraph" w:styleId="1101">
    <w:name w:val="Andy_正文"/>
    <w:basedOn w:val="947"/>
    <w:next w:val="1101"/>
    <w:link w:val="947"/>
    <w:qFormat/>
    <w:pPr>
      <w:ind w:firstLine="480"/>
      <w:spacing w:line="360" w:lineRule="auto"/>
    </w:pPr>
    <w:rPr>
      <w:rFonts w:ascii="Calibri" w:hAnsi="Calibri" w:eastAsia="宋体"/>
      <w:sz w:val="24"/>
      <w:szCs w:val="24"/>
    </w:rPr>
  </w:style>
  <w:style w:type="paragraph" w:styleId="1102">
    <w:name w:val="xl51"/>
    <w:basedOn w:val="947"/>
    <w:next w:val="1102"/>
    <w:link w:val="9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03">
    <w:name w:val="_Style 12"/>
    <w:basedOn w:val="974"/>
    <w:next w:val="1103"/>
    <w:link w:val="947"/>
    <w:pPr>
      <w:jc w:val="left"/>
      <w:spacing w:line="360" w:lineRule="auto"/>
      <w:widowControl/>
    </w:pPr>
    <w:rPr>
      <w:sz w:val="24"/>
    </w:rPr>
  </w:style>
  <w:style w:type="paragraph" w:styleId="1104">
    <w:name w:val="修订"/>
    <w:next w:val="1104"/>
    <w:link w:val="947"/>
    <w:uiPriority w:val="99"/>
    <w:unhideWhenUsed/>
    <w:rPr>
      <w:rFonts w:eastAsia="楷体_GB2312"/>
      <w:sz w:val="26"/>
      <w:lang w:val="en-US" w:eastAsia="zh-CN" w:bidi="ar-SA"/>
    </w:rPr>
  </w:style>
  <w:style w:type="paragraph" w:styleId="1105">
    <w:name w:val="Default"/>
    <w:next w:val="1105"/>
    <w:link w:val="947"/>
    <w:qFormat/>
    <w:pPr>
      <w:widowControl w:val="off"/>
    </w:pPr>
    <w:rPr>
      <w:rFonts w:ascii="宋体" w:hAnsi="Calibri" w:cs="宋体"/>
      <w:color w:val="000000"/>
      <w:sz w:val="24"/>
      <w:szCs w:val="24"/>
      <w:lang w:val="en-US" w:eastAsia="zh-CN" w:bidi="ar-SA"/>
    </w:rPr>
  </w:style>
  <w:style w:type="paragraph" w:styleId="1106">
    <w:name w:val="xl57"/>
    <w:basedOn w:val="947"/>
    <w:next w:val="1106"/>
    <w:link w:val="94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7">
    <w:name w:val="xl49"/>
    <w:basedOn w:val="947"/>
    <w:next w:val="1107"/>
    <w:link w:val="947"/>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08">
    <w:name w:val="Char Char Char"/>
    <w:basedOn w:val="947"/>
    <w:next w:val="1108"/>
    <w:link w:val="947"/>
    <w:rPr>
      <w:rFonts w:ascii="Tahoma" w:hAnsi="Tahoma" w:eastAsia="宋体"/>
      <w:sz w:val="24"/>
    </w:rPr>
  </w:style>
  <w:style w:type="paragraph" w:styleId="1109">
    <w:name w:val="xl59"/>
    <w:basedOn w:val="947"/>
    <w:next w:val="1109"/>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0">
    <w:name w:val="xl63"/>
    <w:basedOn w:val="947"/>
    <w:next w:val="1110"/>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11">
    <w:name w:val="Char Char Char Char Char Char Char"/>
    <w:basedOn w:val="947"/>
    <w:next w:val="1111"/>
    <w:link w:val="947"/>
    <w:pPr>
      <w:ind w:left="432" w:hanging="432"/>
      <w:tabs>
        <w:tab w:val="left" w:pos="432" w:leader="none"/>
      </w:tabs>
    </w:pPr>
    <w:rPr>
      <w:rFonts w:ascii="Tahoma" w:hAnsi="Tahoma" w:eastAsia="宋体"/>
      <w:sz w:val="24"/>
    </w:rPr>
  </w:style>
  <w:style w:type="paragraph" w:styleId="1112">
    <w:name w:val="font5"/>
    <w:basedOn w:val="947"/>
    <w:next w:val="1112"/>
    <w:link w:val="947"/>
    <w:pPr>
      <w:jc w:val="left"/>
      <w:spacing w:before="100" w:beforeAutospacing="1" w:after="100" w:afterAutospacing="1"/>
      <w:widowControl/>
    </w:pPr>
    <w:rPr>
      <w:rFonts w:hint="eastAsia" w:ascii="宋体" w:hAnsi="宋体" w:eastAsia="宋体"/>
      <w:sz w:val="18"/>
      <w:szCs w:val="18"/>
    </w:rPr>
  </w:style>
  <w:style w:type="paragraph" w:styleId="1113">
    <w:name w:val="Char"/>
    <w:basedOn w:val="947"/>
    <w:next w:val="1113"/>
    <w:link w:val="947"/>
    <w:rPr>
      <w:rFonts w:ascii="Tahoma" w:hAnsi="Tahoma" w:eastAsia="宋体"/>
      <w:sz w:val="24"/>
    </w:rPr>
  </w:style>
  <w:style w:type="paragraph" w:styleId="1114">
    <w:name w:val="Blockquote"/>
    <w:basedOn w:val="947"/>
    <w:next w:val="1114"/>
    <w:link w:val="947"/>
    <w:qFormat/>
    <w:pPr>
      <w:ind w:left="360" w:right="360"/>
      <w:jc w:val="left"/>
      <w:spacing w:before="100" w:after="100"/>
    </w:pPr>
    <w:rPr>
      <w:sz w:val="24"/>
    </w:rPr>
  </w:style>
  <w:style w:type="paragraph" w:styleId="1115">
    <w:name w:val="Char Char Char Char Char Char Char Char Char1 Char"/>
    <w:basedOn w:val="974"/>
    <w:next w:val="1115"/>
    <w:link w:val="947"/>
    <w:pPr>
      <w:spacing w:line="360" w:lineRule="auto"/>
    </w:pPr>
    <w:rPr>
      <w:rFonts w:ascii="Tahoma" w:hAnsi="Tahoma"/>
      <w:sz w:val="24"/>
      <w:szCs w:val="24"/>
    </w:rPr>
  </w:style>
  <w:style w:type="paragraph" w:styleId="1116">
    <w:name w:val="font6"/>
    <w:basedOn w:val="947"/>
    <w:next w:val="1116"/>
    <w:link w:val="947"/>
    <w:pPr>
      <w:jc w:val="left"/>
      <w:spacing w:before="100" w:beforeAutospacing="1" w:after="100" w:afterAutospacing="1"/>
      <w:widowControl/>
    </w:pPr>
    <w:rPr>
      <w:rFonts w:hint="eastAsia" w:ascii="宋体" w:hAnsi="宋体" w:eastAsia="宋体" w:cs="Arial Unicode MS"/>
      <w:b/>
      <w:bCs/>
      <w:sz w:val="18"/>
      <w:szCs w:val="18"/>
    </w:rPr>
  </w:style>
  <w:style w:type="paragraph" w:styleId="1117">
    <w:name w:val="xl46"/>
    <w:basedOn w:val="947"/>
    <w:next w:val="1117"/>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8">
    <w:name w:val="xl58"/>
    <w:basedOn w:val="947"/>
    <w:next w:val="1118"/>
    <w:link w:val="9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9">
    <w:name w:val="_Style 1"/>
    <w:basedOn w:val="947"/>
    <w:next w:val="1119"/>
    <w:link w:val="947"/>
    <w:uiPriority w:val="34"/>
    <w:qFormat/>
    <w:pPr>
      <w:ind w:firstLine="420"/>
    </w:pPr>
    <w:rPr>
      <w:rFonts w:ascii="Calibri" w:hAnsi="Calibri"/>
      <w:szCs w:val="22"/>
    </w:rPr>
  </w:style>
  <w:style w:type="paragraph" w:styleId="1120">
    <w:name w:val="xl64"/>
    <w:basedOn w:val="947"/>
    <w:next w:val="1120"/>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21">
    <w:name w:val="List Paragraph"/>
    <w:basedOn w:val="947"/>
    <w:next w:val="1121"/>
    <w:link w:val="947"/>
    <w:qFormat/>
    <w:pPr>
      <w:ind w:firstLine="420"/>
    </w:pPr>
  </w:style>
  <w:style w:type="paragraph" w:styleId="1122">
    <w:name w:val="xl55"/>
    <w:basedOn w:val="947"/>
    <w:next w:val="1122"/>
    <w:link w:val="94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3">
    <w:name w:val="xl56"/>
    <w:basedOn w:val="947"/>
    <w:next w:val="1123"/>
    <w:link w:val="9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4">
    <w:name w:val="xl60"/>
    <w:basedOn w:val="947"/>
    <w:next w:val="1124"/>
    <w:link w:val="9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5">
    <w:name w:val="分层标题"/>
    <w:basedOn w:val="947"/>
    <w:next w:val="971"/>
    <w:link w:val="947"/>
    <w:pPr>
      <w:ind w:left="709" w:hanging="709"/>
      <w:spacing w:before="120" w:after="120" w:line="360" w:lineRule="exact"/>
      <w:tabs>
        <w:tab w:val="left" w:pos="1080" w:leader="none"/>
      </w:tabs>
      <w:outlineLvl w:val="4"/>
    </w:pPr>
    <w:rPr>
      <w:rFonts w:eastAsia="宋体"/>
      <w:b/>
      <w:sz w:val="24"/>
      <w:szCs w:val="24"/>
    </w:rPr>
  </w:style>
  <w:style w:type="paragraph" w:styleId="1126">
    <w:name w:val="xl50"/>
    <w:basedOn w:val="947"/>
    <w:next w:val="1126"/>
    <w:link w:val="9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27">
    <w:name w:val="xl48"/>
    <w:basedOn w:val="947"/>
    <w:next w:val="1127"/>
    <w:link w:val="9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28">
    <w:name w:val="正文样式"/>
    <w:basedOn w:val="947"/>
    <w:next w:val="1128"/>
    <w:link w:val="947"/>
    <w:qFormat/>
    <w:pPr>
      <w:ind w:firstLine="584"/>
    </w:pPr>
    <w:rPr>
      <w:rFonts w:ascii="仿宋_GB2312" w:eastAsia="仿宋_GB2312"/>
      <w:spacing w:val="-4"/>
      <w:sz w:val="30"/>
      <w:szCs w:val="30"/>
    </w:rPr>
  </w:style>
  <w:style w:type="paragraph" w:styleId="1129">
    <w:name w:val="纯文本11"/>
    <w:basedOn w:val="947"/>
    <w:next w:val="1129"/>
    <w:link w:val="947"/>
    <w:uiPriority w:val="99"/>
    <w:qFormat/>
    <w:rPr>
      <w:rFonts w:ascii="宋体" w:hAnsi="Courier New" w:eastAsia="宋体"/>
      <w:sz w:val="21"/>
      <w:szCs w:val="22"/>
    </w:rPr>
  </w:style>
  <w:style w:type="paragraph" w:styleId="1130">
    <w:name w:val="首行缩进"/>
    <w:basedOn w:val="947"/>
    <w:next w:val="1130"/>
    <w:link w:val="947"/>
    <w:qFormat/>
    <w:pPr>
      <w:ind w:firstLine="480"/>
    </w:pPr>
    <w:rPr>
      <w:rFonts w:ascii="Times New Roman" w:hAnsi="Times New Roman"/>
      <w:szCs w:val="20"/>
      <w:lang w:val="zh-CN"/>
    </w:rPr>
  </w:style>
  <w:style w:type="paragraph" w:styleId="1131">
    <w:name w:val="默认段落字体 Para Char Char Char Char Char Char Char"/>
    <w:basedOn w:val="947"/>
    <w:next w:val="1131"/>
    <w:link w:val="947"/>
    <w:pPr>
      <w:spacing w:line="360" w:lineRule="auto"/>
    </w:pPr>
    <w:rPr>
      <w:rFonts w:ascii="Tahoma" w:hAnsi="Tahoma" w:eastAsia="宋体"/>
      <w:sz w:val="24"/>
    </w:rPr>
  </w:style>
  <w:style w:type="paragraph" w:styleId="1132">
    <w:name w:val="批注框文本1"/>
    <w:basedOn w:val="947"/>
    <w:next w:val="1132"/>
    <w:link w:val="947"/>
    <w:uiPriority w:val="1668"/>
    <w:semiHidden/>
    <w:qFormat/>
    <w:rPr>
      <w:sz w:val="18"/>
      <w:szCs w:val="18"/>
    </w:rPr>
  </w:style>
  <w:style w:type="paragraph" w:styleId="1133">
    <w:name w:val="p0"/>
    <w:basedOn w:val="947"/>
    <w:next w:val="1133"/>
    <w:link w:val="947"/>
    <w:qFormat/>
    <w:rPr>
      <w:rFonts w:hint="eastAsia"/>
    </w:rPr>
  </w:style>
  <w:style w:type="paragraph" w:styleId="1134">
    <w:name w:val="小四 段落 宋体 Char"/>
    <w:basedOn w:val="970"/>
    <w:next w:val="1134"/>
    <w:link w:val="947"/>
    <w:pPr>
      <w:ind w:left="0" w:right="-33" w:firstLine="480"/>
      <w:jc w:val="left"/>
      <w:spacing w:line="360" w:lineRule="auto"/>
      <w:tabs>
        <w:tab w:val="clear" w:pos="1125" w:leader="none"/>
      </w:tabs>
    </w:pPr>
    <w:rPr>
      <w:sz w:val="24"/>
    </w:rPr>
  </w:style>
  <w:style w:type="character" w:styleId="1135">
    <w:name w:val="NormalCharacter1"/>
    <w:next w:val="1135"/>
    <w:link w:val="1136"/>
    <w:semiHidden/>
    <w:qFormat/>
    <w:rPr>
      <w:sz w:val="20"/>
    </w:rPr>
  </w:style>
  <w:style w:type="paragraph" w:styleId="1136">
    <w:name w:val="UserStyle_4"/>
    <w:basedOn w:val="947"/>
    <w:next w:val="1136"/>
    <w:link w:val="1135"/>
    <w:qFormat/>
    <w:rPr>
      <w:rFonts w:eastAsia="宋体"/>
      <w:sz w:val="20"/>
    </w:rPr>
  </w:style>
  <w:style w:type="paragraph" w:styleId="1137">
    <w:name w:val="纯文本3"/>
    <w:basedOn w:val="947"/>
    <w:next w:val="1137"/>
    <w:link w:val="947"/>
    <w:qFormat/>
    <w:pPr>
      <w:jc w:val="both"/>
      <w:widowControl w:val="off"/>
    </w:pPr>
    <w:rPr>
      <w:rFonts w:ascii="宋体" w:hAnsi="Courier New"/>
      <w:sz w:val="21"/>
    </w:rPr>
  </w:style>
  <w:style w:type="paragraph" w:styleId="1138">
    <w:name w:val="列出段落2"/>
    <w:basedOn w:val="947"/>
    <w:next w:val="1138"/>
    <w:link w:val="947"/>
    <w:uiPriority w:val="34"/>
    <w:qFormat/>
    <w:pPr>
      <w:ind w:firstLine="420"/>
    </w:pPr>
    <w:rPr>
      <w:rFonts w:ascii="宋体" w:hAnsi="宋体"/>
      <w:sz w:val="24"/>
      <w:szCs w:val="24"/>
    </w:rPr>
  </w:style>
  <w:style w:type="paragraph" w:styleId="1139">
    <w:name w:val="表格正文"/>
    <w:next w:val="1139"/>
    <w:link w:val="947"/>
    <w:qFormat/>
    <w:pPr>
      <w:spacing w:before="20" w:after="20"/>
    </w:pPr>
    <w:rPr>
      <w:i/>
      <w:iCs/>
      <w:color w:val="0070c0"/>
      <w:sz w:val="24"/>
      <w:szCs w:val="22"/>
      <w:lang w:val="en-US" w:eastAsia="zh-CN" w:bidi="ar-SA"/>
    </w:rPr>
  </w:style>
  <w:style w:type="paragraph" w:styleId="1140">
    <w:name w:val="A 正文内容"/>
    <w:basedOn w:val="947"/>
    <w:next w:val="1140"/>
    <w:link w:val="947"/>
    <w:qFormat/>
    <w:pPr>
      <w:ind w:firstLine="480"/>
    </w:pPr>
    <w:rPr>
      <w:rFonts w:ascii="宋体" w:hAnsi="宋体"/>
    </w:rPr>
  </w:style>
  <w:style w:type="paragraph" w:styleId="1141">
    <w:name w:val="Table Paragraph"/>
    <w:basedOn w:val="947"/>
    <w:next w:val="1141"/>
    <w:link w:val="947"/>
    <w:uiPriority w:val="1"/>
    <w:qFormat/>
    <w:rPr>
      <w:rFonts w:ascii="仿宋" w:hAnsi="仿宋" w:eastAsia="仿宋" w:cs="仿宋"/>
      <w:lang w:val="zh-CN" w:bidi="zh-CN"/>
    </w:rPr>
  </w:style>
  <w:style w:type="paragraph" w:styleId="1142">
    <w:name w:val="Heading41"/>
    <w:basedOn w:val="947"/>
    <w:next w:val="1143"/>
    <w:link w:val="947"/>
    <w:qFormat/>
    <w:pPr>
      <w:keepLines/>
      <w:keepNext/>
      <w:spacing w:before="120" w:after="120"/>
    </w:pPr>
    <w:rPr>
      <w:rFonts w:ascii="Cambria" w:hAnsi="Cambria" w:eastAsia="华文细黑"/>
      <w:b/>
      <w:sz w:val="28"/>
    </w:rPr>
  </w:style>
  <w:style w:type="paragraph" w:styleId="1143">
    <w:name w:val="NormalIndent1"/>
    <w:basedOn w:val="947"/>
    <w:next w:val="1143"/>
    <w:link w:val="947"/>
    <w:qFormat/>
    <w:pPr>
      <w:ind w:firstLine="420"/>
    </w:pPr>
  </w:style>
  <w:style w:type="table" w:styleId="1144">
    <w:name w:val="网格型1"/>
    <w:basedOn w:val="1145"/>
    <w:next w:val="1144"/>
    <w:link w:val="947"/>
    <w:uiPriority w:val="59"/>
    <w:unhideWhenUsed/>
    <w:qFormat/>
    <w:pPr>
      <w:jc w:val="both"/>
      <w:widowControl w:val="off"/>
    </w:pPr>
    <w:tblPr/>
  </w:style>
  <w:style w:type="table" w:styleId="1145">
    <w:name w:val="普通表格1"/>
    <w:next w:val="1145"/>
    <w:link w:val="947"/>
    <w:uiPriority w:val="99"/>
    <w:unhideWhenUsed/>
    <w:qFormat/>
    <w:tblPr/>
  </w:style>
  <w:style w:type="paragraph" w:styleId="1146">
    <w:name w:val="标题 31"/>
    <w:basedOn w:val="947"/>
    <w:next w:val="947"/>
    <w:link w:val="947"/>
    <w:qFormat/>
    <w:pPr>
      <w:jc w:val="left"/>
      <w:keepLines/>
      <w:keepNext/>
      <w:outlineLvl w:val="2"/>
    </w:pPr>
    <w:rPr>
      <w:b/>
    </w:rPr>
  </w:style>
  <w:style w:type="paragraph" w:styleId="1147">
    <w:name w:val="目录 21"/>
    <w:basedOn w:val="947"/>
    <w:next w:val="947"/>
    <w:link w:val="947"/>
    <w:qFormat/>
    <w:pPr>
      <w:ind w:left="420"/>
    </w:pPr>
  </w:style>
  <w:style w:type="character" w:styleId="1148">
    <w:name w:val="16"/>
    <w:basedOn w:val="957"/>
    <w:next w:val="1148"/>
    <w:link w:val="947"/>
    <w:qFormat/>
    <w:rPr>
      <w:rFonts w:ascii="Times New Roman" w:hAnsi="Times New Roman" w:cs="Times New Roman"/>
      <w:i/>
    </w:rPr>
  </w:style>
  <w:style w:type="table" w:styleId="1149">
    <w:name w:val="Table Normal"/>
    <w:next w:val="1149"/>
    <w:link w:val="947"/>
    <w:unhideWhenUsed/>
    <w:qFormat/>
    <w:tblPr/>
  </w:style>
  <w:style w:type="paragraph" w:styleId="1150">
    <w:name w:val="清單段落1"/>
    <w:basedOn w:val="947"/>
    <w:next w:val="1150"/>
    <w:link w:val="947"/>
    <w:uiPriority w:val="34"/>
    <w:qFormat/>
    <w:pPr>
      <w:ind w:left="480"/>
    </w:pPr>
  </w:style>
  <w:style w:type="character" w:styleId="1151" w:default="1">
    <w:name w:val="Default Paragraph Font"/>
    <w:uiPriority w:val="1"/>
    <w:semiHidden/>
    <w:unhideWhenUsed/>
  </w:style>
  <w:style w:type="numbering" w:styleId="1152" w:default="1">
    <w:name w:val="No List"/>
    <w:uiPriority w:val="99"/>
    <w:semiHidden/>
    <w:unhideWhenUsed/>
  </w:style>
  <w:style w:type="table" w:styleId="11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c:creator>
  <cp:lastModifiedBy>沈鹰</cp:lastModifiedBy>
  <cp:revision>5</cp:revision>
  <dcterms:created xsi:type="dcterms:W3CDTF">2023-04-15T01:25:00Z</dcterms:created>
  <dcterms:modified xsi:type="dcterms:W3CDTF">2026-06-12T06:31:56Z</dcterms:modified>
</cp:coreProperties>
</file>