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5"/>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3"/>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南京鼓楼医院智慧食堂信息管理系统（软硬件）</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873"/>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0109</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3"/>
        <w:rPr>
          <w:rFonts w:hint="eastAsia"/>
        </w:rPr>
      </w:pPr>
      <w:r>
        <w:rPr>
          <w:rFonts w:hint="eastAsia"/>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46</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50</w:t>
      </w:r>
      <w:r>
        <w:rPr>
          <w:rFonts w:hint="eastAsia" w:ascii="黑体" w:hAnsi="宋体" w:eastAsia="黑体" w:cs="Times New Roman"/>
          <w:color w:val="000000"/>
          <w:sz w:val="36"/>
          <w:szCs w:val="21"/>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40" w:lineRule="auto"/>
        <w:widowControl w:val="off"/>
        <w:rPr>
          <w:rFonts w:ascii="宋体" w:hAnsi="宋体"/>
          <w:sz w:val="24"/>
          <w:szCs w:val="24"/>
        </w:rPr>
      </w:pPr>
      <w:r/>
      <w:bookmarkStart w:id="6" w:name="_Toc28359003"/>
      <w:r/>
      <w:bookmarkStart w:id="7" w:name="_Toc35393622"/>
      <w:r/>
      <w:bookmarkStart w:id="8" w:name="_Toc28359080"/>
      <w:r/>
      <w:bookmarkStart w:id="9" w:name="_Toc35393791"/>
      <w:r/>
      <w:bookmarkStart w:id="10" w:name="_Toc38985264"/>
      <w:r>
        <w:rPr>
          <w:rFonts w:hint="eastAsia" w:ascii="宋体" w:hAnsi="宋体" w:eastAsia="宋体" w:cs="Times New Roman"/>
          <w:color w:val="000000"/>
          <w:sz w:val="24"/>
          <w:szCs w:val="24"/>
          <w:lang w:eastAsia="zh-CN"/>
        </w:rPr>
        <w:t xml:space="preserve">受南京鼓楼医院委托，南京市公共资源交易中心（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）就南京鼓楼医院智慧食堂信息管理系统（软硬件）进行公开招</w:t>
      </w:r>
      <w:r>
        <w:rPr>
          <w:rFonts w:hint="eastAsia" w:ascii="宋体" w:hAnsi="宋体"/>
          <w:sz w:val="24"/>
          <w:szCs w:val="24"/>
        </w:rPr>
        <w:t xml:space="preserve">标采购，欢迎符合条件的供应商投标。</w:t>
      </w:r>
      <w:r>
        <w:rPr>
          <w:rFonts w:ascii="宋体" w:hAnsi="宋体"/>
          <w:sz w:val="24"/>
          <w:szCs w:val="24"/>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rPr>
          <w:rFonts w:ascii="宋体" w:hAnsi="宋体"/>
          <w:color w:val="000000"/>
          <w:sz w:val="24"/>
          <w:szCs w:val="24"/>
          <w:lang w:val="en-US"/>
        </w:rPr>
      </w:pPr>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0109</w:t>
      </w:r>
      <w:r>
        <w:rPr>
          <w:rFonts w:ascii="宋体" w:hAnsi="宋体"/>
          <w:color w:val="000000"/>
          <w:sz w:val="24"/>
          <w:szCs w:val="24"/>
          <w:lang w:val="en-US"/>
        </w:rPr>
      </w:r>
      <w:r/>
    </w:p>
    <w:p>
      <w:pPr>
        <w:pStyle w:val="873"/>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南京鼓楼医院智慧食堂信息管理系统（软硬件）</w:t>
      </w:r>
      <w:r>
        <w:rPr>
          <w:rFonts w:hint="eastAsia" w:ascii="宋体" w:hAnsi="宋体" w:eastAsia="宋体"/>
          <w:color w:val="000000"/>
          <w:sz w:val="24"/>
          <w:szCs w:val="24"/>
          <w:lang w:eastAsia="zh-CN"/>
        </w:rPr>
      </w:r>
      <w:r/>
    </w:p>
    <w:p>
      <w:pPr>
        <w:pStyle w:val="873"/>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333万元</w:t>
      </w:r>
      <w:r>
        <w:rPr>
          <w:rFonts w:ascii="宋体" w:hAnsi="宋体"/>
          <w:color w:val="000000"/>
          <w:sz w:val="24"/>
          <w:szCs w:val="24"/>
        </w:rPr>
      </w:r>
      <w:r/>
    </w:p>
    <w:p>
      <w:pPr>
        <w:pStyle w:val="873"/>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333万元</w:t>
      </w:r>
      <w:r>
        <w:rPr>
          <w:rFonts w:hint="eastAsia" w:ascii="宋体" w:hAnsi="宋体" w:eastAsia="宋体" w:cs="宋体"/>
          <w:color w:val="000000"/>
          <w:sz w:val="24"/>
          <w:szCs w:val="24"/>
          <w:highlight w:val="yellow"/>
        </w:rPr>
      </w:r>
      <w:r/>
    </w:p>
    <w:p>
      <w:pPr>
        <w:pStyle w:val="873"/>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rPr>
        <w:t xml:space="preserve">本项目实施是配合新食堂的建设，为病患提供营养膳食指导，提供营养配餐和治疗饮食，满足患者治疗需要，为职工提供膳食服务，保障饮食卫生安全，为医院提供决策类的信息数据，实现互联互通、交互共享</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3"/>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150天</w:t>
      </w:r>
      <w:r>
        <w:rPr>
          <w:rFonts w:hint="eastAsia"/>
          <w:lang w:eastAsia="zh-CN"/>
        </w:rPr>
        <w:t xml:space="preserve">（</w:t>
      </w: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rPr>
        <w:t xml:space="preserve">60天内完成系</w:t>
      </w:r>
      <w:r>
        <w:rPr>
          <w:rFonts w:hint="eastAsia" w:ascii="宋体" w:hAnsi="宋体" w:eastAsia="宋体" w:cs="宋体"/>
          <w:color w:val="000000"/>
          <w:sz w:val="24"/>
          <w:szCs w:val="24"/>
        </w:rPr>
        <w:t xml:space="preserve">统开发及硬件调试安装，试运行3个月后完成项目整体交付工作</w:t>
      </w:r>
      <w:r>
        <w:rPr>
          <w:rFonts w:hint="eastAsia"/>
          <w:lang w:eastAsia="zh-CN"/>
        </w:rPr>
        <w:t xml:space="preserve">）</w:t>
      </w:r>
      <w:r>
        <w:rPr>
          <w:rFonts w:hint="eastAsia" w:ascii="宋体" w:hAnsi="宋体"/>
          <w:color w:val="000000"/>
          <w:sz w:val="24"/>
          <w:szCs w:val="24"/>
          <w:lang w:val="en-US" w:eastAsia="zh-CN"/>
        </w:rPr>
        <w:t xml:space="preserve">。</w:t>
      </w:r>
      <w:r>
        <w:rPr>
          <w:rFonts w:hint="eastAsia" w:ascii="宋体" w:hAnsi="宋体" w:cs="宋体"/>
          <w:color w:val="000000"/>
          <w:sz w:val="24"/>
          <w:szCs w:val="24"/>
          <w:highlight w:val="yellow"/>
          <w:lang w:eastAsia="zh-CN"/>
        </w:rPr>
      </w:r>
      <w:r/>
    </w:p>
    <w:p>
      <w:pPr>
        <w:pStyle w:val="87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宋体"/>
          <w:b w:val="0"/>
          <w:bCs w:val="0"/>
          <w:sz w:val="24"/>
          <w:szCs w:val="24"/>
          <w:highlight w:val="none"/>
        </w:rPr>
      </w:pPr>
      <w:r/>
      <w:bookmarkStart w:id="11" w:name="_Toc28359004"/>
      <w:r/>
      <w:bookmarkStart w:id="12" w:name="_Toc28359081"/>
      <w:r/>
      <w:bookmarkStart w:id="13" w:name="_Toc38985265"/>
      <w:r/>
      <w:bookmarkStart w:id="14" w:name="_Toc35393623"/>
      <w:r/>
      <w:bookmarkStart w:id="15"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3"/>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3"/>
        <w:ind w:firstLine="480"/>
        <w:pageBreakBefore w:val="0"/>
        <w:spacing w:line="240" w:lineRule="auto"/>
        <w:widowControl w:val="off"/>
        <w:rPr>
          <w:rFonts w:hint="eastAsia" w:ascii="宋体" w:hAnsi="宋体" w:eastAsia="宋体"/>
          <w:color w:val="000000"/>
          <w:sz w:val="24"/>
          <w:szCs w:val="24"/>
          <w:highlight w:val="yellow"/>
          <w:lang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color w:val="000000"/>
          <w:lang w:eastAsia="zh-CN"/>
        </w:rPr>
        <w:t xml:space="preserve">。</w:t>
      </w:r>
      <w:r>
        <w:rPr>
          <w:rFonts w:hint="eastAsia" w:ascii="宋体" w:hAnsi="宋体" w:eastAsia="宋体"/>
          <w:color w:val="000000"/>
          <w:sz w:val="24"/>
          <w:szCs w:val="24"/>
          <w:highlight w:val="yellow"/>
          <w:lang w:eastAsia="zh-CN"/>
        </w:rPr>
      </w:r>
      <w:r/>
    </w:p>
    <w:p>
      <w:pPr>
        <w:pStyle w:val="873"/>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3"/>
        <w:ind w:firstLine="480"/>
        <w:pageBreakBefore w:val="0"/>
        <w:spacing w:line="240" w:lineRule="auto"/>
        <w:widowControl w:val="off"/>
        <w:rPr>
          <w:rFonts w:hint="eastAsia"/>
          <w:color w:val="000000"/>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color w:val="000000"/>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1"/>
      <w:r/>
      <w:bookmarkEnd w:id="12"/>
      <w:r/>
      <w:bookmarkEnd w:id="13"/>
      <w:r/>
      <w:bookmarkEnd w:id="14"/>
      <w:r/>
      <w:bookmarkEnd w:id="15"/>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16" w:name="_Toc28359082"/>
      <w:r/>
      <w:bookmarkStart w:id="17" w:name="_Toc28359005"/>
      <w:r/>
      <w:bookmarkStart w:id="18" w:name="_Toc35393793"/>
      <w:r/>
      <w:bookmarkStart w:id="19" w:name="_Toc35393624"/>
      <w:r/>
      <w:bookmarkStart w:id="20"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16"/>
      <w:r/>
      <w:bookmarkEnd w:id="17"/>
      <w:r>
        <w:rPr>
          <w:rFonts w:hint="eastAsia" w:ascii="方正黑体_GBK" w:hAnsi="方正黑体_GBK" w:eastAsia="方正黑体_GBK" w:cs="方正黑体_GBK"/>
          <w:b w:val="0"/>
          <w:bCs w:val="0"/>
          <w:color w:val="000000"/>
          <w:sz w:val="30"/>
          <w:szCs w:val="30"/>
        </w:rPr>
        <w:t xml:space="preserve">截止时间、开标时间和地点</w:t>
      </w:r>
      <w:bookmarkEnd w:id="18"/>
      <w:r/>
      <w:bookmarkEnd w:id="19"/>
      <w:r/>
      <w:bookmarkEnd w:id="2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bCs/>
          <w:sz w:val="24"/>
          <w:szCs w:val="24"/>
          <w:u w:val="single"/>
          <w:lang w:val="en-US" w:eastAsia="zh-CN"/>
        </w:rPr>
      </w:pPr>
      <w:r/>
      <w:bookmarkStart w:id="21" w:name="_Toc35393625"/>
      <w:r/>
      <w:bookmarkStart w:id="22" w:name="_Toc38985267"/>
      <w:r/>
      <w:bookmarkStart w:id="23" w:name="_Toc35393794"/>
      <w:r/>
      <w:bookmarkStart w:id="24" w:name="_Toc28359084"/>
      <w:r/>
      <w:bookmarkStart w:id="25"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年6</w:t>
      </w:r>
      <w:r>
        <w:rPr>
          <w:rFonts w:hint="eastAsia" w:ascii="宋体" w:hAnsi="宋体"/>
          <w:bCs/>
          <w:color w:val="000000" w:themeColor="text1"/>
          <w:sz w:val="24"/>
          <w:szCs w:val="24"/>
          <w:u w:val="none"/>
        </w:rPr>
        <w:t xml:space="preserve">月4</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1"/>
      <w:r/>
      <w:bookmarkEnd w:id="22"/>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26" w:name="_Toc35393795"/>
      <w:r/>
      <w:bookmarkStart w:id="27" w:name="_Toc38985268"/>
      <w:r/>
      <w:bookmarkStart w:id="28"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6"/>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26"/>
      <w:r/>
      <w:bookmarkEnd w:id="27"/>
      <w:r/>
      <w:bookmarkEnd w:id="28"/>
      <w:r>
        <w:rPr>
          <w:rFonts w:hint="eastAsia" w:ascii="Times New Roman" w:hAnsi="Times New Roman" w:eastAsia="宋体" w:cs="Times New Roman"/>
          <w:b/>
          <w:bCs/>
          <w:color w:val="000000"/>
        </w:rPr>
      </w:r>
      <w:r/>
    </w:p>
    <w:p>
      <w:pPr>
        <w:pStyle w:val="873"/>
        <w:ind w:firstLine="480"/>
        <w:pageBreakBefore w:val="0"/>
        <w:spacing w:line="240" w:lineRule="auto"/>
        <w:widowControl w:val="off"/>
        <w:tabs>
          <w:tab w:val="left" w:pos="900" w:leader="none"/>
        </w:tabs>
        <w:rPr>
          <w:rFonts w:hint="eastAsia" w:ascii="宋体" w:hAnsi="宋体"/>
          <w:bCs/>
          <w:sz w:val="24"/>
          <w:szCs w:val="24"/>
        </w:rPr>
      </w:pPr>
      <w:r/>
      <w:bookmarkStart w:id="29" w:name="_Toc35393796"/>
      <w:r/>
      <w:bookmarkStart w:id="30" w:name="_Toc38985269"/>
      <w:r/>
      <w:bookmarkStart w:id="31" w:name="_Toc28359085"/>
      <w:r/>
      <w:bookmarkStart w:id="32" w:name="_Toc35393627"/>
      <w:r/>
      <w:bookmarkStart w:id="33"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3"/>
        <w:ind w:firstLine="480"/>
        <w:pageBreakBefore w:val="0"/>
        <w:spacing w:line="240"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w:t>
      </w:r>
      <w:r>
        <w:rPr>
          <w:rFonts w:hint="eastAsia" w:ascii="宋体" w:hAnsi="宋体" w:eastAsia="宋体" w:cs="宋体"/>
          <w:sz w:val="24"/>
          <w:szCs w:val="24"/>
          <w:highlight w:val="none"/>
          <w:lang w:val="en-US" w:eastAsia="zh-CN"/>
        </w:rPr>
        <w:t xml:space="preserve">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73"/>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3"/>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宋体"/>
          <w:color w:val="000000"/>
          <w:sz w:val="24"/>
          <w:szCs w:val="24"/>
        </w:rPr>
        <w:t xml:space="preserve">黄老师，收件地址：南京市玄武区双龙巷5号4楼410（南京鼓楼医院医用物资采购中心），联系电话：025-83105006。</w:t>
      </w:r>
      <w:r>
        <w:rPr>
          <w:rFonts w:ascii="宋体" w:hAnsi="宋体" w:eastAsia="宋体" w:cs="Times New Roman"/>
          <w:b w:val="0"/>
          <w:bCs w:val="0"/>
          <w:color w:val="000000"/>
          <w:sz w:val="24"/>
          <w:lang w:val="en-US" w:eastAsia="zh-CN"/>
        </w:rPr>
      </w:r>
      <w:r/>
    </w:p>
    <w:p>
      <w:pPr>
        <w:pStyle w:val="873"/>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29"/>
      <w:r/>
      <w:bookmarkEnd w:id="30"/>
      <w:r/>
      <w:bookmarkEnd w:id="31"/>
      <w:r/>
      <w:bookmarkEnd w:id="32"/>
      <w:r/>
      <w:bookmarkEnd w:id="33"/>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bidi="ar-SA"/>
        </w:rPr>
      </w:pPr>
      <w:r>
        <w:rPr>
          <w:rFonts w:hint="eastAsia" w:ascii="宋体" w:hAnsi="宋体" w:eastAsia="宋体" w:cs="Times New Roman"/>
          <w:color w:val="000000"/>
          <w:sz w:val="24"/>
          <w:szCs w:val="24"/>
          <w:u w:val="none"/>
          <w:lang w:val="en-US" w:eastAsia="zh-CN" w:bidi="ar-SA"/>
        </w:rPr>
        <w:t xml:space="preserve">1.采购人</w:t>
      </w:r>
      <w:r>
        <w:rPr>
          <w:rFonts w:hint="eastAsia" w:ascii="宋体" w:hAnsi="宋体" w:eastAsia="宋体" w:cs="Times New Roman"/>
          <w:color w:val="000000"/>
          <w:sz w:val="24"/>
          <w:szCs w:val="24"/>
          <w:u w:val="none"/>
          <w:lang w:val="en-US" w:eastAsia="zh-CN" w:bidi="ar-SA"/>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bidi="ar-SA"/>
        </w:rPr>
      </w:pPr>
      <w:r>
        <w:rPr>
          <w:rFonts w:hint="eastAsia" w:ascii="宋体" w:hAnsi="宋体" w:eastAsia="宋体" w:cs="Times New Roman"/>
          <w:color w:val="000000"/>
          <w:sz w:val="24"/>
          <w:szCs w:val="24"/>
          <w:u w:val="none"/>
          <w:lang w:val="en-US" w:eastAsia="zh-CN" w:bidi="ar-SA"/>
        </w:rPr>
        <w:t xml:space="preserve">名  称：南京鼓楼医院          </w:t>
      </w:r>
      <w:r>
        <w:rPr>
          <w:rFonts w:hint="eastAsia" w:ascii="宋体" w:hAnsi="宋体" w:eastAsia="宋体" w:cs="Times New Roman"/>
          <w:color w:val="000000"/>
          <w:sz w:val="24"/>
          <w:szCs w:val="24"/>
          <w:u w:val="none"/>
          <w:lang w:val="en-US" w:eastAsia="zh-CN" w:bidi="ar-SA"/>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bidi="ar-SA"/>
        </w:rPr>
      </w:pPr>
      <w:r>
        <w:rPr>
          <w:rFonts w:hint="eastAsia" w:ascii="宋体" w:hAnsi="宋体" w:eastAsia="宋体" w:cs="Times New Roman"/>
          <w:color w:val="000000"/>
          <w:sz w:val="24"/>
          <w:szCs w:val="24"/>
          <w:u w:val="none"/>
          <w:lang w:val="en-US" w:eastAsia="zh-CN" w:bidi="ar-SA"/>
        </w:rPr>
        <w:t xml:space="preserve">地  址：南京市</w:t>
      </w:r>
      <w:r>
        <w:rPr>
          <w:rFonts w:hint="eastAsia" w:ascii="宋体" w:hAnsi="宋体" w:eastAsia="宋体" w:cs="Times New Roman"/>
          <w:color w:val="000000"/>
          <w:sz w:val="24"/>
          <w:szCs w:val="24"/>
          <w:u w:val="none"/>
          <w:lang w:val="en-US" w:eastAsia="zh-CN" w:bidi="ar-SA"/>
        </w:rPr>
        <w:t xml:space="preserve">鼓楼区</w:t>
      </w:r>
      <w:r>
        <w:rPr>
          <w:rFonts w:hint="eastAsia" w:ascii="宋体" w:hAnsi="宋体" w:eastAsia="宋体" w:cs="Times New Roman"/>
          <w:color w:val="000000"/>
          <w:sz w:val="24"/>
          <w:szCs w:val="24"/>
          <w:u w:val="none"/>
          <w:lang w:val="en-US" w:eastAsia="zh-CN" w:bidi="ar-SA"/>
        </w:rPr>
        <w:t xml:space="preserve">中山路321号    </w:t>
      </w:r>
      <w:r>
        <w:rPr>
          <w:rFonts w:hint="eastAsia" w:ascii="宋体" w:hAnsi="宋体" w:eastAsia="宋体" w:cs="Times New Roman"/>
          <w:color w:val="000000"/>
          <w:sz w:val="24"/>
          <w:szCs w:val="24"/>
          <w:u w:val="none"/>
          <w:lang w:val="en-US" w:eastAsia="zh-CN" w:bidi="ar-SA"/>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bidi="ar-SA"/>
        </w:rPr>
      </w:pPr>
      <w:r>
        <w:rPr>
          <w:rFonts w:hint="eastAsia" w:ascii="宋体" w:hAnsi="宋体" w:eastAsia="宋体" w:cs="Times New Roman"/>
          <w:color w:val="000000"/>
          <w:sz w:val="24"/>
          <w:szCs w:val="24"/>
          <w:u w:val="none"/>
          <w:lang w:val="en-US" w:eastAsia="zh-CN" w:bidi="ar-SA"/>
        </w:rPr>
        <w:t xml:space="preserve">联系人：黄老师 </w:t>
      </w:r>
      <w:r>
        <w:rPr>
          <w:rFonts w:hint="eastAsia" w:ascii="宋体" w:hAnsi="宋体" w:eastAsia="宋体" w:cs="Times New Roman"/>
          <w:color w:val="000000"/>
          <w:sz w:val="24"/>
          <w:szCs w:val="24"/>
          <w:u w:val="none"/>
          <w:lang w:val="en-US" w:eastAsia="zh-CN" w:bidi="ar-SA"/>
        </w:rPr>
      </w:r>
      <w:r/>
    </w:p>
    <w:p>
      <w:pPr>
        <w:pStyle w:val="87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bidi="ar-SA"/>
        </w:rPr>
        <w:t xml:space="preserve">联系电话：025-83105006</w:t>
      </w:r>
      <w:r>
        <w:rPr>
          <w:rFonts w:hint="eastAsia" w:ascii="宋体" w:hAnsi="宋体" w:eastAsia="宋体" w:cs="Times New Roman"/>
          <w:color w:val="0000ff"/>
          <w:sz w:val="24"/>
          <w:szCs w:val="24"/>
          <w:u w:val="none"/>
          <w:lang w:val="en-US" w:eastAsia="zh-CN"/>
        </w:rPr>
        <w:t xml:space="preserve"> </w:t>
      </w:r>
      <w:bookmarkStart w:id="34" w:name="_Toc28359009"/>
      <w:r/>
      <w:bookmarkStart w:id="35" w:name="_Toc28359086"/>
      <w:r>
        <w:rPr>
          <w:rFonts w:hint="eastAsia" w:ascii="宋体" w:hAnsi="宋体" w:eastAsia="宋体" w:cs="Times New Roman"/>
          <w:sz w:val="24"/>
          <w:szCs w:val="24"/>
          <w:u w:val="none"/>
          <w:lang w:val="en-US" w:eastAsia="zh-CN"/>
        </w:rPr>
      </w:r>
      <w:r/>
    </w:p>
    <w:p>
      <w:pPr>
        <w:pStyle w:val="87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34"/>
      <w:r/>
      <w:bookmarkEnd w:id="35"/>
      <w:r>
        <w:rPr>
          <w:rFonts w:hint="eastAsia" w:ascii="宋体" w:hAnsi="宋体" w:eastAsia="宋体" w:cs="Times New Roman"/>
          <w:sz w:val="24"/>
          <w:szCs w:val="24"/>
          <w:u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873"/>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873"/>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36" w:name="_Toc120614211"/>
      <w:r>
        <w:rPr>
          <w:rFonts w:hint="eastAsia" w:ascii="方正小标宋简体" w:hAnsi="方正小标宋简体" w:eastAsia="方正小标宋简体" w:cs="方正小标宋简体"/>
          <w:color w:val="000000"/>
          <w:sz w:val="36"/>
          <w:szCs w:val="36"/>
        </w:rPr>
        <w:t xml:space="preserve">第二章  </w:t>
      </w:r>
      <w:bookmarkEnd w:id="36"/>
      <w:r/>
      <w:bookmarkStart w:id="37" w:name="_Toc20823274"/>
      <w:r/>
      <w:bookmarkStart w:id="38" w:name="_Toc513029202"/>
      <w:r/>
      <w:bookmarkStart w:id="39" w:name="_Toc120614213"/>
      <w:r/>
      <w:bookmarkStart w:id="40" w:name="_Toc16938518"/>
      <w:r>
        <w:rPr>
          <w:rFonts w:hint="eastAsia" w:ascii="方正小标宋简体" w:hAnsi="方正小标宋简体" w:eastAsia="方正小标宋简体" w:cs="方正小标宋简体"/>
          <w:color w:val="000000"/>
          <w:sz w:val="36"/>
          <w:szCs w:val="36"/>
        </w:rPr>
        <w:t xml:space="preserve">投标人须知</w:t>
      </w:r>
      <w:bookmarkEnd w:id="37"/>
      <w:r/>
      <w:bookmarkEnd w:id="38"/>
      <w:r/>
      <w:bookmarkEnd w:id="39"/>
      <w:r/>
      <w:bookmarkEnd w:id="40"/>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1" w:name="_Toc16938519"/>
      <w:r/>
      <w:bookmarkStart w:id="42" w:name="_Toc20823275"/>
      <w:r/>
      <w:bookmarkStart w:id="43" w:name="_Toc513029203"/>
      <w:r/>
      <w:bookmarkStart w:id="44" w:name="_Toc120614214"/>
      <w:r/>
      <w:bookmarkStart w:id="45" w:name="_Toc120614221"/>
      <w:r/>
      <w:bookmarkStart w:id="46" w:name="_Toc479757207"/>
      <w:r/>
      <w:bookmarkStart w:id="47" w:name="_Toc20823314"/>
      <w:r/>
      <w:bookmarkStart w:id="48" w:name="_Toc16938558"/>
      <w:r/>
      <w:bookmarkStart w:id="49" w:name="_Toc513029242"/>
      <w:r>
        <w:rPr>
          <w:rFonts w:hint="eastAsia" w:ascii="方正黑体_GBK" w:hAnsi="方正黑体_GBK" w:eastAsia="方正黑体_GBK" w:cs="方正黑体_GBK"/>
          <w:b w:val="0"/>
          <w:bCs w:val="0"/>
          <w:color w:val="000000"/>
          <w:sz w:val="30"/>
          <w:szCs w:val="30"/>
        </w:rPr>
        <w:t xml:space="preserve">一、总则</w:t>
      </w:r>
      <w:bookmarkEnd w:id="41"/>
      <w:r/>
      <w:bookmarkEnd w:id="42"/>
      <w:r/>
      <w:bookmarkEnd w:id="43"/>
      <w:r/>
      <w:bookmarkEnd w:id="4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0" w:name="_Hlt16619475"/>
      <w:r/>
      <w:bookmarkEnd w:id="50"/>
      <w:r/>
      <w:bookmarkStart w:id="51" w:name="_Toc458694821"/>
      <w:r/>
      <w:bookmarkStart w:id="52" w:name="_Toc20823276"/>
      <w:r/>
      <w:bookmarkStart w:id="53" w:name="_Toc16938520"/>
      <w:r/>
      <w:bookmarkStart w:id="54" w:name="_Toc513029204"/>
      <w:r>
        <w:rPr>
          <w:rFonts w:hint="eastAsia" w:ascii="方正楷体_GBK" w:hAnsi="方正楷体_GBK" w:eastAsia="方正楷体_GBK" w:cs="方正楷体_GBK"/>
          <w:b/>
          <w:bCs/>
        </w:rPr>
        <w:t xml:space="preserve">1</w:t>
      </w:r>
      <w:bookmarkEnd w:id="51"/>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2"/>
      <w:r/>
      <w:bookmarkEnd w:id="53"/>
      <w:r/>
      <w:bookmarkEnd w:id="5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5" w:name="_Toc20823277"/>
      <w:r/>
      <w:bookmarkStart w:id="56" w:name="_Toc513029205"/>
      <w:r/>
      <w:bookmarkStart w:id="57"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55"/>
      <w:r/>
      <w:bookmarkEnd w:id="56"/>
      <w:r/>
      <w:bookmarkEnd w:id="5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8" w:name="_Toc20823278"/>
      <w:r/>
      <w:bookmarkStart w:id="59" w:name="_Toc513029206"/>
      <w:r/>
      <w:bookmarkStart w:id="60"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7"/>
      <w:r/>
      <w:bookmarkStart w:id="62" w:name="_Toc16938523"/>
      <w:r/>
      <w:bookmarkStart w:id="63" w:name="_Toc20823279"/>
      <w:r/>
      <w:bookmarkStart w:id="64"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1"/>
      <w:r/>
      <w:bookmarkEnd w:id="62"/>
      <w:r/>
      <w:bookmarkEnd w:id="63"/>
      <w:r/>
      <w:bookmarkEnd w:id="6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5" w:name="_Toc513029209"/>
      <w:r/>
      <w:bookmarkStart w:id="66" w:name="_Toc16938525"/>
      <w:r/>
      <w:bookmarkStart w:id="67" w:name="_Toc20823281"/>
      <w:r/>
      <w:bookmarkStart w:id="68" w:name="_Toc120614215"/>
      <w:r>
        <w:rPr>
          <w:rFonts w:hint="eastAsia" w:ascii="方正黑体_GBK" w:hAnsi="方正黑体_GBK" w:eastAsia="方正黑体_GBK" w:cs="方正黑体_GBK"/>
          <w:b w:val="0"/>
          <w:bCs w:val="0"/>
          <w:color w:val="000000"/>
          <w:sz w:val="30"/>
          <w:szCs w:val="30"/>
        </w:rPr>
        <w:t xml:space="preserve">二、招标文件</w:t>
      </w:r>
      <w:bookmarkEnd w:id="65"/>
      <w:r/>
      <w:bookmarkEnd w:id="66"/>
      <w:r/>
      <w:bookmarkEnd w:id="67"/>
      <w:r/>
      <w:bookmarkEnd w:id="68"/>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9" w:name="_Toc20823282"/>
      <w:r/>
      <w:bookmarkStart w:id="70" w:name="_Toc513029210"/>
      <w:r/>
      <w:bookmarkStart w:id="71"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69"/>
      <w:r/>
      <w:bookmarkEnd w:id="70"/>
      <w:r/>
      <w:bookmarkEnd w:id="7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2" w:name="_Toc16938527"/>
      <w:r/>
      <w:bookmarkStart w:id="73" w:name="_Toc20823283"/>
      <w:r/>
      <w:bookmarkStart w:id="74" w:name="_Toc513029211"/>
      <w:r/>
      <w:bookmarkStart w:id="75"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2"/>
      <w:r/>
      <w:bookmarkEnd w:id="73"/>
      <w:r/>
      <w:bookmarkEnd w:id="74"/>
      <w:r/>
      <w:bookmarkEnd w:id="7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6" w:name="_Toc462564071"/>
      <w:r/>
      <w:bookmarkStart w:id="77" w:name="_Toc16938528"/>
      <w:r/>
      <w:bookmarkStart w:id="78" w:name="_Toc20823284"/>
      <w:r/>
      <w:bookmarkStart w:id="79"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76"/>
      <w:r/>
      <w:bookmarkEnd w:id="77"/>
      <w:r/>
      <w:bookmarkEnd w:id="78"/>
      <w:r/>
      <w:bookmarkEnd w:id="7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0" w:name="_Toc120614216"/>
      <w:r/>
      <w:bookmarkStart w:id="81" w:name="_Toc20823285"/>
      <w:r/>
      <w:bookmarkStart w:id="82" w:name="_Toc513029213"/>
      <w:r/>
      <w:bookmarkStart w:id="83" w:name="_Toc462564072"/>
      <w:r/>
      <w:bookmarkStart w:id="84"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0"/>
      <w:r/>
      <w:bookmarkEnd w:id="81"/>
      <w:r/>
      <w:bookmarkEnd w:id="82"/>
      <w:r/>
      <w:bookmarkEnd w:id="83"/>
      <w:r/>
      <w:bookmarkEnd w:id="8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5" w:name="_Toc16938530"/>
      <w:r/>
      <w:bookmarkStart w:id="86" w:name="_Toc20823286"/>
      <w:r/>
      <w:bookmarkStart w:id="87" w:name="_Toc462564073"/>
      <w:r/>
      <w:bookmarkStart w:id="88"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85"/>
      <w:r/>
      <w:bookmarkEnd w:id="86"/>
      <w:r/>
      <w:bookmarkEnd w:id="87"/>
      <w:r/>
      <w:bookmarkEnd w:id="8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9" w:name="_Toc20823287"/>
      <w:r/>
      <w:bookmarkStart w:id="90" w:name="_Toc16938531"/>
      <w:r/>
      <w:bookmarkStart w:id="91" w:name="_Toc462564074"/>
      <w:r/>
      <w:bookmarkStart w:id="92"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89"/>
      <w:r/>
      <w:bookmarkEnd w:id="90"/>
      <w:r/>
      <w:bookmarkEnd w:id="91"/>
      <w:r/>
      <w:bookmarkEnd w:id="92"/>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3" w:name="_Hlt26954838"/>
      <w:r/>
      <w:bookmarkEnd w:id="93"/>
      <w:r/>
      <w:bookmarkStart w:id="94" w:name="_Hlt26668975"/>
      <w:r/>
      <w:bookmarkEnd w:id="94"/>
      <w:r/>
      <w:bookmarkStart w:id="95" w:name="_Toc513029219"/>
      <w:r/>
      <w:bookmarkStart w:id="96" w:name="_Toc49090509"/>
      <w:r/>
      <w:bookmarkStart w:id="97" w:name="_Toc49090507"/>
      <w:r/>
      <w:bookmarkStart w:id="98" w:name="_Toc513029216"/>
      <w:r/>
      <w:bookmarkStart w:id="99" w:name="_Toc14577354"/>
      <w:r/>
      <w:bookmarkStart w:id="100" w:name="_Toc14577357"/>
      <w:r/>
      <w:bookmarkStart w:id="101" w:name="_Hlt26670360"/>
      <w:r/>
      <w:bookmarkEnd w:id="101"/>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5"/>
      <w:r/>
      <w:bookmarkEnd w:id="96"/>
      <w:r/>
      <w:bookmarkEnd w:id="10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97"/>
      <w:r/>
      <w:bookmarkEnd w:id="98"/>
      <w:r/>
      <w:bookmarkEnd w:id="99"/>
      <w:r/>
      <w:bookmarkStart w:id="102" w:name="_Toc14577355"/>
      <w:r/>
      <w:bookmarkStart w:id="103"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2"/>
      <w:r/>
      <w:bookmarkStart w:id="104" w:name="_Hlt26670373"/>
      <w:r/>
      <w:bookmarkEnd w:id="104"/>
      <w:r>
        <w:rPr>
          <w:rFonts w:hint="eastAsia" w:ascii="方正楷体_GBK" w:hAnsi="方正楷体_GBK" w:eastAsia="方正楷体_GBK" w:cs="方正楷体_GBK"/>
          <w:b/>
          <w:bCs/>
        </w:rPr>
        <w:t xml:space="preserve">表</w:t>
      </w:r>
      <w:bookmarkEnd w:id="103"/>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5" w:name="_Hlt26954840"/>
      <w:r/>
      <w:bookmarkEnd w:id="105"/>
      <w:r>
        <w:rPr>
          <w:rFonts w:hint="eastAsia" w:ascii="宋体" w:hAnsi="宋体" w:eastAsia="宋体" w:cs="Times New Roman"/>
          <w:color w:val="000000"/>
          <w:sz w:val="24"/>
        </w:rPr>
        <w:t xml:space="preserve">标人应按照招标文件规定格式填报投标分项报价表</w:t>
      </w:r>
      <w:bookmarkStart w:id="106" w:name="_Hlt26670399"/>
      <w:r/>
      <w:bookmarkEnd w:id="106"/>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07" w:name="_Hlt26954844"/>
      <w:r/>
      <w:bookmarkEnd w:id="107"/>
      <w:r/>
      <w:bookmarkStart w:id="108" w:name="_Hlt26954842"/>
      <w:r/>
      <w:bookmarkEnd w:id="108"/>
      <w:r/>
      <w:bookmarkStart w:id="109" w:name="_Hlt26954848"/>
      <w:r/>
      <w:bookmarkEnd w:id="109"/>
      <w:r/>
      <w:bookmarkStart w:id="110" w:name="_Hlt26954846"/>
      <w:r/>
      <w:bookmarkEnd w:id="110"/>
      <w:r/>
      <w:bookmarkStart w:id="111" w:name="_Hlt26670486"/>
      <w:r/>
      <w:bookmarkEnd w:id="111"/>
      <w:r/>
      <w:bookmarkStart w:id="112" w:name="_Hlt26670403"/>
      <w:r/>
      <w:bookmarkEnd w:id="112"/>
      <w:r/>
      <w:bookmarkStart w:id="113" w:name="_Hlt26668983"/>
      <w:r/>
      <w:bookmarkEnd w:id="113"/>
      <w:r/>
      <w:bookmarkStart w:id="114" w:name="_Hlt26670482"/>
      <w:r/>
      <w:bookmarkEnd w:id="114"/>
      <w:r/>
      <w:bookmarkStart w:id="115" w:name="_Hlt26670425"/>
      <w:r/>
      <w:bookmarkEnd w:id="115"/>
      <w:r/>
      <w:bookmarkStart w:id="116" w:name="_Hlt26954731"/>
      <w:r/>
      <w:bookmarkEnd w:id="116"/>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17" w:name="_Toc49090510"/>
      <w:r/>
      <w:bookmarkStart w:id="118"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17"/>
      <w:r/>
      <w:bookmarkEnd w:id="118"/>
      <w:r/>
      <w:bookmarkStart w:id="119" w:name="_Hlt26954850"/>
      <w:r/>
      <w:bookmarkEnd w:id="119"/>
      <w:r/>
      <w:bookmarkStart w:id="120" w:name="_Hlt26954734"/>
      <w:r/>
      <w:bookmarkEnd w:id="120"/>
      <w:r/>
      <w:bookmarkStart w:id="121" w:name="_Hlt26670489"/>
      <w:r/>
      <w:bookmarkEnd w:id="121"/>
      <w:r/>
      <w:bookmarkStart w:id="122" w:name="_Toc49090511"/>
      <w:r/>
      <w:bookmarkStart w:id="123"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2"/>
      <w:r/>
      <w:bookmarkEnd w:id="12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4" w:name="_Hlt26954852"/>
      <w:r/>
      <w:bookmarkEnd w:id="124"/>
      <w:r/>
      <w:bookmarkStart w:id="125" w:name="_Hlt26954739"/>
      <w:r/>
      <w:bookmarkEnd w:id="125"/>
      <w:r/>
      <w:bookmarkStart w:id="126" w:name="_Toc513029224"/>
      <w:r/>
      <w:bookmarkStart w:id="127" w:name="_Toc20823296"/>
      <w:r/>
      <w:bookmarkStart w:id="128" w:name="_Toc120614217"/>
      <w:r/>
      <w:bookmarkStart w:id="129" w:name="_Toc16938540"/>
      <w:r>
        <w:rPr>
          <w:rFonts w:hint="eastAsia" w:ascii="方正黑体_GBK" w:hAnsi="方正黑体_GBK" w:eastAsia="方正黑体_GBK" w:cs="方正黑体_GBK"/>
          <w:b w:val="0"/>
          <w:bCs w:val="0"/>
          <w:color w:val="000000"/>
          <w:sz w:val="30"/>
          <w:szCs w:val="30"/>
        </w:rPr>
        <w:t xml:space="preserve">四、投标文件的递交</w:t>
      </w:r>
      <w:bookmarkEnd w:id="126"/>
      <w:r/>
      <w:bookmarkEnd w:id="127"/>
      <w:r/>
      <w:bookmarkEnd w:id="128"/>
      <w:r/>
      <w:bookmarkEnd w:id="129"/>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0" w:name="_Toc20823297"/>
      <w:r/>
      <w:bookmarkStart w:id="131" w:name="_Toc462564084"/>
      <w:r/>
      <w:bookmarkStart w:id="132" w:name="_Toc16938541"/>
      <w:r/>
      <w:bookmarkStart w:id="133"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0"/>
      <w:r/>
      <w:bookmarkEnd w:id="131"/>
      <w:r/>
      <w:bookmarkEnd w:id="132"/>
      <w:r/>
      <w:bookmarkEnd w:id="133"/>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4" w:name="_Toc513029226"/>
      <w:r/>
      <w:bookmarkStart w:id="135" w:name="_Toc20823298"/>
      <w:r/>
      <w:bookmarkStart w:id="136" w:name="_Toc16938542"/>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34"/>
      <w:r/>
      <w:bookmarkEnd w:id="135"/>
      <w:r/>
      <w:bookmarkEnd w:id="136"/>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7" w:name="_Toc20823299"/>
      <w:r/>
      <w:bookmarkStart w:id="138" w:name="_Toc16938543"/>
      <w:r/>
      <w:bookmarkStart w:id="139"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0" w:name="_Toc16938544"/>
      <w:r/>
      <w:bookmarkStart w:id="141" w:name="_Toc513029228"/>
      <w:r/>
      <w:bookmarkStart w:id="142"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0"/>
      <w:r/>
      <w:bookmarkEnd w:id="141"/>
      <w:r/>
      <w:bookmarkEnd w:id="142"/>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3" w:name="_Toc120614218"/>
      <w:r/>
      <w:bookmarkStart w:id="144" w:name="_Toc16938545"/>
      <w:r/>
      <w:bookmarkStart w:id="145" w:name="_Toc20823301"/>
      <w:r/>
      <w:bookmarkStart w:id="146" w:name="_Toc513029229"/>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7" w:name="_Toc513029230"/>
      <w:r/>
      <w:bookmarkStart w:id="148" w:name="_Toc20823302"/>
      <w:r/>
      <w:bookmarkStart w:id="149"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47"/>
      <w:r/>
      <w:bookmarkEnd w:id="148"/>
      <w:r/>
      <w:bookmarkEnd w:id="14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0" w:name="_Toc20823303"/>
      <w:r/>
      <w:bookmarkStart w:id="151" w:name="_Toc16938547"/>
      <w:r/>
      <w:bookmarkStart w:id="152"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0"/>
      <w:r/>
      <w:bookmarkEnd w:id="151"/>
      <w:r/>
      <w:bookmarkEnd w:id="152"/>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513029232"/>
      <w:r/>
      <w:bookmarkStart w:id="154" w:name="_Toc16938548"/>
      <w:r/>
      <w:bookmarkStart w:id="155"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56" w:name="_Toc20823305"/>
      <w:r/>
      <w:bookmarkStart w:id="157" w:name="_Toc16938549"/>
      <w:r/>
      <w:bookmarkStart w:id="158"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56"/>
      <w:r/>
      <w:bookmarkEnd w:id="157"/>
      <w:r/>
      <w:bookmarkEnd w:id="158"/>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59" w:name="_Toc20823306"/>
      <w:r/>
      <w:bookmarkStart w:id="160" w:name="_Toc513029234"/>
      <w:r/>
      <w:bookmarkStart w:id="161"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%的，即投标报价&lt;通过符合性审查的次低报价供应商投标报价×50%；</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）评委会基于专业判断，认为供应商报价过低，有可能影响产品质量或者不能诚信履约的其他情形。</w:t>
      </w: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2"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59"/>
      <w:r/>
      <w:bookmarkEnd w:id="160"/>
      <w:r/>
      <w:bookmarkEnd w:id="161"/>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3" w:name="_Toc16938551"/>
      <w:r/>
      <w:bookmarkStart w:id="164" w:name="_Toc20823307"/>
      <w:r/>
      <w:bookmarkStart w:id="165" w:name="_Toc513029235"/>
      <w:r/>
      <w:bookmarkStart w:id="166"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3"/>
      <w:r/>
      <w:bookmarkEnd w:id="164"/>
      <w:r/>
      <w:bookmarkEnd w:id="165"/>
      <w:r>
        <w:rPr>
          <w:rFonts w:hint="eastAsia" w:ascii="方正黑体_GBK" w:hAnsi="方正黑体_GBK" w:eastAsia="方正黑体_GBK" w:cs="方正黑体_GBK"/>
          <w:b w:val="0"/>
          <w:bCs w:val="0"/>
          <w:color w:val="000000"/>
          <w:sz w:val="30"/>
          <w:szCs w:val="30"/>
        </w:rPr>
        <w:t xml:space="preserve">定标</w:t>
      </w:r>
      <w:bookmarkEnd w:id="166"/>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67" w:name="_Toc513029238"/>
      <w:r/>
      <w:bookmarkStart w:id="168" w:name="_Toc20823310"/>
      <w:r/>
      <w:bookmarkStart w:id="169" w:name="_Toc16938554"/>
      <w:r>
        <w:rPr>
          <w:rFonts w:hint="eastAsia" w:ascii="方正楷体_GBK" w:hAnsi="方正楷体_GBK" w:eastAsia="方正楷体_GBK" w:cs="方正楷体_GBK"/>
          <w:b/>
          <w:bCs/>
        </w:rPr>
        <w:t xml:space="preserve">2</w:t>
      </w:r>
      <w:bookmarkEnd w:id="16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68"/>
      <w:r/>
      <w:bookmarkEnd w:id="169"/>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0"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1" w:name="_Toc120614220"/>
      <w:r/>
      <w:bookmarkStart w:id="172" w:name="_Toc513029236"/>
      <w:r/>
      <w:bookmarkStart w:id="173" w:name="_Toc16938552"/>
      <w:r/>
      <w:bookmarkStart w:id="174" w:name="_Toc20823308"/>
      <w:r>
        <w:rPr>
          <w:rFonts w:hint="eastAsia" w:ascii="方正黑体_GBK" w:hAnsi="方正黑体_GBK" w:eastAsia="方正黑体_GBK" w:cs="方正黑体_GBK"/>
          <w:b w:val="0"/>
          <w:bCs w:val="0"/>
          <w:color w:val="000000"/>
          <w:sz w:val="30"/>
          <w:szCs w:val="30"/>
        </w:rPr>
        <w:t xml:space="preserve">七、授予合同</w:t>
      </w:r>
      <w:bookmarkEnd w:id="171"/>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2"/>
      <w:r/>
      <w:bookmarkEnd w:id="173"/>
      <w:r/>
      <w:bookmarkEnd w:id="174"/>
      <w:r/>
      <w:bookmarkStart w:id="175" w:name="_Toc20823309"/>
      <w:r/>
      <w:bookmarkStart w:id="176" w:name="_Toc513029237"/>
      <w:r/>
      <w:bookmarkStart w:id="177"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5"/>
      <w:r/>
      <w:bookmarkEnd w:id="176"/>
      <w:r/>
      <w:bookmarkEnd w:id="177"/>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3"/>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3"/>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3"/>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3"/>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5"/>
      <w:r/>
      <w:bookmarkEnd w:id="46"/>
      <w:r/>
      <w:bookmarkEnd w:id="47"/>
      <w:r/>
      <w:bookmarkEnd w:id="48"/>
      <w:r/>
      <w:bookmarkEnd w:id="49"/>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78" w:name="_Toc16938559"/>
      <w:r/>
      <w:bookmarkStart w:id="179" w:name="_Toc20823315"/>
      <w:r/>
      <w:bookmarkStart w:id="180" w:name="_Toc513029243"/>
      <w:r/>
      <w:bookmarkStart w:id="181" w:name="_Toc479757211"/>
      <w:r/>
      <w:bookmarkStart w:id="182" w:name="_Hlt16619350"/>
      <w:r/>
      <w:bookmarkStart w:id="183" w:name="_Toc16938590"/>
      <w:r/>
      <w:bookmarkStart w:id="184" w:name="_Toc20823346"/>
      <w:r/>
      <w:bookmarkStart w:id="185" w:name="_Toc120614244"/>
      <w:r/>
      <w:bookmarkStart w:id="186"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spacing w:line="240" w:lineRule="auto"/>
        <w:rPr>
          <w:rFonts w:hint="eastAsia"/>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w:t>
      </w:r>
      <w:r>
        <w:rPr>
          <w:rFonts w:ascii="宋体" w:hAnsi="宋体" w:eastAsia="宋体" w:cs="宋体"/>
          <w:sz w:val="24"/>
          <w:szCs w:val="24"/>
        </w:rPr>
        <w:t xml:space="preserve">说明书（如有）、绩效目标考核方法（如有）是本合同的组成部分，本合同未约定的，双方应当按照上述文件履行，如上述文件存在冲突的，以甲方选择的解释顺序为准。</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w:t>
      </w:r>
      <w:r>
        <w:rPr>
          <w:rFonts w:hint="eastAsia" w:hAnsi="宋体"/>
          <w:sz w:val="24"/>
          <w:szCs w:val="24"/>
        </w:rPr>
        <w:t xml:space="preserve">及硬件调试安装完毕后</w:t>
      </w:r>
      <w:r>
        <w:rPr>
          <w:rFonts w:hint="eastAsia" w:ascii="宋体" w:hAnsi="宋体" w:eastAsia="宋体" w:cs="Courier New"/>
          <w:color w:val="000000"/>
          <w:sz w:val="24"/>
          <w:szCs w:val="24"/>
          <w:highlight w:val="none"/>
          <w:lang w:val="en-US" w:eastAsia="zh-CN"/>
        </w:rPr>
        <w:t xml:space="preserve">，甲方支付合同总价款的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bookmarkEnd w:id="178"/>
      <w:r/>
      <w:bookmarkEnd w:id="179"/>
      <w:r/>
      <w:bookmarkEnd w:id="180"/>
      <w:r/>
      <w:bookmarkStart w:id="187" w:name="_Hlt16619369"/>
      <w:r/>
      <w:bookmarkEnd w:id="187"/>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2"/>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3"/>
      <w:r/>
      <w:bookmarkEnd w:id="184"/>
      <w:r/>
      <w:bookmarkEnd w:id="185"/>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8" w:name="_Toc26554093"/>
      <w:r/>
      <w:bookmarkStart w:id="189"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1.1项目概述</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目前</w:t>
      </w:r>
      <w:r>
        <w:rPr>
          <w:rFonts w:hint="eastAsia" w:ascii="宋体" w:hAnsi="宋体" w:eastAsia="宋体" w:cs="宋体"/>
          <w:bCs/>
          <w:color w:val="000000"/>
          <w:sz w:val="24"/>
          <w:szCs w:val="24"/>
          <w:lang w:val="en-US" w:eastAsia="zh-CN"/>
        </w:rPr>
        <w:t xml:space="preserve">采购人</w:t>
      </w:r>
      <w:r>
        <w:rPr>
          <w:rFonts w:hint="eastAsia" w:ascii="宋体" w:hAnsi="宋体" w:eastAsia="宋体" w:cs="宋体"/>
          <w:bCs/>
          <w:color w:val="000000"/>
          <w:sz w:val="24"/>
          <w:szCs w:val="24"/>
          <w:lang w:val="en-US" w:eastAsia="zh-CN"/>
        </w:rPr>
        <w:t xml:space="preserve">食堂智能化、信息化程度相对落后，与医院高质量发展需求不匹配。本项目实施是配合新食堂的建设，为病患提供营养膳食指导，提供营养配餐和治疗饮食，满足患者治疗需要，为职工提供膳食服务，保障饮食卫生安全，增强员工获得感、幸福感和归属感。同时智慧食堂信息管理系统能够为医院提供决策类的信息数据，实现互联互通、交互共享，助力医院高质量发展。</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1.2建设目标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智慧食堂信息管理系统需完成以下目标：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1.2.1.智慧膳食管理后台负责订餐运行、权限管理，支持多院区，提供报表与菜品管理；</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1.2.2.智慧餐厅服务职工，包含订餐、支付、会议餐及包间预订；</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1.2.3.病员订餐关联 HIS 医嘱，有扫码 / 配餐员订餐方式，陪护餐设特色品类；</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1.2.4.进销存管理供货商、采购与库存，可按需求生成采购订单；</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1.2.5.食安系统实时查看后厨，通过留样实现全流程追溯；</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1.2.6.人员系统管理员工信息、健康证预警、考勤及晨检；</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1.2.7.对接院内HRP、OA等外部系统，获取基本数据实现无纸化流程处理。</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（二）项目建设遵循标准</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项目建设需满足国家对医疗机构制定的建设标准，包含《“十四五”全民健康信息化规划》、《医疗卫生机构网络安全管理办法》、《卫生健康行业数据分类分级指南（试行）》等，主要表现为以下几个方面。</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1.3.1.技术标准：包括硬件设备、软件系统的规格和性能要求等，例如服务器设备、网络设备和软件开发等方面的标准，需要支持并适配国产服务器设备、虚拟机、数据库等网络设备和硬件设备。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1.3.2.数据标准：规定数据的格式、存储和交换等规范，确保数据的一致性、准确性和完整性。</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1.3.3.安全标准：指信息系统安全管理和技术要求，包括网络安全、数据安全、系统安全等方面的标准。加强数据收集、存储、传输、处理、使用、交换、销毁等全生命周期安全管理工作。</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1.3.4.信息化管理标准:规定信息化项目管理的流程和方法，包括需求分析、项目计划、实施和评估等方面的标准。</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ff"/>
          <w:sz w:val="24"/>
          <w:szCs w:val="24"/>
          <w:lang w:val="en-US" w:eastAsia="zh-CN"/>
        </w:rPr>
        <w:outlineLvl w:val="1"/>
      </w:pPr>
      <w:r>
        <w:rPr>
          <w:rFonts w:hint="eastAsia" w:ascii="宋体" w:hAnsi="宋体" w:eastAsia="宋体" w:cs="宋体"/>
          <w:bCs/>
          <w:color w:val="000000"/>
          <w:sz w:val="24"/>
          <w:szCs w:val="24"/>
          <w:lang w:val="en-US" w:eastAsia="zh-CN"/>
        </w:rPr>
        <w:t xml:space="preserve">以上标准如有更新，按更新后的标准执行。</w:t>
      </w:r>
      <w:r>
        <w:rPr>
          <w:rFonts w:hint="eastAsia" w:ascii="宋体" w:hAnsi="宋体" w:eastAsia="宋体" w:cs="宋体"/>
          <w:bCs/>
          <w:color w:val="0000ff"/>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产品</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2"/>
        <w:tblW w:w="506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5"/>
        <w:gridCol w:w="1971"/>
        <w:gridCol w:w="733"/>
        <w:gridCol w:w="701"/>
        <w:gridCol w:w="1070"/>
        <w:gridCol w:w="1210"/>
        <w:gridCol w:w="1339"/>
        <w:gridCol w:w="919"/>
        <w:gridCol w:w="1297"/>
      </w:tblGrid>
      <w:tr>
        <w:trPr>
          <w:trHeight w:val="470"/>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3"/>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5"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智慧食堂信息管理系统</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950000</w:t>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软件和信息技术服务业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eastAsia="zh-CN"/>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服务器机柜</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600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智能网络硬盘录像机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500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硬盘</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600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24口POE接入交换机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200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8寸人脸红外测温晨检仪</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6</w:t>
            </w:r>
            <w:r>
              <w:rPr>
                <w:rFonts w:ascii="宋体" w:hAnsi="宋体" w:cs="宋体"/>
                <w:bCs/>
                <w:sz w:val="24"/>
                <w:szCs w:val="24"/>
              </w:rPr>
              <w:t xml:space="preserve">800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门禁磁力锁</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7</w:t>
            </w:r>
            <w:r>
              <w:rPr>
                <w:rFonts w:ascii="宋体" w:hAnsi="宋体" w:cs="宋体"/>
                <w:bCs/>
                <w:sz w:val="24"/>
                <w:szCs w:val="24"/>
              </w:rPr>
              <w:t xml:space="preserve">50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智能留样柜</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3</w:t>
            </w:r>
            <w:r>
              <w:rPr>
                <w:rFonts w:ascii="宋体" w:hAnsi="宋体" w:cs="宋体"/>
                <w:bCs/>
                <w:sz w:val="24"/>
                <w:szCs w:val="24"/>
              </w:rPr>
              <w:t xml:space="preserve">0000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400万双光语音半球型摄像机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7</w:t>
            </w:r>
            <w:r>
              <w:rPr>
                <w:rFonts w:ascii="宋体" w:hAnsi="宋体" w:cs="宋体"/>
                <w:bCs/>
                <w:sz w:val="24"/>
                <w:szCs w:val="24"/>
              </w:rPr>
              <w:t xml:space="preserve">50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智能分析盒</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烟雾探测器</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复合型空气质量检测仪</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3</w:t>
            </w:r>
            <w:r>
              <w:rPr>
                <w:rFonts w:ascii="宋体" w:hAnsi="宋体" w:cs="宋体"/>
                <w:bCs/>
                <w:sz w:val="24"/>
                <w:szCs w:val="24"/>
              </w:rPr>
              <w:t xml:space="preserve">800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以太网温湿度传感器</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　</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250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物联设备网络采集器</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视频解码器</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7</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智能备餐台热四斗（改造）</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3000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智能备餐台（饭汤桶）（改造）</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4000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出品控制台</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8</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自助结算台</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人脸双面屏台式收银机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9000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核心产品</w:t>
            </w:r>
            <w:r>
              <w:rPr>
                <w:rFonts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定制结算岛</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5</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一体化交互终端</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3000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叫号操作终端</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8</w:t>
            </w:r>
            <w:r>
              <w:rPr>
                <w:rFonts w:ascii="宋体" w:hAnsi="宋体" w:cs="宋体"/>
                <w:bCs/>
                <w:sz w:val="24"/>
                <w:szCs w:val="24"/>
              </w:rPr>
              <w:t xml:space="preserve">500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自助点餐机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厨房打印机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200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仓库台账看板</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AI智能收货秤</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3500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智能道闸（双通道）</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25000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出入库扫码枪</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智能菜碟</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6000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智能餐碗</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5</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bl>
    <w:p>
      <w:pPr>
        <w:pStyle w:val="873"/>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 软件</w:t>
      </w:r>
      <w:r>
        <w:rPr>
          <w:rFonts w:ascii="宋体" w:hAnsi="宋体" w:eastAsia="宋体" w:cs="宋体"/>
          <w:bCs/>
          <w:color w:val="000000"/>
          <w:sz w:val="24"/>
          <w:szCs w:val="24"/>
          <w:lang w:val="en-US" w:eastAsia="zh-CN"/>
        </w:rPr>
      </w:r>
      <w:r/>
    </w:p>
    <w:tbl>
      <w:tblPr>
        <w:tblW w:w="1004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280"/>
        <w:gridCol w:w="7885"/>
      </w:tblGrid>
      <w:tr>
        <w:trPr>
          <w:trHeight w:val="424"/>
        </w:trPr>
        <w:tc>
          <w:tcPr>
            <w:gridSpan w:val="3"/>
            <w:tcW w:w="1004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sz w:val="24"/>
                <w:szCs w:val="24"/>
                <w:lang w:val="en-US" w:eastAsia="zh-CN"/>
              </w:rPr>
              <w:t xml:space="preserve">智慧食堂信息管理系统</w:t>
            </w:r>
            <w:r>
              <w:rPr>
                <w:rFonts w:hint="eastAsia" w:ascii="宋体" w:hAnsi="宋体" w:eastAsia="宋体" w:cs="宋体"/>
                <w:bCs/>
                <w:color w:val="000000"/>
                <w:sz w:val="24"/>
                <w:szCs w:val="24"/>
              </w:rPr>
            </w:r>
            <w:r/>
          </w:p>
        </w:tc>
      </w:tr>
      <w:tr>
        <w:trPr>
          <w:trHeight w:val="424"/>
        </w:trPr>
        <w:tc>
          <w:tcPr>
            <w:tcW w:w="8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功能模块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功能点</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功能描述</w:t>
            </w:r>
            <w:r>
              <w:rPr>
                <w:rFonts w:hint="eastAsia" w:ascii="宋体" w:hAnsi="宋体" w:eastAsia="宋体" w:cs="宋体"/>
                <w:bCs/>
                <w:color w:val="000000"/>
                <w:sz w:val="24"/>
                <w:szCs w:val="24"/>
              </w:rPr>
            </w:r>
            <w:r/>
          </w:p>
        </w:tc>
      </w:tr>
      <w:tr>
        <w:trPr>
          <w:cantSplit/>
          <w:trHeight w:val="764"/>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食材进销存管理系统</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基础商品库管理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★支持商品分类管理（增删改），商品信息可单个录入或 Excel 批量导入，支持商品上架、下架操作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供应商管理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建立供应商信息库，记录资质证书（营业执照、食品经营许可证）、检测报告、供货周期、历史履约率等，支持线上资质审核与分级评价；</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建立评估体系，结合订单数据、退换货情况、采购员评价自动生成综合评分，筛选优质供应商，同时支持查询供应商物料、验货记录、订单评价、指数排行等信息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食材采购计划</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基于周排菜数据智能生成食材需求清单，自动核算库存损耗生成采购计划，食堂管理人员可通过平台或手机端下单，减少浪费、降低成本；</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采购计划单按供应商分类生成采购单，自动分发至对应供应商，供应商可通过平台接单，或扫描采购单二维码快速录单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验收、入库管理与追溯</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对接AI智能秤，食材到店后自动采集重量、检测结果，与采购订单比对；</w:t>
            </w:r>
            <w:r>
              <w:rPr>
                <w:rFonts w:hint="eastAsia" w:ascii="宋体" w:hAnsi="宋体" w:eastAsia="宋体" w:cs="宋体"/>
                <w:bCs/>
                <w:color w:val="000000"/>
                <w:sz w:val="24"/>
                <w:szCs w:val="24"/>
              </w:rPr>
            </w:r>
            <w:r/>
          </w:p>
          <w:p>
            <w:pPr>
              <w:pStyle w:val="873"/>
              <w:jc w:val="left"/>
              <w:spacing w:line="264" w:lineRule="auto"/>
              <w:rPr>
                <w:rFonts w:hint="eastAsia" w:ascii="宋体" w:hAnsi="宋体" w:cs="宋体"/>
                <w:bCs/>
                <w:sz w:val="24"/>
                <w:szCs w:val="24"/>
              </w:rPr>
              <w:outlineLvl w:val="2"/>
            </w:pPr>
            <w:r>
              <w:rPr>
                <w:rFonts w:hint="eastAsia" w:ascii="宋体" w:hAnsi="宋体" w:eastAsia="宋体" w:cs="宋体"/>
                <w:bCs/>
                <w:color w:val="000000"/>
                <w:sz w:val="24"/>
                <w:szCs w:val="24"/>
                <w:lang w:val="en-US" w:eastAsia="zh-CN"/>
              </w:rPr>
              <w:t xml:space="preserve">2.</w:t>
            </w:r>
            <w:r>
              <w:rPr>
                <w:rFonts w:hint="eastAsia" w:ascii="宋体" w:hAnsi="宋体" w:cs="宋体"/>
                <w:bCs/>
                <w:sz w:val="24"/>
                <w:szCs w:val="24"/>
              </w:rPr>
              <w:t xml:space="preserve">支持各类物资（含商超物资）扫码入库，生成电子入库单、库存信息及相关报表等</w:t>
            </w:r>
            <w:r>
              <w:rPr>
                <w:rFonts w:ascii="宋体" w:hAnsi="宋体" w:cs="宋体"/>
                <w:bCs/>
                <w:sz w:val="24"/>
                <w:szCs w:val="24"/>
              </w:rPr>
              <w:t xml:space="preserve">；</w:t>
            </w:r>
            <w:r>
              <w:rPr>
                <w:rFonts w:hint="eastAsia" w:ascii="宋体" w:hAnsi="宋体" w:cs="宋体"/>
                <w:bCs/>
                <w:sz w:val="24"/>
                <w:szCs w:val="24"/>
              </w:rPr>
              <w:t xml:space="preserve">验收信息同步至进销存系统形成电子台账，看板实时显示验收数据，摄像头记录验收过程供回放；</w:t>
            </w:r>
            <w:r>
              <w:rPr>
                <w:rFonts w:hint="eastAsia" w:ascii="宋体" w:hAnsi="宋体" w:cs="宋体"/>
                <w:bCs/>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ascii="宋体" w:hAnsi="宋体" w:cs="宋体"/>
                <w:bCs/>
                <w:sz w:val="24"/>
                <w:szCs w:val="24"/>
              </w:rPr>
              <w:t xml:space="preserve">3</w:t>
            </w:r>
            <w:r>
              <w:rPr>
                <w:rFonts w:hint="eastAsia" w:ascii="宋体" w:hAnsi="宋体" w:cs="宋体"/>
                <w:bCs/>
                <w:sz w:val="24"/>
                <w:szCs w:val="24"/>
              </w:rPr>
              <w:t xml:space="preserve">.扫码查看食材全链路信息，包括供应商资质、采购时间、检测报告、运输记录（温湿度、运输时长）、入库时间</w:t>
            </w:r>
            <w:r>
              <w:rPr>
                <w:rFonts w:hint="eastAsia" w:ascii="宋体" w:hAnsi="宋体" w:cs="宋体"/>
                <w:bCs/>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食材库房管理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可通过库存盘点机（支持期初登记、盘点、查询、报损，集扫码、打印、数据传输于一体）和出库终端（扫码、点选定位食材完成出库，实时登记记录）进行库房管理系统维护</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结算管理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1.自动匹配入库单与采购订单，生成结算单，支持线上对账（供应商可登录系统查看明细），对接医院财务系统实现一键付款，记录付款状态（待付 / 已付）。</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2.系统支持按照医院要求，对不同类别食堂商品售卖实施餐补控制功能，支持餐补自动发放、定期清除、自动提示及实时查询等相关功能。</w:t>
            </w:r>
            <w:r>
              <w:rPr>
                <w:rFonts w:hint="eastAsia" w:ascii="宋体" w:hAnsi="宋体" w:eastAsia="宋体" w:cs="宋体"/>
                <w:bCs/>
                <w:color w:val="000000"/>
                <w:sz w:val="24"/>
                <w:szCs w:val="24"/>
                <w:lang w:eastAsia="zh-CN"/>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后厨智能管理模块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食安监管工作台</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对接摄像头、物联传感器、智能留样柜等设备采集数据，通过管理软件统一监管，提供平台总览（实时在岗人员、在线设备、预警信息等）、态势巡检（晨检、行为纠偏、环境预警等）、过期预警（留样、健康证过期）、检疫信息公示功能，支持定制界面并推送至大屏展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后厨作业监控</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在收货区、库房、加工区等关键区域安装摄像头，实现视频长时间存储、回放调阅，支持全屏 / 分屏查看、截图抓拍；</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CN"/>
              </w:rPr>
              <w:outlineLvl w:val="2"/>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智能识别人员违规行为（抽烟、离岗等）和环境问题（老鼠出没、垃圾桶满溢等），自动抓拍留证，生成并推送整改单</w:t>
            </w: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lang w:val="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具备后厨的离人系统和监测、厨房设备的维保记录和档案、油烟清洗记录和档案、隔油池的清洗记录和档案、台账管理等，支持晨检、口罩要精准定位到个人，员工考勤打卡门禁设置为答题打卡，支持健康证过期提醒，每日的晨检记录并保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环境卫生监管</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部署温湿度、一氧化碳、烟雾、水浸、空气质量传感器，实时监测环境数据，设置阈值，异常时自动预警并通知管理端；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登记清洁、消杀台账（时间、人员、区域、方式、图片等）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食品安全检测</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食材检测：对每批次食材进行农药残留、重金属残留等 200 余项检测，合格后方可入库，记录检测结果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菜品留样：搭配智能留样柜(集成人脸识别、电子秤、标签打印机、独立留样仓)使用，需支持自动获取留样柜内当日菜谱生成留样台账，记录留样人、时间、食材、规格，抓拍留样过程，系统支持具备监控提醒报警等软件提醒功能。</w:t>
            </w:r>
            <w:r>
              <w:rPr>
                <w:rFonts w:hint="eastAsia" w:ascii="宋体" w:hAnsi="宋体" w:eastAsia="宋体" w:cs="宋体"/>
                <w:bCs/>
                <w:color w:val="000000"/>
                <w:sz w:val="24"/>
                <w:szCs w:val="24"/>
                <w:lang w:eastAsia="zh-CN"/>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用户就餐服务模块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RFID 射频结算</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餐盘内置芯片，放置结算台后 1 秒内识别菜品信息并扣款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按克称重结算</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用户自助取餐，结算台自动称重并按单价（如“5 元 / 100g”）计算费用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自助服务场景</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提供电子卡包服务，职工可查看余额、交易记录，自助挂失 / 解挂，展示电子支付码，还能在线充值、查看周菜谱、评价菜品及订单。</w:t>
            </w:r>
            <w:r>
              <w:rPr>
                <w:rFonts w:hint="eastAsia" w:ascii="宋体" w:hAnsi="宋体" w:eastAsia="宋体" w:cs="宋体"/>
                <w:bCs/>
                <w:color w:val="000000"/>
                <w:sz w:val="24"/>
                <w:szCs w:val="24"/>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订餐多样化场景</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要有线上点餐的APP或小程序、自动结算、工作餐可以和医院OA审批打通、手术室餐厅实现无纸化就餐、职工食堂入口部署闸机、风味档口实现自助点餐、叫号、包间、接待和会议餐实现线上预约。</w:t>
            </w:r>
            <w:r>
              <w:rPr>
                <w:rFonts w:hint="eastAsia" w:ascii="宋体" w:hAnsi="宋体" w:eastAsia="宋体" w:cs="宋体"/>
                <w:bCs/>
                <w:color w:val="000000"/>
                <w:sz w:val="24"/>
                <w:szCs w:val="24"/>
              </w:rPr>
            </w:r>
            <w:r/>
          </w:p>
        </w:tc>
      </w:tr>
      <w:tr>
        <w:trPr>
          <w:cantSplit/>
          <w:trHeight w:val="1148"/>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评价与反馈</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提供APP或者小程序，可以通过小程序查看前厅客流量统计、配餐和送餐路线的最优化策略、AI智能排餐、预生成菜，对接医院消费规则（福利账户和个人账户）实现福利账户每季度清零的提醒。可对菜品口味（1-5 星）、分量、服务态度评分，填写文字反馈，系统自动关联对应菜品与窗口。</w:t>
            </w:r>
            <w:r>
              <w:rPr>
                <w:rFonts w:hint="eastAsia" w:ascii="宋体" w:hAnsi="宋体" w:eastAsia="宋体" w:cs="宋体"/>
                <w:bCs/>
                <w:color w:val="000000"/>
                <w:sz w:val="24"/>
                <w:szCs w:val="24"/>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运营数据分析模块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多维度数据报表</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自动生成日 / 周 / 月运营报表，</w:t>
            </w:r>
            <w:r>
              <w:rPr>
                <w:rFonts w:hint="eastAsia" w:ascii="宋体" w:hAnsi="宋体" w:cs="宋体"/>
                <w:bCs/>
                <w:sz w:val="24"/>
                <w:szCs w:val="24"/>
              </w:rPr>
              <w:t xml:space="preserve">、盘点报表、财务报表等，包括但不限于：</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运营数据：食材损耗率（实际损耗 / 采购量）、人均消费金额、就餐人数趋势；​</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服务数据：结算效率（人 / 分钟）、线上点餐占比、用户满意度评分；​</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安全数据：违规操作次数、食材检测合格率、留样达标率</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医院</w:t>
            </w:r>
            <w:r>
              <w:rPr>
                <w:rFonts w:hint="eastAsia" w:ascii="宋体" w:hAnsi="宋体" w:eastAsia="宋体" w:cs="宋体"/>
                <w:bCs/>
                <w:color w:val="000000"/>
                <w:sz w:val="24"/>
                <w:szCs w:val="24"/>
              </w:rPr>
              <w:t xml:space="preserve">需要</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lang w:eastAsia="zh-CN"/>
              </w:rPr>
              <w:t xml:space="preserve">各类</w:t>
            </w:r>
            <w:r>
              <w:rPr>
                <w:rFonts w:hint="eastAsia" w:ascii="宋体" w:hAnsi="宋体" w:eastAsia="宋体" w:cs="宋体"/>
                <w:bCs/>
                <w:color w:val="000000"/>
                <w:sz w:val="24"/>
                <w:szCs w:val="24"/>
                <w:lang w:eastAsia="zh-CN"/>
              </w:rPr>
              <w:t xml:space="preserve">财务结算</w:t>
            </w:r>
            <w:r>
              <w:rPr>
                <w:rFonts w:hint="eastAsia" w:ascii="宋体" w:hAnsi="宋体" w:eastAsia="宋体" w:cs="宋体"/>
                <w:bCs/>
                <w:color w:val="000000"/>
                <w:sz w:val="24"/>
                <w:szCs w:val="24"/>
                <w:lang w:eastAsia="zh-CN"/>
              </w:rPr>
              <w:t xml:space="preserve">及</w:t>
            </w:r>
            <w:r>
              <w:rPr>
                <w:rFonts w:hint="eastAsia" w:ascii="宋体" w:hAnsi="宋体" w:eastAsia="宋体" w:cs="宋体"/>
                <w:bCs/>
                <w:color w:val="000000"/>
                <w:sz w:val="24"/>
                <w:szCs w:val="24"/>
                <w:lang w:eastAsia="zh-CN"/>
              </w:rPr>
              <w:t xml:space="preserve">统计数据</w:t>
            </w:r>
            <w:r>
              <w:rPr>
                <w:rFonts w:hint="eastAsia" w:ascii="宋体" w:hAnsi="宋体" w:eastAsia="宋体" w:cs="宋体"/>
                <w:bCs/>
                <w:color w:val="000000"/>
                <w:sz w:val="24"/>
                <w:szCs w:val="24"/>
                <w:lang w:eastAsia="zh-CN"/>
              </w:rPr>
              <w:t xml:space="preserve">等</w:t>
            </w:r>
            <w:r>
              <w:rPr>
                <w:rFonts w:hint="eastAsia" w:ascii="宋体" w:hAnsi="宋体" w:eastAsia="宋体" w:cs="宋体"/>
                <w:bCs/>
                <w:color w:val="000000"/>
                <w:sz w:val="24"/>
                <w:szCs w:val="24"/>
                <w:lang w:eastAsia="zh-CN"/>
              </w:rPr>
              <w:t xml:space="preserve">。</w:t>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数据可视化展示</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通过柱状图、折线图、展示数据（如 “一周就餐人数趋势图”“各窗口菜品销量热力图”）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员工管理模块</w:t>
            </w:r>
            <w:r>
              <w:rPr>
                <w:rFonts w:hint="eastAsia" w:ascii="宋体" w:hAnsi="宋体" w:eastAsia="宋体" w:cs="宋体"/>
                <w:bCs/>
                <w:color w:val="000000"/>
                <w:sz w:val="24"/>
                <w:szCs w:val="24"/>
              </w:rPr>
            </w:r>
            <w:r/>
          </w:p>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用户权限管理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按岗位设置权限（如运营经理可查看全量数据，前台专员仅能操作结算功能），支持权限新增、修改、冻结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人员管理系统</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包含员工信息建档、考勤健康监管、培训考核的全流程管理，结合智能设备实现人员管理从“人工记录”到“数据化管控”的转型，保障食堂运营合规性，同时提升员工专业能力与管理效率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系统管理与维护模块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设备状态监控</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实时监测智能秤、结算台、AI 摄像头、传感器等设备运行状态（正常/故障），故障时推送维修提醒至技术运维人员，记录维修进度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系统可扩展性</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支持多院区、多商户、多档口的管理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外部系统对接</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支持多系统对接：</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HRP系统：同步采购结算单、支付记录至财务系统，支持发票信息上传，实现“采购 - 结算 - 记账”一体化；实时获取医院职工信息，确定餐补方案、就职科室等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HIS系统：关联 HIS 医嘱，获取患者订餐信息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OA系统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线上订餐、包间预约、会议餐预约、工作餐预约等需要与OA对接</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病员点餐、扫码点餐需与原系统对接，商超系统和进销存系统打通，员工充值圈存要和</w:t>
            </w:r>
            <w:r>
              <w:rPr>
                <w:rFonts w:hint="eastAsia" w:cs="宋体"/>
                <w:sz w:val="24"/>
                <w:szCs w:val="24"/>
                <w:highlight w:val="none"/>
              </w:rPr>
              <w:t xml:space="preserve">饭卡开户银行及餐费结算银行的系统对接，支持饭卡个人费用的自助充值（圈存）、结算、对账、查询等相关功能</w:t>
            </w:r>
            <w:r>
              <w:rPr>
                <w:rFonts w:hint="eastAsia" w:ascii="宋体" w:hAnsi="宋体" w:cs="宋体"/>
                <w:sz w:val="24"/>
                <w:szCs w:val="24"/>
              </w:rPr>
              <w:t xml:space="preserve">等</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数据备份与恢复</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自动每日凌晨备份系统数据（含运营数据、用户信息、安全记录），支持手动备份，数据丢失时可一键恢复至最近备份节点</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系统更新与迭代</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支持在线更新功能模块，更新前推送提醒，更新后保留历史数据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 硬件</w:t>
      </w:r>
      <w:r>
        <w:rPr>
          <w:rFonts w:ascii="宋体" w:hAnsi="宋体" w:eastAsia="宋体" w:cs="宋体"/>
          <w:bCs/>
          <w:color w:val="000000"/>
          <w:sz w:val="24"/>
          <w:szCs w:val="24"/>
          <w:lang w:val="en-US" w:eastAsia="zh-CN"/>
        </w:rPr>
      </w:r>
      <w:r/>
    </w:p>
    <w:tbl>
      <w:tblPr>
        <w:tblW w:w="99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1682"/>
        <w:gridCol w:w="6208"/>
      </w:tblGrid>
      <w:tr>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16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需与软件功能对接说明</w:t>
            </w:r>
            <w:r>
              <w:rPr>
                <w:rFonts w:hint="eastAsia" w:ascii="宋体" w:hAnsi="宋体" w:eastAsia="宋体" w:cs="宋体"/>
                <w:b/>
                <w:bCs w:val="0"/>
                <w:sz w:val="24"/>
                <w:szCs w:val="24"/>
                <w:lang w:eastAsia="zh-CN"/>
              </w:rPr>
            </w:r>
            <w:r/>
          </w:p>
        </w:tc>
        <w:tc>
          <w:tcPr>
            <w:tcW w:w="62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lang w:eastAsia="zh-CN"/>
              </w:rPr>
            </w:r>
            <w:r/>
          </w:p>
        </w:tc>
      </w:tr>
      <w:tr>
        <w:trPr>
          <w:trHeight w:val="261"/>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服务器机柜</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后厨智能管理模块需求，用于支撑监控录像存储服务器、存储器运行的基础硬件设施</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1.≥标准42U机柜，置于中心机房、放置服务器、交换机、路由器等设备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2.带≥3个托盘、≥4个风扇、≥4个脚轮，≥1个电源</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3.主要材料：SPCC冷轧钢。框架/立柱≥2.0mm冷轧钢板；门板/侧板1.0–1.5mm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4.静态承重：800–1500kg（主流1000kg）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5.表面处理：脱脂、静电喷塑。 </w:t>
            </w:r>
            <w:r>
              <w:rPr>
                <w:rFonts w:ascii="宋体" w:hAnsi="宋体" w:eastAsia="宋体" w:cs="宋体"/>
                <w:bCs/>
                <w:color w:val="000000"/>
                <w:sz w:val="24"/>
                <w:szCs w:val="24"/>
                <w:lang w:val="en-US" w:eastAsia="zh-CN"/>
              </w:rPr>
            </w:r>
            <w:r/>
          </w:p>
        </w:tc>
      </w:tr>
      <w:tr>
        <w:trPr>
          <w:trHeight w:val="985"/>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智能网络硬盘录像机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后厨智能管理模块需求，用于监控录像存储，智能分析摄像头告警信息汇集等业务功能</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1.用于监控录像存储，智能分析摄像头告警信息汇集上报等业务功能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≥8盘位，SATA3.0接口，每个接口最大支持≥8TB；</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3.支持≥32台摄像机接入，接入带宽≥320Mbps；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4.持前端智能事件的联动告警，智能事件包括行为分析、态势分析、人脸分析；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5.支持智能分析告警功能：移动正测告警、周界入侵告警、进入/离开区域、快速移动侦测、区域徘徊、排队长度、区域人数统计的告警功能；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6.录像回放：多路同步回放：支持16路多倍速回放：支持x1/16、1x/8、x1/4、x1/2速度慢进回放操作，支持x2、x4、x8、x16速度快进回放操作, 帧进播放；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7.录像方式：支持手动录像、计划录像、移动侦测、IO告警联动触发的录像；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8.提供1/4/6/8/9/10/12/13/14/16/17/19/20/22/25/32/36多分屏模式；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9.解码性能：8MP（4K）：4路@30帧/秒 5MP：9路@20帧/秒 4MP：8路@30帧/秒 2MP（1080P）：16路@30帧/秒 720P：32路@30帧/秒。</w:t>
            </w:r>
            <w:r>
              <w:rPr>
                <w:rFonts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硬盘</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后厨智能管理模块需求，配合网络硬盘录像机使用，存储监控视频数据</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1.接口类型: SATA 3.0（6Gbps）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2.容量 ≥ 8TB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3.缓存：256MB；</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4.转速：5900RPM或7200RPM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24口POE接入交换机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为摄像头、传感器等POE设备提供网络接入</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1..不少于24个全千兆POE端口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2.交换容量≥128Gbps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3.包转发率≥72Mpps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4.POE供电功率≥370W</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5.支持基于LiteWare的WEB界面轻管理，端口配置可视化，划分VLAN，页面易操作，运维简单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6.提供≥8K的MAC地址，支持黑洞MAC地址的配置，保障网络安全。</w:t>
            </w:r>
            <w:r>
              <w:rPr>
                <w:rFonts w:hint="eastAsia" w:ascii="宋体" w:hAnsi="宋体" w:eastAsia="宋体" w:cs="宋体"/>
                <w:bCs/>
                <w:color w:val="000000"/>
                <w:sz w:val="24"/>
                <w:szCs w:val="24"/>
                <w:lang w:val="en-US" w:eastAsia="zh-CN"/>
              </w:rPr>
            </w:r>
            <w:r/>
          </w:p>
        </w:tc>
      </w:tr>
      <w:tr>
        <w:trPr>
          <w:trHeight w:val="3602"/>
        </w:trPr>
        <w:tc>
          <w:tcPr>
            <w:tcW w:w="6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8寸人脸红外测温晨检仪</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后厨智能管理模块需求，用于后厨工作人员门禁考勤及晨检测温服务，接入软件系统同步数据</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1.用于后厨工作人员门禁考勤及晨检测温服务；</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2.可实时测温、温度异常告警、未佩戴口罩识别预警、人脸识别、双目活体检测、门禁控制等功能，提供无接触门禁考勤管理，动态体温检测；</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3.显示屏：≥8英寸电容触摸屏，支持多点触控，分辨率≥1920*1080；</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4.摄像头：设备应采用高清双目相机，1路≥200W可见光摄像头，1路≥200W红外补光摄像头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CPU 主</w:t>
            </w:r>
            <w:r>
              <w:rPr>
                <w:rFonts w:hint="eastAsia" w:ascii="宋体" w:hAnsi="宋体" w:eastAsia="宋体" w:cs="宋体"/>
                <w:bCs/>
                <w:color w:val="000000"/>
                <w:sz w:val="24"/>
                <w:szCs w:val="24"/>
              </w:rPr>
              <w:t xml:space="preserve">频不低于 2.0GHz，NPU 算力不低于1TOPS，内存不少于2G，硬盘不少于16G；人脸识别容量大于2万人、识别时间小于0.2秒，识别准确率大于99.9%；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签订合同时</w:t>
            </w:r>
            <w:r>
              <w:rPr>
                <w:rFonts w:hint="eastAsia" w:ascii="宋体" w:hAnsi="宋体" w:eastAsia="宋体" w:cs="宋体"/>
                <w:bCs/>
                <w:color w:val="000000"/>
                <w:sz w:val="24"/>
                <w:szCs w:val="24"/>
              </w:rPr>
              <w:t xml:space="preserve">提供提供包含但不限于产品说明书等技术支持资料（如白皮书、彩页、手册、官网截图、具有CMA</w:t>
            </w:r>
            <w:r>
              <w:rPr>
                <w:rFonts w:hint="eastAsia" w:ascii="宋体" w:hAnsi="宋体" w:eastAsia="宋体" w:cs="宋体"/>
                <w:bCs/>
                <w:color w:val="000000"/>
                <w:sz w:val="24"/>
                <w:szCs w:val="24"/>
                <w:lang w:val="en-US" w:eastAsia="zh-CN"/>
              </w:rPr>
              <w:t xml:space="preserve">标识</w:t>
            </w:r>
            <w:r>
              <w:rPr>
                <w:rFonts w:hint="eastAsia" w:ascii="宋体" w:hAnsi="宋体" w:eastAsia="宋体" w:cs="宋体"/>
                <w:bCs/>
                <w:color w:val="000000"/>
                <w:sz w:val="24"/>
                <w:szCs w:val="24"/>
              </w:rPr>
              <w:t xml:space="preserve">的检测报告等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7.支持戴口罩人脸识别，识别准确率不低于99%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8.支持双目活体，可有效防御可防A4纸打印照片，电子照片，视频图像中的人脸；可防3D头模、头套人脸；可防T型面具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9.支持人脸完成注册后，删除原始照片，仅保留特征值，此时识别功能正常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10.支持语音提示从业人员晨检动作，自动抓拍手部正反两面晨检照片影像，晨检结果同步上传到食堂安全营运监管平台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11.支持对手部图片进行AI识别，自动判定手部的指甲油、伤口、创可贴及戒指等异物</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12.晨检仪具有手部照片拍摄仓，通过均匀的补光保证手部照片的拍摄效果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13.支持晨检健康答题，通过触摸屏选择正确答案方可通过晨检。</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门禁磁力锁</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后厨智能管理模块需求，与人脸红外测温晨检仪配套使用，通过人脸刷脸电磁开锁进入后厨</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与人脸红外测温晨检仪配套使用，通过人脸刷脸电磁开锁进入后厨。静态直线拉力≥280KG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2.工作电压 DC 12V/24V，内置反接保护。工作电流 12V≤500mA；24V≤250mA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安全模式 断电开锁（Fail-Safe），符合消防逃生要求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防护功能 防残磁设计、过温保护、浪涌抑制</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 环境参数 工作温度-10℃~+55℃，湿度0%~95%（无冷凝）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 材质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铝合金外壳（阳极氧化），吸板镀锌处理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智能留样柜</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后厨智能管理模块中食安监管工作台需求</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整机集独立留样仓格、人脸识别操作屏、留样拍照摄像头、留样标签打印机、留样电子秤于一体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内置留样管理软件，支持管理人员身份识别登录后对制作好的餐食进行留样形成电子资料</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可与智慧食堂管理平台进行数据交互，可自动获取食堂当日当餐食谱，无需人工录入菜品信息，实现快速留样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系统可区分管理员权限、操作员权限，根据不同权限进行功能区分管理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操作人员、管理人员具备人脸识别、密码录入多种登录、开启方式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 内外箱均为SUS 304不锈钢材质，不易留油污方便清洁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 每层留样仓的留样菜品日期、餐别可进行独立控制管理，并在屏幕中进行显示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菜品放入留样柜仓格内，开始低温保存，一旦关闭，48小时锁定，限制开启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 配备数显电子温控，智能恒温，随时监控温度状态，异常自动报警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 带留样电子秤，精度可达2克，确保留样克重符合标准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 多个留样菜品可集中拍照留存，一次可以集中拍照不少于10个菜品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 带嵌入式标签打印机，可以根据留样样品自动打印留样标签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 留样菜品拍照后系统会自动打印留样标签，随留样样品打印留样标签，方便信息追溯（标签会记录留样人、操作时间、留样菜品等信息）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14.≥内存 4GB、硬盘 32GB；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15.人脸识别显示屏：电容触摸屏≥8英寸高清显示屏，分辨率≥1080*1920；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16.人脸识别摄像头：≥200 万像素红外双目摄像头；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17.人脸识别：准确率大于99.9%，识别时间小于 0.3s；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18.读卡：距离≥30mm、区域45*45mm、识别时间小于等于0.2s；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19.扫码：距离大于 50mm、时间小于0.2s；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20.扬声器：≥8Ω5W；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21.柜内温度：0-10℃；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 制冷剂：R290；制冷方式：风冷；保温层发泡层材质：环戊烷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23.每个独立留样仓容积≥45 L</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24.使用环境：温度 -10℃-40℃，湿度 5%-95% 无凝结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25.带≥4层独立留样仓，满足循环留样使用需求。</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400万双光语音半球型摄像机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后厨智能管理模块需求，用于食堂区域视频监控，支持夜视和语音提醒</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像素≥400万，内置麦克风，支持拾音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算力≥1 TOPS，支持越线检测、入侵检测、区域进入/离开检测、徘徊检测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支持超级编码，可节省存储空间，同时保持画质和智能检测性能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支持H.265/H.264两码流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视频帧率≥25fps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 红外补光距离≥30m，白光灯补光距离≥20m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 镜头焦距：支持2.8mm、3.6mm、6mm、8mm可选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最大光圈：F1.6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 镜头视角：水平:90°;垂直:48°以上角度误差±5%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 支持自动/彩色/黑白/定时模式。</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 宽动态≥120db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 强光抑制：支持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 数字降噪：2D/3D降噪</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 支持雾气自适应</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 POE供电：支持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 网络接口：1个RJ45 10M/100M自适应以太网口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17. 防护等级：≥IP67。</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智能分析盒</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实现后厨作业监控，环境卫生监管功能点。</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1.可并发对接16台摄像机，支持对每个摄像机配置算法，算法可包括环境风险、人员着装和人员行为；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2.环境风险算法（老鼠检测，垃圾桶未盖检测，动火离人检测同时实现）；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3.人员着装算法（厨师服检测，厨师帽检测，手套检测，口罩检测同时实现）；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4.人员行为算法（抽烟、打电话、看手机、睡岗同时实现）；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5.可接入符合RTSP、GB/T28181标准的高清网络摄像机；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6.视频诊断：支持满载最大16路视频流；</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7.人脸识别：支持满载最大16路视频流；人脸抓拍功能：可实时检测视频画面中的人脸，并抓拍人脸图像；口罩识别功能：可识别视频画面中带口罩的人脸；</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8.视频结构化：支持满载最大16路视频流；</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9.主处理器：不低于4 x ARMCortexA53@1.3G；</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10.NPU：支持 INT4 ≥ 28.8Tops；</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11.网络接口：≥2 个，1000M 自适应以太网，RJ45接口；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12.前置 USB 接口：≥1个USB2.0，1个USB3.0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13.RS485：≥1路；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14.PWR：≥1个；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15.RUN：≥1个，双色（红+绿）；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16.电源：DC12V，2A；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17.结构：金属机壳；</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18.48小时不间断运行设备正常稳定；</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rPr>
              <w:t xml:space="preserve">.低温要求：符合GB/T2423.1-2008；</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.高温要求：符合GB/T2423.2-2008；</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.湿热要求：GB/T 2423.3-2016；</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.工作温度满足：-10℃~50℃；</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.工作湿度：温度40℃，湿度95%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烟雾探测器</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实现后厨作业监控，监测厨房等区域火灾隐患，联动医院消防报警系统，数据接入软件内物联网平台</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探测原理 光电式（光学迷宫），符合GB 4715标准 ，工作电压 DC 12V/24V 或 9V电池供电（独立式）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功耗 静态电流≤15μA，报警电流≤56mA</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报警方式 本地声光报警（≥85dB@3m），继电器常开/常闭输出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能够探出火灾时的烟雾，内置蜂鸣器，报警后可发出强烈声响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探测范围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层高≤6米时，保护面积≥20㎡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 烟雾灵敏度：1.06±0.26%FT。</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复合型空气质量检测仪</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检测厨房及用餐区PM2.5、、TVOC等指标，数据接入软件内物联网平台</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实时监测并显示设备所处环境的甲烷、TVOC、一氧化碳、甲烷等浓度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检测量程 0-1000ug/m3，分辨率：1ug/m3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检测精度 0~100μg/m³时±10μg/m³；101~500μg/m³时±10%读数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响应时间 ≤3秒，数据刷新频率1Hz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 输出接口 UART/TTL、I2C（3.3V），RS485 输出（标准 Modbus-RTU 协议）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 工作电压 DC 5V±0.2V，低功耗设计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 双频数据采集及自动标定技术，一致性可达±10%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采用激光防衰减技术，保证设备长期稳定性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9.产品材质：ABS。安装方式：壁挂、吸顶</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以太网温湿度传感器</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实现后厨作业监控，过以太网方式上传数据至软件平台，实时监测环境温湿度</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1.工业级以太网型温湿度变送器，温湿度测量单元，探头可外延，探头线最长可达30 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2.通过以太网方式上传数据，支持局域网内通信、跨网关广域网通信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3.支持动态域名解析DNS，设备参数通过网口配置，简单方便</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4.温湿度采集频率2S/次，数据上传频率 5S~10000 S/次可设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5.内置报警功能，可进行报警的上下限值及回差值设置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6.具有 2 路常开触点，可任意关联报警事项输出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7.湿度精度：±3%RH(60%RH,25℃)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8.温度精度：±0.5℃（25℃）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9.所投以太网温湿度传感器，依据 JJF 1076-2020《数字式温湿度计校准规范》进行校准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物联设备网络采集器</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实现后厨作业监控，环境卫生监管功能点，将不同物联网传感器接入系统</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1.用于不支持以太网链接平台的物联网传感器接入，为485等接口的设备提供以太网连接方式；</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2.供电：10~30V DC</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3.功率：0.8W</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4.电路工作温湿度：-20℃~+60℃，0%RH~95%RH（非结露）</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5.485通讯距离：最大2000米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6.输出信号：以太网</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7.上传数据间隔：默认30s（1s~60000s可设）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8.配置方式：NFC“碰一碰”配置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9.网口：RJ45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10.频段支持：支持静态IP地址、IP地址自动获取功能、支持跨网关、域名解析</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视频解码器</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实现后厨监控功能点，实现将数字视频信号解码输出至大屏显示，用于监控画面展示</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机箱规格</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标准19英寸机架式，1U/2U高度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Linux或Centos系统，内存不低于8GB，存储不低于256GB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处理器配置不低于四核8线程，主频不低于2.4GHz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4. 解码能力</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支持48路400万或96路1080P视频实时解码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 输出接口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4/8/12路HDMI，支持4K@30Hz输出，同源/异源显示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 编码格式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支持H.265/H.264、Smart265、MJPEG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 网络接入</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2×千兆RJ45，1×SFP光口，支持GB28181、ONVIF协议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8. 控制接口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RS232/RS485、USB3.0，支持键盘控制</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9. 功耗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满配≤120W，支持双冗余电源（高端机型）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10. </w:t>
            </w:r>
            <w:r>
              <w:rPr>
                <w:rFonts w:hint="eastAsia" w:ascii="宋体" w:hAnsi="宋体" w:eastAsia="宋体" w:cs="宋体"/>
                <w:bCs/>
                <w:color w:val="000000"/>
                <w:sz w:val="24"/>
                <w:szCs w:val="24"/>
                <w:lang w:val="en-US" w:eastAsia="zh-CN"/>
              </w:rPr>
              <w:t xml:space="preserve">满足</w:t>
            </w:r>
            <w:r>
              <w:rPr>
                <w:rFonts w:hint="eastAsia" w:ascii="宋体" w:hAnsi="宋体" w:eastAsia="宋体" w:cs="宋体"/>
                <w:bCs/>
                <w:color w:val="000000"/>
                <w:sz w:val="24"/>
                <w:szCs w:val="24"/>
              </w:rPr>
              <w:t xml:space="preserve">安防监控中心7×24小时运行</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智能备餐台热四斗（改造）</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ab/>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集成出品台、顶部保温层组成，具有备餐、保温、菜品出品写入、菜品价格及营养指示的功能，支持同步软件系统内菜品目录信息</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1.产品整体结构：集成出品台、顶部保温层组成，具有备餐、保温、菜品出品写入、菜品价格及营养指示的功能；</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2.集成出品台采用钢化玻璃面板，≥1.2mm的SUS304不锈钢板为框架；顶部保温层采用采用≥1.0mm的SUS304不锈钢板；</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3.工艺要求：顶层的照明灯和保温灯独立控制。出品层的出品模块嵌入带防水胶圈，整体嵌入在备餐台内，表面平整不突起。出品层的营养价签由整块深色钢化玻璃覆盖，不通电时营养价签不显示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4.保温控制：顶层：顶部保温层采用红外灯保温，有单独的开关按钮控制；出品层：带有温度感应器，根据设定温度控制顶部的加热灯工作达到自动恒温；</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5.双区域照明系统：由顶部照明灯和出品台底部的照明灯组成双区域照明系统；</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6.保温集成出品台规格：支持两格、四格、五格和六格规格的保温台,可选种类包括饭汤台、冷菜台、炖锅台、蔬菜台、热菜台；</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7.双显示屏：对应操作员的出品模块带有不</w:t>
            </w:r>
            <w:r>
              <w:rPr>
                <w:rFonts w:hint="eastAsia" w:ascii="宋体" w:hAnsi="宋体" w:eastAsia="宋体" w:cs="宋体"/>
                <w:bCs/>
                <w:color w:val="000000"/>
                <w:sz w:val="24"/>
                <w:szCs w:val="24"/>
                <w:lang w:val="en-US" w:eastAsia="zh-CN"/>
              </w:rPr>
              <w:t xml:space="preserve">小</w:t>
            </w:r>
            <w:r>
              <w:rPr>
                <w:rFonts w:hint="eastAsia" w:ascii="宋体" w:hAnsi="宋体" w:eastAsia="宋体" w:cs="宋体"/>
                <w:bCs/>
                <w:color w:val="000000"/>
                <w:sz w:val="24"/>
                <w:szCs w:val="24"/>
              </w:rPr>
              <w:t xml:space="preserve">于1.3英寸的显示屏，对应顾客的营养显示模块带有不小于7英寸的IPS屏（全视角屏）；</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8.触控按键：对应操作员的出品模块带有3个触控按键，可以直接用于菜品切换；</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9.操作显示：触屏模块可以显示餐次、菜品名称、单价及工作状态；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10.餐具出品：餐具写入时间小于0.1秒、菜品信息写入时间小于0.1秒,识别距离大于50MM，单个识别区域不小于150*120MM；</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11.菜品指示：显示菜品名称、价格，营养成分包括热量、蛋白质、脂肪、碳水化合物、膳食纤维等信息；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12.出品指示：显示屏指示是否出品成功，并有蜂鸣器和指示灯指示，LED灯光提醒区域不小于100MM*40MM；</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13.脱机使用，离线状态也可以正常出品工作；</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14.菜品容量：每个设置5个时段，每个时段可设置≥99个菜品；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15.状态指示：具有在线、离线、故障三种状态指示；</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16.食品安全:顶部设有玻璃保护罩，挡唾沫飞溅，符合卫生要求；</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17.48小时稳定性：支持不断电运行48小时稳定运行，可正常读取餐盘、正常显示菜品信息；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18.低温要求：符合GB/T 2423.1-2008；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19.高温要求：符合GB/T 2423.2-2008；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20.湿热要求：符合GB/T 2423.3-2016；</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21.工作温度：-10℃-50 摄氏度；</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22.工作湿度：温度40℃，湿度95%；</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rPr>
              <w:t xml:space="preserve">23.</w:t>
            </w:r>
            <w:bookmarkStart w:id="190" w:name="OLE_LINK3"/>
            <w:r>
              <w:rPr>
                <w:rFonts w:hint="eastAsia" w:ascii="宋体" w:hAnsi="宋体" w:eastAsia="宋体" w:cs="宋体"/>
                <w:bCs/>
                <w:color w:val="000000"/>
                <w:sz w:val="24"/>
                <w:szCs w:val="24"/>
              </w:rPr>
              <w:t xml:space="preserve">智能备餐台整机符合GB4806.9-2023的</w:t>
            </w:r>
            <w:r>
              <w:rPr>
                <w:rFonts w:hint="eastAsia" w:ascii="宋体" w:hAnsi="宋体" w:eastAsia="宋体" w:cs="宋体"/>
                <w:bCs/>
                <w:color w:val="000000"/>
                <w:sz w:val="24"/>
                <w:szCs w:val="24"/>
                <w:lang w:val="en-US" w:eastAsia="zh-CN"/>
              </w:rPr>
              <w:t xml:space="preserve">要求。</w:t>
            </w:r>
            <w:bookmarkEnd w:id="190"/>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智能备餐台（饭汤桶）（改造）</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集成出品台、顶部保温层组成，具有备餐、保温、菜品出品写入、菜品价格及营养指示的功能，支持同步软件系统内菜品目录信息</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1.产品整体结构：集成出品台、顶部保温层组成，具有备餐、保温、菜品出品写入、菜品价格及营养指示的功能；</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2.集成出品台采用钢化玻璃面板，≥1.2mm的SUS304不锈钢板为框架；顶部保温层采用采用≥1.0mm的SUS304不锈钢板；</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3.工艺要求：顶层的照明灯和保温灯独立控制。出品层的出品模块嵌入带防水胶圈，整体嵌入在备餐台内，表面平整不突起。出品层的营养价签由整块深色钢化玻璃覆盖，不通电时营养价签不显示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4.保温控制：顶层：顶部保温层采用红外灯保温，有单独的开关按钮控制；出品层：带有温度感应器，根据设定温度控制顶部的加热灯工作达到自动恒温；</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5.双区域照明系统：由顶部照明灯和出品台底部的照明灯组成双区域照明系统；</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6.保温集成出品台规格：支持两格、四格、五格和六格规格的保温台,可选种类包括饭汤台、冷菜台、炖锅台、蔬菜台、热菜台；</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7.双显示屏：对应操作员的出品模块带有不少于1.3英寸的显示屏，对应顾客的营养显示模块带有不小于7英寸的IPS屏（全视角屏）；</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8.触控按键：对应操作员的出品模块带有3个触控按键，可以直接用于菜品切换；</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9.操作显示：触屏模块可以显示餐次、菜品名称、单价及工作状态；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10.餐具出品：餐具写入时间小于0.1秒、菜品信息写入时间小于0.1秒,识别距离大于50MM，单个识别区域不小于150*120MM；</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11.菜品指示：显示菜品名称、价格，营养成分包括热量、蛋白质、脂肪、碳水化合物、膳食纤维等信息；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12.出品指示：显示屏指示是否出品成功，并有蜂鸣器和指示灯指示，LED灯光提醒区域不小于100MM*40MM；</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13.脱机使用，离线状态也可以正常出品工作；</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14.菜品容量：每个设置5个时段，每个时段可设置≥99个菜品；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15.状态指示：具有在线、离线、故障三种状态指示；</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16.食品安全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顶部设有玻璃保护罩，挡唾沫飞溅，符合卫生要求；</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17.48小时稳定性：支持不断电运行48小时稳定运行，可正常读取餐盘、正常显示菜品信息；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18.低温要求：符合GB/T 2423.1-2008；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19.高温要求：符合GB/T 2423.2-2008；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20.湿热要求：符合GB/T 2423.3-2016；</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21.工作温度：-10℃-50 摄氏度；</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22.工作湿度：温度40℃，湿度95%；</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rPr>
              <w:t xml:space="preserve">23.智能备餐台整机符合GB4806.9-2023的</w:t>
            </w:r>
            <w:r>
              <w:rPr>
                <w:rFonts w:hint="eastAsia" w:ascii="宋体" w:hAnsi="宋体" w:eastAsia="宋体" w:cs="宋体"/>
                <w:bCs/>
                <w:color w:val="000000"/>
                <w:sz w:val="24"/>
                <w:szCs w:val="24"/>
                <w:lang w:val="en-US" w:eastAsia="zh-CN"/>
              </w:rPr>
              <w:t xml:space="preserve">要求。</w:t>
            </w:r>
            <w:r>
              <w:rPr>
                <w:rFonts w:hint="eastAsia" w:ascii="宋体" w:hAnsi="宋体" w:eastAsia="宋体" w:cs="宋体"/>
                <w:bCs/>
                <w:color w:val="000000"/>
                <w:sz w:val="24"/>
                <w:szCs w:val="24"/>
                <w:lang w:val="en-US" w:eastAsia="zh-CN"/>
              </w:rPr>
            </w:r>
            <w:r/>
          </w:p>
        </w:tc>
      </w:tr>
      <w:tr>
        <w:trPr>
          <w:trHeight w:val="90"/>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出品控制台</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实现食材进销存管理系统功能。支持网络连接、兼容各种操作系统、可部署软件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接入智慧食堂管理平台，管理常用排菜模板数据，支持按餐别、日期排菜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控制每条餐线的售卖菜品，用于智能备餐台上的出品终端、营养价签的数据下发与管理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适应后厨环境，支持湿手、带手套操作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排菜时支持按菜品名称、菜品编码、拼音码的方式快速查找菜品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5.排菜时支持1/1、1/2、1/3、1/4盆显示设置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签订合同时</w:t>
            </w:r>
            <w:r>
              <w:rPr>
                <w:rFonts w:hint="eastAsia" w:ascii="宋体" w:hAnsi="宋体" w:eastAsia="宋体" w:cs="宋体"/>
                <w:bCs/>
                <w:color w:val="000000"/>
                <w:sz w:val="24"/>
                <w:szCs w:val="24"/>
              </w:rPr>
              <w:t xml:space="preserve">提供提供包含但不限于产品说明书等技术支持资料（如白皮书、彩页、手册、官网截图、具有CMA</w:t>
            </w:r>
            <w:r>
              <w:rPr>
                <w:rFonts w:hint="eastAsia" w:ascii="宋体" w:hAnsi="宋体" w:eastAsia="宋体" w:cs="宋体"/>
                <w:bCs/>
                <w:color w:val="000000"/>
                <w:sz w:val="24"/>
                <w:szCs w:val="24"/>
                <w:lang w:val="en-US" w:eastAsia="zh-CN"/>
              </w:rPr>
              <w:t xml:space="preserve">标识</w:t>
            </w:r>
            <w:r>
              <w:rPr>
                <w:rFonts w:hint="eastAsia" w:ascii="宋体" w:hAnsi="宋体" w:eastAsia="宋体" w:cs="宋体"/>
                <w:bCs/>
                <w:color w:val="000000"/>
                <w:sz w:val="24"/>
                <w:szCs w:val="24"/>
              </w:rPr>
              <w:t xml:space="preserve">的检测报告等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 POE供电：支持网线供电</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 可存储的菜品信息不少于150道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8.操作系统：Android 11.0及以上；</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9.CPU：主频不低于1.8GHz 、算力不低于1TOPS，内存不低于2GB，硬盘不低于16GB；</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10.显示屏：不小于15英寸，采用电容触摸屏，支持多点触控，分辨率不低于 1920*1080；</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11.通讯：WIFI/4G/WLAN；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12.电源：直流电源12V/3A；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13.菜品切换：支持切换菜品功能，出品机实时显示菜品切换；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14.下发菜谱：支持从后台下拉菜谱功能；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15.下发菜品时间：连接单个出品机下发时间小于 1 秒；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16.连接出品机数量：支持同时连接 20 台出品机稳定运行；</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17.48小时不间断运行设备正常稳定；</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18.子设备升级：支持控制出品机和营养价签进行版本的升级功能；</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19.低温要求：符合GB/T2423.1-2008；</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20.高温要求：符合GB/T2423.2-2008；</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21.湿热要求：GB/T 2423.3-2016；</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22工作温度满足：-10℃~50℃；</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23.工作湿度：温度40℃，湿度95%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自助结算台</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可对进入结算台“结算区”的智能餐盘进行快速、批量识别，就餐者自助完成支付结算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内置结算软件，具有收银、餐盘管理和营业统计等功能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支持自动核算、自助支付、批量改写定义价格、未支付报警提示、交易记录查询、余额查询等功能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多单商品可进行累单支付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具有隔单设置功能，防止同一单菜品被重复扣费</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 整机采用钢化玻璃面板，金属拉丝边框，静电喷塑，防潮湿，耐油污，所有功能模块全部采用pc/abs塑胶材料，热变型温度高达120℃以上，阻燃特性符合ul94-v0标准。</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 一体式设计，整体集成了读写天线、主机、卡码、人脸识别设备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智能餐具识别区域：425mm*325mm（±5%），最小读取距离大于100MM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 存储：不低于4GB RAM，32GB ROM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 主屏、客显屏均不低于15.6寸，分辨率不低于1920*1080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 智能餐具叠放识别：不少于8个餐具进行叠放，识别时间小于100ms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 智能餐具侧翻识别：将智能餐盘在距离结算区50-100mm的高度内侧翻0-90度，均能正确识别与结算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 群识性能≥20个</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 结算识别距离能达到100mm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 人脸识别高度差≥400mm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 支持戴眼镜情况下正常进行人脸识别支付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17. 在不少于8000张人脸库下，支付时间＜200ms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18. 人脸识别成功率＞99.9%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19. 规格尺寸：常规，高度可调节，以适应餐线高度。8MM钢化玻璃台面，静电喷塑，耐高温，防潮湿，耐油污，等候区+快速结算区+15寸电容触摸主机显示屏+客显工业级、钱箱现金自动弹出 支持一卡通刷卡、微信支付宝扫码支付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20.CPU的配置不低于：四核64位Cortex-A55 CPU、主频不小于2.0GHz、算力不小于1TOPS；</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21.低温要求：符合GB/T</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2423.1-2008；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22.高温要求：符合GB/T</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2423.2-2008；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23.湿热要求：GB/T 2423.3-2016；</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24.工作温度满足：-10℃~50℃；</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25.工作湿度：≥温度40℃，≥湿度95%；</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26.</w:t>
            </w:r>
            <w:r>
              <w:rPr>
                <w:rFonts w:hint="eastAsia" w:ascii="宋体" w:hAnsi="宋体" w:eastAsia="宋体" w:cs="宋体"/>
                <w:bCs/>
                <w:color w:val="000000"/>
                <w:sz w:val="24"/>
                <w:szCs w:val="24"/>
              </w:rPr>
              <w:t xml:space="preserve">收费</w:t>
            </w:r>
            <w:r>
              <w:rPr>
                <w:rFonts w:hint="eastAsia" w:ascii="宋体" w:hAnsi="宋体" w:eastAsia="宋体" w:cs="宋体"/>
                <w:bCs/>
                <w:color w:val="000000"/>
                <w:sz w:val="24"/>
                <w:szCs w:val="24"/>
                <w:lang w:val="en-US" w:eastAsia="zh-CN"/>
              </w:rPr>
              <w:t xml:space="preserve">功能</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支持餐具读到金额可选是否折扣几折功能等；</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支持挂账、最低消费不足最低消费金额按最低扣费、超出最低金额正常扣费；</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支持离线脱机收银，网络链接以后自动回传消费数据；</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支持菜品排序可自由排序、临时计价器餐台可直接下载菜品及价格</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带语音提示，引导就餐者完成结账步骤；</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餐具进入“结算区”后，系统自动识别、核算整单菜价完成支付、支付成功后整单信息数量价格等不消失读到下一单新餐具或有新点商品菜品自动消失、显示本地商品菜品价格数量信息；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就餐者可在“读卡区”刷卡完成支付；</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手点菜品商品无芯片显示红色文字、带芯片餐具为黑色文字显示；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支持批量定义价格；</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酒水饮料等不带芯片的商品，可通过外置触控屏人工点选的方式添加；</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将就餐卡置于“读卡区”，可查询就餐卡卡内余额；</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可按时段查询、统计餐厅营业额和流水明细；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智慧餐台前端软件支持，消费查询可查询最近交易记录及餐盘里所交易的菜品明细，也可选中再次直接打印小票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软件支持单独挂起功能，挂起的餐盘想要结账时可单独点结算进行支付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支持挂账功能，团餐或多人一起结算时可连续挂账，挂账成功以后的托盘菜品如有退菜或去菜的，可以进行删除单个菜品数量金额或整单托盘菜品的数量金额等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消费机与智慧餐台软件同步配置，满足上述所有条件；喇叭：具有中文语音提示,喇叭功率不少于3W，喇叭清晰能够适应食堂环境；</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具备手工补充输入金额结算功能；</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支持脱机使用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支持现金、会员卡、支付宝微信、餐卷、人脸五种自由组合结算模式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托盘位置检测：为了防止漏支付和少支付，要求放置餐具的托盘到达指定区域时方可以进行识别。未到达指定区域，有语音提示，显示屏提示。</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人脸双面屏台式收银机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1.强光识别：强光直照下，也可以正常识别人脸，完成支付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2.读卡方式：内置读卡模块，支持 M1/CPU/NFC 三种方式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3.扫码支付：支持微信、支付宝、云闪付、数字人民币等支付方式，同时支持内部二维码支付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4.稳定运行：48 小时稳定运行，支付正常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5.操作：支持点餐叫号、订餐取餐、取餐核销</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6.营养显示：菜品营养成分显示，包括热量、脂肪、蛋白质、胆固醇、膳食纤维等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7.消费模式：支持多种消费模式，包括手动、定额、类别、取餐、采集和称重模式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8.人脸录入：具有人脸采集的功能，可通过刷卡或手机号核身录入人脸信息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9.人脸识别参数设置：可设置人脸识别分和人脸大小来控制识别精度和距离</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10.本机查询：本机可查询当餐、当天的营业汇总、用户信息及对应的消费记录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11.错误退款：可查询最近的交易记录，根据交易记录管理员登录后可操作退款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12.离线功能：支持离线消费功能、支持离线数据手动、自动上传功能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13.开户容量：设备开户容量≧10 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14.处理器：不小于CPU 四核 64 位 CORTEX-A55、主频 2.0GHz，NPU 算力 1TOPS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15.存储：不小于内存 2GB（可扩展）、硬盘 16GB（可扩展）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16.操作系统：≥Android 7.1以上</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17.用户显示屏：≥15.6 英寸电容触摸屏，分辨率 1920*1080，支持多点触控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18.操作触摸屏：≥11.6 英寸电容触摸屏，分辨率 1920*1080，支持多点触控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19.人脸识别摄像头：≥200 万像素红外双目摄像头，支持活体识别</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20.人脸识别：模板容量 6 万人（可扩展）、准确率大于等于 99.9%、识别时间小于 0.2s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21.读卡：识别时间小于 0.2s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22.扫码：识别时间小于 0.2s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23.打印机：可扩展内置 80mm 热敏打印机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24.扬声器：8Ω*5W*2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25.通讯：WiFi/WLAN/4G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26.使用环境：温度 -10℃-40℃，湿度 5%-95% 无凝结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27.材质：高强度高韧性 ABS 树脂。</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定制结算岛</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1.满足4台自助结算台的岛台定制需求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2.一体化收银结算岛，台面为白色人造石台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3.侧面为白烤漆玻璃，暗藏式LED灯带，定制水晶雕刻字LOGO</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4.兼具杂物收纳功能。</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一体化交互终端</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展示内容模块化设计，可自由进行组合和顺序调整，展示内容包括每周菜谱、今日菜谱、档口套餐、明厨亮灶、菜品评价、服务质量评价、服务人员评价、意见反馈、厨房值班、通知公告、账目公示、资质公示以及餐厅指引、食品检测报告公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通知公告：可查看通知公告信息，支持以文件、视频、图片等多种格式发布与展示各类信息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每周菜谱：可查看周一至周日，早、中、晚三个餐别的菜谱，并能查看每周菜谱的营养分析的标准量和实际量情况</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菜肴点评：可点击查看每道菜品的图文信息、营养膳食表以及历史评价信息，可以对食谱中的菜品进行点赞和评论操作，管理人员可以在输入密码后对评价进行回复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菜品推荐：可以对菜品进行“想吃”的点赞操作，并可以按照点赞数量对菜品进行排序，生成菜品最受欢迎排行，可以按大荤、小荤、素菜、主食、汤等类别进行查看菜品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 账目公示：系统支持通过平台上传图片/PDF的账目公示数据并在终端上呈现。同时支持按月公布伙食费、生活水平等类目的伙食经费消耗明细情况以及库存物资明细、伙食保障登记信息、退伙信息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 厨房值班：可显示当周厨房值班人员的名字和照片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意见反馈：可填写意见进行留言反馈，反馈留言可进行列表呈现，餐厅人员可对反馈留言进行回复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 明厨亮灶：可实时查看食堂视频流信息，让就餐者及时了解后厨情况，</w:t>
            </w:r>
            <w:r>
              <w:rPr>
                <w:rFonts w:hint="eastAsia" w:ascii="宋体" w:hAnsi="宋体" w:eastAsia="宋体" w:cs="宋体"/>
                <w:bCs/>
                <w:color w:val="000000"/>
                <w:sz w:val="24"/>
                <w:szCs w:val="24"/>
                <w:lang w:val="en-US" w:eastAsia="zh-CN"/>
              </w:rPr>
              <w:t xml:space="preserve">放心</w:t>
            </w:r>
            <w:r>
              <w:rPr>
                <w:rFonts w:hint="eastAsia" w:ascii="宋体" w:hAnsi="宋体" w:eastAsia="宋体" w:cs="宋体"/>
                <w:bCs/>
                <w:color w:val="000000"/>
                <w:sz w:val="24"/>
                <w:szCs w:val="24"/>
              </w:rPr>
              <w:t xml:space="preserve">就餐</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 服务质量评价：支持就餐者从菜品、服务、环境等多维度对餐厅进行评价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 服务人员评价：支持就餐者对餐厅工作人员的服务态度、技能水平等进行评价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 餐厅引导：可以查看餐厅指引信息，清晰展示餐厅布局，方便就餐者快速找到目标区域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 餐厅资质：可查看餐厅资质信息，集中展示营业执照、人员健康证等餐厅相关证书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 食品检验报告：展示各类食材检测报告,可进行点击查看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 全金属外壳，窄铝挤前框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 8bits+FRC灰度等级，色彩精确自然，色彩之间的过渡平滑</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17. 带K型支架，屏幕≥55英寸，分辨率≥3840*2160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18. 触控：红外高精度20点触摸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19. 不低于3mm钢化玻璃面板，带防眩光，透光率≥90%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20. 处理器：配置不低于A55*4或同等以上配置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21. 内存不低于4GB, 存储不低于32GB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22. 操作系统：Android 7.1或同等以上配置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23. 最大功率：≤300W。</w:t>
            </w:r>
            <w:r>
              <w:rPr>
                <w:rFonts w:hint="eastAsia" w:ascii="宋体" w:hAnsi="宋体" w:eastAsia="宋体" w:cs="宋体"/>
                <w:bCs/>
                <w:color w:val="000000"/>
                <w:sz w:val="24"/>
                <w:szCs w:val="24"/>
                <w:lang w:val="en-US" w:eastAsia="zh-CN"/>
              </w:rPr>
            </w:r>
            <w:r/>
          </w:p>
        </w:tc>
      </w:tr>
      <w:tr>
        <w:trPr>
          <w:trHeight w:val="353"/>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叫号操作终端</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1.用于档口叫号取餐，对多功能电子菜牌下发叫号指令</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2.操作系统：不低于Android 11或满足同等功能的其他系统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3.CPU：不低于4核1.8GHz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4.显示屏：≥15英寸电容多点触摸屏，分辨率≥1920*1080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5.内存：≥2GB，硬盘存储≥8GB。</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自助点餐机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numPr>
                <w:ilvl w:val="0"/>
                <w:numId w:val="5"/>
              </w:numPr>
              <w:jc w:val="left"/>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操作屏：≥24寸触摸竖屏分辨率≥1080*1920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响应时间：</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触摸点数：标配10点触摸,可实现放大缩小图片等多点触摸功能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触摸有效识别：＞1.5mm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扫描频率：200Hz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通信方式：全速USB 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3.0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固件：支持USB升级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触摸数据输出方式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坐标输出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9</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驱动：免驱，即插即用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10</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工作电流/电压：180Ma/DC+5V±5%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抗光干扰：阳光、白炽灯、日光灯等强光变化时正常使用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表面硬度：物理钢化,莫氏7级防爆玻璃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操作系统兼容性：Win7/ Win8/Win </w:t>
            </w:r>
            <w:r>
              <w:rPr>
                <w:rFonts w:hint="eastAsia" w:ascii="宋体" w:hAnsi="宋体" w:eastAsia="宋体" w:cs="宋体"/>
                <w:bCs/>
                <w:color w:val="000000"/>
                <w:sz w:val="24"/>
                <w:szCs w:val="24"/>
              </w:rPr>
              <w:t xml:space="preserve">/CE/Mac/Android/</w:t>
            </w:r>
            <w:r>
              <w:rPr>
                <w:rFonts w:hint="eastAsia" w:ascii="宋体" w:hAnsi="宋体" w:eastAsia="宋体" w:cs="宋体"/>
                <w:bCs/>
                <w:color w:val="000000"/>
                <w:sz w:val="24"/>
                <w:szCs w:val="24"/>
              </w:rPr>
            </w:r>
            <w:r/>
          </w:p>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Linux /XP</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输入电源：110-240V AC 50/60Hz</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输出电源：DC 12V5A</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产品尺寸：≥372*≥80*≥850（mm）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568"/>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厨房打印机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与点餐系统对接，档口接单的同时，后厨同步打印制作小票，支持网络、USB连接</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档口接单的同时，后厨同步打印制作小票，后厨根据小票要求制作菜品；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2.打印命令：兼容ESC/POS命令</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.打印宽度：57.5±0.5mm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.打印方式：直接行式热敏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.接口类型：USB、网口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.打印纸：57.5±0.5毫米×φ80毫米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.电源适配器：DC12V 2.6A</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.打印速度：≥120mm/s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仓库台账看板</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实现运营数据分析模块，与智慧食堂管理平台互通，支持网络连接、兼容各种操作系统、可部署软件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1.与智慧食堂管理平台互通，安装在食堂入库区域，可显示当前仓库的温湿度环境信息以及库存台账信息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2.可选择查看出入统计，可查看出库商品排行、今日出入库情况、本月出入库情况、一周出入库统计以及库存商品的库存量、保质期以及到期预警明细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可选择查看查阅耗用，可查看商品分类，可搜索商品分类、可按出库时间、商品名称查询商品耗用明细，包括出库时间、商品名称、编号、分类、规格、单位、出库数量、金额、出库类型，以及商品耗用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4.可选择查看查阅库存，按商品名称、商品编号查询商品的库存明细，包括商品存放位置、商品名称、商品编号、商品分类、包装规格、单位、库存数量和金额等信息，以及商品库存累计的数量和金额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5.可选择查看效期预警，可按商品名称、商品编号查询商品的预警明细，包括商品名称、编号、分类、规格、生产日期、预警数量的信息，以及预警商品的累计数量和金额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6.可选择查看查阅入库，可按入库时间、商品名称查询商品的入库明细，包括入库时间、商品名称、编号、分类、规格、单位、入库数量、入库金额的信息，以及入库商品的累计数量和金额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可选择查看查阅订单，可输入订单号查询订单采购计划单号、采购订单号、采购时间期望收货时间以及收获状态的信息，可按收货状态、商品名称查询订单明细，包括商品名称、编号、分类、包装规格、采购数量、金额、收货数量、收货金额的信息，以及查询订单商品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8.可选择查看消耗预警，可显示各类商品类别的人均标准量、累计标准量、累计耗用量、差值、达标率、达标情况的信息，对不正常情况将进行显著标示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9.可选择查看库存数量预警，可输入商品名称、编号查询商品预警情况，包括商品名称、编号、分类、规格、库存状态、库存数量的信息，以及预警商品的累计数量和金额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10.全金属外壳，窄铝挤前框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11.8bits+FRC灰度等级，色彩精确自然，色彩之间的过渡平滑</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12.屏幕≥55英寸，分辨率≥3840*2160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13.触控：红外高精度20点触摸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14.不低于3mm钢化玻璃面板，带防眩光，透光率≥90%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15.处理器：配置不低于A55*4或同等以上配置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16.内存不低于4GB, 存储不低于32GB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17.操作系统：Android 7.1或同等以上配置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18.最大功率：≤300W。</w:t>
            </w:r>
            <w:r>
              <w:rPr>
                <w:rFonts w:hint="eastAsia" w:ascii="宋体" w:hAnsi="宋体" w:eastAsia="宋体" w:cs="宋体"/>
                <w:bCs/>
                <w:color w:val="000000"/>
                <w:sz w:val="24"/>
                <w:szCs w:val="24"/>
                <w:lang w:val="en-US" w:eastAsia="zh-CN"/>
              </w:rPr>
            </w:r>
            <w:r/>
          </w:p>
        </w:tc>
      </w:tr>
      <w:tr>
        <w:trPr>
          <w:trHeight w:val="194"/>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AI智能收货秤</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实现验收、入库管理与追溯模块，支持网络连接、兼容各种操作系统、可部署软件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1.集智能称重、人脸识别、物资拍照、扫码识别、电子记账于一体，具备入库、出库、盘点、退货、查看记录等功能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2.可与食堂管理系统联动使用，可同步系统中的供应商、物资信息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3.具备AI算法渐进学习功能，能在实际收货过程中自动采集物资照片进行学习，持续优化识别准确率，无需手动投喂数据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4.可AI识别西红柿、西兰花、鸡翅、猪肉等多种常见物资，AI识别物资准确率＞99%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5.支持通过称重感应，实现系统自动从物资库内推荐、匹配和定位物资功能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6.支持首字母搜索、模糊搜索、单号搜索多种方式对物资开展搜索功能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7.具备物资多次称重累加功能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8.入库时，支持对物资一键拍照并上传至系统，实现验收留痕。可通过称重和手工输入两种方式对数量 / 重量进行录入；</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9.支持结合质量验收标准，对验收物资进行质量等级判别，并在系统中进行记录留底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10.入库时，支持在系统中登记收货物资的生产日期，以便进行期效管理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11.支持扫描订单码、货物码，支持外接扫码枪，完成快速入库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12.带滚轮、扶手和移动电源，方便移动验收使用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13.带不低于80mm带切刀热敏小票打印机，最大打印速度可达160mm/s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14.材质：金属仪表壳，碳钢秤台，不锈钢秤盘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15.带移动电源，移动电源可待机不少于8小时，方便移动验收使用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16.最大称重≥250kg，最小称重≤50g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签订合同时</w:t>
            </w:r>
            <w:r>
              <w:rPr>
                <w:rFonts w:hint="eastAsia" w:ascii="宋体" w:hAnsi="宋体" w:eastAsia="宋体" w:cs="宋体"/>
                <w:bCs/>
                <w:color w:val="000000"/>
                <w:sz w:val="24"/>
                <w:szCs w:val="24"/>
              </w:rPr>
              <w:t xml:space="preserve">提供提供包含但不限于产品说明书等技术支持资料（如白皮书、彩页、手册、官网截图、具有CMA</w:t>
            </w:r>
            <w:r>
              <w:rPr>
                <w:rFonts w:hint="eastAsia" w:ascii="宋体" w:hAnsi="宋体" w:eastAsia="宋体" w:cs="宋体"/>
                <w:bCs/>
                <w:color w:val="000000"/>
                <w:sz w:val="24"/>
                <w:szCs w:val="24"/>
                <w:lang w:val="en-US" w:eastAsia="zh-CN"/>
              </w:rPr>
              <w:t xml:space="preserve">标识</w:t>
            </w:r>
            <w:r>
              <w:rPr>
                <w:rFonts w:hint="eastAsia" w:ascii="宋体" w:hAnsi="宋体" w:eastAsia="宋体" w:cs="宋体"/>
                <w:bCs/>
                <w:color w:val="000000"/>
                <w:sz w:val="24"/>
                <w:szCs w:val="24"/>
              </w:rPr>
              <w:t xml:space="preserve">的检测报告等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17.称重精度≤3000e。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18.操作屏：不低于15.6寸英寸电容触摸屏(支持多点触控)，分辨率不低于1920*1080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19.屏幕视角支持水平方向和垂直方向≥90°旋转</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20.人脸识别摄像头不低于200万像素，拍摄称重物资的后置摄像头不低于500W像素。人脸识别容量大于 2 万人、准确率大于 99.9%，识别时间小于 0.3s；</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21.处理器配置不低于四核2.0GHz，内存不低于4G，存储不低于32GB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签订合同时</w:t>
            </w:r>
            <w:r>
              <w:rPr>
                <w:rFonts w:hint="eastAsia" w:ascii="宋体" w:hAnsi="宋体" w:eastAsia="宋体" w:cs="宋体"/>
                <w:bCs/>
                <w:color w:val="000000"/>
                <w:sz w:val="24"/>
                <w:szCs w:val="24"/>
              </w:rPr>
              <w:t xml:space="preserve">提供提供包含但不限于产品说明书等技术支持资料（如白皮书、彩页、手册、官网截图、具有CMA</w:t>
            </w:r>
            <w:r>
              <w:rPr>
                <w:rFonts w:hint="eastAsia" w:ascii="宋体" w:hAnsi="宋体" w:eastAsia="宋体" w:cs="宋体"/>
                <w:bCs/>
                <w:color w:val="000000"/>
                <w:sz w:val="24"/>
                <w:szCs w:val="24"/>
                <w:lang w:val="en-US" w:eastAsia="zh-CN"/>
              </w:rPr>
              <w:t xml:space="preserve">标识</w:t>
            </w:r>
            <w:r>
              <w:rPr>
                <w:rFonts w:hint="eastAsia" w:ascii="宋体" w:hAnsi="宋体" w:eastAsia="宋体" w:cs="宋体"/>
                <w:bCs/>
                <w:color w:val="000000"/>
                <w:sz w:val="24"/>
                <w:szCs w:val="24"/>
              </w:rPr>
              <w:t xml:space="preserve">的检测报告等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22.外部接口：1个 USB扩展口、1个 RJ45、1个电源DC口；支持WLAN/WIFI/4G通讯；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23.网卡：板载 10/100/1000Mbps 自适应网卡、内置WiFi、支持蓝牙5.0、内置MINIPCI-E接口、可支持4/5G上网、内置M.25G接口；</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24.使用环境：使用温度﹣10℃-50℃，使用湿度 5%-95％无凝结；</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25.秤架结构高强度碳钢秤架，304不锈钢秤盘；秤盘尺寸≥500mm（宽）*800mm（深）。</w:t>
            </w:r>
            <w:r>
              <w:rPr>
                <w:rFonts w:hint="eastAsia" w:ascii="宋体" w:hAnsi="宋体" w:eastAsia="宋体" w:cs="宋体"/>
                <w:bCs/>
                <w:color w:val="000000"/>
                <w:sz w:val="24"/>
                <w:szCs w:val="24"/>
                <w:lang w:val="en-US" w:eastAsia="zh-CN"/>
              </w:rPr>
            </w:r>
            <w:r/>
          </w:p>
        </w:tc>
      </w:tr>
      <w:tr>
        <w:trPr>
          <w:trHeight w:val="3059"/>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27</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智能结算道闸（双通道）</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实现用户就餐服务模块，使用医院内部饭卡等控制人员进出食堂区域，需和医院门禁系统对接</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1.双通，定额计次，管控人员通行，支持刷卡、扫码和人脸识别</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2.长 ≥1300mm x 宽 ≥160mm x 高≥ 980mm，通道宽度：600mm—800mm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3.摆闸闸机，AC220V，最大功率120W，采用304不锈钢材质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4.通行速度：30-60人/分钟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5.平均无故障次数：≥350万次，寿命&gt;5,000,000 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6.防水防尘等级：IP24以上</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7.工作环境：-25-60℃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8.人脸终端：≥8英寸全视角LCD显示屏，分辨率≥1280*800，四核处理器，≥8G存储，≥200万像素双目宽动态活体检测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9.卡码一体机：读取距离0-10cm，支持一维码二维码，支持NFC、M1感应卡、TypeA/B。</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出入库扫码枪</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实现食材进销存管理系统，扫描食材条码完成出入库登记，和出入库配套</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1.产品颜色：统一颜色；</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2.扫码类别：支持一维码和二维码；</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3.扫描原理：激光式；</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4.抗震能力：1-1.5m；</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5.产品材质：ABS+TPU；</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6.按键寿命：≥500万次；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7.配置：扫描枪×1、USB接收器×1、充电线×1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智能菜碟</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内置RFID或称重模块，用于菜品识别与结算，与智能结算台配套，同步数据至软件结算系统</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1.成份：三聚氰胺甲醛树脂，纤维素，芯片植入。</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2.能被射频装置识别，并能被写入或读取相关信息。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3.工作频率：13.56MHz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4.读写次数≥10万次。</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5.跌落：1m高度正常跌落20次，不破损并能正常工作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6.耐温-20℃-120℃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7.不同颜色≥6种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8.口径≥15cm,厚度≥3mm,容量≥300–1000mL</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rPr>
              <w:t xml:space="preserve">9.符合GB 4806.7-2023《食品安全国家标准食品接触塑料材料及制品》的要求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智能餐碗</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同智能菜碟，用于小份菜品或汤品识别结算，与智能结算台配套，同步数据至软件结算系统</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1.成份：三聚氰胺甲醛树脂，纤维素，芯片植入</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2.能被射频装置识别，并能被写入或读取相关信息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3.工作频率：13.56MHz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4.读写次数≥10万次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 跌落：1m高度正常跌落20次，不破损并能正常工作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6.耐温-30℃-120℃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7.不同颜色≥4种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8.口径≥16cm,厚度≥3mm,容量≥800–1500mL、高度≥10cm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rPr>
              <w:t xml:space="preserve">9.符合GB 4806.7-2023《食品安全国家标准食品接触塑料材料及制品》的要求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73"/>
        <w:ind w:firstLine="480"/>
        <w:keepLines w:val="0"/>
        <w:keepNext w:val="0"/>
        <w:pageBreakBefore w:val="0"/>
        <w:spacing w:line="264" w:lineRule="auto"/>
        <w:widowControl w:val="off"/>
        <w:rPr>
          <w:rFonts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t xml:space="preserve">★2.</w:t>
      </w:r>
      <w:r>
        <w:rPr>
          <w:rFonts w:hint="eastAsia" w:ascii="宋体" w:hAnsi="宋体" w:eastAsia="宋体" w:cs="宋体"/>
          <w:bCs/>
          <w:color w:val="000000"/>
          <w:sz w:val="24"/>
          <w:szCs w:val="24"/>
          <w:highlight w:val="none"/>
          <w:lang w:val="en-US" w:eastAsia="zh-CN"/>
        </w:rPr>
        <w:t xml:space="preserve">其他技术要求</w:t>
      </w:r>
      <w:r>
        <w:rPr>
          <w:rFonts w:ascii="宋体" w:hAnsi="宋体" w:eastAsia="宋体" w:cs="Times New Roman"/>
          <w:b w:val="0"/>
          <w:bCs w:val="0"/>
          <w:i w:val="0"/>
          <w:iCs w:val="0"/>
          <w:color w:val="000000"/>
          <w:sz w:val="24"/>
          <w:u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本项目中标记为政府强制采购节能产品，签订合同时提供国家确定的认证机构出具的、处于有效期之内的节能产品认证证书。</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w:t>
      </w:r>
      <w:r>
        <w:rPr>
          <w:rFonts w:ascii="宋体" w:hAnsi="宋体" w:eastAsia="宋体" w:cs="宋体"/>
          <w:bCs w:val="0"/>
          <w:color w:val="000000"/>
          <w:sz w:val="24"/>
          <w:szCs w:val="24"/>
          <w:lang w:val="en-US" w:eastAsia="zh-CN"/>
        </w:rPr>
        <w:t xml:space="preserve">报价要求</w:t>
      </w:r>
      <w:r>
        <w:rPr>
          <w:rFonts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2.实施要求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（1）总体要求</w:t>
      </w:r>
      <w:r>
        <w:rPr>
          <w:rFonts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本次采购的软件要求不影响现有的业务系统，供应商负责平台的部署；在不涉及大版本升级的情况下，无条件配合医院调整功能、需求，软件功能满足采购人个性化需求修改；签合同后提供项目实施团队人员配置情况，并在系统部署工作开始之日起，指派专业的项目负责人负责现场工作的组织、协调和实施工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（2）质量要求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②本项目所列技术要求为医院项目初步需求，具体需求以国家最新政策标准为准。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非改造设备需是全新的、未使用过的、原包装未拆封的商品，签订合同时提供原设备出厂证明和完全符合采购产品规定的质量、规格和性能的要求，供应商应保证其提供的产品在正确安装、正常使用和保养条件下，在规定的使用寿命期内具有满意的性能。供应商应保证所供货物在验收移交前的保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（3）验收要求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④在设备送货之前3个工作日内核实无误后方可进行送货安装调式。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⑥系统上线后的三个月为系统试运行阶段，在项目试运行阶段，如果出现系统严重缺陷，试运行时间将被相应延长。当系统严重缺陷、一般缺陷和改良型缺陷的总和为 0（即均已处理完成）时，项目双方方可开始项目验收工作。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交货验收时，供应商须向采购单位提供以下材料：验收时供应商须出具所报设备的原厂质保卡、原厂质量检验合格书、中文使用说明书等，否则采购人有权拒付货款；符合设备本身的规格、技术条件及供应商承诺的其它指标材料。</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货物完成安装调试后，必要时采购人有权随机抽样送具备相应检验检测资质机构进行检验检测，所需运输、检测费用以及送检货物费用由供应商负责（即供应商须补齐送检货物）。采购人按照出厂标准、国家相关的技术规范及验收的标准、行业相关标准以及招标文件的要求及规定进行进行验收，若发现不符合要求的质量问题，供应商须用完全符合投标响应文件承诺的全新货物进行更换，在完成更换之前不得撤走货物以供采购人临时代用，由此所产生的一切后果包括且不仅限于违约赔偿、货物使用磨损、安全责任等由供应商承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⑦以上标准均符合，方可视为功能性要求验收通过，否则，视为验收失败。</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⑧供应商按照交付物要求交付最终版本，且试运行达到合同规定的时间，双方作终验准备工作。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⑨供应商项目人员整理项目各阶段的文档，确认交付齐全后，交由采购人相关人员确认。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⑩双方按照功能要求中完成标准进行项目的最终验收。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⑪遵循上述项目验收标准，若未通过验收，针对不合格的部分，供应商须在五个工作日内一次性提出修改意见，修订完成后,采购人及供应商双方再重新进行验收。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⑫</w:t>
      </w:r>
      <w:r>
        <w:rPr>
          <w:rFonts w:hint="eastAsia" w:ascii="宋体" w:hAnsi="宋体" w:eastAsia="宋体" w:cs="宋体"/>
          <w:bCs w:val="0"/>
          <w:color w:val="000000"/>
          <w:sz w:val="24"/>
          <w:szCs w:val="24"/>
          <w:lang w:val="en-US" w:eastAsia="zh-CN"/>
        </w:rPr>
        <w:t xml:space="preserve">交付文档应包含：项目启动会材料电子版和纸质版各一份，整体项目计划电子版和纸质版各一份，项目人员派遣计划电子版和纸质版各一份，项目工作周报告与月报告电子版和纸质版各一份，业务需求文档电子版和纸质版各一份，访谈计划文档电子版和纸质版各一份，访谈记录文档电子版和纸质版各一份，系统需求文档电子版和纸质版各一份，系统应用架构规划和实施路线建议报告电子版和纸质版各一份，系统设计文档电子版和纸质版各一份，数据库设计文档电子版和纸质版各一份，模块设计文档电子版和纸质版各一份，接口设计文档电子</w:t>
      </w:r>
      <w:r>
        <w:rPr>
          <w:rFonts w:hint="eastAsia" w:ascii="宋体" w:hAnsi="宋体" w:eastAsia="宋体" w:cs="宋体"/>
          <w:bCs w:val="0"/>
          <w:color w:val="000000"/>
          <w:sz w:val="24"/>
          <w:szCs w:val="24"/>
          <w:lang w:val="en-US" w:eastAsia="zh-CN"/>
        </w:rPr>
        <w:t xml:space="preserve">版和纸质版各一份，系统测试计划电子版和纸质版各一份，系统测试用例电子版和纸质版各一份，系统测试报告电子版和纸质版各一份，用户培训计划电子版和纸质版各一份，用户培训手册电子版和纸质版各一份，上线确认报告电子版和纸质版各一份，开发源代码电子版一份，接口说明文档电子版和纸质版各一份，二次开发手册电子版和纸质版各一份，用户操作手册电子版和纸质版各一份，项目总结报告电子版和纸质版各一份，系统运维手册电子版和纸质版各一份。如果服务商出于对智慧食堂系统后续更好的运维和操作的考量，对交付文档有补充，可在投标文件中另行说明。</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（4）质保/运维要求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①本项目整体质保/运维期为三年（自验收报告签字确认日起，开始进入质保/运维期）。在质保/运维期内，供应商提供零配件、耗材、工费、</w:t>
      </w:r>
      <w:r>
        <w:rPr>
          <w:rFonts w:hint="eastAsia" w:ascii="宋体" w:hAnsi="宋体" w:cs="宋体"/>
          <w:sz w:val="24"/>
          <w:szCs w:val="24"/>
        </w:rPr>
        <w:t xml:space="preserve">人工服务等相关费用</w:t>
      </w:r>
      <w:r>
        <w:rPr>
          <w:rFonts w:hint="eastAsia" w:ascii="宋体" w:hAnsi="宋体" w:eastAsia="宋体" w:cs="宋体"/>
          <w:bCs w:val="0"/>
          <w:color w:val="000000"/>
          <w:sz w:val="24"/>
          <w:szCs w:val="24"/>
          <w:lang w:val="en-US" w:eastAsia="zh-CN"/>
        </w:rPr>
        <w:t xml:space="preserve">。质保/运维期内的维修和常规保养工作由供应商承担，质保/运维期内的配件维修由供应商提供。以上所有费用均包含在投标总价中。</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质保/运维期内，如果证实货物是有缺陷的，包括潜在的缺陷或者使用不符合要求的材料等，供应商应立即维修或者更换有缺陷的货物或者部件，保证达到合同规定的技术以及性能要求。如果供应商在收到通知后十天内没有弥补缺陷，采购人可自行采取必要的补救措施，但风险和费用由供应商承担，采购人同时保留通过法律途径进行索赔的权利。</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③售后服务要求：供应商应提供及时周到的售</w:t>
      </w:r>
      <w:r>
        <w:rPr>
          <w:rFonts w:hint="eastAsia" w:ascii="宋体" w:hAnsi="宋体" w:eastAsia="宋体" w:cs="宋体"/>
          <w:bCs w:val="0"/>
          <w:color w:val="000000"/>
          <w:sz w:val="24"/>
          <w:szCs w:val="24"/>
          <w:lang w:val="en-US" w:eastAsia="zh-CN"/>
        </w:rPr>
        <w:t xml:space="preserve">后服务，提供7x24小时电话，提供使用指导、业务咨询、故障报修等技术服务，项目所有技术和服务发生任何故障，由供应商负责系统恢复。故障报修的响应时间为即时，响应处理时间为1小时，小型故障响应处理为2个小时，对于平台严重故障导致系统不能正常运行，通过电话或远程无法解决、必须到现场进行解决的，派出技术工程师到现场处理，时限为3个小时内。质保/运维期内，对采购人提出的合理服务要求，供应商必须即时进行电话、邮件及远程网络支持，若需现场技术服务，需在3小时内到场服务。如不到场，采购人有权自行处理，相关费用由供应商负责。</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④在系统正式运行的前6个月，至少提供1名专人工程师5×8小时驻场服务。</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③供应商须提供定期回访服务，对采购人提出的合理优化建议应提供升级服务。</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⑤本采购项目出保后每年的维护费不超过合同总金额的5%。</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⑥质保/运维期内供应商提供的系统软件升级，保证采购人使用最新版本软件。质保/运维期满后软件版本内终身升级。</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⑦项目组所有人员必须为供应商正式工作人员，不得兼任其他项目工作，未经采购人同意，人员不得更换。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（5）知识产权及保密要求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③供应商须按照与采购人签订的《信息安全保密承诺书》的约定严格履行各项保密义务。</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④采购人与供应商都拥有本项目定制开发部分的知识产权。交付项应包括但不限于如下内容：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满足采购人需求的、完整的、可最终良好运行的系统。</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提供项目的最终版本部署包及产品永久授权。</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（6）建设成果要求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供应商在项目建设的各个阶段及时提交建设成果，主要包括但不限于以下内容：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①项目启动阶段：项目实施方案。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②业务需求分析阶段：需求调研方案、需求分析说明书。</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③系统设计、开发阶段：需求规格说明书、概要设计说明书、详细设计说明书、数据库设计说明书、系统接口说明书。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⑤项目验收阶段：测试报告、项目验收方案、系统运行报告、项目验收报告。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⑥运行维护阶段：系统维护方案、系统维护手册、系统运行维护记录。</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（7）网络安全等级保护测评要求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供应商配合采购人，做好系统通过等保测评相关准备工作。</w:t>
      </w:r>
      <w:r>
        <w:rPr>
          <w:rFonts w:hint="eastAsia" w:ascii="宋体" w:hAnsi="宋体" w:eastAsia="宋体" w:cs="宋体"/>
          <w:bCs w:val="0"/>
          <w:color w:val="000000"/>
          <w:sz w:val="24"/>
          <w:szCs w:val="24"/>
          <w:lang w:val="en-US" w:eastAsia="zh-CN"/>
        </w:rPr>
      </w:r>
      <w:r/>
    </w:p>
    <w:p>
      <w:pPr>
        <w:pStyle w:val="873"/>
        <w:ind w:firstLine="480"/>
        <w:jc w:val="left"/>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（8）系统对接要求</w:t>
      </w:r>
      <w:r>
        <w:rPr>
          <w:rFonts w:hint="eastAsia" w:ascii="宋体" w:hAnsi="宋体" w:eastAsia="宋体" w:cs="宋体"/>
          <w:bCs w:val="0"/>
          <w:color w:val="000000"/>
          <w:sz w:val="24"/>
          <w:szCs w:val="24"/>
          <w:lang w:val="en-US" w:eastAsia="zh-CN"/>
        </w:rPr>
        <w:br w:type="textWrapping" w:clear="all"/>
      </w:r>
      <w:r>
        <w:rPr>
          <w:rFonts w:hint="eastAsia" w:ascii="宋体" w:hAnsi="宋体" w:eastAsia="宋体" w:cs="宋体"/>
          <w:bCs w:val="0"/>
          <w:color w:val="000000"/>
          <w:sz w:val="24"/>
          <w:szCs w:val="24"/>
          <w:lang w:val="en-US" w:eastAsia="zh-CN"/>
        </w:rPr>
        <w:t xml:space="preserve">  供应商提供的系统能够根据采购人实际需求与医院各院区所有信息系统、集成平台做对接及集成（对接人：赵工 联系电话：025-83106666转60623），涉及的系统对接费用由供应商负责，包含在投标总价中。</w:t>
      </w:r>
      <w:r>
        <w:rPr>
          <w:rFonts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（9）人员要求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本项目实施人员不少于5人，其中项目经理1人、技术负责人1人。</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（10）培训要求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供应商提供本项目相关培训，费用包含在投标总价中。</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（11）应急要求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供应商负责本项目应急处理</w:t>
      </w:r>
      <w:r>
        <w:rPr>
          <w:rFonts w:hint="eastAsia" w:ascii="宋体" w:hAnsi="宋体" w:eastAsia="宋体" w:cs="宋体"/>
          <w:bCs/>
          <w:color w:val="000000"/>
          <w:sz w:val="24"/>
          <w:szCs w:val="24"/>
          <w:highlight w:val="none"/>
          <w:lang w:val="en-US" w:eastAsia="zh-CN"/>
        </w:rPr>
        <w:t xml:space="preserve">，包括一般故障及重大故障的响应、备用设备、技术维修、故障复现和后续优化等。</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rPr>
        <w:t xml:space="preserve">60天内完成系</w:t>
      </w:r>
      <w:r>
        <w:rPr>
          <w:rFonts w:hint="eastAsia" w:ascii="宋体" w:hAnsi="宋体" w:eastAsia="宋体" w:cs="宋体"/>
          <w:color w:val="000000"/>
          <w:sz w:val="24"/>
          <w:szCs w:val="24"/>
        </w:rPr>
        <w:t xml:space="preserve">统开发及硬件调试安装，试运行3个月后完成项目整体交付工作。</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1"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1"/>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2"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w:t>
      </w:r>
      <w:r>
        <w:rPr>
          <w:rFonts w:hint="eastAsia" w:ascii="宋体" w:hAnsi="宋体" w:eastAsia="宋体" w:cs="宋体"/>
          <w:color w:val="000000"/>
          <w:sz w:val="24"/>
          <w:szCs w:val="24"/>
        </w:rPr>
        <w:t xml:space="preserve">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rPr>
          <w:rFonts w:ascii="SimSun" w:hAnsi="SimSun" w:eastAsia="SimSun" w:cs="SimSun"/>
          <w:b/>
          <w:color w:val="000000"/>
          <w:sz w:val="24"/>
        </w:rPr>
        <w:t xml:space="preserve">。</w:t>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w:t>
      </w:r>
      <w:r>
        <w:rPr>
          <w:rFonts w:hint="eastAsia" w:ascii="宋体" w:hAnsi="宋体" w:eastAsia="宋体" w:cs="宋体"/>
          <w:color w:val="000000"/>
          <w:sz w:val="24"/>
          <w:szCs w:val="24"/>
        </w:rPr>
        <w:t xml:space="preserve">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val="en-US" w:eastAsia="zh-CN"/>
              </w:rPr>
            </w:r>
            <w:r/>
          </w:p>
        </w:tc>
        <w:tc>
          <w:tcPr>
            <w:tcW w:w="6330"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产品技术参数全部满足招标要求的得满分，打★指标为必须满足项，如有负偏离将作为无效投标，打▲指标（8项）为重要指标，</w:t>
            </w:r>
            <w:r>
              <w:rPr>
                <w:rFonts w:hint="eastAsia" w:ascii="宋体" w:hAnsi="宋体" w:eastAsia="宋体" w:cs="宋体"/>
                <w:spacing w:val="-2"/>
                <w:szCs w:val="21"/>
                <w:lang w:val="en-US" w:eastAsia="zh-CN"/>
              </w:rPr>
              <w:t xml:space="preserve">有1项负偏离扣0.82分，其余指标（461项）有1项负偏离扣0.04分。</w:t>
            </w:r>
            <w:r>
              <w:rPr>
                <w:rFonts w:hint="eastAsia" w:ascii="宋体" w:hAnsi="宋体" w:eastAsia="宋体" w:cs="宋体"/>
                <w:spacing w:val="-2"/>
                <w:szCs w:val="21"/>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25</w:t>
            </w:r>
            <w:r>
              <w:rPr>
                <w:rFonts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项目总体技术方案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r>
            <w:bookmarkStart w:id="193" w:name="OLE_LINK5"/>
            <w:r>
              <w:rPr>
                <w:rFonts w:hint="eastAsia" w:ascii="宋体" w:hAnsi="宋体" w:eastAsia="宋体" w:cs="宋体"/>
                <w:color w:val="000000"/>
                <w:sz w:val="21"/>
                <w:szCs w:val="21"/>
                <w:lang w:val="zh-CN" w:eastAsia="zh-CN" w:bidi="zh-CN"/>
              </w:rPr>
              <w:t xml:space="preserve">根据本项目采购需求中“</w:t>
            </w:r>
            <w:r>
              <w:rPr>
                <w:rFonts w:hint="eastAsia" w:ascii="宋体" w:hAnsi="宋体" w:eastAsia="宋体" w:cs="宋体"/>
                <w:color w:val="000000"/>
                <w:sz w:val="21"/>
                <w:szCs w:val="21"/>
                <w:lang w:val="zh-CN" w:eastAsia="zh-CN" w:bidi="zh-CN"/>
              </w:rPr>
              <w:t xml:space="preserve">技术</w:t>
            </w:r>
            <w:r>
              <w:rPr>
                <w:rFonts w:hint="eastAsia" w:ascii="宋体" w:hAnsi="宋体" w:eastAsia="宋体" w:cs="宋体"/>
                <w:color w:val="000000"/>
                <w:sz w:val="21"/>
                <w:szCs w:val="21"/>
                <w:lang w:val="zh-CN" w:eastAsia="zh-CN" w:bidi="zh-CN"/>
              </w:rPr>
              <w:t xml:space="preserve">要求</w:t>
            </w:r>
            <w:r>
              <w:rPr>
                <w:rFonts w:hint="eastAsia" w:ascii="宋体" w:hAnsi="宋体" w:eastAsia="宋体" w:cs="宋体"/>
                <w:color w:val="000000"/>
                <w:sz w:val="21"/>
                <w:szCs w:val="21"/>
                <w:lang w:val="zh-CN" w:eastAsia="zh-CN" w:bidi="zh-CN"/>
              </w:rPr>
              <w:t xml:space="preserve">及相关要求</w:t>
            </w:r>
            <w:r>
              <w:rPr>
                <w:rFonts w:hint="eastAsia" w:ascii="宋体" w:hAnsi="宋体" w:eastAsia="宋体" w:cs="宋体"/>
                <w:color w:val="000000"/>
                <w:sz w:val="21"/>
                <w:szCs w:val="21"/>
                <w:lang w:val="zh-CN" w:eastAsia="zh-CN" w:bidi="zh-CN"/>
              </w:rPr>
              <w:t xml:space="preserve">”编制方案，内容包含：</w:t>
            </w:r>
            <w:r>
              <w:rPr>
                <w:rFonts w:hint="eastAsia" w:ascii="宋体" w:hAnsi="宋体" w:eastAsia="宋体" w:cs="宋体"/>
                <w:color w:val="000000"/>
                <w:sz w:val="21"/>
                <w:szCs w:val="21"/>
                <w:lang w:val="zh-CN" w:eastAsia="zh-CN" w:bidi="zh-CN"/>
              </w:rPr>
              <w:t xml:space="preserve">1.项目现状与需求分析；2.项目总体规划；3.数据管理；4.功能设计；5.信息安全（技术风险与应急措施）</w:t>
            </w:r>
            <w:r>
              <w:rPr>
                <w:rFonts w:hint="eastAsia" w:ascii="宋体" w:hAnsi="宋体" w:eastAsia="宋体" w:cs="宋体"/>
                <w:color w:val="000000"/>
                <w:sz w:val="21"/>
                <w:szCs w:val="21"/>
                <w:lang w:val="zh-CN" w:eastAsia="zh-CN" w:bidi="zh-CN"/>
              </w:rPr>
              <w:t xml:space="preserve">。</w:t>
            </w:r>
            <w:r>
              <w:rPr>
                <w:rFonts w:hint="eastAsia" w:ascii="宋体" w:hAnsi="宋体" w:eastAsia="宋体" w:cs="宋体"/>
                <w:color w:val="000000"/>
                <w:sz w:val="21"/>
                <w:szCs w:val="21"/>
                <w:lang w:val="zh-CN" w:eastAsia="zh-CN" w:bidi="zh-CN"/>
              </w:rPr>
              <w:t xml:space="preserve">以上每项内容逐项评分：</w:t>
            </w:r>
            <w:r>
              <w:rPr>
                <w:rFonts w:hint="eastAsia" w:ascii="宋体" w:hAnsi="宋体" w:eastAsia="宋体" w:cs="宋体"/>
                <w:color w:val="000000"/>
                <w:sz w:val="21"/>
                <w:szCs w:val="21"/>
                <w:lang w:val="zh-CN" w:eastAsia="zh-CN" w:bidi="zh-CN"/>
              </w:rPr>
            </w:r>
            <w:r/>
          </w:p>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方案内容</w:t>
            </w:r>
            <w:r>
              <w:rPr>
                <w:rFonts w:hint="eastAsia" w:ascii="宋体" w:hAnsi="宋体" w:eastAsia="宋体" w:cs="宋体"/>
                <w:color w:val="000000"/>
                <w:sz w:val="21"/>
                <w:szCs w:val="21"/>
                <w:lang w:val="zh-CN" w:eastAsia="zh-CN" w:bidi="zh-CN"/>
              </w:rPr>
              <w:t xml:space="preserve">全面合理</w:t>
            </w:r>
            <w:r>
              <w:rPr>
                <w:rFonts w:hint="eastAsia" w:ascii="宋体" w:hAnsi="宋体" w:eastAsia="宋体" w:cs="宋体"/>
                <w:color w:val="000000"/>
                <w:sz w:val="21"/>
                <w:szCs w:val="21"/>
                <w:lang w:val="zh-CN" w:eastAsia="zh-CN" w:bidi="zh-CN"/>
              </w:rPr>
              <w:t xml:space="preserve">、</w:t>
            </w:r>
            <w:r>
              <w:rPr>
                <w:rFonts w:hint="eastAsia" w:ascii="宋体" w:hAnsi="宋体" w:eastAsia="宋体" w:cs="宋体"/>
                <w:color w:val="000000"/>
                <w:sz w:val="21"/>
                <w:szCs w:val="21"/>
                <w:lang w:val="zh-CN" w:eastAsia="zh-CN" w:bidi="zh-CN"/>
              </w:rPr>
              <w:t xml:space="preserve">具有操作性</w:t>
            </w:r>
            <w:r>
              <w:rPr>
                <w:rFonts w:hint="eastAsia" w:ascii="宋体" w:hAnsi="宋体" w:eastAsia="宋体" w:cs="宋体"/>
                <w:color w:val="000000"/>
                <w:sz w:val="21"/>
                <w:szCs w:val="21"/>
                <w:lang w:val="zh-CN" w:eastAsia="zh-CN" w:bidi="zh-CN"/>
              </w:rPr>
              <w:t xml:space="preserve">，且</w:t>
            </w:r>
            <w:r>
              <w:rPr>
                <w:rFonts w:hint="eastAsia" w:ascii="宋体" w:hAnsi="宋体" w:eastAsia="宋体" w:cs="宋体"/>
                <w:color w:val="000000"/>
                <w:sz w:val="21"/>
                <w:szCs w:val="21"/>
                <w:lang w:val="zh-CN" w:eastAsia="zh-CN" w:bidi="zh-CN"/>
              </w:rPr>
              <w:t xml:space="preserve">专门针对本项目，</w:t>
            </w:r>
            <w:r>
              <w:rPr>
                <w:rFonts w:hint="eastAsia" w:ascii="宋体" w:hAnsi="宋体" w:eastAsia="宋体" w:cs="宋体"/>
                <w:color w:val="000000"/>
                <w:sz w:val="21"/>
                <w:szCs w:val="21"/>
                <w:lang w:val="zh-CN" w:eastAsia="zh-CN" w:bidi="zh-CN"/>
              </w:rPr>
              <w:t xml:space="preserve">契合</w:t>
            </w:r>
            <w:r>
              <w:rPr>
                <w:rFonts w:hint="eastAsia" w:ascii="宋体" w:hAnsi="宋体" w:eastAsia="宋体" w:cs="宋体"/>
                <w:color w:val="000000"/>
                <w:sz w:val="21"/>
                <w:szCs w:val="21"/>
                <w:lang w:val="zh-CN" w:eastAsia="zh-CN" w:bidi="zh-CN"/>
              </w:rPr>
              <w:t xml:space="preserve">采购需求视为符合；方案内容属于通用类，非专门针对本项目，部分</w:t>
            </w:r>
            <w:r>
              <w:rPr>
                <w:rFonts w:hint="eastAsia" w:ascii="宋体" w:hAnsi="宋体" w:eastAsia="宋体" w:cs="宋体"/>
                <w:color w:val="000000"/>
                <w:sz w:val="21"/>
                <w:szCs w:val="21"/>
                <w:lang w:val="zh-CN" w:eastAsia="zh-CN" w:bidi="zh-CN"/>
              </w:rPr>
              <w:t xml:space="preserve">契合采购需求</w:t>
            </w:r>
            <w:r>
              <w:rPr>
                <w:rFonts w:hint="eastAsia" w:ascii="宋体" w:hAnsi="宋体" w:eastAsia="宋体" w:cs="宋体"/>
                <w:color w:val="000000"/>
                <w:sz w:val="21"/>
                <w:szCs w:val="21"/>
                <w:lang w:val="zh-CN" w:eastAsia="zh-CN" w:bidi="zh-CN"/>
              </w:rPr>
              <w:t xml:space="preserve">视为部分符合；方案内容非专门针对本项目</w:t>
            </w:r>
            <w:r>
              <w:rPr>
                <w:rFonts w:hint="eastAsia" w:ascii="宋体" w:hAnsi="宋体" w:eastAsia="宋体" w:cs="宋体"/>
                <w:color w:val="000000"/>
                <w:sz w:val="21"/>
                <w:szCs w:val="21"/>
                <w:lang w:val="zh-CN" w:eastAsia="zh-CN" w:bidi="zh-CN"/>
              </w:rPr>
              <w:t xml:space="preserve">，脱离</w:t>
            </w:r>
            <w:r>
              <w:rPr>
                <w:rFonts w:hint="eastAsia" w:ascii="宋体" w:hAnsi="宋体" w:eastAsia="宋体" w:cs="宋体"/>
                <w:color w:val="000000"/>
                <w:sz w:val="21"/>
                <w:szCs w:val="21"/>
                <w:lang w:val="zh-CN" w:eastAsia="zh-CN" w:bidi="zh-CN"/>
              </w:rPr>
              <w:t xml:space="preserve">采购需求视为不符合。</w:t>
            </w:r>
            <w:r>
              <w:rPr>
                <w:rFonts w:hint="eastAsia" w:ascii="宋体" w:hAnsi="宋体" w:eastAsia="宋体" w:cs="宋体"/>
                <w:color w:val="000000"/>
                <w:sz w:val="21"/>
                <w:szCs w:val="21"/>
                <w:lang w:val="zh-CN" w:eastAsia="zh-CN" w:bidi="zh-CN"/>
              </w:rPr>
            </w:r>
            <w:r/>
          </w:p>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上述每项内容</w:t>
            </w:r>
            <w:r>
              <w:rPr>
                <w:rFonts w:hint="eastAsia" w:ascii="宋体" w:hAnsi="宋体" w:eastAsia="宋体" w:cs="宋体"/>
                <w:color w:val="000000"/>
                <w:sz w:val="21"/>
                <w:szCs w:val="21"/>
                <w:lang w:val="zh-CN" w:eastAsia="zh-CN" w:bidi="zh-CN"/>
              </w:rPr>
              <w:t xml:space="preserve">符合得</w:t>
            </w:r>
            <w:r>
              <w:rPr>
                <w:rFonts w:hint="eastAsia" w:ascii="宋体" w:hAnsi="宋体" w:eastAsia="宋体" w:cs="宋体"/>
                <w:color w:val="000000"/>
                <w:sz w:val="21"/>
                <w:szCs w:val="21"/>
                <w:lang w:val="zh-CN" w:eastAsia="zh-CN" w:bidi="zh-CN"/>
              </w:rPr>
              <w:t xml:space="preserve">1</w:t>
            </w:r>
            <w:r>
              <w:rPr>
                <w:rFonts w:hint="eastAsia" w:ascii="宋体" w:hAnsi="宋体" w:eastAsia="宋体" w:cs="宋体"/>
                <w:color w:val="000000"/>
                <w:sz w:val="21"/>
                <w:szCs w:val="21"/>
                <w:lang w:val="zh-CN" w:eastAsia="zh-CN" w:bidi="zh-CN"/>
              </w:rPr>
              <w:t xml:space="preserve">分；部分符合得</w:t>
            </w:r>
            <w:r>
              <w:rPr>
                <w:rFonts w:hint="eastAsia" w:ascii="宋体" w:hAnsi="宋体" w:eastAsia="宋体" w:cs="宋体"/>
                <w:color w:val="000000"/>
                <w:sz w:val="21"/>
                <w:szCs w:val="21"/>
                <w:lang w:val="zh-CN" w:eastAsia="zh-CN" w:bidi="zh-CN"/>
              </w:rPr>
              <w:t xml:space="preserve">0.5</w:t>
            </w:r>
            <w:r>
              <w:rPr>
                <w:rFonts w:hint="eastAsia" w:ascii="宋体" w:hAnsi="宋体" w:eastAsia="宋体" w:cs="宋体"/>
                <w:color w:val="000000"/>
                <w:sz w:val="21"/>
                <w:szCs w:val="21"/>
                <w:lang w:val="zh-CN" w:eastAsia="zh-CN" w:bidi="zh-CN"/>
              </w:rPr>
              <w:t xml:space="preserve">分；不符合或不提供不得分。</w:t>
            </w:r>
            <w:bookmarkEnd w:id="193"/>
            <w:r>
              <w:rPr>
                <w:rFonts w:hint="eastAsia" w:ascii="宋体" w:hAnsi="宋体" w:eastAsia="宋体" w:cs="宋体"/>
                <w:color w:val="000000"/>
                <w:sz w:val="21"/>
                <w:szCs w:val="21"/>
                <w:lang w:val="zh-CN" w:eastAsia="zh-CN" w:bidi="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实施方案</w:t>
            </w:r>
            <w:r>
              <w:rPr>
                <w:rFonts w:hint="eastAsia" w:ascii="宋体" w:hAnsi="宋体" w:eastAsia="宋体" w:cs="宋体"/>
                <w:color w:val="000000"/>
                <w:sz w:val="21"/>
                <w:szCs w:val="21"/>
                <w:lang w:val="en-US" w:eastAsia="zh-CN" w:bidi="zh-CN"/>
              </w:rPr>
            </w:r>
            <w:r/>
          </w:p>
        </w:tc>
        <w:tc>
          <w:tcPr>
            <w:tcW w:w="6330" w:type="dxa"/>
            <w:vAlign w:val="center"/>
            <w:textDirection w:val="lrTb"/>
            <w:noWrap w:val="false"/>
          </w:tcPr>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根据本项目采购需求中“实施要求及相关要求”编制方案，内容包含：</w:t>
            </w:r>
            <w:r>
              <w:rPr>
                <w:rFonts w:hint="eastAsia" w:ascii="宋体" w:hAnsi="宋体" w:eastAsia="宋体" w:cs="宋体"/>
                <w:color w:val="000000"/>
                <w:sz w:val="21"/>
                <w:szCs w:val="21"/>
                <w:lang w:val="zh-CN" w:eastAsia="zh-CN" w:bidi="zh-CN"/>
              </w:rPr>
              <w:t xml:space="preserve">1. 安装调试人员组成；2.安装质量保证措施；3.安装进度保证措施及进度表；4.安装工作实施流程和步骤，包含资产盘点实施流程；5.系统验收标准。</w:t>
            </w:r>
            <w:r>
              <w:rPr>
                <w:rFonts w:hint="eastAsia" w:ascii="宋体" w:hAnsi="宋体" w:eastAsia="宋体" w:cs="宋体"/>
                <w:color w:val="000000"/>
                <w:sz w:val="21"/>
                <w:szCs w:val="21"/>
                <w:lang w:val="zh-CN" w:eastAsia="zh-CN" w:bidi="zh-CN"/>
              </w:rPr>
              <w:t xml:space="preserve">以上每项内容逐条阐述。</w:t>
            </w:r>
            <w:r>
              <w:rPr>
                <w:rFonts w:hint="eastAsia" w:ascii="宋体" w:hAnsi="宋体" w:eastAsia="宋体" w:cs="宋体"/>
                <w:color w:val="000000"/>
                <w:sz w:val="21"/>
                <w:szCs w:val="21"/>
                <w:lang w:val="zh-CN" w:eastAsia="zh-CN" w:bidi="zh-CN"/>
              </w:rPr>
            </w:r>
            <w:r/>
          </w:p>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方案内容</w:t>
            </w:r>
            <w:r>
              <w:rPr>
                <w:rFonts w:hint="eastAsia" w:ascii="宋体" w:hAnsi="宋体" w:eastAsia="宋体" w:cs="宋体"/>
                <w:color w:val="000000"/>
                <w:sz w:val="21"/>
                <w:szCs w:val="21"/>
                <w:lang w:val="zh-CN" w:eastAsia="zh-CN" w:bidi="zh-CN"/>
              </w:rPr>
              <w:t xml:space="preserve">完整深刻、</w:t>
            </w:r>
            <w:r>
              <w:rPr>
                <w:rFonts w:hint="eastAsia" w:ascii="宋体" w:hAnsi="宋体" w:eastAsia="宋体" w:cs="宋体"/>
                <w:color w:val="000000"/>
                <w:sz w:val="21"/>
                <w:szCs w:val="21"/>
                <w:lang w:val="zh-CN" w:eastAsia="zh-CN" w:bidi="zh-CN"/>
              </w:rPr>
              <w:t xml:space="preserve">具备可行性，且专门针对本项目，契合采购需求视为符合；方案内容属于通用类，非专门针对本项目，部分契合采购需求视为部分符合；方案内容非专门针对本项目，脱离采购需求视为不符合。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zh-CN" w:eastAsia="zh-CN" w:bidi="zh-CN"/>
              </w:rPr>
            </w:r>
            <w:r/>
          </w:p>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上述每项内容符合得1分；部分符合得0.5分；不符合或不提供不得分。</w:t>
            </w:r>
            <w:r>
              <w:rPr>
                <w:rFonts w:hint="eastAsia" w:ascii="宋体" w:hAnsi="宋体" w:eastAsia="宋体" w:cs="宋体"/>
                <w:color w:val="000000"/>
                <w:sz w:val="21"/>
                <w:szCs w:val="21"/>
                <w:lang w:val="zh-CN" w:eastAsia="zh-CN" w:bidi="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5</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检测报告</w:t>
            </w:r>
            <w:r>
              <w:rPr>
                <w:rFonts w:hint="eastAsia" w:ascii="宋体" w:hAnsi="宋体" w:eastAsia="宋体" w:cs="宋体"/>
                <w:sz w:val="21"/>
                <w:szCs w:val="21"/>
                <w:highlight w:val="none"/>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提供具有CMA标识的所投智能留样柜（产品清单8）、智能菜碟（产品清单30）、复合型空气质量检测仪（产品清单12）、AI智能收货秤（产品清单27）产品检测报告，每提供1个合格的检测报告得1分，最多得4分，未提供不得分。</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rPr>
                <w:rFonts w:ascii="宋体" w:hAnsi="宋体" w:eastAsia="宋体" w:cs="宋体"/>
                <w:szCs w:val="21"/>
                <w:highlight w:val="none"/>
                <w:lang w:val="en-US" w:eastAsia="zh-CN"/>
              </w:rPr>
            </w:r>
            <w:r/>
          </w:p>
        </w:tc>
        <w:tc>
          <w:tcPr>
            <w:tcW w:w="1179" w:type="dxa"/>
            <w:vAlign w:val="center"/>
            <w:textDirection w:val="lrTb"/>
            <w:noWrap w:val="false"/>
          </w:tcPr>
          <w:p>
            <w:pPr>
              <w:pStyle w:val="873"/>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增值服务</w:t>
            </w:r>
            <w:r>
              <w:rPr>
                <w:rFonts w:ascii="宋体" w:hAnsi="宋体" w:eastAsia="宋体" w:cs="宋体"/>
                <w:color w:val="000000"/>
                <w:sz w:val="21"/>
                <w:szCs w:val="21"/>
                <w:lang w:val="en-US" w:eastAsia="zh-CN" w:bidi="zh-CN"/>
              </w:rPr>
            </w:r>
            <w:r/>
          </w:p>
        </w:tc>
        <w:tc>
          <w:tcPr>
            <w:tcW w:w="6330" w:type="dxa"/>
            <w:vAlign w:val="center"/>
            <w:textDirection w:val="lrTb"/>
            <w:noWrap w:val="false"/>
          </w:tcPr>
          <w:p>
            <w:pPr>
              <w:pStyle w:val="873"/>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投标人承诺提供本项目要求以外的功能需求开发、接口对接、模块开发等，提供1项得1分，最多得1分，未提供不得分（提供承诺书，格式自拟）。</w:t>
            </w:r>
            <w:r>
              <w:rPr>
                <w:rFonts w:hint="eastAsia" w:ascii="宋体" w:hAnsi="宋体" w:eastAsia="宋体" w:cs="宋体"/>
                <w:color w:val="000000"/>
                <w:sz w:val="21"/>
                <w:szCs w:val="21"/>
                <w:lang w:val="en-US" w:eastAsia="zh-CN" w:bidi="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ascii="宋体" w:hAnsi="宋体" w:eastAsia="宋体" w:cs="宋体"/>
                <w:spacing w:val="-6"/>
                <w:szCs w:val="21"/>
                <w:lang w:val="en-US"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培训方案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99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根据本项目采购需求中“培训要求及相关要求”编制方案，内容包含：</w:t>
            </w:r>
            <w:r>
              <w:rPr>
                <w:rFonts w:hint="eastAsia"/>
                <w:sz w:val="21"/>
                <w:szCs w:val="21"/>
                <w:lang w:val="en-US" w:bidi="ar-SA"/>
              </w:rPr>
              <w:t xml:space="preserve">1.培训内容</w:t>
            </w:r>
            <w:r>
              <w:rPr>
                <w:rFonts w:hint="eastAsia"/>
                <w:sz w:val="21"/>
                <w:szCs w:val="21"/>
                <w:lang w:val="en-US" w:eastAsia="zh-CN" w:bidi="ar-SA"/>
              </w:rPr>
              <w:t xml:space="preserve">（</w:t>
            </w:r>
            <w:r>
              <w:rPr>
                <w:rFonts w:hint="eastAsia"/>
                <w:sz w:val="21"/>
                <w:szCs w:val="21"/>
                <w:lang w:val="en-US" w:bidi="ar-SA"/>
              </w:rPr>
              <w:t xml:space="preserve">包含系统软硬件基础、核心操作技能、故障排查处理、安全规范要求</w:t>
            </w:r>
            <w:r>
              <w:rPr>
                <w:rFonts w:hint="eastAsia"/>
                <w:sz w:val="21"/>
                <w:szCs w:val="21"/>
                <w:lang w:val="en-US" w:eastAsia="zh-CN" w:bidi="ar-SA"/>
              </w:rPr>
              <w:t xml:space="preserve">）</w:t>
            </w:r>
            <w:r>
              <w:rPr>
                <w:rFonts w:hint="eastAsia"/>
                <w:sz w:val="21"/>
                <w:szCs w:val="21"/>
                <w:lang w:val="en-US" w:bidi="ar-SA"/>
              </w:rPr>
              <w:t xml:space="preserve">；2.培训计划</w:t>
            </w:r>
            <w:r>
              <w:rPr>
                <w:rFonts w:hint="eastAsia"/>
                <w:sz w:val="21"/>
                <w:szCs w:val="21"/>
                <w:lang w:val="en-US" w:eastAsia="zh-CN" w:bidi="ar-SA"/>
              </w:rPr>
              <w:t xml:space="preserve">（</w:t>
            </w:r>
            <w:r>
              <w:rPr>
                <w:rFonts w:hint="eastAsia"/>
                <w:sz w:val="21"/>
                <w:szCs w:val="21"/>
                <w:lang w:val="en-US" w:bidi="ar-SA"/>
              </w:rPr>
              <w:t xml:space="preserve">包含培训对象、培训安排、考核验收</w:t>
            </w:r>
            <w:r>
              <w:rPr>
                <w:rFonts w:hint="eastAsia"/>
                <w:sz w:val="21"/>
                <w:szCs w:val="21"/>
                <w:lang w:val="en-US" w:eastAsia="zh-CN" w:bidi="ar-SA"/>
              </w:rPr>
              <w:t xml:space="preserve">）</w:t>
            </w:r>
            <w:r>
              <w:rPr>
                <w:rFonts w:hint="eastAsia"/>
                <w:sz w:val="21"/>
                <w:szCs w:val="21"/>
                <w:lang w:val="en-US" w:bidi="ar-SA"/>
              </w:rPr>
              <w:t xml:space="preserve">。</w:t>
            </w:r>
            <w:r>
              <w:rPr>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pStyle w:val="873"/>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bidi="ar-SA"/>
              </w:rPr>
            </w:r>
            <w:r/>
          </w:p>
          <w:p>
            <w:pPr>
              <w:pStyle w:val="873"/>
              <w:rPr>
                <w:rFonts w:hint="eastAsia" w:ascii="宋体" w:hAnsi="宋体" w:eastAsia="宋体" w:cs="宋体"/>
                <w:sz w:val="21"/>
                <w:szCs w:val="21"/>
                <w:lang w:val="zh-CN" w:eastAsia="zh-CN" w:bidi="ar-SA"/>
              </w:rPr>
            </w:pPr>
            <w:r>
              <w:rPr>
                <w:rFonts w:hint="eastAsia" w:ascii="宋体" w:hAnsi="宋体" w:eastAsia="宋体" w:cs="宋体"/>
                <w:sz w:val="21"/>
                <w:szCs w:val="21"/>
                <w:lang w:val="en-US" w:eastAsia="zh-CN" w:bidi="ar-SA"/>
              </w:rPr>
              <w:t xml:space="preserve">上述每项内容符合得1分；部分符合得0.5分；不符合或不提供不得分。</w:t>
            </w:r>
            <w:r>
              <w:rPr>
                <w:rFonts w:hint="eastAsia" w:ascii="宋体" w:hAnsi="宋体" w:eastAsia="宋体" w:cs="宋体"/>
                <w:sz w:val="21"/>
                <w:szCs w:val="21"/>
                <w:lang w:val="zh-CN"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应急方案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eastAsia="宋体" w:cs="宋体"/>
                <w:sz w:val="21"/>
                <w:szCs w:val="21"/>
                <w:lang w:val="en-US" w:eastAsia="zh-CN" w:bidi="ar-SA"/>
                <w14:ligatures w14:val="none"/>
              </w:rPr>
            </w:pPr>
            <w:r>
              <w:rPr>
                <w:rFonts w:hint="eastAsia" w:ascii="宋体" w:hAnsi="宋体" w:eastAsia="宋体" w:cs="宋体"/>
                <w:sz w:val="21"/>
                <w:szCs w:val="21"/>
                <w:lang w:val="en-US" w:eastAsia="zh-CN" w:bidi="ar-SA"/>
              </w:rPr>
              <w:t xml:space="preserve">根据本项目采购需求中“应急要求及相关要求”编制方案，内容包含：</w:t>
            </w:r>
            <w:r>
              <w:rPr>
                <w:rFonts w:hint="eastAsia" w:ascii="宋体" w:hAnsi="宋体" w:eastAsia="宋体" w:cs="宋体"/>
                <w:sz w:val="21"/>
                <w:szCs w:val="21"/>
                <w:lang w:val="en-US" w:eastAsia="zh-CN" w:bidi="ar-SA"/>
              </w:rPr>
              <w:t xml:space="preserve">1.响应时间；2.应急举措；3.后续措施和总结。</w:t>
            </w:r>
            <w:r>
              <w:rPr>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rPr>
                <w:rFonts w:hint="eastAsia" w:ascii="宋体" w:hAnsi="宋体" w:eastAsia="宋体" w:cs="宋体"/>
                <w:sz w:val="21"/>
                <w:szCs w:val="21"/>
                <w:lang w:val="en-US" w:eastAsia="zh-CN" w:bidi="ar-SA"/>
                <w14:ligatures w14:val="none"/>
              </w:rPr>
            </w:pPr>
            <w:r>
              <w:rPr>
                <w:rFonts w:hint="eastAsia" w:ascii="宋体" w:hAnsi="宋体" w:eastAsia="宋体" w:cs="宋体"/>
                <w:sz w:val="21"/>
                <w:szCs w:val="21"/>
                <w:lang w:val="en-US" w:eastAsia="zh-CN" w:bidi="ar-SA"/>
              </w:rPr>
              <w:t xml:space="preserve">方案内容完整、详细、合理，且专门针对本项目，契合采购需求视为符合；方案内容属于通用类，非专门针对本项目，部分契合采购需求视为部分符合；方案内容非专门针对本项目，脱离采购需求视为不符合。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bidi="ar-SA"/>
              </w:rPr>
            </w:r>
            <w:r/>
          </w:p>
          <w:p>
            <w:pPr>
              <w:rPr>
                <w:rFonts w:hint="eastAsia" w:ascii="宋体" w:hAnsi="宋体" w:eastAsia="宋体" w:cs="宋体"/>
                <w:sz w:val="21"/>
                <w:szCs w:val="21"/>
                <w:lang w:val="en-US" w:eastAsia="zh-CN" w:bidi="ar-SA"/>
                <w14:ligatures w14:val="none"/>
              </w:rPr>
            </w:pPr>
            <w:r>
              <w:rPr>
                <w:rFonts w:hint="eastAsia" w:ascii="宋体" w:hAnsi="宋体" w:eastAsia="宋体" w:cs="宋体"/>
                <w:sz w:val="21"/>
                <w:szCs w:val="21"/>
                <w:lang w:val="en-US" w:eastAsia="zh-CN" w:bidi="ar-SA"/>
              </w:rPr>
              <w:t xml:space="preserve">上述每项内容符合得1分；部分符合得0.5分；不符合或不提供不得分。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延保服务</w:t>
            </w:r>
            <w:r>
              <w:rPr>
                <w:rFonts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eastAsia="宋体" w:cs="宋体"/>
                <w:sz w:val="21"/>
                <w:szCs w:val="21"/>
                <w:lang w:val="en-US" w:eastAsia="zh-CN" w:bidi="ar-SA"/>
                <w14:ligatures w14:val="none"/>
              </w:rPr>
            </w:pPr>
            <w:r>
              <w:rPr>
                <w:rFonts w:hint="eastAsia" w:ascii="宋体" w:hAnsi="宋体" w:eastAsia="宋体" w:cs="宋体"/>
                <w:sz w:val="21"/>
                <w:szCs w:val="21"/>
                <w:lang w:val="en-US" w:eastAsia="zh-CN" w:bidi="ar-SA"/>
              </w:rPr>
              <w:t xml:space="preserve">投标人承诺本项目整体质保期4年得2分，5年及以上得4分，费用包含在投标总价中（提供承诺书，格式自拟）。</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4</w:t>
            </w:r>
            <w:r>
              <w:rPr>
                <w:rFonts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3"/>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 w:val="21"/>
                <w:szCs w:val="21"/>
              </w:rPr>
              <w:t xml:space="preserve">2023年1月1日</w:t>
            </w:r>
            <w:r>
              <w:rPr>
                <w:rFonts w:hint="eastAsia" w:ascii="宋体" w:hAnsi="宋体" w:eastAsia="宋体" w:cs="宋体"/>
                <w:color w:val="000000"/>
                <w:sz w:val="21"/>
                <w:szCs w:val="21"/>
                <w:lang w:val="en-US" w:eastAsia="zh-CN" w:bidi="ar-SA"/>
              </w:rPr>
              <w:t xml:space="preserve">（含）以来类似项目业绩</w:t>
            </w:r>
            <w:r>
              <w:rPr>
                <w:rFonts w:hint="eastAsia" w:ascii="宋体" w:hAnsi="宋体" w:eastAsia="宋体" w:cs="宋体"/>
                <w:color w:val="000000"/>
                <w:sz w:val="21"/>
                <w:szCs w:val="21"/>
              </w:rPr>
              <w:t xml:space="preserve">（至少包含智慧食堂管理系统、自助结算台及智能备餐台</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内容缺项不得分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t xml:space="preserve">，每提供1个得2分，最多得6分。（时间以合同签订时间为准，提供有效合同，合同页须清晰可见相应内容）</w:t>
            </w:r>
            <w:r>
              <w:rPr>
                <w:rFonts w:hint="eastAsia" w:ascii="宋体" w:hAnsi="宋体" w:eastAsia="宋体" w:cs="宋体"/>
                <w:color w:val="000000"/>
                <w:sz w:val="21"/>
                <w:szCs w:val="21"/>
                <w:lang w:val="en-US" w:eastAsia="zh-CN" w:bidi="ar-SA"/>
              </w:rPr>
            </w:r>
            <w:r/>
          </w:p>
          <w:p>
            <w:pPr>
              <w:pStyle w:val="873"/>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备注：所提供合同中“产品名称”与评分细则规定不同时，应提供符合上述要求的内容（功能）说明及关键信息，否则不予认可。为方便评委评审，功能参数可用箭头、标红或下划线等进行明显标注。</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937"/>
              <w:keepLines w:val="0"/>
              <w:keepNext w:val="0"/>
              <w:spacing w:before="0" w:beforeAutospacing="0" w:after="0" w:afterAutospacing="0" w:line="0" w:lineRule="atLeast"/>
              <w:widowControl/>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投标人所投智慧食堂管理平台系统具有信息系统安全等级保护备案证明，一级的得</w:t>
            </w:r>
            <w:r>
              <w:rPr>
                <w:rFonts w:hint="eastAsia" w:cs="宋体"/>
                <w:color w:val="000000"/>
                <w:sz w:val="21"/>
                <w:szCs w:val="21"/>
                <w:lang w:val="en-US" w:eastAsia="zh-CN"/>
              </w:rPr>
              <w:t xml:space="preserve">1</w:t>
            </w:r>
            <w:r>
              <w:rPr>
                <w:rFonts w:hint="eastAsia" w:ascii="宋体" w:hAnsi="宋体" w:eastAsia="宋体" w:cs="宋体"/>
                <w:color w:val="000000"/>
                <w:sz w:val="21"/>
                <w:szCs w:val="21"/>
              </w:rPr>
              <w:t xml:space="preserve">分，二级的得</w:t>
            </w:r>
            <w:r>
              <w:rPr>
                <w:rFonts w:hint="eastAsia" w:cs="宋体"/>
                <w:color w:val="000000"/>
                <w:sz w:val="21"/>
                <w:szCs w:val="21"/>
                <w:lang w:val="en-US" w:eastAsia="zh-CN"/>
              </w:rPr>
              <w:t xml:space="preserve">2</w:t>
            </w:r>
            <w:r>
              <w:rPr>
                <w:rFonts w:hint="eastAsia" w:ascii="宋体" w:hAnsi="宋体" w:eastAsia="宋体" w:cs="宋体"/>
                <w:color w:val="000000"/>
                <w:sz w:val="21"/>
                <w:szCs w:val="21"/>
              </w:rPr>
              <w:t xml:space="preserve">分，三级或以上的，得</w:t>
            </w:r>
            <w:r>
              <w:rPr>
                <w:rFonts w:hint="eastAsia"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cs="宋体"/>
                <w:color w:val="000000"/>
                <w:sz w:val="21"/>
                <w:szCs w:val="21"/>
                <w:lang w:eastAsia="zh-CN"/>
              </w:rPr>
              <w:t xml:space="preserve">，</w:t>
            </w:r>
            <w:r>
              <w:rPr>
                <w:rFonts w:hint="eastAsia" w:cs="宋体"/>
                <w:color w:val="000000"/>
                <w:sz w:val="21"/>
                <w:szCs w:val="21"/>
                <w:lang w:val="en-US" w:eastAsia="zh-CN"/>
              </w:rPr>
              <w:t xml:space="preserve">其他或未提供的并不得分</w:t>
            </w:r>
            <w:r>
              <w:rPr>
                <w:rFonts w:hint="eastAsia" w:ascii="宋体" w:hAnsi="宋体" w:eastAsia="宋体" w:cs="宋体"/>
                <w:color w:val="000000"/>
                <w:sz w:val="21"/>
                <w:szCs w:val="21"/>
              </w:rPr>
              <w:t xml:space="preserve">。（提供证书）</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投标人拟投入本项目的项目经理具有</w:t>
            </w:r>
            <w:r>
              <w:rPr>
                <w:rFonts w:hint="eastAsia" w:ascii="宋体" w:hAnsi="宋体" w:eastAsia="宋体" w:cs="宋体"/>
                <w:color w:val="000000"/>
                <w:sz w:val="21"/>
                <w:szCs w:val="21"/>
              </w:rPr>
              <w:t xml:space="preserve">高级信息系统项目管理师证书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得3分。</w:t>
            </w:r>
            <w:r>
              <w:rPr>
                <w:rFonts w:hint="eastAsia" w:ascii="宋体" w:hAnsi="宋体" w:eastAsia="宋体" w:cs="宋体"/>
                <w:color w:val="000000"/>
                <w:sz w:val="21"/>
                <w:szCs w:val="21"/>
                <w:lang w:val="en-US" w:eastAsia="zh-CN"/>
              </w:rPr>
            </w:r>
            <w:r/>
          </w:p>
          <w:p>
            <w:pPr>
              <w:pStyle w:val="873"/>
              <w:jc w:val="both"/>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（提供人员证书及投标人为其缴纳的2025年10月以来任意一个月的社保证明材料，缺一不可）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5.3</w:t>
            </w:r>
            <w:r>
              <w:rPr>
                <w:rFonts w:ascii="宋体" w:hAnsi="宋体" w:eastAsia="宋体" w:cs="宋体"/>
                <w:spacing w:val="-2"/>
                <w:szCs w:val="21"/>
                <w:lang w:val="en-US" w:eastAsia="zh-CN"/>
              </w:rPr>
            </w:r>
            <w:r/>
          </w:p>
        </w:tc>
        <w:tc>
          <w:tcPr>
            <w:tcW w:w="1179" w:type="dxa"/>
            <w:vAlign w:val="center"/>
            <w:textDirection w:val="lrTb"/>
            <w:noWrap w:val="false"/>
          </w:tcPr>
          <w:p>
            <w:pPr>
              <w:pStyle w:val="873"/>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履约能力3</w:t>
            </w:r>
            <w:r>
              <w:rPr>
                <w:rFonts w:ascii="宋体" w:hAnsi="宋体" w:eastAsia="宋体" w:cs="宋体"/>
                <w:color w:val="000000"/>
                <w:sz w:val="21"/>
                <w:szCs w:val="21"/>
                <w:lang w:val="en-US" w:eastAsia="zh-CN"/>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投标人拟投入本项目的技术负责人：</w:t>
            </w:r>
            <w:r>
              <w:rPr>
                <w:rFonts w:hint="eastAsia" w:ascii="宋体" w:hAnsi="宋体" w:eastAsia="宋体" w:cs="宋体"/>
                <w:color w:val="000000"/>
                <w:sz w:val="21"/>
                <w:szCs w:val="21"/>
                <w:lang w:val="en-US" w:eastAsia="zh-CN"/>
              </w:rPr>
            </w:r>
            <w:r/>
          </w:p>
          <w:p>
            <w:pPr>
              <w:pStyle w:val="873"/>
              <w:numPr>
                <w:ilvl w:val="0"/>
                <w:numId w:val="6"/>
              </w:numPr>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具有系统集成项目管理工程师证书，得2分（提供人员证书）；</w:t>
            </w:r>
            <w:r>
              <w:rPr>
                <w:rFonts w:hint="eastAsia" w:ascii="宋体" w:hAnsi="宋体" w:eastAsia="宋体" w:cs="宋体"/>
                <w:color w:val="000000"/>
                <w:sz w:val="21"/>
                <w:szCs w:val="21"/>
                <w:lang w:val="en-US" w:eastAsia="zh-CN"/>
              </w:rPr>
            </w:r>
            <w:r/>
          </w:p>
          <w:p>
            <w:pPr>
              <w:pStyle w:val="873"/>
              <w:numPr>
                <w:ilvl w:val="0"/>
                <w:numId w:val="0"/>
              </w:numPr>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（2）具有2年及以上类似食堂项目软件开发经验，得2分（</w:t>
            </w:r>
            <w:r>
              <w:rPr>
                <w:rFonts w:hint="eastAsia" w:ascii="宋体" w:hAnsi="宋体" w:eastAsia="宋体" w:cs="宋体"/>
                <w:color w:val="000000"/>
                <w:sz w:val="21"/>
                <w:szCs w:val="21"/>
                <w:lang w:val="en-US" w:eastAsia="zh-CN" w:bidi="ar-SA"/>
              </w:rPr>
              <w:t xml:space="preserve">提供加盖业主单位公章的人员经验证明材料</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p>
            <w:pPr>
              <w:pStyle w:val="873"/>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（提供上述证明材料及投标人为其缴纳的2025年10月以来任意一个月的社保证明材料，缺一不可）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5.4</w:t>
            </w:r>
            <w:r>
              <w:rPr>
                <w:rFonts w:ascii="宋体" w:hAnsi="宋体" w:eastAsia="宋体" w:cs="宋体"/>
                <w:spacing w:val="-2"/>
                <w:szCs w:val="21"/>
                <w:lang w:val="en-US" w:eastAsia="zh-CN"/>
              </w:rPr>
            </w:r>
            <w:r/>
          </w:p>
        </w:tc>
        <w:tc>
          <w:tcPr>
            <w:tcW w:w="1179" w:type="dxa"/>
            <w:vAlign w:val="center"/>
            <w:textDirection w:val="lrTb"/>
            <w:noWrap w:val="false"/>
          </w:tcPr>
          <w:p>
            <w:pPr>
              <w:pStyle w:val="873"/>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履约能力4</w:t>
            </w:r>
            <w:r>
              <w:rPr>
                <w:rFonts w:ascii="宋体" w:hAnsi="宋体" w:eastAsia="宋体" w:cs="宋体"/>
                <w:color w:val="000000"/>
                <w:sz w:val="21"/>
                <w:szCs w:val="21"/>
                <w:lang w:val="en-US" w:eastAsia="zh-CN"/>
              </w:rPr>
            </w:r>
            <w:r/>
          </w:p>
        </w:tc>
        <w:tc>
          <w:tcPr>
            <w:tcW w:w="6330" w:type="dxa"/>
            <w:vAlign w:val="center"/>
            <w:textDirection w:val="lrTb"/>
            <w:noWrap w:val="false"/>
          </w:tcPr>
          <w:p>
            <w:pPr>
              <w:pStyle w:val="873"/>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实施人员（项目经理、技术负责人除外）具有系统集成项目管理工程师证书，每提供1个证书得1分，最高得3分。（一人多证不重复计分，提供人员证书及投标人为其缴纳的2025年10月以来任意一个月的社保证明材料，缺一不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431"/>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w:t>
            </w:r>
            <w:r>
              <w:rPr>
                <w:rFonts w:hint="eastAsia" w:ascii="宋体" w:hAnsi="宋体" w:eastAsia="宋体" w:cs="宋体"/>
                <w:szCs w:val="21"/>
                <w:lang w:val="en-US" w:eastAsia="zh-CN"/>
              </w:rPr>
              <w:t xml:space="preserve">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73"/>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lang w:val="en-US" w:eastAsia="zh-CN"/>
        </w:rPr>
      </w:pPr>
      <w:r>
        <w:rPr>
          <w:rFonts w:hint="eastAsia"/>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lang w:val="en-US" w:eastAsia="zh-CN"/>
        </w:rPr>
      </w:pPr>
      <w:r>
        <w:rPr>
          <w:rFonts w:hint="eastAsia"/>
          <w:lang w:val="en-US" w:eastAsia="zh-CN"/>
        </w:rPr>
      </w:r>
      <w:r/>
    </w:p>
    <w:p>
      <w:pPr>
        <w:pStyle w:val="873"/>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rPr>
      </w:pPr>
      <w:r>
        <w:rPr>
          <w:rFonts w:hint="eastAsia"/>
        </w:rPr>
      </w:r>
      <w:r/>
    </w:p>
    <w:p>
      <w:pPr>
        <w:pStyle w:val="95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88"/>
      <w:r/>
      <w:bookmarkEnd w:id="189"/>
      <w:r/>
      <w:bookmarkEnd w:id="192"/>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1"/>
      <w:r/>
      <w:bookmarkEnd w:id="186"/>
      <w:r/>
      <w:bookmarkEnd w:id="196"/>
      <w:r/>
      <w:bookmarkEnd w:id="197"/>
      <w:r/>
      <w:bookmarkEnd w:id="198"/>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199"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十四、分包承诺书</w:t>
      </w:r>
      <w:r>
        <w:rPr>
          <w:rFonts w:ascii="宋体" w:hAnsi="宋体" w:eastAsia="宋体" w:cs="宋体"/>
          <w:b w:val="0"/>
          <w:bCs w:val="0"/>
          <w:i w:val="0"/>
          <w:sz w:val="28"/>
          <w:szCs w:val="28"/>
          <w:u w:val="none"/>
          <w:lang w:eastAsia="zh-CN"/>
        </w:rPr>
        <w:t xml:space="preserve">（如有）</w:t>
      </w:r>
      <w:r>
        <w:rPr>
          <w:rFonts w:hint="eastAsia" w:ascii="宋体" w:hAnsi="宋体" w:eastAsia="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5"/>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93"/>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4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3"/>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73"/>
        <w:ind w:firstLine="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5"/>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5"/>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36"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3"/>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5"/>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3"/>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3"/>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3"/>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3</w:t>
      </w:r>
      <w:r>
        <w:rPr>
          <w:rStyle w:val="949"/>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Style w:val="949"/>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在中国境内生产。（产品名称1）的（关键工序）</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9"/>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）的（关键工序）在中国境内完成。</w:t>
      </w:r>
      <w:r>
        <w:rPr>
          <w:rFonts w:hint="eastAsia" w:ascii="宋体" w:hAnsi="宋体" w:eastAsia="宋体" w:cs="宋体"/>
          <w:i w:val="0"/>
          <w:iCs w:val="0"/>
          <w:caps w:val="0"/>
          <w:strike/>
          <w:color w:val="000000"/>
          <w:spacing w:val="0"/>
          <w:sz w:val="24"/>
          <w:szCs w:val="24"/>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7"/>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7"/>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7"/>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val="0"/>
          <w:bCs w:val="0"/>
          <w:i w:val="0"/>
          <w:iCs w:val="0"/>
          <w:caps w:val="0"/>
          <w:color w:val="000000"/>
          <w:spacing w:val="0"/>
          <w:sz w:val="21"/>
          <w:szCs w:val="21"/>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3"/>
        <w:jc w:val="center"/>
      </w:pPr>
      <w:r/>
      <w:r/>
    </w:p>
    <w:p>
      <w:pPr>
        <w:pStyle w:val="885"/>
      </w:pPr>
      <w:r/>
      <w:r/>
    </w:p>
    <w:p>
      <w:pPr>
        <w:pStyle w:val="873"/>
      </w:pPr>
      <w:r/>
      <w:r/>
    </w:p>
    <w:p>
      <w:pPr>
        <w:pStyle w:val="885"/>
      </w:pPr>
      <w:r/>
      <w:r/>
    </w:p>
    <w:p>
      <w:pPr>
        <w:pStyle w:val="873"/>
      </w:pPr>
      <w:r/>
      <w:r/>
    </w:p>
    <w:p>
      <w:pPr>
        <w:pStyle w:val="885"/>
      </w:pPr>
      <w:r/>
      <w:r/>
    </w:p>
    <w:p>
      <w:pPr>
        <w:pStyle w:val="873"/>
      </w:pPr>
      <w:r/>
      <w:r/>
    </w:p>
    <w:p>
      <w:pPr>
        <w:pStyle w:val="885"/>
      </w:pPr>
      <w:r/>
      <w:r/>
    </w:p>
    <w:p>
      <w:pPr>
        <w:pStyle w:val="873"/>
      </w:pPr>
      <w:r/>
      <w:r/>
    </w:p>
    <w:p>
      <w:pPr>
        <w:pStyle w:val="885"/>
      </w:pPr>
      <w:r/>
      <w:r/>
    </w:p>
    <w:p>
      <w:pPr>
        <w:pStyle w:val="873"/>
        <w:jc w:val="center"/>
      </w:pPr>
      <w:r/>
      <w:r/>
    </w:p>
    <w:p>
      <w:pPr>
        <w:pStyle w:val="873"/>
        <w:jc w:val="center"/>
      </w:p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十四、分包承诺书</w:t>
      </w:r>
      <w:r>
        <w:rPr>
          <w:rFonts w:hint="eastAsia" w:ascii="黑体" w:hAnsi="黑体" w:eastAsia="黑体" w:cs="Times New Roman"/>
          <w:i w:val="0"/>
          <w:iCs/>
          <w:sz w:val="32"/>
          <w:szCs w:val="32"/>
          <w:u w:val="none"/>
          <w:lang w:val="en-US" w:eastAsia="zh-CN"/>
        </w:rPr>
      </w:r>
      <w:r/>
    </w:p>
    <w:p>
      <w:pPr>
        <w:pStyle w:val="873"/>
        <w:rPr>
          <w:rFonts w:hint="eastAsia"/>
        </w:rPr>
      </w:pPr>
      <w:r>
        <w:rPr>
          <w:rFonts w:hint="eastAsia"/>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3"/>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3"/>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3"/>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ind w:right="180" w:firstLine="36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w:t>
      </w:r>
      <w:r>
        <w:rPr>
          <w:rFonts w:hint="eastAsia" w:ascii="宋体" w:hAnsi="宋体" w:eastAsia="宋体" w:cs="宋体"/>
          <w:sz w:val="24"/>
          <w:szCs w:val="24"/>
          <w:lang w:val="en-US" w:eastAsia="zh-CN"/>
        </w:rPr>
        <w:t xml:space="preserve">电子</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873"/>
        <w:ind w:firstLine="645"/>
        <w:spacing w:line="560" w:lineRule="exact"/>
        <w:rPr>
          <w:rFonts w:ascii="宋体" w:hAnsi="宋体"/>
          <w:sz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ascii="宋体" w:hAnsi="宋体"/>
          <w:sz w:val="24"/>
        </w:rPr>
      </w:r>
      <w:r/>
    </w:p>
    <w:p>
      <w:pPr>
        <w:pStyle w:val="873"/>
        <w:jc w:val="center"/>
        <w:rPr>
          <w:rFonts w:hint="eastAsia" w:ascii="方正小标宋简体" w:hAnsi="方正小标宋简体" w:eastAsia="方正小标宋简体" w:cs="方正小标宋简体"/>
          <w:b w:val="0"/>
          <w:bCs w:val="0"/>
          <w:sz w:val="32"/>
          <w:szCs w:val="32"/>
        </w:rPr>
      </w:pPr>
      <w:r>
        <w:br w:type="page" w:clear="all"/>
      </w:r>
      <w:bookmarkEnd w:id="199"/>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４２</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3">
    <w:multiLevelType w:val="hybridMultilevel"/>
    <w:lvl w:ilvl="0">
      <w:start w:val="1"/>
      <w:numFmt w:val="upperLetter"/>
      <w:pStyle w:val="958"/>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5"/>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3"/>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9"/>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9"/>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索引 41"/>
    <w:basedOn w:val="873"/>
    <w:next w:val="873"/>
    <w:link w:val="873"/>
    <w:semiHidden/>
    <w:qFormat/>
    <w:pPr>
      <w:ind w:left="1260"/>
    </w:pPr>
    <w:rPr>
      <w:rFonts w:ascii="Calibri" w:hAnsi="Calibri" w:eastAsia="Calibri" w:cs="宋体"/>
      <w:sz w:val="20"/>
      <w:lang w:val="zh-CN"/>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character" w:styleId="888">
    <w:name w:val="标题 3 Char"/>
    <w:next w:val="888"/>
    <w:link w:val="876"/>
    <w:rPr>
      <w:rFonts w:ascii="Times New Roman" w:hAnsi="Times New Roman" w:eastAsia="宋体" w:cs="Times New Roman"/>
      <w:b/>
      <w:bCs/>
      <w:sz w:val="32"/>
      <w:szCs w:val="32"/>
    </w:rPr>
  </w:style>
  <w:style w:type="paragraph" w:styleId="889">
    <w:name w:val="正文缩进"/>
    <w:basedOn w:val="873"/>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unhideWhenUsed/>
    <w:pPr>
      <w:ind w:left="420"/>
      <w:spacing w:after="120"/>
    </w:pPr>
  </w:style>
  <w:style w:type="character" w:styleId="908">
    <w:name w:val="正文文本缩进 Char"/>
    <w:basedOn w:val="883"/>
    <w:next w:val="908"/>
    <w:link w:val="907"/>
    <w:uiPriority w:val="99"/>
    <w:semiHidden/>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rPr>
      <w:rFonts w:ascii="Times New Roman" w:hAnsi="Times New Roman" w:eastAsia="宋体" w:cs="Times New Roman"/>
      <w:szCs w:val="21"/>
    </w:rPr>
  </w:style>
  <w:style w:type="paragraph" w:styleId="911">
    <w:name w:val="目录 5"/>
    <w:basedOn w:val="873"/>
    <w:next w:val="873"/>
    <w:link w:val="873"/>
    <w:semiHidden/>
    <w:pPr>
      <w:ind w:left="840"/>
      <w:jc w:val="left"/>
    </w:pPr>
    <w:rPr>
      <w:rFonts w:ascii="Times New Roman" w:hAnsi="Times New Roman" w:eastAsia="宋体" w:cs="Times New Roman"/>
      <w:szCs w:val="21"/>
    </w:rPr>
  </w:style>
  <w:style w:type="paragraph" w:styleId="912">
    <w:name w:val="目录 3"/>
    <w:basedOn w:val="873"/>
    <w:next w:val="873"/>
    <w:link w:val="873"/>
    <w:semiHidden/>
    <w:pPr>
      <w:ind w:left="420"/>
      <w:jc w:val="left"/>
    </w:pPr>
    <w:rPr>
      <w:rFonts w:ascii="Times New Roman" w:hAnsi="Times New Roman" w:eastAsia="宋体" w:cs="Times New Roman"/>
      <w:i/>
      <w:iCs/>
      <w:szCs w:val="24"/>
    </w:rPr>
  </w:style>
  <w:style w:type="paragraph" w:styleId="913">
    <w:name w:val="纯文本"/>
    <w:basedOn w:val="873"/>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rPr>
      <w:rFonts w:ascii="Times New Roman" w:hAnsi="Times New Roman" w:eastAsia="宋体" w:cs="Times New Roman"/>
      <w:szCs w:val="21"/>
    </w:rPr>
  </w:style>
  <w:style w:type="paragraph" w:styleId="916">
    <w:name w:val="日期"/>
    <w:basedOn w:val="873"/>
    <w:next w:val="873"/>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3"/>
    <w:next w:val="873"/>
    <w:link w:val="873"/>
    <w:semiHidden/>
    <w:pPr>
      <w:ind w:left="630"/>
      <w:jc w:val="left"/>
    </w:pPr>
    <w:rPr>
      <w:rFonts w:ascii="Times New Roman" w:hAnsi="Times New Roman" w:eastAsia="宋体" w:cs="Times New Roman"/>
      <w:szCs w:val="21"/>
    </w:rPr>
  </w:style>
  <w:style w:type="paragraph" w:styleId="928">
    <w:name w:val="列表"/>
    <w:basedOn w:val="873"/>
    <w:next w:val="928"/>
    <w:link w:val="873"/>
    <w:pPr>
      <w:ind w:left="200" w:hanging="200"/>
    </w:pPr>
    <w:rPr>
      <w:rFonts w:ascii="Times New Roman" w:hAnsi="Times New Roman" w:eastAsia="宋体" w:cs="Times New Roman"/>
      <w:szCs w:val="21"/>
    </w:rPr>
  </w:style>
  <w:style w:type="paragraph" w:styleId="929">
    <w:name w:val="目录 6"/>
    <w:basedOn w:val="873"/>
    <w:next w:val="873"/>
    <w:link w:val="873"/>
    <w:semiHidden/>
    <w:pPr>
      <w:ind w:left="1050"/>
      <w:jc w:val="left"/>
    </w:pPr>
    <w:rPr>
      <w:rFonts w:ascii="Times New Roman" w:hAnsi="Times New Roman" w:eastAsia="宋体" w:cs="Times New Roman"/>
      <w:szCs w:val="21"/>
    </w:r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rPr>
      <w:rFonts w:ascii="Times New Roman" w:hAnsi="Times New Roman" w:eastAsia="宋体" w:cs="Times New Roman"/>
      <w:szCs w:val="21"/>
    </w:rPr>
  </w:style>
  <w:style w:type="paragraph" w:styleId="933">
    <w:name w:val="目录 2"/>
    <w:basedOn w:val="873"/>
    <w:next w:val="873"/>
    <w:link w:val="873"/>
    <w:semiHidden/>
    <w:pPr>
      <w:ind w:left="210"/>
      <w:jc w:val="left"/>
    </w:pPr>
    <w:rPr>
      <w:rFonts w:ascii="Times New Roman" w:hAnsi="Times New Roman" w:eastAsia="宋体" w:cs="Times New Roman"/>
      <w:smallCaps/>
      <w:szCs w:val="24"/>
    </w:rPr>
  </w:style>
  <w:style w:type="paragraph" w:styleId="934">
    <w:name w:val="目录 9"/>
    <w:basedOn w:val="873"/>
    <w:next w:val="873"/>
    <w:link w:val="873"/>
    <w:semiHidden/>
    <w:pPr>
      <w:ind w:left="1680"/>
      <w:jc w:val="left"/>
    </w:pPr>
    <w:rPr>
      <w:rFonts w:ascii="Times New Roman" w:hAnsi="Times New Roman" w:eastAsia="宋体" w:cs="Times New Roman"/>
      <w:szCs w:val="21"/>
    </w:rPr>
  </w:style>
  <w:style w:type="paragraph" w:styleId="935">
    <w:name w:val="正文文本 2"/>
    <w:basedOn w:val="873"/>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3"/>
    <w:next w:val="873"/>
    <w:link w:val="873"/>
    <w:semiHidden/>
    <w:pPr>
      <w:spacing w:line="240" w:lineRule="atLeast"/>
    </w:pPr>
    <w:rPr>
      <w:rFonts w:ascii="Times New Roman" w:hAnsi="Times New Roman" w:eastAsia="宋体" w:cs="Times New Roman"/>
      <w:b/>
      <w:bCs/>
      <w:szCs w:val="21"/>
    </w:rPr>
  </w:style>
  <w:style w:type="paragraph" w:styleId="939">
    <w:name w:val="批注主题"/>
    <w:basedOn w:val="901"/>
    <w:next w:val="901"/>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强调"/>
    <w:next w:val="949"/>
    <w:link w:val="873"/>
    <w:qFormat/>
    <w:rPr>
      <w:i/>
    </w:rPr>
  </w:style>
  <w:style w:type="character" w:styleId="950">
    <w:name w:val="超链接"/>
    <w:next w:val="950"/>
    <w:link w:val="873"/>
    <w:rPr>
      <w:color w:val="0000ff"/>
      <w:u w:val="single"/>
    </w:rPr>
  </w:style>
  <w:style w:type="character" w:styleId="951">
    <w:name w:val="批注引用"/>
    <w:next w:val="951"/>
    <w:link w:val="873"/>
    <w:semiHidden/>
    <w:rPr>
      <w:sz w:val="21"/>
      <w:szCs w:val="21"/>
    </w:rPr>
  </w:style>
  <w:style w:type="character" w:styleId="952">
    <w:name w:val="批注文字 字符"/>
    <w:basedOn w:val="883"/>
    <w:next w:val="952"/>
    <w:link w:val="901"/>
    <w:rPr>
      <w:rFonts w:ascii="Calibri" w:hAnsi="Calibri" w:eastAsia="宋体" w:cs="Times New Roman"/>
      <w:sz w:val="21"/>
      <w:szCs w:val="24"/>
    </w:rPr>
  </w:style>
  <w:style w:type="paragraph" w:styleId="953">
    <w:name w:val="正文首行缩进 211"/>
    <w:basedOn w:val="954"/>
    <w:next w:val="873"/>
    <w:link w:val="873"/>
    <w:qFormat/>
    <w:pPr>
      <w:ind w:left="0" w:firstLine="420"/>
      <w:spacing w:after="0" w:line="360" w:lineRule="auto"/>
    </w:pPr>
    <w:rPr>
      <w:rFonts w:ascii="宋体" w:hAnsi="宋体" w:eastAsia="宋体" w:cs="Times New Roman"/>
      <w:szCs w:val="20"/>
    </w:rPr>
  </w:style>
  <w:style w:type="paragraph" w:styleId="954">
    <w:name w:val="正文文本缩进1"/>
    <w:basedOn w:val="873"/>
    <w:next w:val="955"/>
    <w:link w:val="873"/>
    <w:unhideWhenUsed/>
    <w:qFormat/>
    <w:pPr>
      <w:ind w:left="420"/>
      <w:spacing w:after="120"/>
    </w:pPr>
  </w:style>
  <w:style w:type="paragraph" w:styleId="955">
    <w:name w:val="寄信人地址11"/>
    <w:basedOn w:val="873"/>
    <w:next w:val="955"/>
    <w:link w:val="873"/>
    <w:qFormat/>
    <w:rPr>
      <w:rFonts w:ascii="Arial" w:hAnsi="Arial" w:eastAsia="宋体" w:cs="宋体"/>
    </w:rPr>
  </w:style>
  <w:style w:type="character" w:styleId="956">
    <w:name w:val="font5 Char"/>
    <w:next w:val="956"/>
    <w:link w:val="873"/>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3"/>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3"/>
    <w:next w:val="960"/>
    <w:link w:val="959"/>
    <w:qFormat/>
    <w:pPr>
      <w:contextualSpacing/>
      <w:ind w:left="720"/>
      <w:jc w:val="left"/>
      <w:widowControl/>
    </w:pPr>
    <w:rPr>
      <w:rFonts w:ascii="Calibri" w:hAnsi="Calibri"/>
      <w:sz w:val="24"/>
      <w:szCs w:val="24"/>
      <w:lang w:eastAsia="en-US" w:bidi="en-US"/>
    </w:rPr>
  </w:style>
  <w:style w:type="paragraph" w:styleId="961">
    <w:name w:val="Body Text(ch)"/>
    <w:basedOn w:val="873"/>
    <w:next w:val="905"/>
    <w:link w:val="873"/>
    <w:pPr>
      <w:spacing w:after="120"/>
    </w:pPr>
    <w:rPr>
      <w:rFonts w:ascii="宋体" w:hAnsi="Arial" w:eastAsia="宋体" w:cs="Times New Roman"/>
      <w:bCs/>
      <w:iCs/>
      <w:szCs w:val="24"/>
    </w:rPr>
  </w:style>
  <w:style w:type="paragraph" w:styleId="962">
    <w:name w:val="xl27"/>
    <w:basedOn w:val="873"/>
    <w:next w:val="962"/>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3"/>
    <w:next w:val="963"/>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3"/>
    <w:next w:val="964"/>
    <w:link w:val="873"/>
    <w:pPr>
      <w:ind w:firstLine="200"/>
      <w:tabs>
        <w:tab w:val="left" w:pos="360" w:leader="none"/>
      </w:tabs>
    </w:pPr>
    <w:rPr>
      <w:rFonts w:ascii="Times New Roman" w:hAnsi="Times New Roman" w:eastAsia="宋体" w:cs="Times New Roman"/>
      <w:sz w:val="28"/>
      <w:szCs w:val="30"/>
    </w:rPr>
  </w:style>
  <w:style w:type="paragraph" w:styleId="965">
    <w:name w:val=" Char"/>
    <w:basedOn w:val="899"/>
    <w:next w:val="965"/>
    <w:link w:val="873"/>
    <w:rPr>
      <w:rFonts w:ascii="Tahoma" w:hAnsi="Tahoma"/>
      <w:sz w:val="24"/>
      <w:szCs w:val="24"/>
    </w:rPr>
  </w:style>
  <w:style w:type="paragraph" w:styleId="966">
    <w:name w:val="普通正文"/>
    <w:basedOn w:val="873"/>
    <w:next w:val="966"/>
    <w:link w:val="873"/>
    <w:pPr>
      <w:ind w:firstLine="480"/>
      <w:jc w:val="left"/>
      <w:spacing w:before="120" w:after="120" w:line="360" w:lineRule="auto"/>
    </w:pPr>
    <w:rPr>
      <w:rFonts w:ascii="Arial" w:hAnsi="Arial" w:eastAsia="宋体" w:cs="Times New Roman"/>
      <w:sz w:val="24"/>
      <w:szCs w:val="24"/>
    </w:rPr>
  </w:style>
  <w:style w:type="paragraph" w:styleId="967">
    <w:name w:val="table_lines"/>
    <w:basedOn w:val="873"/>
    <w:next w:val="967"/>
    <w:link w:val="873"/>
    <w:pPr>
      <w:jc w:val="left"/>
      <w:widowControl/>
    </w:pPr>
    <w:rPr>
      <w:rFonts w:ascii="Times New Roman" w:hAnsi="Times New Roman" w:eastAsia="宋体" w:cs="Times New Roman"/>
      <w:sz w:val="20"/>
      <w:szCs w:val="20"/>
      <w:lang w:val="de-DE" w:eastAsia="de-DE"/>
    </w:rPr>
  </w:style>
  <w:style w:type="paragraph" w:styleId="968">
    <w:name w:val="附录1"/>
    <w:next w:val="968"/>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3"/>
    <w:next w:val="969"/>
    <w:link w:val="873"/>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899"/>
    <w:next w:val="970"/>
    <w:link w:val="873"/>
    <w:pPr>
      <w:spacing w:line="360" w:lineRule="auto"/>
    </w:pPr>
    <w:rPr>
      <w:rFonts w:ascii="Tahoma" w:hAnsi="Tahoma"/>
      <w:sz w:val="24"/>
      <w:szCs w:val="24"/>
    </w:rPr>
  </w:style>
  <w:style w:type="paragraph" w:styleId="971">
    <w:name w:val="列出段落"/>
    <w:basedOn w:val="873"/>
    <w:next w:val="971"/>
    <w:link w:val="873"/>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3"/>
    <w:next w:val="930"/>
    <w:link w:val="873"/>
    <w:pPr>
      <w:ind w:firstLine="420"/>
      <w:spacing w:line="360" w:lineRule="auto"/>
    </w:pPr>
    <w:rPr>
      <w:rFonts w:ascii="Times New Roman" w:hAnsi="Times New Roman" w:eastAsia="宋体" w:cs="Times New Roman"/>
      <w:color w:val="ff0000"/>
      <w:sz w:val="24"/>
      <w:szCs w:val="24"/>
    </w:rPr>
  </w:style>
  <w:style w:type="paragraph" w:styleId="973">
    <w:name w:val="普通 (Web)"/>
    <w:basedOn w:val="873"/>
    <w:next w:val="973"/>
    <w:link w:val="873"/>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3"/>
    <w:next w:val="974"/>
    <w:link w:val="873"/>
    <w:pPr>
      <w:spacing w:line="360" w:lineRule="auto"/>
    </w:pPr>
    <w:rPr>
      <w:rFonts w:ascii="Times New Roman" w:hAnsi="Times New Roman" w:eastAsia="宋体" w:cs="Times New Roman"/>
      <w:sz w:val="24"/>
      <w:szCs w:val="20"/>
    </w:rPr>
  </w:style>
  <w:style w:type="paragraph" w:styleId="975">
    <w:name w:val="样式1"/>
    <w:basedOn w:val="873"/>
    <w:next w:val="975"/>
    <w:link w:val="873"/>
    <w:pPr>
      <w:numPr>
        <w:ilvl w:val="0"/>
        <w:numId w:val="3"/>
      </w:numPr>
      <w:tabs>
        <w:tab w:val="left" w:pos="709" w:leader="none"/>
      </w:tabs>
    </w:pPr>
    <w:rPr>
      <w:rFonts w:ascii="宋体" w:hAnsi="宋体" w:eastAsia="宋体" w:cs="Times New Roman"/>
      <w:szCs w:val="21"/>
    </w:rPr>
  </w:style>
  <w:style w:type="paragraph" w:styleId="976">
    <w:name w:val="font6"/>
    <w:basedOn w:val="873"/>
    <w:next w:val="976"/>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3"/>
    <w:next w:val="977"/>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80">
    <w:name w:val="xl24"/>
    <w:basedOn w:val="873"/>
    <w:next w:val="98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3"/>
    <w:next w:val="981"/>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3"/>
    <w:next w:val="982"/>
    <w:link w:val="873"/>
    <w:pPr>
      <w:jc w:val="left"/>
      <w:spacing w:after="160" w:line="240" w:lineRule="exact"/>
      <w:widowControl/>
    </w:pPr>
    <w:rPr>
      <w:rFonts w:ascii="Verdana" w:hAnsi="Verdana" w:eastAsia="宋体" w:cs="Times New Roman"/>
      <w:sz w:val="20"/>
      <w:szCs w:val="20"/>
      <w:lang w:eastAsia="en-US"/>
    </w:rPr>
  </w:style>
  <w:style w:type="paragraph" w:styleId="983">
    <w:name w:val="xl28"/>
    <w:basedOn w:val="873"/>
    <w:next w:val="983"/>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3"/>
    <w:next w:val="984"/>
    <w:link w:val="873"/>
    <w:pPr>
      <w:jc w:val="left"/>
      <w:spacing w:after="160" w:line="240" w:lineRule="exact"/>
      <w:widowControl/>
    </w:pPr>
    <w:rPr>
      <w:rFonts w:ascii="Verdana" w:hAnsi="Verdana" w:eastAsia="宋体" w:cs="Times New Roman"/>
      <w:sz w:val="20"/>
      <w:szCs w:val="20"/>
      <w:lang w:eastAsia="en-US"/>
    </w:rPr>
  </w:style>
  <w:style w:type="paragraph" w:styleId="985">
    <w:name w:val="xl30"/>
    <w:basedOn w:val="873"/>
    <w:next w:val="985"/>
    <w:link w:val="873"/>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899"/>
    <w:next w:val="986"/>
    <w:link w:val="873"/>
    <w:pPr>
      <w:spacing w:line="360" w:lineRule="auto"/>
    </w:pPr>
    <w:rPr>
      <w:rFonts w:ascii="Tahoma" w:hAnsi="Tahoma"/>
      <w:sz w:val="24"/>
      <w:szCs w:val="24"/>
    </w:rPr>
  </w:style>
  <w:style w:type="paragraph" w:styleId="987">
    <w:name w:val="table_1stline"/>
    <w:basedOn w:val="873"/>
    <w:next w:val="987"/>
    <w:link w:val="873"/>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3"/>
    <w:next w:val="988"/>
    <w:link w:val="873"/>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73"/>
    <w:uiPriority w:val="99"/>
    <w:semiHidden/>
    <w:rPr>
      <w:rFonts w:ascii="Times New Roman" w:hAnsi="Times New Roman"/>
      <w:sz w:val="21"/>
      <w:szCs w:val="21"/>
      <w:lang w:val="en-US" w:eastAsia="zh-CN" w:bidi="ar-SA"/>
    </w:rPr>
  </w:style>
  <w:style w:type="paragraph" w:styleId="991">
    <w:name w:val="无间隔"/>
    <w:next w:val="991"/>
    <w:link w:val="873"/>
    <w:uiPriority w:val="99"/>
    <w:qFormat/>
    <w:pPr>
      <w:jc w:val="both"/>
      <w:widowControl w:val="off"/>
    </w:pPr>
    <w:rPr>
      <w:rFonts w:ascii="Times New Roman" w:hAnsi="Times New Roman"/>
      <w:sz w:val="21"/>
      <w:szCs w:val="21"/>
      <w:lang w:val="en-US" w:eastAsia="zh-CN" w:bidi="ar-SA"/>
    </w:rPr>
  </w:style>
  <w:style w:type="table" w:styleId="992">
    <w:name w:val="Table Normal"/>
    <w:next w:val="992"/>
    <w:link w:val="873"/>
    <w:qFormat/>
    <w:tblPr/>
  </w:style>
  <w:style w:type="paragraph" w:styleId="993">
    <w:name w:val="正文文本12"/>
    <w:basedOn w:val="873"/>
    <w:next w:val="993"/>
    <w:link w:val="873"/>
    <w:uiPriority w:val="1"/>
    <w:qFormat/>
    <w:pPr>
      <w:ind w:left="120"/>
    </w:pPr>
    <w:rPr>
      <w:rFonts w:ascii="宋体" w:hAnsi="宋体" w:eastAsia="宋体" w:cs="宋体"/>
      <w:sz w:val="21"/>
      <w:szCs w:val="21"/>
      <w:lang w:val="zh-CN" w:eastAsia="zh-CN" w:bidi="zh-CN"/>
    </w:rPr>
  </w:style>
  <w:style w:type="paragraph" w:styleId="994">
    <w:name w:val="正文文本 211"/>
    <w:basedOn w:val="873"/>
    <w:next w:val="994"/>
    <w:link w:val="873"/>
    <w:uiPriority w:val="99"/>
    <w:qFormat/>
    <w:pPr>
      <w:jc w:val="center"/>
    </w:pPr>
    <w:rPr>
      <w:b/>
      <w:bCs/>
      <w:sz w:val="20"/>
      <w:szCs w:val="20"/>
    </w:rPr>
  </w:style>
  <w:style w:type="paragraph" w:styleId="995">
    <w:name w:val="正文文本1"/>
    <w:basedOn w:val="873"/>
    <w:next w:val="873"/>
    <w:link w:val="873"/>
    <w:semiHidden/>
    <w:qFormat/>
    <w:rPr>
      <w:rFonts w:ascii="Arial" w:hAnsi="Arial" w:eastAsia="Arial" w:cs="Arial"/>
      <w:sz w:val="21"/>
      <w:szCs w:val="21"/>
      <w:lang w:val="en-US" w:eastAsia="en-US" w:bidi="ar-SA"/>
    </w:rPr>
  </w:style>
  <w:style w:type="paragraph" w:styleId="996">
    <w:name w:val="Table Paragraph"/>
    <w:basedOn w:val="873"/>
    <w:next w:val="996"/>
    <w:link w:val="873"/>
    <w:uiPriority w:val="1"/>
    <w:qFormat/>
    <w:pPr>
      <w:jc w:val="left"/>
    </w:pPr>
    <w:rPr>
      <w:rFonts w:ascii="宋体" w:hAnsi="宋体" w:eastAsia="宋体" w:cs="宋体"/>
      <w:sz w:val="22"/>
      <w:szCs w:val="22"/>
      <w:lang w:val="zh-CN" w:bidi="zh-CN"/>
    </w:rPr>
  </w:style>
  <w:style w:type="table" w:styleId="997">
    <w:name w:val="网格型1"/>
    <w:basedOn w:val="998"/>
    <w:next w:val="997"/>
    <w:link w:val="873"/>
    <w:qFormat/>
    <w:pPr>
      <w:jc w:val="both"/>
      <w:widowControl w:val="off"/>
    </w:pPr>
    <w:tblPr/>
  </w:style>
  <w:style w:type="table" w:styleId="998">
    <w:name w:val="普通表格1"/>
    <w:next w:val="998"/>
    <w:link w:val="873"/>
    <w:uiPriority w:val="99"/>
    <w:unhideWhenUsed/>
    <w:qFormat/>
    <w:tblPr/>
  </w:style>
  <w:style w:type="paragraph" w:styleId="999">
    <w:name w:val="正文文本首行缩进 2"/>
    <w:basedOn w:val="954"/>
    <w:next w:val="999"/>
    <w:link w:val="873"/>
    <w:qFormat/>
    <w:pPr>
      <w:ind w:left="0" w:firstLine="420"/>
      <w:spacing w:after="0" w:line="360" w:lineRule="auto"/>
    </w:pPr>
    <w:rPr>
      <w:rFonts w:ascii="宋体" w:hAnsi="宋体"/>
      <w:sz w:val="20"/>
      <w:szCs w:val="20"/>
      <w:lang w:val="en-US" w:eastAsia="en-US"/>
    </w:rPr>
  </w:style>
  <w:style w:type="table" w:styleId="1000">
    <w:name w:val="Table Normal_0"/>
    <w:next w:val="1000"/>
    <w:link w:val="873"/>
    <w:qFormat/>
    <w:tblPr/>
  </w:style>
  <w:style w:type="paragraph" w:styleId="1001">
    <w:name w:val="正文文本缩进11"/>
    <w:basedOn w:val="873"/>
    <w:next w:val="1002"/>
    <w:link w:val="873"/>
    <w:unhideWhenUsed/>
    <w:qFormat/>
    <w:pPr>
      <w:ind w:left="420"/>
      <w:spacing w:after="120"/>
    </w:pPr>
  </w:style>
  <w:style w:type="paragraph" w:styleId="1002">
    <w:name w:val="寄信人地址1"/>
    <w:basedOn w:val="873"/>
    <w:next w:val="1002"/>
    <w:link w:val="873"/>
    <w:qFormat/>
    <w:rPr>
      <w:rFonts w:ascii="Arial" w:hAnsi="Arial" w:eastAsia="宋体" w:cs="宋体"/>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9</cp:revision>
  <dcterms:created xsi:type="dcterms:W3CDTF">2023-03-16T02:13:00Z</dcterms:created>
  <dcterms:modified xsi:type="dcterms:W3CDTF">2026-05-15T09:11:44Z</dcterms:modified>
</cp:coreProperties>
</file>