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cs="Times New Roman"/>
          <w:b/>
          <w:bCs/>
          <w:color w:val="auto"/>
          <w:sz w:val="48"/>
          <w:szCs w:val="48"/>
          <w:highlight w:val="none"/>
          <w:lang w:val="en-US" w:bidi="ar-SA"/>
        </w:rPr>
      </w:pPr>
      <w:r/>
      <w:bookmarkStart w:id="0" w:name="OLE_LINK12"/>
      <w:r/>
      <w:bookmarkStart w:id="1" w:name="OLE_LINK5"/>
      <w:r>
        <w:rPr>
          <w:rFonts w:hint="eastAsia" w:cs="Times New Roman"/>
          <w:b/>
          <w:bCs/>
          <w:color w:val="auto"/>
          <w:sz w:val="48"/>
          <w:szCs w:val="48"/>
          <w:highlight w:val="none"/>
          <w:lang w:val="en-US" w:bidi="ar-SA"/>
        </w:rPr>
        <w:t xml:space="preserve"> </w:t>
      </w:r>
      <w:r/>
    </w:p>
    <w:p>
      <w:pPr>
        <w:pStyle w:val="950"/>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50"/>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50"/>
        <w:jc w:val="center"/>
        <w:rPr>
          <w:rFonts w:cs="Times New Roman"/>
          <w:b/>
          <w:bCs/>
          <w:color w:val="auto"/>
          <w:sz w:val="48"/>
          <w:szCs w:val="48"/>
          <w:highlight w:val="none"/>
          <w:lang w:val="en-US" w:bidi="ar-SA"/>
        </w:rPr>
      </w:pPr>
      <w:r>
        <w:rPr>
          <w:rFonts w:hint="eastAsia" w:cs="Times New Roman"/>
          <w:b/>
          <w:bCs/>
          <w:color w:val="auto"/>
          <w:sz w:val="48"/>
          <w:szCs w:val="48"/>
          <w:highlight w:val="none"/>
          <w:lang w:val="en-US" w:bidi="ar-SA"/>
        </w:rPr>
        <w:t xml:space="preserve">江苏第二师范学院多媒体建设</w:t>
      </w:r>
      <w:r/>
    </w:p>
    <w:p>
      <w:pPr>
        <w:pStyle w:val="950"/>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50"/>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jc w:val="center"/>
        <w:spacing w:line="360" w:lineRule="auto"/>
        <w:widowControl/>
        <w:rPr>
          <w:rFonts w:hAnsi="Times New Roman" w:cs="Times New Roman"/>
          <w:b/>
          <w:bCs/>
          <w:color w:val="auto"/>
          <w:sz w:val="48"/>
          <w:szCs w:val="48"/>
          <w:highlight w:val="none"/>
          <w:lang w:val="en-US" w:bidi="ar-SA"/>
        </w:rPr>
      </w:pPr>
      <w:r>
        <w:rPr>
          <w:rFonts w:hAnsi="Times New Roman" w:cs="Times New Roman"/>
          <w:b/>
          <w:bCs/>
          <w:color w:val="auto"/>
          <w:sz w:val="48"/>
          <w:szCs w:val="48"/>
          <w:highlight w:val="none"/>
          <w:lang w:val="en-US" w:bidi="ar-SA"/>
        </w:rPr>
        <mc:AlternateContent>
          <mc:Choice Requires="wpg">
            <w:drawing>
              <wp:inline xmlns:wp="http://schemas.openxmlformats.org/drawingml/2006/wordprocessingDrawing" distT="0" distB="0" distL="0" distR="0">
                <wp:extent cx="1717675" cy="2131695"/>
                <wp:effectExtent l="0" t="0" r="15875" b="1905"/>
                <wp:docPr id="6"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我的插图-1"/>
                        <pic:cNvPicPr>
                          <a:picLocks noChangeAspect="1"/>
                        </pic:cNvPicPr>
                        <pic:nvPr/>
                      </pic:nvPicPr>
                      <pic:blipFill>
                        <a:blip r:embed="rId16"/>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16" o:title=""/>
              </v:shape>
            </w:pict>
          </mc:Fallback>
        </mc:AlternateContent>
      </w:r>
      <w:r/>
    </w:p>
    <w:p>
      <w:pPr>
        <w:jc w:val="center"/>
        <w:spacing w:line="360" w:lineRule="auto"/>
        <w:widowControl/>
        <w:rPr>
          <w:rFonts w:hAnsi="Times New Roman" w:cs="Times New Roman"/>
          <w:b/>
          <w:bCs/>
          <w:color w:val="auto"/>
          <w:sz w:val="72"/>
          <w:szCs w:val="72"/>
          <w:highlight w:val="none"/>
          <w:lang w:val="en-US" w:bidi="ar-SA"/>
        </w:rPr>
      </w:pPr>
      <w:r>
        <w:rPr>
          <w:rFonts w:hint="eastAsia" w:cs="Times New Roman"/>
          <w:b/>
          <w:bCs/>
          <w:color w:val="auto"/>
          <w:sz w:val="72"/>
          <w:szCs w:val="72"/>
          <w:highlight w:val="none"/>
          <w:lang w:val="en-US" w:bidi="ar-SA"/>
        </w:rPr>
        <w:t xml:space="preserve">招标文件</w:t>
      </w:r>
      <w:r/>
    </w:p>
    <w:p>
      <w:pPr>
        <w:jc w:val="center"/>
        <w:spacing w:line="360" w:lineRule="auto"/>
        <w:widowControl/>
        <w:rPr>
          <w:rFonts w:hint="eastAsia" w:hAnsi="Times New Roman" w:eastAsia="宋体" w:cs="Times New Roman"/>
          <w:color w:val="auto"/>
          <w:sz w:val="21"/>
          <w:szCs w:val="21"/>
          <w:highlight w:val="none"/>
          <w:lang w:val="en-US" w:eastAsia="zh-CN" w:bidi="ar-SA"/>
        </w:rPr>
      </w:pPr>
      <w:r>
        <w:rPr>
          <w:rFonts w:hint="eastAsia" w:cs="Times New Roman"/>
          <w:b/>
          <w:color w:val="auto"/>
          <w:sz w:val="36"/>
          <w:szCs w:val="36"/>
          <w:highlight w:val="none"/>
          <w:lang w:val="en-US" w:bidi="ar-SA"/>
        </w:rPr>
        <w:t xml:space="preserve">项目编号：</w:t>
      </w:r>
      <w:r>
        <w:rPr>
          <w:rFonts w:hint="eastAsia" w:ascii="仿宋" w:hAnsi="仿宋" w:eastAsia="仿宋" w:cs="仿宋"/>
          <w:b/>
          <w:bCs/>
          <w:color w:val="auto"/>
          <w:sz w:val="36"/>
          <w:szCs w:val="28"/>
          <w:highlight w:val="none"/>
          <w:lang w:eastAsia="zh-CN"/>
        </w:rPr>
        <w:t xml:space="preserve">JSZC-320000-SNZX-G2026-0059</w:t>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采购人：江苏第二师范学院</w:t>
      </w:r>
      <w:r/>
    </w:p>
    <w:p>
      <w:pPr>
        <w:ind w:left="660" w:firstLine="723"/>
        <w:spacing w:line="360" w:lineRule="auto"/>
        <w:widowControl/>
        <w:rPr>
          <w:rFonts w:hAnsi="Times New Roman"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招标代理机构：南京苏宁工程咨询有限公司</w:t>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日期：二〇二六年六月</w:t>
      </w:r>
      <w:r>
        <w:rPr>
          <w:rFonts w:hint="eastAsia" w:cs="Times New Roman"/>
          <w:b/>
          <w:color w:val="auto"/>
          <w:sz w:val="36"/>
          <w:szCs w:val="36"/>
          <w:highlight w:val="none"/>
          <w:lang w:val="en-US" w:bidi="ar-SA"/>
        </w:rPr>
        <w:br w:type="page" w:clear="all"/>
      </w:r>
      <w:r/>
    </w:p>
    <w:sdt>
      <w:sdtPr>
        <w15:appearance w15:val="boundingBox"/>
        <w:id w:val="147453953"/>
        <w:docPartObj>
          <w:docPartGallery w:val="Table of Contents"/>
          <w:docPartUnique w:val="true"/>
        </w:docPartObj>
        <w:rPr>
          <w:rFonts w:hint="eastAsia"/>
          <w:color w:val="auto"/>
          <w:sz w:val="28"/>
          <w:szCs w:val="28"/>
          <w:highlight w:val="none"/>
        </w:rPr>
      </w:sdtPr>
      <w:sdtContent>
        <w:p>
          <w:pPr>
            <w:jc w:val="center"/>
            <w:rPr>
              <w:rFonts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目录</w:t>
          </w:r>
          <w:r/>
        </w:p>
        <w:p>
          <w:pPr>
            <w:pStyle w:val="893"/>
            <w:spacing w:line="480" w:lineRule="auto"/>
            <w:tabs>
              <w:tab w:val="right" w:pos="9638" w:leader="dot"/>
            </w:tabs>
            <w:rPr>
              <w:color w:val="auto"/>
              <w:sz w:val="28"/>
              <w:szCs w:val="28"/>
              <w:highlight w:val="none"/>
            </w:rPr>
          </w:pPr>
          <w:r>
            <w:rPr>
              <w:rFonts w:hint="eastAsia"/>
              <w:color w:val="auto"/>
              <w:sz w:val="28"/>
              <w:szCs w:val="28"/>
              <w:highlight w:val="none"/>
              <w:lang w:val="en-US"/>
            </w:rPr>
            <w:fldChar w:fldCharType="begin"/>
          </w:r>
          <w:r>
            <w:rPr>
              <w:rFonts w:hint="eastAsia"/>
              <w:color w:val="auto"/>
              <w:sz w:val="28"/>
              <w:szCs w:val="28"/>
              <w:highlight w:val="none"/>
              <w:lang w:val="en-US"/>
            </w:rPr>
            <w:instrText xml:space="preserve">TOC \o "1-1" \h \u </w:instrText>
          </w:r>
          <w:r>
            <w:rPr>
              <w:rFonts w:hint="eastAsia"/>
              <w:color w:val="auto"/>
              <w:sz w:val="28"/>
              <w:szCs w:val="28"/>
              <w:highlight w:val="none"/>
              <w:lang w:val="en-US"/>
            </w:rPr>
            <w:fldChar w:fldCharType="separate"/>
          </w:r>
          <w:r>
            <w:rPr>
              <w:color w:val="auto"/>
              <w:highlight w:val="none"/>
            </w:rPr>
            <w:fldChar w:fldCharType="begin"/>
          </w:r>
          <w:r>
            <w:rPr>
              <w:color w:val="auto"/>
              <w:highlight w:val="none"/>
            </w:rPr>
            <w:instrText xml:space="preserve"> HYPERLINK \l "_Toc10358" </w:instrText>
          </w:r>
          <w:r>
            <w:rPr>
              <w:color w:val="auto"/>
              <w:highlight w:val="none"/>
            </w:rPr>
            <w:fldChar w:fldCharType="separate"/>
          </w:r>
          <w:r>
            <w:rPr>
              <w:rFonts w:hint="eastAsia"/>
              <w:color w:val="auto"/>
              <w:sz w:val="28"/>
              <w:szCs w:val="28"/>
              <w:highlight w:val="none"/>
            </w:rPr>
            <w:t xml:space="preserve">第一章</w:t>
          </w:r>
          <w:r>
            <w:rPr>
              <w:rFonts w:hint="eastAsia"/>
              <w:color w:val="auto"/>
              <w:sz w:val="28"/>
              <w:szCs w:val="28"/>
              <w:highlight w:val="none"/>
              <w:lang w:val="en-US"/>
            </w:rPr>
            <w:t xml:space="preserve"> </w:t>
          </w:r>
          <w:r>
            <w:rPr>
              <w:rFonts w:hint="eastAsia"/>
              <w:color w:val="auto"/>
              <w:sz w:val="28"/>
              <w:szCs w:val="28"/>
              <w:highlight w:val="none"/>
            </w:rPr>
            <w:t xml:space="preserve">招标公告</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_Toc10358 \h </w:instrText>
          </w:r>
          <w:r>
            <w:rPr>
              <w:rFonts w:hint="eastAsia"/>
              <w:color w:val="auto"/>
              <w:sz w:val="28"/>
              <w:szCs w:val="28"/>
              <w:highlight w:val="none"/>
            </w:rPr>
            <w:fldChar w:fldCharType="separate"/>
          </w:r>
          <w:r>
            <w:rPr>
              <w:rFonts w:hint="eastAsia"/>
              <w:color w:val="auto"/>
              <w:sz w:val="28"/>
              <w:szCs w:val="28"/>
              <w:highlight w:val="none"/>
            </w:rPr>
            <w:t xml:space="preserve">3</w:t>
          </w:r>
          <w:r>
            <w:rPr>
              <w:rFonts w:hint="eastAsia"/>
              <w:color w:val="auto"/>
              <w:sz w:val="28"/>
              <w:szCs w:val="28"/>
              <w:highlight w:val="none"/>
            </w:rPr>
            <w:fldChar w:fldCharType="end"/>
          </w:r>
          <w:r>
            <w:rPr>
              <w:rFonts w:hint="eastAsia"/>
              <w:color w:val="auto"/>
              <w:sz w:val="28"/>
              <w:szCs w:val="28"/>
              <w:highlight w:val="none"/>
            </w:rPr>
            <w:fldChar w:fldCharType="end"/>
          </w:r>
          <w:r/>
        </w:p>
        <w:p>
          <w:pPr>
            <w:pStyle w:val="893"/>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"_Toc15993" </w:instrText>
          </w:r>
          <w:r>
            <w:rPr>
              <w:color w:val="auto"/>
              <w:highlight w:val="none"/>
            </w:rPr>
            <w:fldChar w:fldCharType="separate"/>
          </w:r>
          <w:r>
            <w:rPr>
              <w:rFonts w:hint="eastAsia"/>
              <w:color w:val="auto"/>
              <w:sz w:val="28"/>
              <w:szCs w:val="28"/>
              <w:highlight w:val="none"/>
            </w:rPr>
            <w:t xml:space="preserve">第二章</w:t>
          </w:r>
          <w:r>
            <w:rPr>
              <w:rFonts w:hint="eastAsia"/>
              <w:color w:val="auto"/>
              <w:sz w:val="28"/>
              <w:szCs w:val="28"/>
              <w:highlight w:val="none"/>
              <w:lang w:val="en-US"/>
            </w:rPr>
            <w:t xml:space="preserve"> </w:t>
          </w:r>
          <w:r>
            <w:rPr>
              <w:rFonts w:hint="eastAsia"/>
              <w:color w:val="auto"/>
              <w:sz w:val="28"/>
              <w:szCs w:val="28"/>
              <w:highlight w:val="none"/>
            </w:rPr>
            <w:t xml:space="preserve">供应商须知</w:t>
          </w:r>
          <w:r>
            <w:rPr>
              <w:rFonts w:hint="eastAsia"/>
              <w:color w:val="auto"/>
              <w:sz w:val="28"/>
              <w:szCs w:val="28"/>
              <w:highlight w:val="none"/>
            </w:rPr>
            <w:tab/>
          </w:r>
          <w:r>
            <w:rPr>
              <w:rFonts w:hint="eastAsia"/>
              <w:color w:val="auto"/>
              <w:sz w:val="28"/>
              <w:szCs w:val="28"/>
              <w:highlight w:val="none"/>
              <w:lang w:val="en-US"/>
            </w:rPr>
            <w:t xml:space="preserve">6</w:t>
          </w:r>
          <w:r>
            <w:rPr>
              <w:rFonts w:hint="eastAsia"/>
              <w:color w:val="auto"/>
              <w:sz w:val="28"/>
              <w:szCs w:val="28"/>
              <w:highlight w:val="none"/>
              <w:lang w:val="en-US"/>
            </w:rPr>
            <w:fldChar w:fldCharType="end"/>
          </w:r>
          <w:r/>
        </w:p>
        <w:p>
          <w:pPr>
            <w:pStyle w:val="893"/>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"_Toc9832" </w:instrText>
          </w:r>
          <w:r>
            <w:rPr>
              <w:color w:val="auto"/>
              <w:highlight w:val="none"/>
            </w:rPr>
            <w:fldChar w:fldCharType="separate"/>
          </w:r>
          <w:r>
            <w:rPr>
              <w:rFonts w:hint="eastAsia"/>
              <w:color w:val="auto"/>
              <w:sz w:val="28"/>
              <w:szCs w:val="28"/>
              <w:highlight w:val="none"/>
            </w:rPr>
            <w:t xml:space="preserve">第三章 评标标准</w:t>
          </w:r>
          <w:r>
            <w:rPr>
              <w:rFonts w:hint="eastAsia"/>
              <w:color w:val="auto"/>
              <w:sz w:val="28"/>
              <w:szCs w:val="28"/>
              <w:highlight w:val="none"/>
            </w:rPr>
            <w:tab/>
          </w:r>
          <w:r>
            <w:rPr>
              <w:color w:val="auto"/>
              <w:sz w:val="28"/>
              <w:szCs w:val="28"/>
              <w:highlight w:val="none"/>
            </w:rPr>
            <w:t xml:space="preserve">17</w:t>
          </w:r>
          <w:r>
            <w:rPr>
              <w:color w:val="auto"/>
              <w:sz w:val="28"/>
              <w:szCs w:val="28"/>
              <w:highlight w:val="none"/>
            </w:rPr>
            <w:fldChar w:fldCharType="end"/>
          </w:r>
          <w:r/>
        </w:p>
        <w:p>
          <w:pPr>
            <w:pStyle w:val="893"/>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"_Toc12644" </w:instrText>
          </w:r>
          <w:r>
            <w:rPr>
              <w:color w:val="auto"/>
              <w:highlight w:val="none"/>
            </w:rPr>
            <w:fldChar w:fldCharType="separate"/>
          </w:r>
          <w:r>
            <w:rPr>
              <w:rFonts w:hint="eastAsia"/>
              <w:color w:val="auto"/>
              <w:sz w:val="28"/>
              <w:szCs w:val="28"/>
              <w:highlight w:val="none"/>
            </w:rPr>
            <w:t xml:space="preserve">第四章 招标项目的技术规格、要求和数量等</w:t>
          </w:r>
          <w:r>
            <w:rPr>
              <w:rFonts w:hint="eastAsia"/>
              <w:color w:val="auto"/>
              <w:sz w:val="28"/>
              <w:szCs w:val="28"/>
              <w:highlight w:val="none"/>
            </w:rPr>
            <w:tab/>
          </w:r>
          <w:r>
            <w:rPr>
              <w:color w:val="auto"/>
              <w:sz w:val="28"/>
              <w:szCs w:val="28"/>
              <w:highlight w:val="none"/>
            </w:rPr>
            <w:t xml:space="preserve">23</w:t>
          </w:r>
          <w:r>
            <w:rPr>
              <w:color w:val="auto"/>
              <w:sz w:val="28"/>
              <w:szCs w:val="28"/>
              <w:highlight w:val="none"/>
            </w:rPr>
            <w:fldChar w:fldCharType="end"/>
          </w:r>
          <w:r/>
        </w:p>
        <w:p>
          <w:pPr>
            <w:pStyle w:val="893"/>
            <w:spacing w:line="480" w:lineRule="auto"/>
            <w:tabs>
              <w:tab w:val="right" w:pos="2400" w:leader="none"/>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"_Toc17931" </w:instrText>
          </w:r>
          <w:r>
            <w:rPr>
              <w:color w:val="auto"/>
              <w:highlight w:val="none"/>
            </w:rPr>
            <w:fldChar w:fldCharType="separate"/>
          </w:r>
          <w:r>
            <w:rPr>
              <w:rFonts w:hint="eastAsia"/>
              <w:color w:val="auto"/>
              <w:sz w:val="28"/>
              <w:szCs w:val="28"/>
              <w:highlight w:val="none"/>
            </w:rPr>
            <w:t xml:space="preserve">第五章</w:t>
          </w:r>
          <w:r>
            <w:rPr>
              <w:rFonts w:hint="eastAsia"/>
              <w:color w:val="auto"/>
              <w:sz w:val="28"/>
              <w:szCs w:val="28"/>
              <w:highlight w:val="none"/>
            </w:rPr>
            <w:tab/>
          </w:r>
          <w:r>
            <w:rPr>
              <w:rFonts w:hint="eastAsia"/>
              <w:color w:val="auto"/>
              <w:sz w:val="28"/>
              <w:szCs w:val="28"/>
              <w:highlight w:val="none"/>
              <w:lang w:val="en-US"/>
            </w:rPr>
            <w:t xml:space="preserve"> </w:t>
          </w:r>
          <w:r>
            <w:rPr>
              <w:rFonts w:hint="eastAsia"/>
              <w:color w:val="auto"/>
              <w:sz w:val="28"/>
              <w:szCs w:val="28"/>
              <w:highlight w:val="none"/>
            </w:rPr>
            <w:t xml:space="preserve">合同主要条款及格式</w:t>
          </w:r>
          <w:r>
            <w:rPr>
              <w:rFonts w:hint="eastAsia"/>
              <w:color w:val="auto"/>
              <w:sz w:val="28"/>
              <w:szCs w:val="28"/>
              <w:highlight w:val="none"/>
            </w:rPr>
            <w:tab/>
          </w:r>
          <w:r>
            <w:rPr>
              <w:color w:val="auto"/>
              <w:sz w:val="28"/>
              <w:szCs w:val="28"/>
              <w:highlight w:val="none"/>
            </w:rPr>
            <w:t xml:space="preserve">61</w:t>
          </w:r>
          <w:r>
            <w:rPr>
              <w:color w:val="auto"/>
              <w:sz w:val="28"/>
              <w:szCs w:val="28"/>
              <w:highlight w:val="none"/>
            </w:rPr>
            <w:fldChar w:fldCharType="end"/>
          </w:r>
          <w:r/>
        </w:p>
        <w:p>
          <w:pPr>
            <w:pStyle w:val="893"/>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"_Toc11634" </w:instrText>
          </w:r>
          <w:r>
            <w:rPr>
              <w:color w:val="auto"/>
              <w:highlight w:val="none"/>
            </w:rPr>
            <w:fldChar w:fldCharType="separate"/>
          </w:r>
          <w:r>
            <w:rPr>
              <w:rFonts w:hint="eastAsia"/>
              <w:color w:val="auto"/>
              <w:sz w:val="28"/>
              <w:szCs w:val="28"/>
              <w:highlight w:val="none"/>
            </w:rPr>
            <w:t xml:space="preserve">第六章</w:t>
          </w:r>
          <w:r>
            <w:rPr>
              <w:rFonts w:hint="eastAsia"/>
              <w:color w:val="auto"/>
              <w:sz w:val="28"/>
              <w:szCs w:val="28"/>
              <w:highlight w:val="none"/>
              <w:lang w:val="en-US"/>
            </w:rPr>
            <w:t xml:space="preserve"> </w:t>
          </w:r>
          <w:r>
            <w:rPr>
              <w:rFonts w:hint="eastAsia"/>
              <w:color w:val="auto"/>
              <w:sz w:val="28"/>
              <w:szCs w:val="28"/>
              <w:highlight w:val="none"/>
            </w:rPr>
            <w:t xml:space="preserve">投标文件格式及附件</w:t>
          </w:r>
          <w:r>
            <w:rPr>
              <w:rFonts w:hint="eastAsia"/>
              <w:color w:val="auto"/>
              <w:sz w:val="28"/>
              <w:szCs w:val="28"/>
              <w:highlight w:val="none"/>
            </w:rPr>
            <w:tab/>
          </w:r>
          <w:r>
            <w:rPr>
              <w:color w:val="auto"/>
              <w:sz w:val="28"/>
              <w:szCs w:val="28"/>
              <w:highlight w:val="none"/>
            </w:rPr>
            <w:t xml:space="preserve">67</w:t>
          </w:r>
          <w:r>
            <w:rPr>
              <w:color w:val="auto"/>
              <w:sz w:val="28"/>
              <w:szCs w:val="28"/>
              <w:highlight w:val="none"/>
            </w:rPr>
            <w:fldChar w:fldCharType="end"/>
          </w:r>
          <w:r/>
        </w:p>
        <w:p>
          <w:pPr>
            <w:pStyle w:val="950"/>
            <w:ind w:left="0" w:firstLine="0"/>
            <w:spacing w:line="480" w:lineRule="auto"/>
            <w:rPr>
              <w:color w:val="auto"/>
              <w:highlight w:val="none"/>
              <w:lang w:val="en-US"/>
            </w:rPr>
          </w:pPr>
          <w:r>
            <w:rPr>
              <w:rFonts w:hint="eastAsia"/>
              <w:color w:val="auto"/>
              <w:sz w:val="28"/>
              <w:szCs w:val="28"/>
              <w:highlight w:val="none"/>
              <w:lang w:val="en-US"/>
            </w:rPr>
            <w:fldChar w:fldCharType="end"/>
          </w:r>
          <w:r/>
        </w:p>
      </w:sdtContent>
    </w:sdt>
    <w:p>
      <w:pPr>
        <w:rPr>
          <w:rFonts w:ascii="黑体" w:eastAsia="黑体"/>
          <w:b/>
          <w:color w:val="auto"/>
          <w:sz w:val="36"/>
          <w:highlight w:val="none"/>
        </w:rPr>
      </w:pPr>
      <w:r>
        <w:rPr>
          <w:rFonts w:hint="eastAsia" w:ascii="黑体" w:eastAsia="黑体"/>
          <w:b/>
          <w:color w:val="auto"/>
          <w:sz w:val="36"/>
          <w:highlight w:val="none"/>
        </w:rPr>
        <w:br w:type="page" w:clear="all"/>
      </w:r>
      <w:r/>
    </w:p>
    <w:p>
      <w:pPr>
        <w:jc w:val="center"/>
        <w:spacing w:line="360" w:lineRule="auto"/>
        <w:rPr>
          <w:rFonts w:ascii="黑体" w:eastAsia="黑体"/>
          <w:b/>
          <w:color w:val="auto"/>
          <w:sz w:val="36"/>
          <w:highlight w:val="none"/>
        </w:rPr>
        <w:outlineLvl w:val="0"/>
      </w:pPr>
      <w:r/>
      <w:bookmarkStart w:id="2" w:name="_Toc10358"/>
      <w:r>
        <w:rPr>
          <w:rFonts w:hint="eastAsia" w:ascii="黑体" w:eastAsia="黑体"/>
          <w:b/>
          <w:color w:val="auto"/>
          <w:sz w:val="36"/>
          <w:highlight w:val="none"/>
        </w:rPr>
        <w:t xml:space="preserve">第一章</w:t>
      </w:r>
      <w:bookmarkEnd w:id="2"/>
      <w:r>
        <w:rPr>
          <w:rFonts w:hint="eastAsia" w:ascii="黑体" w:eastAsia="黑体"/>
          <w:b/>
          <w:color w:val="auto"/>
          <w:sz w:val="36"/>
          <w:highlight w:val="none"/>
          <w:lang w:val="en-US"/>
        </w:rPr>
        <w:t xml:space="preserve"> </w:t>
      </w:r>
      <w:r>
        <w:rPr>
          <w:rFonts w:hint="eastAsia" w:ascii="黑体" w:eastAsia="黑体"/>
          <w:b/>
          <w:color w:val="auto"/>
          <w:sz w:val="36"/>
          <w:highlight w:val="none"/>
        </w:rPr>
        <w:t xml:space="preserve">投标邀请</w:t>
      </w:r>
      <w:r/>
    </w:p>
    <w:p>
      <w:pPr>
        <w:ind w:firstLine="482"/>
        <w:jc w:val="both"/>
        <w:spacing w:line="360" w:lineRule="auto"/>
        <w:rPr>
          <w:b/>
          <w:bCs/>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b/>
          <w:bCs/>
          <w:color w:val="auto"/>
          <w:sz w:val="24"/>
          <w:szCs w:val="24"/>
          <w:highlight w:val="none"/>
          <w:lang w:val="en-US" w:bidi="ar-SA"/>
        </w:rPr>
        <w:t xml:space="preserve">项目概况</w:t>
      </w:r>
      <w:r/>
    </w:p>
    <w:p>
      <w:pPr>
        <w:ind w:firstLine="480"/>
        <w:spacing w:line="360" w:lineRule="auto"/>
        <w:rPr>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val="en-US" w:bidi="ar-SA"/>
        </w:rPr>
        <w:t xml:space="preserve">江苏第二师范学院多媒体建设</w:t>
      </w:r>
      <w:r>
        <w:rPr>
          <w:rFonts w:hint="eastAsia"/>
          <w:color w:val="auto"/>
          <w:sz w:val="24"/>
          <w:szCs w:val="24"/>
          <w:highlight w:val="none"/>
          <w:lang w:val="en-US" w:bidi="ar-SA"/>
        </w:rPr>
        <w:t xml:space="preserve">的潜在供应商应在</w:t>
      </w:r>
      <w:r>
        <w:rPr>
          <w:rFonts w:hint="eastAsia"/>
          <w:color w:val="auto"/>
          <w:sz w:val="24"/>
          <w:szCs w:val="24"/>
          <w:highlight w:val="none"/>
          <w:u w:val="single"/>
          <w:lang w:val="en-US" w:bidi="ar-SA"/>
        </w:rPr>
        <w:t xml:space="preserve">“苏采云”系统注册登记成功后免费下载</w:t>
      </w:r>
      <w:r>
        <w:rPr>
          <w:rFonts w:hint="eastAsia"/>
          <w:color w:val="auto"/>
          <w:sz w:val="24"/>
          <w:szCs w:val="24"/>
          <w:highlight w:val="none"/>
          <w:lang w:val="en-US" w:bidi="ar-SA"/>
        </w:rPr>
        <w:t xml:space="preserve">获取招标文件，并于</w:t>
      </w:r>
      <w:r>
        <w:rPr>
          <w:rFonts w:hint="eastAsia"/>
          <w:color w:val="auto"/>
          <w:sz w:val="24"/>
          <w:szCs w:val="24"/>
          <w:highlight w:val="none"/>
          <w:u w:val="single"/>
          <w:lang w:val="en-US" w:bidi="ar-SA"/>
        </w:rPr>
        <w:t xml:space="preserve">2026年7月8日09点30分</w:t>
      </w:r>
      <w:r>
        <w:rPr>
          <w:rFonts w:hint="eastAsia"/>
          <w:bCs/>
          <w:color w:val="auto"/>
          <w:sz w:val="24"/>
          <w:szCs w:val="24"/>
          <w:highlight w:val="none"/>
          <w:lang w:val="en-US" w:bidi="ar-SA"/>
        </w:rPr>
        <w:t xml:space="preserve">（北京时间）前递交投标文件</w:t>
      </w:r>
      <w:r>
        <w:rPr>
          <w:rFonts w:hint="eastAsia"/>
          <w:color w:val="auto"/>
          <w:sz w:val="24"/>
          <w:szCs w:val="24"/>
          <w:highlight w:val="none"/>
          <w:lang w:val="en-US" w:bidi="ar-SA"/>
        </w:rPr>
        <w:t xml:space="preserve">。</w:t>
      </w:r>
      <w:r/>
    </w:p>
    <w:p>
      <w:pPr>
        <w:ind w:firstLine="482"/>
        <w:spacing w:line="360" w:lineRule="auto"/>
        <w:rPr>
          <w:color w:val="auto"/>
          <w:sz w:val="24"/>
          <w:szCs w:val="24"/>
          <w:highlight w:val="none"/>
        </w:rPr>
      </w:pPr>
      <w:r>
        <w:rPr>
          <w:rFonts w:hint="eastAsia"/>
          <w:b/>
          <w:bCs/>
          <w:color w:val="auto"/>
          <w:sz w:val="24"/>
          <w:szCs w:val="24"/>
          <w:highlight w:val="none"/>
        </w:rPr>
        <w:t xml:space="preserve">一、项目基本情况</w:t>
      </w:r>
      <w:r/>
    </w:p>
    <w:p>
      <w:pPr>
        <w:ind w:firstLine="48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JSZC-320000-SNZX-G2026-0059</w:t>
      </w:r>
      <w:r/>
    </w:p>
    <w:p>
      <w:pPr>
        <w:ind w:firstLine="480"/>
        <w:spacing w:line="360" w:lineRule="auto"/>
        <w:rPr>
          <w:color w:val="auto"/>
          <w:sz w:val="24"/>
          <w:szCs w:val="24"/>
          <w:highlight w:val="none"/>
        </w:rPr>
      </w:pPr>
      <w:r>
        <w:rPr>
          <w:rFonts w:hint="eastAsia"/>
          <w:color w:val="auto"/>
          <w:sz w:val="24"/>
          <w:szCs w:val="24"/>
          <w:highlight w:val="none"/>
        </w:rPr>
        <w:t xml:space="preserve">项目名称：江苏第二师范学院多媒体建设</w:t>
      </w:r>
      <w:r/>
    </w:p>
    <w:p>
      <w:pPr>
        <w:ind w:firstLine="480"/>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spacing w:line="360" w:lineRule="auto"/>
        <w:rPr>
          <w:color w:val="auto"/>
          <w:sz w:val="24"/>
          <w:szCs w:val="24"/>
          <w:highlight w:val="none"/>
        </w:rPr>
      </w:pPr>
      <w:r>
        <w:rPr>
          <w:rFonts w:hint="eastAsia"/>
          <w:color w:val="auto"/>
          <w:sz w:val="24"/>
          <w:szCs w:val="24"/>
          <w:highlight w:val="none"/>
        </w:rPr>
        <w:t xml:space="preserve">预算金额：</w:t>
      </w:r>
      <w:r>
        <w:rPr>
          <w:rFonts w:hint="eastAsia"/>
          <w:color w:val="auto"/>
          <w:sz w:val="24"/>
          <w:szCs w:val="24"/>
          <w:highlight w:val="none"/>
          <w:lang w:val="en-US" w:eastAsia="zh-CN"/>
        </w:rPr>
        <w:t xml:space="preserve">326</w:t>
      </w:r>
      <w:r>
        <w:rPr>
          <w:rFonts w:hint="eastAsia"/>
          <w:color w:val="auto"/>
          <w:sz w:val="24"/>
          <w:szCs w:val="24"/>
          <w:highlight w:val="none"/>
          <w:lang w:val="en-US"/>
        </w:rPr>
        <w:t xml:space="preserve">万元</w:t>
      </w:r>
      <w:r/>
    </w:p>
    <w:p>
      <w:pPr>
        <w:ind w:firstLine="480"/>
        <w:spacing w:line="360" w:lineRule="auto"/>
        <w:rPr>
          <w:color w:val="auto"/>
          <w:sz w:val="24"/>
          <w:szCs w:val="24"/>
          <w:highlight w:val="none"/>
          <w:lang w:val="en-US"/>
        </w:rPr>
      </w:pPr>
      <w:r>
        <w:rPr>
          <w:rFonts w:hint="eastAsia"/>
          <w:color w:val="auto"/>
          <w:sz w:val="24"/>
          <w:szCs w:val="24"/>
          <w:highlight w:val="none"/>
        </w:rPr>
        <w:t xml:space="preserve">最高限价：</w:t>
      </w:r>
      <w:r>
        <w:rPr>
          <w:color w:val="auto"/>
          <w:sz w:val="24"/>
          <w:szCs w:val="24"/>
          <w:highlight w:val="none"/>
          <w:lang w:val="en-US"/>
        </w:rPr>
        <w:t xml:space="preserve">303</w:t>
      </w:r>
      <w:r>
        <w:rPr>
          <w:rFonts w:hint="eastAsia"/>
          <w:color w:val="auto"/>
          <w:sz w:val="24"/>
          <w:szCs w:val="24"/>
          <w:highlight w:val="none"/>
          <w:lang w:val="en-US"/>
        </w:rPr>
        <w:t xml:space="preserve">万元</w:t>
      </w:r>
      <w:r>
        <w:rPr>
          <w:rFonts w:hint="eastAsia"/>
          <w:color w:val="auto"/>
          <w:sz w:val="24"/>
          <w:szCs w:val="24"/>
          <w:highlight w:val="none"/>
        </w:rPr>
        <w:t xml:space="preserve">，投标总价</w:t>
      </w:r>
      <w:r>
        <w:rPr>
          <w:rFonts w:hint="eastAsia"/>
          <w:color w:val="auto"/>
          <w:sz w:val="24"/>
          <w:szCs w:val="24"/>
          <w:highlight w:val="none"/>
          <w:lang w:val="en-US"/>
        </w:rPr>
        <w:t xml:space="preserve">超过最高限价的为无效投标。</w:t>
      </w:r>
      <w:r/>
    </w:p>
    <w:p>
      <w:pPr>
        <w:ind w:firstLine="480"/>
        <w:spacing w:line="360" w:lineRule="auto"/>
        <w:rPr>
          <w:color w:val="auto"/>
          <w:sz w:val="24"/>
          <w:szCs w:val="24"/>
          <w:highlight w:val="none"/>
        </w:rPr>
      </w:pPr>
      <w:r>
        <w:rPr>
          <w:rFonts w:hint="eastAsia"/>
          <w:color w:val="auto"/>
          <w:sz w:val="24"/>
          <w:szCs w:val="24"/>
          <w:highlight w:val="none"/>
        </w:rPr>
        <w:t xml:space="preserve">采购需求：</w:t>
      </w:r>
      <w:r>
        <w:rPr>
          <w:rFonts w:hint="eastAsia"/>
          <w:color w:val="auto"/>
          <w:sz w:val="24"/>
          <w:szCs w:val="32"/>
          <w:highlight w:val="none"/>
          <w:lang w:val="en-US"/>
        </w:rPr>
        <w:t xml:space="preserve">对草场门校区教学楼</w:t>
      </w:r>
      <w:r>
        <w:rPr>
          <w:color w:val="auto"/>
          <w:sz w:val="24"/>
          <w:szCs w:val="32"/>
          <w:highlight w:val="none"/>
          <w:lang w:val="en-US"/>
        </w:rPr>
        <w:t xml:space="preserve">34个教室</w:t>
      </w:r>
      <w:r>
        <w:rPr>
          <w:rFonts w:hint="eastAsia"/>
          <w:color w:val="auto"/>
          <w:sz w:val="24"/>
          <w:szCs w:val="32"/>
          <w:highlight w:val="none"/>
          <w:lang w:val="en-US"/>
        </w:rPr>
        <w:t xml:space="preserve">、办公室</w:t>
      </w:r>
      <w:r>
        <w:rPr>
          <w:color w:val="auto"/>
          <w:sz w:val="24"/>
          <w:szCs w:val="32"/>
          <w:highlight w:val="none"/>
          <w:lang w:val="en-US"/>
        </w:rPr>
        <w:t xml:space="preserve">和石湫校区新增加的3间</w:t>
      </w:r>
      <w:r>
        <w:rPr>
          <w:rFonts w:hint="eastAsia"/>
          <w:color w:val="auto"/>
          <w:sz w:val="24"/>
          <w:szCs w:val="32"/>
          <w:highlight w:val="none"/>
          <w:lang w:val="en-US"/>
        </w:rPr>
        <w:t xml:space="preserve">（其中1间是草场门校区教室迁移到石湫校区）</w:t>
      </w:r>
      <w:r>
        <w:rPr>
          <w:color w:val="auto"/>
          <w:sz w:val="24"/>
          <w:szCs w:val="32"/>
          <w:highlight w:val="none"/>
          <w:lang w:val="en-US"/>
        </w:rPr>
        <w:t xml:space="preserve">教室进行智能化升级改造。通过集成标准化考场系统、录播系统、多媒体扩音系统</w:t>
      </w:r>
      <w:r>
        <w:rPr>
          <w:rFonts w:hint="eastAsia"/>
          <w:color w:val="auto"/>
          <w:sz w:val="24"/>
          <w:szCs w:val="32"/>
          <w:highlight w:val="none"/>
          <w:lang w:val="en-US"/>
        </w:rPr>
        <w:t xml:space="preserve">、</w:t>
      </w:r>
      <w:r>
        <w:rPr>
          <w:color w:val="auto"/>
          <w:sz w:val="24"/>
          <w:szCs w:val="32"/>
          <w:highlight w:val="none"/>
          <w:lang w:val="en-US"/>
        </w:rPr>
        <w:t xml:space="preserve">公共广播系统</w:t>
      </w:r>
      <w:r>
        <w:rPr>
          <w:rFonts w:hint="eastAsia"/>
          <w:color w:val="auto"/>
          <w:sz w:val="24"/>
          <w:szCs w:val="32"/>
          <w:highlight w:val="none"/>
          <w:lang w:val="en-US"/>
        </w:rPr>
        <w:t xml:space="preserve">及校园网络</w:t>
      </w:r>
      <w:r>
        <w:rPr>
          <w:color w:val="auto"/>
          <w:sz w:val="24"/>
          <w:szCs w:val="32"/>
          <w:highlight w:val="none"/>
          <w:lang w:val="en-US"/>
        </w:rPr>
        <w:t xml:space="preserve">等，将其打造为"一室多用、智能高效” 的现代化智能教室</w:t>
      </w:r>
      <w:r>
        <w:rPr>
          <w:rFonts w:hint="eastAsia"/>
          <w:color w:val="auto"/>
          <w:sz w:val="24"/>
          <w:szCs w:val="32"/>
          <w:highlight w:val="none"/>
          <w:lang w:val="en-US"/>
        </w:rPr>
        <w:t xml:space="preserve">和办公</w:t>
      </w:r>
      <w:r>
        <w:rPr>
          <w:color w:val="auto"/>
          <w:sz w:val="24"/>
          <w:szCs w:val="32"/>
          <w:highlight w:val="none"/>
          <w:lang w:val="en-US"/>
        </w:rPr>
        <w:t xml:space="preserve">，既缓解教学空间</w:t>
      </w:r>
      <w:r>
        <w:rPr>
          <w:rFonts w:hint="eastAsia"/>
          <w:color w:val="auto"/>
          <w:sz w:val="24"/>
          <w:szCs w:val="32"/>
          <w:highlight w:val="none"/>
          <w:lang w:val="en-US"/>
        </w:rPr>
        <w:t xml:space="preserve">和办公</w:t>
      </w:r>
      <w:r>
        <w:rPr>
          <w:color w:val="auto"/>
          <w:sz w:val="24"/>
          <w:szCs w:val="32"/>
          <w:highlight w:val="none"/>
          <w:lang w:val="en-US"/>
        </w:rPr>
        <w:t xml:space="preserve">紧张问题，又为教育教学改革提供技术支撑。</w:t>
      </w:r>
      <w:r>
        <w:rPr>
          <w:rFonts w:hint="eastAsia"/>
          <w:color w:val="auto"/>
          <w:sz w:val="24"/>
          <w:szCs w:val="32"/>
          <w:highlight w:val="none"/>
          <w:lang w:val="en-US"/>
        </w:rPr>
        <w:t xml:space="preserve">具体内容见招标文件。</w:t>
      </w:r>
      <w:r/>
    </w:p>
    <w:p>
      <w:pPr>
        <w:pStyle w:val="880"/>
        <w:ind w:firstLine="480"/>
        <w:spacing w:line="360" w:lineRule="auto"/>
        <w:rPr>
          <w:color w:val="auto"/>
          <w:sz w:val="24"/>
          <w:szCs w:val="32"/>
          <w:highlight w:val="none"/>
          <w:lang w:val="en-US"/>
        </w:rPr>
      </w:pPr>
      <w:r>
        <w:rPr>
          <w:rFonts w:hint="eastAsia"/>
          <w:color w:val="auto"/>
          <w:sz w:val="24"/>
          <w:szCs w:val="24"/>
          <w:highlight w:val="none"/>
          <w:lang w:val="en-US"/>
        </w:rPr>
        <w:t xml:space="preserve">合同履行期限（交付期）</w:t>
      </w:r>
      <w:r>
        <w:rPr>
          <w:rFonts w:hint="eastAsia"/>
          <w:color w:val="auto"/>
          <w:sz w:val="24"/>
          <w:szCs w:val="24"/>
          <w:highlight w:val="none"/>
        </w:rPr>
        <w:t xml:space="preserve">：</w:t>
      </w:r>
      <w:r>
        <w:rPr>
          <w:rFonts w:hint="eastAsia"/>
          <w:color w:val="auto"/>
          <w:sz w:val="24"/>
          <w:szCs w:val="32"/>
          <w:highlight w:val="none"/>
          <w:lang w:val="en-US"/>
        </w:rPr>
        <w:t xml:space="preserve">自合同签订之日起，</w:t>
      </w:r>
      <w:r>
        <w:rPr>
          <w:color w:val="auto"/>
          <w:sz w:val="24"/>
          <w:szCs w:val="32"/>
          <w:highlight w:val="none"/>
          <w:lang w:val="en-US"/>
        </w:rPr>
        <w:t xml:space="preserve">30个日历日内供货到位。</w:t>
      </w:r>
      <w:r/>
    </w:p>
    <w:p>
      <w:pPr>
        <w:pStyle w:val="880"/>
        <w:ind w:firstLine="480"/>
        <w:spacing w:line="360" w:lineRule="auto"/>
        <w:rPr>
          <w:color w:val="auto"/>
          <w:sz w:val="24"/>
          <w:szCs w:val="24"/>
          <w:highlight w:val="none"/>
        </w:rPr>
      </w:pPr>
      <w:r>
        <w:rPr>
          <w:rFonts w:hint="eastAsia"/>
          <w:color w:val="auto"/>
          <w:sz w:val="24"/>
          <w:szCs w:val="24"/>
          <w:highlight w:val="none"/>
        </w:rPr>
        <w:t xml:space="preserve">本项目</w:t>
      </w:r>
      <w:r>
        <w:rPr>
          <w:rFonts w:hint="eastAsia"/>
          <w:b/>
          <w:bCs/>
          <w:color w:val="auto"/>
          <w:sz w:val="24"/>
          <w:szCs w:val="24"/>
          <w:highlight w:val="none"/>
        </w:rPr>
        <w:t xml:space="preserve">不接受</w:t>
      </w:r>
      <w:r>
        <w:rPr>
          <w:rFonts w:hint="eastAsia"/>
          <w:color w:val="auto"/>
          <w:sz w:val="24"/>
          <w:szCs w:val="24"/>
          <w:highlight w:val="none"/>
        </w:rPr>
        <w:t xml:space="preserve">联合体投标。</w:t>
      </w:r>
      <w:r/>
    </w:p>
    <w:p>
      <w:pPr>
        <w:contextualSpacing/>
        <w:ind w:firstLine="482"/>
        <w:spacing w:line="360" w:lineRule="auto"/>
        <w:rPr>
          <w:b/>
          <w:bCs/>
          <w:color w:val="auto"/>
          <w:sz w:val="24"/>
          <w:szCs w:val="24"/>
          <w:highlight w:val="none"/>
        </w:rPr>
      </w:pPr>
      <w:r/>
      <w:bookmarkStart w:id="3" w:name="二、申请人的资格要求："/>
      <w:r/>
      <w:bookmarkEnd w:id="3"/>
      <w:r>
        <w:rPr>
          <w:rFonts w:hint="eastAsia"/>
          <w:b/>
          <w:bCs/>
          <w:color w:val="auto"/>
          <w:sz w:val="24"/>
          <w:szCs w:val="24"/>
          <w:highlight w:val="none"/>
        </w:rPr>
        <w:t xml:space="preserve">二、申请人的资格要求：</w:t>
      </w:r>
      <w:r/>
    </w:p>
    <w:p>
      <w:pPr>
        <w:pStyle w:val="950"/>
        <w:ind w:firstLine="482"/>
        <w:spacing w:line="360" w:lineRule="auto"/>
        <w:tabs>
          <w:tab w:val="left" w:pos="1061" w:leader="none"/>
        </w:tabs>
        <w:rPr>
          <w:color w:val="auto"/>
          <w:sz w:val="24"/>
          <w:szCs w:val="24"/>
          <w:highlight w:val="none"/>
        </w:rPr>
      </w:pPr>
      <w:r>
        <w:rPr>
          <w:rFonts w:hint="eastAsia"/>
          <w:color w:val="auto"/>
          <w:sz w:val="24"/>
          <w:szCs w:val="24"/>
          <w:highlight w:val="none"/>
        </w:rPr>
        <w:t xml:space="preserve">（一）满足《中华人民共和国政府采购法》第二十二条规定：</w:t>
      </w:r>
      <w:r/>
    </w:p>
    <w:p>
      <w:pPr>
        <w:pStyle w:val="950"/>
        <w:ind w:firstLine="482"/>
        <w:spacing w:line="360" w:lineRule="auto"/>
        <w:tabs>
          <w:tab w:val="left" w:pos="1061" w:leader="none"/>
        </w:tabs>
        <w:rPr>
          <w:color w:val="auto"/>
          <w:sz w:val="24"/>
          <w:szCs w:val="24"/>
          <w:highlight w:val="none"/>
        </w:rPr>
      </w:pPr>
      <w:r>
        <w:rPr>
          <w:color w:val="auto"/>
          <w:sz w:val="24"/>
          <w:szCs w:val="24"/>
          <w:highlight w:val="none"/>
        </w:rPr>
        <w:t xml:space="preserve">1、具有独立承担民事责任的能力（提供法人或者其他组织的营业执照，自然人的身份证明）；</w:t>
      </w:r>
      <w:r/>
    </w:p>
    <w:p>
      <w:pPr>
        <w:pStyle w:val="950"/>
        <w:ind w:firstLine="482"/>
        <w:spacing w:line="360" w:lineRule="auto"/>
        <w:tabs>
          <w:tab w:val="left" w:pos="1061" w:leader="none"/>
        </w:tabs>
        <w:rPr>
          <w:color w:val="auto"/>
          <w:sz w:val="24"/>
          <w:szCs w:val="24"/>
          <w:highlight w:val="none"/>
        </w:rPr>
      </w:pPr>
      <w:r>
        <w:rPr>
          <w:color w:val="auto"/>
          <w:sz w:val="24"/>
          <w:szCs w:val="24"/>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2024年度或者2025年度经审计的财务报告复印件，否则视为未提供）；</w:t>
      </w:r>
      <w:r/>
    </w:p>
    <w:p>
      <w:pPr>
        <w:pStyle w:val="950"/>
        <w:ind w:firstLine="482"/>
        <w:spacing w:line="360" w:lineRule="auto"/>
        <w:tabs>
          <w:tab w:val="left" w:pos="1061" w:leader="none"/>
        </w:tabs>
        <w:rPr>
          <w:color w:val="auto"/>
          <w:sz w:val="24"/>
          <w:szCs w:val="24"/>
          <w:highlight w:val="none"/>
        </w:rPr>
      </w:pPr>
      <w:r>
        <w:rPr>
          <w:color w:val="auto"/>
          <w:sz w:val="24"/>
          <w:szCs w:val="24"/>
          <w:highlight w:val="none"/>
        </w:rPr>
        <w:t xml:space="preserve">3、具有履行合同所必需的设备和专业技术能力（提供履行合同所必需的设备和专业技术能力的声明及证明材料复印件加盖公章）；</w:t>
      </w:r>
      <w:r/>
    </w:p>
    <w:p>
      <w:pPr>
        <w:pStyle w:val="950"/>
        <w:ind w:firstLine="482"/>
        <w:spacing w:line="360" w:lineRule="auto"/>
        <w:tabs>
          <w:tab w:val="left" w:pos="1061" w:leader="none"/>
        </w:tabs>
        <w:rPr>
          <w:color w:val="auto"/>
          <w:sz w:val="24"/>
          <w:szCs w:val="24"/>
          <w:highlight w:val="none"/>
        </w:rPr>
      </w:pPr>
      <w:r>
        <w:rPr>
          <w:color w:val="auto"/>
          <w:sz w:val="24"/>
          <w:szCs w:val="24"/>
          <w:highlight w:val="none"/>
        </w:rPr>
        <w:t xml:space="preserve">4、有依法缴纳税收和社会保障资金的良好记录（提供参加本次采购活动前一年内至少一个月依法缴纳增值税或企业所得税或印花税的凭据，及社会保障资金的相关材料复印件加盖公章）；</w:t>
      </w:r>
      <w:r/>
    </w:p>
    <w:p>
      <w:pPr>
        <w:pStyle w:val="950"/>
        <w:ind w:firstLine="482"/>
        <w:spacing w:line="360" w:lineRule="auto"/>
        <w:tabs>
          <w:tab w:val="left" w:pos="1061" w:leader="none"/>
        </w:tabs>
        <w:rPr>
          <w:color w:val="auto"/>
          <w:sz w:val="24"/>
          <w:szCs w:val="24"/>
          <w:highlight w:val="none"/>
        </w:rPr>
      </w:pPr>
      <w:r>
        <w:rPr>
          <w:color w:val="auto"/>
          <w:sz w:val="24"/>
          <w:szCs w:val="24"/>
          <w:highlight w:val="none"/>
        </w:rPr>
        <w:t xml:space="preserve">5、参加本项目前三年内，在经营活动中没有重大违法记录（提供参加本次采购活动前三年内在经营活动中没有重大违法记录的声明）；</w:t>
      </w:r>
      <w:r/>
    </w:p>
    <w:p>
      <w:pPr>
        <w:pStyle w:val="950"/>
        <w:ind w:firstLine="482"/>
        <w:spacing w:line="360" w:lineRule="auto"/>
        <w:tabs>
          <w:tab w:val="left" w:pos="1061" w:leader="none"/>
        </w:tabs>
        <w:rPr>
          <w:color w:val="auto"/>
          <w:sz w:val="24"/>
          <w:szCs w:val="24"/>
          <w:highlight w:val="none"/>
        </w:rPr>
      </w:pPr>
      <w:r>
        <w:rPr>
          <w:color w:val="auto"/>
          <w:sz w:val="24"/>
          <w:szCs w:val="24"/>
          <w:highlight w:val="none"/>
        </w:rPr>
        <w:t xml:space="preserve">6、法律、行政法规规定的其他条件。</w:t>
      </w:r>
      <w:r/>
    </w:p>
    <w:p>
      <w:pPr>
        <w:pStyle w:val="950"/>
        <w:ind w:firstLine="482"/>
        <w:spacing w:line="360" w:lineRule="auto"/>
        <w:tabs>
          <w:tab w:val="left" w:pos="1061" w:leader="none"/>
        </w:tabs>
        <w:rPr>
          <w:color w:val="auto"/>
          <w:sz w:val="24"/>
          <w:szCs w:val="24"/>
          <w:highlight w:val="none"/>
        </w:rPr>
      </w:pPr>
      <w:r>
        <w:rPr>
          <w:rFonts w:hint="eastAsia"/>
          <w:color w:val="auto"/>
          <w:sz w:val="24"/>
          <w:szCs w:val="24"/>
          <w:highlight w:val="none"/>
        </w:rPr>
        <w:t xml:space="preserve">（二）落实政府采购政策需满足的资格要求：</w:t>
      </w:r>
      <w:r/>
    </w:p>
    <w:p>
      <w:pPr>
        <w:pStyle w:val="950"/>
        <w:ind w:firstLine="482"/>
        <w:spacing w:line="360" w:lineRule="auto"/>
        <w:tabs>
          <w:tab w:val="left" w:pos="1061" w:leader="none"/>
        </w:tabs>
        <w:rPr>
          <w:color w:val="auto"/>
          <w:sz w:val="24"/>
          <w:szCs w:val="24"/>
          <w:highlight w:val="none"/>
        </w:rPr>
      </w:pPr>
      <w:r>
        <w:rPr>
          <w:rFonts w:hint="eastAsia"/>
          <w:color w:val="auto"/>
          <w:sz w:val="24"/>
          <w:szCs w:val="24"/>
          <w:highlight w:val="none"/>
        </w:rPr>
        <w:t xml:space="preserve">本项目不属于专门面向中小企业采购项目，执行价格扣除优惠政策，具体详见第三章。</w:t>
      </w:r>
      <w:r/>
    </w:p>
    <w:p>
      <w:pPr>
        <w:pStyle w:val="950"/>
        <w:ind w:left="0" w:firstLine="482"/>
        <w:spacing w:line="360" w:lineRule="auto"/>
        <w:tabs>
          <w:tab w:val="left" w:pos="1061" w:leader="none"/>
        </w:tabs>
        <w:rPr>
          <w:color w:val="auto"/>
          <w:sz w:val="24"/>
          <w:szCs w:val="24"/>
          <w:highlight w:val="none"/>
        </w:rPr>
      </w:pPr>
      <w:r>
        <w:rPr>
          <w:rFonts w:hint="eastAsia"/>
          <w:color w:val="auto"/>
          <w:sz w:val="24"/>
          <w:szCs w:val="24"/>
          <w:highlight w:val="none"/>
        </w:rPr>
        <w:t xml:space="preserve">（三）本项目的特定资格要求：无</w:t>
      </w:r>
      <w:r/>
    </w:p>
    <w:p>
      <w:pPr>
        <w:pStyle w:val="950"/>
        <w:ind w:left="0" w:firstLine="482"/>
        <w:spacing w:line="360" w:lineRule="auto"/>
        <w:tabs>
          <w:tab w:val="left" w:pos="1061" w:leader="none"/>
        </w:tabs>
        <w:rPr>
          <w:b/>
          <w:bCs/>
          <w:color w:val="auto"/>
          <w:sz w:val="24"/>
          <w:szCs w:val="24"/>
          <w:highlight w:val="none"/>
        </w:rPr>
      </w:pPr>
      <w:r>
        <w:rPr>
          <w:rFonts w:hint="eastAsia"/>
          <w:b/>
          <w:bCs/>
          <w:color w:val="auto"/>
          <w:sz w:val="24"/>
          <w:szCs w:val="24"/>
          <w:highlight w:val="none"/>
        </w:rPr>
        <w:t xml:space="preserve">三、获取采购文件</w:t>
      </w:r>
      <w:r/>
    </w:p>
    <w:p>
      <w:pPr>
        <w:ind w:firstLine="482"/>
        <w:spacing w:line="360" w:lineRule="auto"/>
        <w:rPr>
          <w:rFonts w:asciiTheme="minorEastAsia" w:hAnsiTheme="minorEastAsia" w:eastAsiaTheme="minorEastAsia"/>
          <w:color w:val="auto"/>
          <w:sz w:val="24"/>
          <w:szCs w:val="24"/>
          <w:highlight w:val="none"/>
          <w:lang w:val="en-US"/>
        </w:rPr>
      </w:pPr>
      <w:r/>
      <w:bookmarkStart w:id="4" w:name="四、提交投标文件截止时间、开标时间和地点"/>
      <w:r/>
      <w:bookmarkEnd w:id="4"/>
      <w:r>
        <w:rPr>
          <w:rFonts w:hint="eastAsia" w:asciiTheme="minorEastAsia" w:hAnsiTheme="minorEastAsia" w:eastAsiaTheme="minorEastAsia"/>
          <w:color w:val="auto"/>
          <w:sz w:val="24"/>
          <w:szCs w:val="24"/>
          <w:highlight w:val="none"/>
          <w:lang w:val="en-US"/>
        </w:rPr>
        <w:t xml:space="preserve">时间：自招标文件公告发布之日起</w:t>
      </w:r>
      <w:r>
        <w:rPr>
          <w:rFonts w:asciiTheme="minorEastAsia" w:hAnsiTheme="minorEastAsia" w:eastAsiaTheme="minorEastAsia"/>
          <w:color w:val="auto"/>
          <w:sz w:val="24"/>
          <w:szCs w:val="24"/>
          <w:highlight w:val="none"/>
          <w:lang w:val="en-US"/>
        </w:rPr>
        <w:t xml:space="preserve">5个工作日</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地点：江苏政府采购网苏采云系统</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方式：网上下载</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售价：</w:t>
      </w:r>
      <w:r>
        <w:rPr>
          <w:rFonts w:asciiTheme="minorEastAsia" w:hAnsiTheme="minorEastAsia" w:eastAsiaTheme="minorEastAsia"/>
          <w:color w:val="auto"/>
          <w:sz w:val="24"/>
          <w:szCs w:val="24"/>
          <w:highlight w:val="none"/>
          <w:lang w:val="en-US"/>
        </w:rPr>
        <w:t xml:space="preserve">0元</w:t>
      </w:r>
      <w:r/>
    </w:p>
    <w:p>
      <w:pPr>
        <w:ind w:firstLine="482"/>
        <w:spacing w:line="360" w:lineRule="auto"/>
        <w:rPr>
          <w:b/>
          <w:bCs/>
          <w:color w:val="auto"/>
          <w:sz w:val="24"/>
          <w:szCs w:val="24"/>
          <w:highlight w:val="none"/>
        </w:rPr>
      </w:pPr>
      <w:r>
        <w:rPr>
          <w:rFonts w:hint="eastAsia"/>
          <w:b/>
          <w:bCs/>
          <w:color w:val="auto"/>
          <w:sz w:val="24"/>
          <w:szCs w:val="24"/>
          <w:highlight w:val="none"/>
        </w:rPr>
        <w:t xml:space="preserve">四、提交投标文件截止时间、开标时间和地点</w:t>
      </w:r>
      <w:r/>
    </w:p>
    <w:p>
      <w:pPr>
        <w:ind w:firstLine="480"/>
        <w:spacing w:line="360" w:lineRule="auto"/>
        <w:rPr>
          <w:color w:val="auto"/>
          <w:sz w:val="24"/>
          <w:szCs w:val="24"/>
          <w:highlight w:val="none"/>
          <w:u w:val="single"/>
        </w:rPr>
      </w:pPr>
      <w:r>
        <w:rPr>
          <w:rFonts w:hint="eastAsia"/>
          <w:color w:val="auto"/>
          <w:sz w:val="24"/>
          <w:szCs w:val="24"/>
          <w:highlight w:val="none"/>
        </w:rPr>
        <w:t xml:space="preserve">时间：</w:t>
      </w:r>
      <w:r>
        <w:rPr>
          <w:rFonts w:hint="eastAsia"/>
          <w:color w:val="auto"/>
          <w:sz w:val="24"/>
          <w:szCs w:val="24"/>
          <w:highlight w:val="none"/>
          <w:u w:val="single"/>
          <w:lang w:val="en-US"/>
        </w:rPr>
        <w:t xml:space="preserve">2026年7月8日09点30分</w:t>
      </w:r>
      <w:r>
        <w:rPr>
          <w:rFonts w:hint="eastAsia"/>
          <w:color w:val="auto"/>
          <w:sz w:val="24"/>
          <w:szCs w:val="24"/>
          <w:highlight w:val="none"/>
          <w:u w:val="single"/>
        </w:rPr>
        <w:t xml:space="preserve">（北京时间）</w:t>
      </w:r>
      <w:r/>
    </w:p>
    <w:p>
      <w:pPr>
        <w:ind w:firstLine="480"/>
        <w:spacing w:line="360" w:lineRule="auto"/>
        <w:rPr>
          <w:color w:val="auto"/>
          <w:sz w:val="24"/>
          <w:szCs w:val="24"/>
          <w:highlight w:val="none"/>
          <w:lang w:val="en-US"/>
        </w:rPr>
      </w:pPr>
      <w:r>
        <w:rPr>
          <w:rFonts w:hint="eastAsia"/>
          <w:color w:val="auto"/>
          <w:sz w:val="24"/>
          <w:szCs w:val="24"/>
          <w:highlight w:val="none"/>
        </w:rPr>
        <w:t xml:space="preserve">地点：</w:t>
      </w:r>
      <w:r>
        <w:rPr>
          <w:rFonts w:hint="eastAsia"/>
          <w:color w:val="auto"/>
          <w:sz w:val="24"/>
          <w:szCs w:val="24"/>
          <w:highlight w:val="none"/>
          <w:u w:val="single"/>
          <w:lang w:val="en-US"/>
        </w:rPr>
        <w:t xml:space="preserve">江苏省政府采购交易系统（以下简称“苏采云系统”）网上开标大厅</w:t>
      </w:r>
      <w:r/>
    </w:p>
    <w:p>
      <w:pPr>
        <w:ind w:firstLine="482"/>
        <w:spacing w:line="360" w:lineRule="auto"/>
        <w:rPr>
          <w:b/>
          <w:bCs/>
          <w:color w:val="auto"/>
          <w:sz w:val="24"/>
          <w:szCs w:val="24"/>
          <w:highlight w:val="none"/>
        </w:rPr>
      </w:pPr>
      <w:r>
        <w:rPr>
          <w:rFonts w:hint="eastAsia"/>
          <w:b/>
          <w:bCs/>
          <w:color w:val="auto"/>
          <w:sz w:val="24"/>
          <w:szCs w:val="24"/>
          <w:highlight w:val="none"/>
        </w:rPr>
        <w:t xml:space="preserve">五、公告期限</w:t>
      </w:r>
      <w:r/>
    </w:p>
    <w:p>
      <w:pPr>
        <w:ind w:firstLine="480"/>
        <w:spacing w:line="360" w:lineRule="auto"/>
        <w:rPr>
          <w:color w:val="auto"/>
          <w:sz w:val="28"/>
          <w:szCs w:val="28"/>
          <w:highlight w:val="none"/>
        </w:rPr>
      </w:pPr>
      <w:r>
        <w:rPr>
          <w:rFonts w:hint="eastAsia"/>
          <w:color w:val="auto"/>
          <w:sz w:val="24"/>
          <w:szCs w:val="24"/>
          <w:highlight w:val="none"/>
        </w:rPr>
        <w:t xml:space="preserve">自本公告发布之日起5个工作日。</w:t>
      </w:r>
      <w:r/>
    </w:p>
    <w:p>
      <w:pPr>
        <w:ind w:firstLine="482"/>
        <w:spacing w:line="360" w:lineRule="auto"/>
        <w:rPr>
          <w:b/>
          <w:bCs/>
          <w:color w:val="auto"/>
          <w:sz w:val="24"/>
          <w:szCs w:val="24"/>
          <w:highlight w:val="none"/>
        </w:rPr>
      </w:pPr>
      <w:r>
        <w:rPr>
          <w:rFonts w:hint="eastAsia"/>
          <w:b/>
          <w:bCs/>
          <w:color w:val="auto"/>
          <w:sz w:val="24"/>
          <w:szCs w:val="24"/>
          <w:highlight w:val="none"/>
        </w:rPr>
        <w:t xml:space="preserve">六、其他补充事宜</w:t>
      </w:r>
      <w:r/>
    </w:p>
    <w:p>
      <w:pPr>
        <w:ind w:firstLine="480"/>
        <w:spacing w:line="360" w:lineRule="auto"/>
        <w:rPr>
          <w:color w:val="auto"/>
          <w:sz w:val="24"/>
          <w:szCs w:val="24"/>
          <w:highlight w:val="none"/>
          <w:lang w:val="en-US"/>
        </w:rPr>
      </w:pPr>
      <w:r/>
      <w:bookmarkStart w:id="5" w:name="七、对本次招标提出询问，请按以下方式联系。"/>
      <w:r/>
      <w:bookmarkEnd w:id="5"/>
      <w:r/>
      <w:bookmarkStart w:id="6" w:name="OLE_LINK4"/>
      <w:r>
        <w:rPr>
          <w:rFonts w:hint="eastAsia"/>
          <w:color w:val="auto"/>
          <w:sz w:val="24"/>
          <w:szCs w:val="24"/>
          <w:highlight w:val="none"/>
          <w:lang w:val="en-US"/>
        </w:rPr>
        <w:t xml:space="preserve">1、拒绝下述供应商参加本次采购活动：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（1）供应商单位负责人为同一人或者存在直接控股、管理关系的不同供应商，不得参加同一合同项下的采购活动。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（2）凡为采购项目提供整体设计、规范编制或者项目管理、监理、检测等服务的供应商，不得再参加本项目的采购活动。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（3）拒绝列入失信被执行人、重大税收违法案件当事人名单、政府采购严重违法失信行为记录名单中的供应商参加本项目的采购活动。</w:t>
      </w:r>
      <w:r/>
    </w:p>
    <w:p>
      <w:pPr>
        <w:ind w:firstLine="480"/>
        <w:spacing w:line="360" w:lineRule="auto"/>
        <w:rPr>
          <w:color w:val="auto"/>
          <w:sz w:val="24"/>
          <w:szCs w:val="24"/>
          <w:highlight w:val="none"/>
          <w:lang w:val="en-US"/>
        </w:rPr>
      </w:pPr>
      <w:r/>
      <w:bookmarkStart w:id="7" w:name="OLE_LINK2"/>
      <w:r/>
      <w:bookmarkStart w:id="8" w:name="OLE_LINK1"/>
      <w:r>
        <w:rPr>
          <w:rFonts w:hint="eastAsia"/>
          <w:color w:val="auto"/>
          <w:sz w:val="24"/>
          <w:szCs w:val="24"/>
          <w:highlight w:val="none"/>
          <w:lang w:val="en-US"/>
        </w:rPr>
        <w:t xml:space="preserve">2、集中考察或答疑：本项目组织统一踏勘现场，石湫校区勘察时间2026年</w:t>
      </w:r>
      <w:r>
        <w:rPr>
          <w:rFonts w:hint="eastAsia"/>
          <w:color w:val="auto"/>
          <w:sz w:val="24"/>
          <w:szCs w:val="24"/>
          <w:highlight w:val="none"/>
          <w:lang w:val="en-US"/>
        </w:rPr>
        <w:t xml:space="preserve">6月</w:t>
      </w:r>
      <w:r>
        <w:rPr>
          <w:rFonts w:hint="eastAsia"/>
          <w:color w:val="auto"/>
          <w:sz w:val="24"/>
          <w:szCs w:val="24"/>
          <w:highlight w:val="none"/>
          <w:lang w:val="en-US"/>
        </w:rPr>
        <w:t xml:space="preserve">26日上午9:30至11:30，地址：南京市溧水区新河西路</w:t>
      </w:r>
      <w:r>
        <w:rPr>
          <w:color w:val="auto"/>
          <w:sz w:val="24"/>
          <w:szCs w:val="24"/>
          <w:highlight w:val="none"/>
          <w:lang w:val="en-US"/>
        </w:rPr>
        <w:t xml:space="preserve">6号</w:t>
      </w:r>
      <w:r>
        <w:rPr>
          <w:rFonts w:hint="eastAsia"/>
          <w:color w:val="auto"/>
          <w:sz w:val="24"/>
          <w:szCs w:val="24"/>
          <w:highlight w:val="none"/>
          <w:lang w:val="en-US"/>
        </w:rPr>
        <w:t xml:space="preserve">， 联系电话：</w:t>
      </w:r>
      <w:r>
        <w:rPr>
          <w:color w:val="auto"/>
          <w:sz w:val="24"/>
          <w:szCs w:val="24"/>
          <w:highlight w:val="none"/>
          <w:lang w:val="en-US"/>
        </w:rPr>
        <w:t xml:space="preserve">025-56226551/17312290661</w:t>
      </w:r>
      <w:r>
        <w:rPr>
          <w:rFonts w:hint="eastAsia"/>
          <w:color w:val="auto"/>
          <w:sz w:val="24"/>
          <w:szCs w:val="24"/>
          <w:highlight w:val="none"/>
          <w:lang w:val="en-US"/>
        </w:rPr>
        <w:t xml:space="preserve"> ；草场门校区勘察时间2026年</w:t>
      </w:r>
      <w:r>
        <w:rPr>
          <w:rFonts w:hint="eastAsia"/>
          <w:color w:val="auto"/>
          <w:sz w:val="24"/>
          <w:szCs w:val="24"/>
          <w:highlight w:val="none"/>
          <w:lang w:val="en-US"/>
        </w:rPr>
        <w:t xml:space="preserve">6月</w:t>
      </w:r>
      <w:r>
        <w:rPr>
          <w:rFonts w:hint="eastAsia"/>
          <w:color w:val="auto"/>
          <w:sz w:val="24"/>
          <w:szCs w:val="24"/>
          <w:highlight w:val="none"/>
          <w:lang w:val="en-US"/>
        </w:rPr>
        <w:t xml:space="preserve">26日上午</w:t>
      </w:r>
      <w:r>
        <w:rPr>
          <w:color w:val="auto"/>
          <w:sz w:val="24"/>
          <w:szCs w:val="24"/>
          <w:highlight w:val="none"/>
          <w:lang w:val="en-US"/>
        </w:rPr>
        <w:t xml:space="preserve">14</w:t>
      </w:r>
      <w:r>
        <w:rPr>
          <w:rFonts w:hint="eastAsia"/>
          <w:color w:val="auto"/>
          <w:sz w:val="24"/>
          <w:szCs w:val="24"/>
          <w:highlight w:val="none"/>
          <w:lang w:val="en-US"/>
        </w:rPr>
        <w:t xml:space="preserve">:</w:t>
      </w:r>
      <w:r>
        <w:rPr>
          <w:color w:val="auto"/>
          <w:sz w:val="24"/>
          <w:szCs w:val="24"/>
          <w:highlight w:val="none"/>
          <w:lang w:val="en-US"/>
        </w:rPr>
        <w:t xml:space="preserve">0</w:t>
      </w:r>
      <w:r>
        <w:rPr>
          <w:rFonts w:hint="eastAsia"/>
          <w:color w:val="auto"/>
          <w:sz w:val="24"/>
          <w:szCs w:val="24"/>
          <w:highlight w:val="none"/>
          <w:lang w:val="en-US"/>
        </w:rPr>
        <w:t xml:space="preserve">0至</w:t>
      </w:r>
      <w:r>
        <w:rPr>
          <w:color w:val="auto"/>
          <w:sz w:val="24"/>
          <w:szCs w:val="24"/>
          <w:highlight w:val="none"/>
          <w:lang w:val="en-US"/>
        </w:rPr>
        <w:t xml:space="preserve">17</w:t>
      </w:r>
      <w:r>
        <w:rPr>
          <w:rFonts w:hint="eastAsia"/>
          <w:color w:val="auto"/>
          <w:sz w:val="24"/>
          <w:szCs w:val="24"/>
          <w:highlight w:val="none"/>
          <w:lang w:val="en-US"/>
        </w:rPr>
        <w:t xml:space="preserve">:</w:t>
      </w:r>
      <w:r>
        <w:rPr>
          <w:color w:val="auto"/>
          <w:sz w:val="24"/>
          <w:szCs w:val="24"/>
          <w:highlight w:val="none"/>
          <w:lang w:val="en-US"/>
        </w:rPr>
        <w:t xml:space="preserve">0</w:t>
      </w:r>
      <w:r>
        <w:rPr>
          <w:rFonts w:hint="eastAsia"/>
          <w:color w:val="auto"/>
          <w:sz w:val="24"/>
          <w:szCs w:val="24"/>
          <w:highlight w:val="none"/>
          <w:lang w:val="en-US"/>
        </w:rPr>
        <w:t xml:space="preserve">0，地址：南京市鼓楼区北京西路</w:t>
      </w:r>
      <w:r>
        <w:rPr>
          <w:color w:val="auto"/>
          <w:sz w:val="24"/>
          <w:szCs w:val="24"/>
          <w:highlight w:val="none"/>
          <w:lang w:val="en-US"/>
        </w:rPr>
        <w:t xml:space="preserve">77号</w:t>
      </w:r>
      <w:r>
        <w:rPr>
          <w:rFonts w:hint="eastAsia"/>
          <w:color w:val="auto"/>
          <w:sz w:val="24"/>
          <w:szCs w:val="24"/>
          <w:highlight w:val="none"/>
          <w:lang w:val="en-US"/>
        </w:rPr>
        <w:t xml:space="preserve">， 联系电话：</w:t>
      </w:r>
      <w:r>
        <w:rPr>
          <w:color w:val="auto"/>
          <w:sz w:val="24"/>
          <w:szCs w:val="24"/>
          <w:highlight w:val="none"/>
          <w:lang w:val="en-US"/>
        </w:rPr>
        <w:t xml:space="preserve">025-56226551/17312290661</w:t>
      </w:r>
      <w:r>
        <w:rPr>
          <w:rFonts w:hint="eastAsia"/>
          <w:color w:val="auto"/>
          <w:sz w:val="24"/>
          <w:szCs w:val="24"/>
          <w:highlight w:val="none"/>
          <w:lang w:val="en-US"/>
        </w:rPr>
        <w:t xml:space="preserve">。建议各投标人应根据自身情况，在提交投标文件前勘察现场，对实际场地、学校现有系统、施工量等内容勘察，未踏勘现场或踏勘工作不详细的供应商中标后，不得以不了解现场情况为由向采购人提出任何索赔或其他要求，对此采购人不承担任何责任。</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3、供应商通过“苏采云”（网址：</w:t>
      </w:r>
      <w:r>
        <w:rPr>
          <w:color w:val="auto"/>
          <w:sz w:val="24"/>
          <w:szCs w:val="24"/>
          <w:highlight w:val="none"/>
          <w:lang w:val="en-US"/>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操作手册下载地址：</w:t>
      </w:r>
      <w:r>
        <w:rPr>
          <w:color w:val="auto"/>
          <w:sz w:val="24"/>
          <w:szCs w:val="24"/>
          <w:highlight w:val="none"/>
          <w:lang w:val="en-US"/>
        </w:rPr>
        <w:t xml:space="preserve">http://www.ccgp-jiangsu.gov.cn/jiangsu/zlxz/ee/ee3a4bc5a3454aa2b0d9312230633ce9.html</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首次登录“苏采云”系统的新用户，登录网址后，点击“用户注册”</w:t>
      </w:r>
      <w:r>
        <w:rPr>
          <w:color w:val="auto"/>
          <w:sz w:val="24"/>
          <w:szCs w:val="24"/>
          <w:highlight w:val="none"/>
          <w:lang w:val="en-US"/>
        </w:rPr>
        <w:t xml:space="preserve">--“新CA办理指南”--获取CA后绑定、登录系统--采购项目参与--下载采购文件（文件后缀名为“.kedt”）。</w:t>
      </w:r>
      <w:r>
        <w:rPr>
          <w:rFonts w:hint="eastAsia"/>
          <w:color w:val="auto"/>
          <w:sz w:val="24"/>
          <w:szCs w:val="24"/>
          <w:highlight w:val="none"/>
          <w:lang w:val="en-US"/>
        </w:rPr>
        <w:t xml:space="preserve">“苏采云”南京地区客服热线</w:t>
      </w:r>
      <w:r>
        <w:rPr>
          <w:color w:val="auto"/>
          <w:sz w:val="24"/>
          <w:szCs w:val="24"/>
          <w:highlight w:val="none"/>
          <w:lang w:val="en-US"/>
        </w:rPr>
        <w:t xml:space="preserve">025-83633744、025-83633743</w:t>
      </w:r>
      <w:r>
        <w:rPr>
          <w:rFonts w:hint="eastAsia"/>
          <w:color w:val="auto"/>
          <w:sz w:val="24"/>
          <w:szCs w:val="24"/>
          <w:highlight w:val="none"/>
          <w:lang w:val="en-US"/>
        </w:rPr>
        <w:t xml:space="preserve">。</w:t>
      </w:r>
      <w:bookmarkEnd w:id="7"/>
      <w:r/>
      <w:bookmarkEnd w:id="8"/>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4、公告媒体</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（1）本招标公告在江苏政府采购网公示发布，敬请各供应商关注；</w:t>
      </w:r>
      <w:r/>
    </w:p>
    <w:p>
      <w:pPr>
        <w:pStyle w:val="880"/>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（2）若有关本次招标存在变动或修改，敬请各供应商及时关注江苏政府采购网发布的关于本项目的信息更正公告。</w:t>
      </w:r>
      <w:r/>
    </w:p>
    <w:p>
      <w:pPr>
        <w:pStyle w:val="880"/>
        <w:contextualSpacing/>
        <w:ind w:firstLine="480"/>
        <w:spacing w:line="360" w:lineRule="auto"/>
        <w:rPr>
          <w:color w:val="auto"/>
          <w:sz w:val="24"/>
          <w:szCs w:val="24"/>
          <w:highlight w:val="none"/>
          <w:lang w:val="en-US"/>
        </w:rPr>
      </w:pPr>
      <w:r>
        <w:rPr>
          <w:color w:val="auto"/>
          <w:sz w:val="24"/>
          <w:szCs w:val="24"/>
          <w:highlight w:val="none"/>
          <w:lang w:val="en-US"/>
        </w:rPr>
        <w:t xml:space="preserve">5、</w:t>
      </w:r>
      <w:r>
        <w:rPr>
          <w:rFonts w:hint="eastAsia"/>
          <w:color w:val="auto"/>
          <w:sz w:val="24"/>
          <w:szCs w:val="24"/>
          <w:highlight w:val="none"/>
          <w:lang w:val="en-US"/>
        </w:rPr>
        <w:t xml:space="preserve">采购项目需要落实的政府采购政策</w:t>
      </w:r>
      <w:r/>
    </w:p>
    <w:p>
      <w:pPr>
        <w:ind w:firstLine="560"/>
        <w:spacing w:line="360" w:lineRule="auto"/>
        <w:rPr>
          <w:color w:val="auto"/>
          <w:sz w:val="24"/>
          <w:szCs w:val="24"/>
          <w:highlight w:val="none"/>
        </w:rPr>
      </w:pPr>
      <w:r>
        <w:rPr>
          <w:rFonts w:hint="eastAsia"/>
          <w:color w:val="auto"/>
          <w:sz w:val="24"/>
          <w:szCs w:val="24"/>
          <w:highlight w:val="none"/>
        </w:rPr>
        <w:t xml:space="preserve">（1）政府采购促进中小企业发展</w:t>
      </w:r>
      <w:r/>
    </w:p>
    <w:p>
      <w:pPr>
        <w:ind w:firstLine="560"/>
        <w:spacing w:line="360" w:lineRule="auto"/>
        <w:rPr>
          <w:color w:val="auto"/>
          <w:sz w:val="24"/>
          <w:szCs w:val="24"/>
          <w:highlight w:val="none"/>
        </w:rPr>
      </w:pPr>
      <w:r>
        <w:rPr>
          <w:rFonts w:hint="eastAsia"/>
          <w:color w:val="auto"/>
          <w:sz w:val="24"/>
          <w:szCs w:val="24"/>
          <w:highlight w:val="none"/>
        </w:rPr>
        <w:t xml:space="preserve">（2）政府采购支持监狱企业发展</w:t>
      </w:r>
      <w:r/>
    </w:p>
    <w:p>
      <w:pPr>
        <w:ind w:firstLine="560"/>
        <w:spacing w:line="360" w:lineRule="auto"/>
        <w:rPr>
          <w:color w:val="auto"/>
          <w:sz w:val="24"/>
          <w:szCs w:val="24"/>
          <w:highlight w:val="none"/>
        </w:rPr>
      </w:pPr>
      <w:r>
        <w:rPr>
          <w:rFonts w:hint="eastAsia"/>
          <w:color w:val="auto"/>
          <w:sz w:val="24"/>
          <w:szCs w:val="24"/>
          <w:highlight w:val="none"/>
        </w:rPr>
        <w:t xml:space="preserve">（3）政府采购促进残疾人就业</w:t>
      </w:r>
      <w:r/>
    </w:p>
    <w:p>
      <w:pPr>
        <w:pStyle w:val="880"/>
        <w:contextualSpacing/>
        <w:ind w:firstLine="480"/>
        <w:spacing w:line="360" w:lineRule="auto"/>
        <w:rPr>
          <w:color w:val="auto"/>
          <w:sz w:val="24"/>
          <w:szCs w:val="24"/>
          <w:highlight w:val="none"/>
          <w:lang w:val="en-US"/>
        </w:rPr>
      </w:pPr>
      <w:r>
        <w:rPr>
          <w:rFonts w:hint="eastAsia"/>
          <w:color w:val="auto"/>
          <w:sz w:val="24"/>
          <w:szCs w:val="24"/>
          <w:highlight w:val="none"/>
        </w:rPr>
        <w:t xml:space="preserve">（4）政府采购鼓励采购节能环保产品</w:t>
      </w:r>
      <w:bookmarkEnd w:id="6"/>
      <w:r/>
      <w:r/>
    </w:p>
    <w:p>
      <w:pPr>
        <w:ind w:firstLine="482"/>
        <w:spacing w:line="360" w:lineRule="auto"/>
        <w:rPr>
          <w:color w:val="auto"/>
          <w:sz w:val="24"/>
          <w:szCs w:val="24"/>
          <w:highlight w:val="none"/>
          <w:lang w:val="en-US"/>
        </w:rPr>
      </w:pPr>
      <w:r>
        <w:rPr>
          <w:color w:val="auto"/>
          <w:sz w:val="24"/>
          <w:szCs w:val="24"/>
          <w:highlight w:val="none"/>
          <w:lang w:val="en-US"/>
        </w:rPr>
        <w:t xml:space="preserve">6、是否接受进口产品：不接受。</w:t>
      </w:r>
      <w:r/>
    </w:p>
    <w:p>
      <w:pPr>
        <w:ind w:firstLine="482"/>
        <w:spacing w:line="360" w:lineRule="auto"/>
        <w:rPr>
          <w:color w:val="auto"/>
          <w:sz w:val="24"/>
          <w:szCs w:val="24"/>
          <w:highlight w:val="none"/>
          <w:lang w:val="en-US"/>
        </w:rPr>
      </w:pPr>
      <w:r>
        <w:rPr>
          <w:color w:val="auto"/>
          <w:sz w:val="24"/>
          <w:szCs w:val="24"/>
          <w:highlight w:val="none"/>
          <w:lang w:val="en-US"/>
        </w:rPr>
        <w:t xml:space="preserve">7、本项目所属行业：工业。</w:t>
      </w:r>
      <w:r/>
    </w:p>
    <w:p>
      <w:pPr>
        <w:ind w:firstLine="482"/>
        <w:spacing w:line="360" w:lineRule="auto"/>
        <w:rPr>
          <w:b/>
          <w:bCs/>
          <w:color w:val="auto"/>
          <w:sz w:val="24"/>
          <w:szCs w:val="24"/>
          <w:highlight w:val="none"/>
        </w:rPr>
      </w:pPr>
      <w:r>
        <w:rPr>
          <w:rFonts w:hint="eastAsia"/>
          <w:b/>
          <w:bCs/>
          <w:color w:val="auto"/>
          <w:sz w:val="24"/>
          <w:szCs w:val="24"/>
          <w:highlight w:val="none"/>
        </w:rPr>
        <w:t xml:space="preserve">七、凡对本次采购提出询问，请按以下方式联系。</w:t>
      </w:r>
      <w:r/>
    </w:p>
    <w:p>
      <w:pPr>
        <w:ind w:firstLine="480"/>
        <w:spacing w:line="360" w:lineRule="auto"/>
        <w:rPr>
          <w:color w:val="auto"/>
          <w:sz w:val="24"/>
          <w:szCs w:val="24"/>
          <w:highlight w:val="none"/>
        </w:rPr>
      </w:pPr>
      <w:r>
        <w:rPr>
          <w:rFonts w:hint="eastAsia"/>
          <w:color w:val="auto"/>
          <w:sz w:val="24"/>
          <w:szCs w:val="24"/>
          <w:highlight w:val="none"/>
          <w:lang w:val="en-US"/>
        </w:rPr>
        <w:t xml:space="preserve">1、</w:t>
      </w:r>
      <w:r>
        <w:rPr>
          <w:rFonts w:hint="eastAsia"/>
          <w:color w:val="auto"/>
          <w:sz w:val="24"/>
          <w:szCs w:val="24"/>
          <w:highlight w:val="none"/>
        </w:rPr>
        <w:t xml:space="preserve">采购人信息</w:t>
      </w:r>
      <w:r/>
    </w:p>
    <w:p>
      <w:pPr>
        <w:ind w:firstLine="480"/>
        <w:spacing w:line="360" w:lineRule="auto"/>
        <w:tabs>
          <w:tab w:val="left" w:pos="2116" w:leader="none"/>
          <w:tab w:val="left" w:pos="4635" w:leader="none"/>
          <w:tab w:val="left" w:pos="5615" w:leader="none"/>
        </w:tabs>
        <w:rPr>
          <w:color w:val="auto"/>
          <w:sz w:val="24"/>
          <w:szCs w:val="24"/>
          <w:highlight w:val="none"/>
          <w:u w:val="single"/>
        </w:rPr>
      </w:pPr>
      <w:r>
        <w:rPr>
          <w:rFonts w:hint="eastAsia"/>
          <w:color w:val="auto"/>
          <w:sz w:val="24"/>
          <w:szCs w:val="24"/>
          <w:highlight w:val="none"/>
        </w:rPr>
        <w:t xml:space="preserve">名 称：</w:t>
      </w:r>
      <w:r>
        <w:rPr>
          <w:rFonts w:hint="eastAsia"/>
          <w:color w:val="auto"/>
          <w:sz w:val="24"/>
          <w:szCs w:val="24"/>
          <w:highlight w:val="none"/>
          <w:u w:val="single"/>
        </w:rPr>
        <w:t xml:space="preserve">江苏第二师范学院</w:t>
      </w:r>
      <w:r/>
    </w:p>
    <w:p>
      <w:pPr>
        <w:ind w:firstLine="480"/>
        <w:spacing w:line="360" w:lineRule="auto"/>
        <w:rPr>
          <w:color w:val="auto"/>
          <w:sz w:val="24"/>
          <w:szCs w:val="24"/>
          <w:highlight w:val="none"/>
        </w:rPr>
      </w:pPr>
      <w:r>
        <w:rPr>
          <w:rFonts w:hint="eastAsia"/>
          <w:color w:val="auto"/>
          <w:sz w:val="24"/>
          <w:szCs w:val="24"/>
          <w:highlight w:val="none"/>
        </w:rPr>
        <w:t xml:space="preserve">地址：南京市溧水区新河西路</w:t>
      </w:r>
      <w:r>
        <w:rPr>
          <w:color w:val="auto"/>
          <w:sz w:val="24"/>
          <w:szCs w:val="24"/>
          <w:highlight w:val="none"/>
        </w:rPr>
        <w:t xml:space="preserve">6号</w:t>
      </w:r>
      <w:r/>
    </w:p>
    <w:p>
      <w:pPr>
        <w:ind w:firstLine="480"/>
        <w:spacing w:line="360" w:lineRule="auto"/>
        <w:rPr>
          <w:color w:val="auto"/>
          <w:sz w:val="24"/>
          <w:szCs w:val="24"/>
          <w:highlight w:val="none"/>
        </w:rPr>
      </w:pPr>
      <w:r>
        <w:rPr>
          <w:rFonts w:hint="eastAsia"/>
          <w:color w:val="auto"/>
          <w:sz w:val="24"/>
          <w:szCs w:val="24"/>
          <w:highlight w:val="none"/>
        </w:rPr>
        <w:t xml:space="preserve">联系方式：王老师</w:t>
      </w:r>
      <w:r>
        <w:rPr>
          <w:color w:val="auto"/>
          <w:sz w:val="24"/>
          <w:szCs w:val="24"/>
          <w:highlight w:val="none"/>
        </w:rPr>
        <w:t xml:space="preserve">025-56226331</w:t>
      </w:r>
      <w:r/>
    </w:p>
    <w:p>
      <w:pPr>
        <w:ind w:firstLine="480"/>
        <w:spacing w:line="360" w:lineRule="auto"/>
        <w:rPr>
          <w:color w:val="auto"/>
          <w:sz w:val="24"/>
          <w:szCs w:val="24"/>
          <w:highlight w:val="none"/>
        </w:rPr>
      </w:pPr>
      <w:r>
        <w:rPr>
          <w:rFonts w:hint="eastAsia"/>
          <w:color w:val="auto"/>
          <w:sz w:val="24"/>
          <w:szCs w:val="24"/>
          <w:highlight w:val="none"/>
          <w:lang w:val="en-US"/>
        </w:rPr>
        <w:t xml:space="preserve">2、</w:t>
      </w:r>
      <w:r>
        <w:rPr>
          <w:rFonts w:hint="eastAsia"/>
          <w:color w:val="auto"/>
          <w:sz w:val="24"/>
          <w:szCs w:val="24"/>
          <w:highlight w:val="none"/>
        </w:rPr>
        <w:t xml:space="preserve">采购代理机构信息</w:t>
      </w:r>
      <w:r/>
    </w:p>
    <w:p>
      <w:pPr>
        <w:ind w:firstLine="480"/>
        <w:spacing w:line="360" w:lineRule="auto"/>
        <w:tabs>
          <w:tab w:val="left" w:pos="2596" w:leader="none"/>
          <w:tab w:val="left" w:pos="6236" w:leader="none"/>
        </w:tabs>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u w:val="single"/>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地址：</w:t>
      </w:r>
      <w:r>
        <w:rPr>
          <w:rFonts w:hint="eastAsia"/>
          <w:color w:val="auto"/>
          <w:sz w:val="24"/>
          <w:szCs w:val="24"/>
          <w:highlight w:val="none"/>
          <w:u w:val="single"/>
        </w:rPr>
        <w:t xml:space="preserve">南京市中山路99号12楼1212室</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联系方式：</w:t>
      </w:r>
      <w:r>
        <w:rPr>
          <w:rFonts w:hint="eastAsia"/>
          <w:color w:val="auto"/>
          <w:sz w:val="24"/>
          <w:szCs w:val="24"/>
          <w:highlight w:val="none"/>
          <w:u w:val="single"/>
          <w:lang w:val="en-US"/>
        </w:rPr>
        <w:t xml:space="preserve">江跃、蒋毅</w:t>
      </w:r>
      <w:r>
        <w:rPr>
          <w:rFonts w:hint="eastAsia"/>
          <w:color w:val="auto"/>
          <w:sz w:val="24"/>
          <w:szCs w:val="24"/>
          <w:highlight w:val="none"/>
          <w:u w:val="single"/>
        </w:rPr>
        <w:t xml:space="preserve">025-84200819</w:t>
      </w:r>
      <w:r/>
    </w:p>
    <w:p>
      <w:pPr>
        <w:ind w:firstLine="480"/>
        <w:spacing w:line="360" w:lineRule="auto"/>
        <w:rPr>
          <w:color w:val="auto"/>
          <w:sz w:val="24"/>
          <w:szCs w:val="24"/>
          <w:highlight w:val="none"/>
        </w:rPr>
      </w:pPr>
      <w:r>
        <w:rPr>
          <w:rFonts w:hint="eastAsia"/>
          <w:color w:val="auto"/>
          <w:sz w:val="24"/>
          <w:szCs w:val="24"/>
          <w:highlight w:val="none"/>
          <w:lang w:val="en-US"/>
        </w:rPr>
        <w:t xml:space="preserve">3、</w:t>
      </w:r>
      <w:r>
        <w:rPr>
          <w:rFonts w:hint="eastAsia"/>
          <w:color w:val="auto"/>
          <w:sz w:val="24"/>
          <w:szCs w:val="24"/>
          <w:highlight w:val="none"/>
        </w:rPr>
        <w:t xml:space="preserve">项目联系方式 </w:t>
      </w:r>
      <w:r/>
    </w:p>
    <w:p>
      <w:pPr>
        <w:ind w:firstLine="480"/>
        <w:spacing w:line="360" w:lineRule="auto"/>
        <w:rPr>
          <w:color w:val="auto"/>
          <w:sz w:val="24"/>
          <w:szCs w:val="24"/>
          <w:highlight w:val="none"/>
        </w:rPr>
      </w:pPr>
      <w:r>
        <w:rPr>
          <w:rFonts w:hint="eastAsia"/>
          <w:color w:val="auto"/>
          <w:sz w:val="24"/>
          <w:szCs w:val="24"/>
          <w:highlight w:val="none"/>
        </w:rPr>
        <w:t xml:space="preserve">项目联系人：</w:t>
      </w:r>
      <w:r>
        <w:rPr>
          <w:rFonts w:hint="eastAsia"/>
          <w:color w:val="auto"/>
          <w:sz w:val="24"/>
          <w:szCs w:val="24"/>
          <w:highlight w:val="none"/>
          <w:u w:val="single"/>
        </w:rPr>
        <w:t xml:space="preserve">江跃、蒋毅</w:t>
      </w:r>
      <w:r/>
    </w:p>
    <w:p>
      <w:pPr>
        <w:ind w:firstLine="480"/>
        <w:spacing w:line="360" w:lineRule="auto"/>
        <w:tabs>
          <w:tab w:val="left" w:pos="1617" w:leader="none"/>
          <w:tab w:val="left" w:pos="2457" w:leader="none"/>
          <w:tab w:val="left" w:pos="7076" w:leader="none"/>
        </w:tabs>
        <w:rPr>
          <w:color w:val="auto"/>
          <w:sz w:val="24"/>
          <w:szCs w:val="24"/>
          <w:highlight w:val="none"/>
          <w:u w:val="single"/>
        </w:rPr>
      </w:pPr>
      <w:r>
        <w:rPr>
          <w:rFonts w:hint="eastAsia"/>
          <w:color w:val="auto"/>
          <w:sz w:val="24"/>
          <w:szCs w:val="24"/>
          <w:highlight w:val="none"/>
        </w:rPr>
        <w:t xml:space="preserve">电话：</w:t>
      </w:r>
      <w:r>
        <w:rPr>
          <w:rFonts w:hint="eastAsia"/>
          <w:color w:val="auto"/>
          <w:sz w:val="24"/>
          <w:szCs w:val="24"/>
          <w:highlight w:val="none"/>
          <w:u w:val="single"/>
        </w:rPr>
        <w:t xml:space="preserve">025-84200819</w:t>
      </w:r>
      <w:r/>
    </w:p>
    <w:p>
      <w:pPr>
        <w:ind w:left="2024" w:right="2064"/>
        <w:jc w:val="center"/>
        <w:spacing w:before="49"/>
        <w:rPr>
          <w:rFonts w:ascii="黑体" w:eastAsia="黑体"/>
          <w:b/>
          <w:bCs/>
          <w:color w:val="auto"/>
          <w:sz w:val="36"/>
          <w:highlight w:val="none"/>
        </w:rPr>
        <w:outlineLvl w:val="0"/>
      </w:pPr>
      <w:r/>
      <w:bookmarkStart w:id="9" w:name="_Toc15993"/>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hint="eastAsia" w:ascii="黑体" w:eastAsia="黑体"/>
          <w:b/>
          <w:bCs/>
          <w:color w:val="auto"/>
          <w:sz w:val="36"/>
          <w:highlight w:val="none"/>
        </w:rPr>
        <w:t xml:space="preserve">第二章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供应商须知</w:t>
      </w:r>
      <w:bookmarkEnd w:id="9"/>
      <w:r/>
      <w:r/>
    </w:p>
    <w:p>
      <w:pPr>
        <w:ind w:firstLine="422"/>
        <w:spacing w:line="360" w:lineRule="auto"/>
        <w:rPr>
          <w:b/>
          <w:color w:val="auto"/>
          <w:sz w:val="21"/>
          <w:szCs w:val="21"/>
          <w:highlight w:val="none"/>
        </w:rPr>
      </w:pPr>
      <w:r>
        <w:rPr>
          <w:rFonts w:hint="eastAsia"/>
          <w:b/>
          <w:color w:val="auto"/>
          <w:sz w:val="21"/>
          <w:szCs w:val="21"/>
          <w:highlight w:val="none"/>
        </w:rPr>
        <w:t xml:space="preserve">一、总则</w:t>
      </w:r>
      <w:r/>
    </w:p>
    <w:p>
      <w:pPr>
        <w:pStyle w:val="880"/>
        <w:ind w:firstLine="420"/>
        <w:spacing w:line="360" w:lineRule="auto"/>
        <w:rPr>
          <w:color w:val="auto"/>
          <w:highlight w:val="none"/>
        </w:rPr>
      </w:pPr>
      <w:r/>
      <w:bookmarkStart w:id="10" w:name="1、适用法律"/>
      <w:r/>
      <w:bookmarkEnd w:id="10"/>
      <w:r>
        <w:rPr>
          <w:rFonts w:hint="eastAsia"/>
          <w:color w:val="auto"/>
          <w:highlight w:val="none"/>
        </w:rPr>
        <w:t xml:space="preserve">1、适用法律</w:t>
      </w:r>
      <w:r/>
    </w:p>
    <w:p>
      <w:pPr>
        <w:pStyle w:val="880"/>
        <w:ind w:firstLine="420"/>
        <w:spacing w:line="360" w:lineRule="auto"/>
        <w:rPr>
          <w:color w:val="auto"/>
          <w:highlight w:val="none"/>
        </w:rPr>
      </w:pPr>
      <w:r>
        <w:rPr>
          <w:rFonts w:hint="eastAsia"/>
          <w:color w:val="auto"/>
          <w:highlight w:val="none"/>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auto"/>
          <w:sz w:val="21"/>
          <w:szCs w:val="21"/>
          <w:highlight w:val="none"/>
        </w:rPr>
      </w:pPr>
      <w:r/>
      <w:bookmarkStart w:id="11" w:name="2、定义"/>
      <w:r/>
      <w:bookmarkEnd w:id="11"/>
      <w:r>
        <w:rPr>
          <w:rFonts w:hint="eastAsia"/>
          <w:b/>
          <w:color w:val="auto"/>
          <w:sz w:val="21"/>
          <w:szCs w:val="21"/>
          <w:highlight w:val="none"/>
        </w:rPr>
        <w:t xml:space="preserve">2、定义</w:t>
      </w:r>
      <w:r/>
    </w:p>
    <w:p>
      <w:pPr>
        <w:pStyle w:val="950"/>
        <w:numPr>
          <w:ilvl w:val="1"/>
          <w:numId w:val="2"/>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w:t>
      </w:r>
      <w:r>
        <w:rPr>
          <w:rFonts w:hint="eastAsia"/>
          <w:bCs/>
          <w:color w:val="auto"/>
          <w:sz w:val="21"/>
          <w:szCs w:val="21"/>
          <w:highlight w:val="none"/>
        </w:rPr>
        <w:t xml:space="preserve">供应商</w:t>
      </w:r>
      <w:r>
        <w:rPr>
          <w:rFonts w:hint="eastAsia"/>
          <w:color w:val="auto"/>
          <w:sz w:val="21"/>
          <w:szCs w:val="21"/>
          <w:highlight w:val="none"/>
        </w:rPr>
        <w:t xml:space="preserve">”是指参加投标竞争，并符合招标文件规定资格条件的法人、其他组织或者自然人。</w:t>
      </w:r>
      <w:r/>
    </w:p>
    <w:p>
      <w:pPr>
        <w:pStyle w:val="950"/>
        <w:numPr>
          <w:ilvl w:val="1"/>
          <w:numId w:val="2"/>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“产品”指本招标文件中所述</w:t>
      </w:r>
      <w:r>
        <w:rPr>
          <w:rFonts w:hint="eastAsia"/>
          <w:bCs/>
          <w:color w:val="auto"/>
          <w:sz w:val="21"/>
          <w:szCs w:val="21"/>
          <w:highlight w:val="none"/>
        </w:rPr>
        <w:t xml:space="preserve">产品</w:t>
      </w:r>
      <w:r>
        <w:rPr>
          <w:rFonts w:hint="eastAsia"/>
          <w:color w:val="auto"/>
          <w:sz w:val="21"/>
          <w:szCs w:val="21"/>
          <w:highlight w:val="none"/>
        </w:rPr>
        <w:t xml:space="preserve">及相关服务。</w:t>
      </w:r>
      <w:r/>
    </w:p>
    <w:p>
      <w:pPr>
        <w:pStyle w:val="950"/>
        <w:numPr>
          <w:ilvl w:val="1"/>
          <w:numId w:val="2"/>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“用户或使用单位”是指使用服务的单位。 </w:t>
      </w:r>
      <w:r/>
    </w:p>
    <w:p>
      <w:pPr>
        <w:pStyle w:val="950"/>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3、政策功能</w:t>
      </w:r>
      <w:r/>
    </w:p>
    <w:p>
      <w:pPr>
        <w:pStyle w:val="950"/>
        <w:numPr>
          <w:ilvl w:val="1"/>
          <w:numId w:val="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950"/>
        <w:numPr>
          <w:ilvl w:val="1"/>
          <w:numId w:val="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950"/>
        <w:numPr>
          <w:ilvl w:val="1"/>
          <w:numId w:val="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950"/>
        <w:numPr>
          <w:ilvl w:val="1"/>
          <w:numId w:val="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50"/>
        <w:numPr>
          <w:ilvl w:val="1"/>
          <w:numId w:val="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pStyle w:val="950"/>
        <w:numPr>
          <w:ilvl w:val="1"/>
          <w:numId w:val="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提供的产品属于政府强制采购节能产品的，供应商应当选择经过认证的节能产品投标，并提供有效的节能产品认证证书复印件。</w:t>
      </w:r>
      <w:r/>
    </w:p>
    <w:p>
      <w:pPr>
        <w:pStyle w:val="950"/>
        <w:numPr>
          <w:ilvl w:val="1"/>
          <w:numId w:val="3"/>
        </w:numPr>
        <w:ind w:firstLine="420"/>
        <w:spacing w:line="360" w:lineRule="auto"/>
        <w:tabs>
          <w:tab w:val="left" w:pos="1114" w:leader="none"/>
        </w:tabs>
        <w:rPr>
          <w:color w:val="auto"/>
          <w:sz w:val="21"/>
          <w:szCs w:val="21"/>
          <w:highlight w:val="none"/>
        </w:rPr>
      </w:pPr>
      <w:r>
        <w:rPr>
          <w:rFonts w:hint="eastAsia"/>
          <w:color w:val="auto"/>
          <w:sz w:val="21"/>
          <w:szCs w:val="21"/>
          <w:highlight w:val="none"/>
        </w:rPr>
        <w:t xml:space="preserve">提供的产品属于环境标志产品的，供应商应当选择经过认证的环境标志产品投标，并提供有效的环境标志产品认证证书复印件。</w:t>
      </w:r>
      <w:r/>
    </w:p>
    <w:p>
      <w:pPr>
        <w:ind w:firstLine="422"/>
        <w:spacing w:line="360" w:lineRule="auto"/>
        <w:rPr>
          <w:color w:val="auto"/>
          <w:sz w:val="21"/>
          <w:szCs w:val="21"/>
          <w:highlight w:val="none"/>
        </w:rPr>
      </w:pPr>
      <w:r>
        <w:rPr>
          <w:color w:val="auto"/>
          <w:sz w:val="21"/>
          <w:szCs w:val="21"/>
          <w:highlight w:val="none"/>
        </w:rPr>
        <w:t xml:space="preserve">3.8.实施本国产品标准及相关政策</w:t>
      </w:r>
      <w:r/>
    </w:p>
    <w:p>
      <w:pPr>
        <w:ind w:firstLine="422"/>
        <w:spacing w:line="360" w:lineRule="auto"/>
        <w:rPr>
          <w:color w:val="auto"/>
          <w:sz w:val="21"/>
          <w:szCs w:val="21"/>
          <w:highlight w:val="none"/>
        </w:rPr>
      </w:pPr>
      <w:r>
        <w:rPr>
          <w:color w:val="auto"/>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auto"/>
          <w:sz w:val="21"/>
          <w:szCs w:val="21"/>
          <w:highlight w:val="none"/>
        </w:rPr>
        <w:t xml:space="preserve">采</w:t>
      </w:r>
      <w:r>
        <w:rPr>
          <w:color w:val="auto"/>
          <w:sz w:val="21"/>
          <w:szCs w:val="21"/>
          <w:highlight w:val="none"/>
        </w:rPr>
        <w:t xml:space="preserve">购中实施本国产品标准及相关政策的通知》（宁财购通〔2025〕78号）等文件规定，在政府采购中实施本国产品标准及相关政策。</w:t>
      </w:r>
      <w:r/>
    </w:p>
    <w:p>
      <w:pPr>
        <w:ind w:firstLine="422"/>
        <w:spacing w:line="360" w:lineRule="auto"/>
        <w:rPr>
          <w:color w:val="auto"/>
          <w:sz w:val="21"/>
          <w:szCs w:val="21"/>
          <w:highlight w:val="none"/>
        </w:rPr>
      </w:pPr>
      <w:r>
        <w:rPr>
          <w:color w:val="auto"/>
          <w:sz w:val="21"/>
          <w:szCs w:val="21"/>
          <w:highlight w:val="none"/>
        </w:rPr>
        <w:t xml:space="preserve">3.8.2本国产品应当符合以下条件：</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auto"/>
          <w:sz w:val="21"/>
          <w:szCs w:val="21"/>
          <w:highlight w:val="none"/>
        </w:rPr>
        <w:t xml:space="preserve">2025〕34号）规定。</w:t>
      </w:r>
      <w:r/>
    </w:p>
    <w:p>
      <w:pPr>
        <w:ind w:firstLine="422"/>
        <w:spacing w:line="360" w:lineRule="auto"/>
        <w:rPr>
          <w:color w:val="auto"/>
          <w:sz w:val="21"/>
          <w:szCs w:val="21"/>
          <w:highlight w:val="none"/>
        </w:rPr>
      </w:pPr>
      <w:r>
        <w:rPr>
          <w:rFonts w:hint="eastAsia"/>
          <w:color w:val="auto"/>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2）在中国境内生产的组件成本占比达到规定比例</w:t>
      </w:r>
      <w:r/>
    </w:p>
    <w:p>
      <w:pPr>
        <w:ind w:firstLine="422"/>
        <w:spacing w:line="360" w:lineRule="auto"/>
        <w:rPr>
          <w:color w:val="auto"/>
          <w:sz w:val="21"/>
          <w:szCs w:val="21"/>
          <w:highlight w:val="none"/>
        </w:rPr>
      </w:pPr>
      <w:r>
        <w:rPr>
          <w:rFonts w:hint="eastAsia"/>
          <w:color w:val="auto"/>
          <w:sz w:val="21"/>
          <w:szCs w:val="21"/>
          <w:highlight w:val="none"/>
        </w:rPr>
        <w:t xml:space="preserve">比例计算公式详见《国务院办公厅关于在政府采购中实施本国产品标准及相关政策的通知》（国办发〔</w:t>
      </w:r>
      <w:r>
        <w:rPr>
          <w:color w:val="auto"/>
          <w:sz w:val="21"/>
          <w:szCs w:val="21"/>
          <w:highlight w:val="none"/>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3）特定产品的关键组件、关键工序符合相关要求</w:t>
      </w:r>
      <w:r/>
    </w:p>
    <w:p>
      <w:pPr>
        <w:ind w:firstLine="422"/>
        <w:spacing w:line="360" w:lineRule="auto"/>
        <w:rPr>
          <w:color w:val="auto"/>
          <w:sz w:val="21"/>
          <w:szCs w:val="21"/>
          <w:highlight w:val="none"/>
        </w:rPr>
      </w:pPr>
      <w:r>
        <w:rPr>
          <w:rFonts w:hint="eastAsia"/>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22"/>
        <w:spacing w:line="360" w:lineRule="auto"/>
        <w:rPr>
          <w:color w:val="auto"/>
          <w:sz w:val="21"/>
          <w:szCs w:val="21"/>
          <w:highlight w:val="none"/>
        </w:rPr>
      </w:pPr>
      <w:r>
        <w:rPr>
          <w:color w:val="auto"/>
          <w:sz w:val="21"/>
          <w:szCs w:val="21"/>
          <w:highlight w:val="none"/>
        </w:rPr>
        <w:t xml:space="preserve">3.8.3本国产品标准的适用范围</w:t>
      </w:r>
      <w:r/>
    </w:p>
    <w:p>
      <w:pPr>
        <w:ind w:firstLine="422"/>
        <w:spacing w:line="360" w:lineRule="auto"/>
        <w:rPr>
          <w:color w:val="auto"/>
          <w:sz w:val="21"/>
          <w:szCs w:val="21"/>
          <w:highlight w:val="none"/>
        </w:rPr>
      </w:pPr>
      <w:r>
        <w:rPr>
          <w:rFonts w:hint="eastAsia"/>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color w:val="auto"/>
          <w:sz w:val="21"/>
          <w:szCs w:val="21"/>
          <w:highlight w:val="none"/>
        </w:rPr>
      </w:pPr>
      <w:r>
        <w:rPr>
          <w:color w:val="auto"/>
          <w:sz w:val="21"/>
          <w:szCs w:val="21"/>
          <w:highlight w:val="none"/>
        </w:rPr>
        <w:t xml:space="preserve">3.8.4对本国产品的支持政策</w:t>
      </w:r>
      <w:r/>
    </w:p>
    <w:p>
      <w:pPr>
        <w:ind w:firstLine="422"/>
        <w:spacing w:line="360" w:lineRule="auto"/>
        <w:rPr>
          <w:color w:val="auto"/>
          <w:sz w:val="21"/>
          <w:szCs w:val="21"/>
          <w:highlight w:val="none"/>
        </w:rPr>
      </w:pPr>
      <w:r>
        <w:rPr>
          <w:rFonts w:hint="eastAsia"/>
          <w:color w:val="auto"/>
          <w:sz w:val="21"/>
          <w:szCs w:val="21"/>
          <w:highlight w:val="none"/>
        </w:rPr>
        <w:t xml:space="preserve">本项目如既有本国产品又有非本国产品参与竞争，依法对本国产品给予价格评审优惠，具体详见第三章。</w:t>
      </w:r>
      <w:r/>
    </w:p>
    <w:p>
      <w:pPr>
        <w:ind w:firstLine="422"/>
        <w:spacing w:line="360" w:lineRule="auto"/>
        <w:rPr>
          <w:color w:val="auto"/>
          <w:sz w:val="21"/>
          <w:szCs w:val="21"/>
          <w:highlight w:val="none"/>
        </w:rPr>
      </w:pPr>
      <w:r>
        <w:rPr>
          <w:color w:val="auto"/>
          <w:sz w:val="21"/>
          <w:szCs w:val="21"/>
          <w:highlight w:val="none"/>
        </w:rPr>
        <w:t xml:space="preserve">3.8.5政策执行要求</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2"/>
        <w:spacing w:line="360" w:lineRule="auto"/>
        <w:rPr>
          <w:b/>
          <w:color w:val="auto"/>
          <w:sz w:val="21"/>
          <w:szCs w:val="21"/>
          <w:highlight w:val="none"/>
        </w:rPr>
      </w:pPr>
      <w:r>
        <w:rPr>
          <w:rFonts w:hint="eastAsia"/>
          <w:color w:val="auto"/>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auto"/>
          <w:sz w:val="21"/>
          <w:szCs w:val="21"/>
          <w:highlight w:val="none"/>
        </w:rPr>
        <w:t xml:space="preserve">二、招标文件</w:t>
      </w:r>
      <w:r/>
    </w:p>
    <w:p>
      <w:pPr>
        <w:ind w:firstLine="422"/>
        <w:spacing w:line="360" w:lineRule="auto"/>
        <w:rPr>
          <w:b/>
          <w:color w:val="auto"/>
          <w:sz w:val="21"/>
          <w:szCs w:val="21"/>
          <w:highlight w:val="none"/>
        </w:rPr>
      </w:pPr>
      <w:r>
        <w:rPr>
          <w:rFonts w:hint="eastAsia"/>
          <w:b/>
          <w:color w:val="auto"/>
          <w:sz w:val="21"/>
          <w:szCs w:val="21"/>
          <w:highlight w:val="none"/>
        </w:rPr>
        <w:t xml:space="preserve">4、招标文件组成</w:t>
      </w:r>
      <w:r/>
    </w:p>
    <w:p>
      <w:pPr>
        <w:pStyle w:val="950"/>
        <w:numPr>
          <w:ilvl w:val="1"/>
          <w:numId w:val="4"/>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950"/>
        <w:numPr>
          <w:ilvl w:val="1"/>
          <w:numId w:val="4"/>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950"/>
        <w:numPr>
          <w:ilvl w:val="1"/>
          <w:numId w:val="4"/>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招标文件如果要求供应商提交备选投标方案的，供应商可以提交备选方案；否则，备选方案将被拒绝。</w:t>
      </w:r>
      <w:r/>
    </w:p>
    <w:p>
      <w:pPr>
        <w:ind w:firstLine="422"/>
        <w:spacing w:line="360" w:lineRule="auto"/>
        <w:rPr>
          <w:b/>
          <w:color w:val="auto"/>
          <w:sz w:val="21"/>
          <w:szCs w:val="21"/>
          <w:highlight w:val="none"/>
        </w:rPr>
      </w:pPr>
      <w:r/>
      <w:bookmarkStart w:id="12" w:name="5、招标文件的澄清、修改"/>
      <w:r/>
      <w:bookmarkEnd w:id="12"/>
      <w:r>
        <w:rPr>
          <w:rFonts w:hint="eastAsia"/>
          <w:b/>
          <w:color w:val="auto"/>
          <w:sz w:val="21"/>
          <w:szCs w:val="21"/>
          <w:highlight w:val="none"/>
        </w:rPr>
        <w:t xml:space="preserve">5、招标文件的澄清、修改</w:t>
      </w:r>
      <w:r/>
    </w:p>
    <w:p>
      <w:pPr>
        <w:pStyle w:val="950"/>
        <w:numPr>
          <w:ilvl w:val="1"/>
          <w:numId w:val="5"/>
        </w:numPr>
        <w:ind w:firstLine="420"/>
        <w:spacing w:line="360" w:lineRule="auto"/>
        <w:tabs>
          <w:tab w:val="left" w:pos="956" w:leader="none"/>
        </w:tabs>
        <w:rPr>
          <w:color w:val="auto"/>
          <w:sz w:val="21"/>
          <w:szCs w:val="21"/>
          <w:highlight w:val="none"/>
        </w:rPr>
      </w:pPr>
      <w:r>
        <w:rPr>
          <w:rFonts w:hint="eastAsia"/>
          <w:color w:val="auto"/>
          <w:sz w:val="21"/>
          <w:szCs w:val="21"/>
          <w:highlight w:val="none"/>
        </w:rPr>
        <w:t xml:space="preserve">招标代理机构对已发出的招标文件进行必要澄清或者修改的，将在招标文件要求提交投标文件截止时间</w:t>
      </w:r>
      <w:r>
        <w:rPr>
          <w:rFonts w:hint="eastAsia"/>
          <w:b/>
          <w:color w:val="auto"/>
          <w:sz w:val="21"/>
          <w:szCs w:val="21"/>
          <w:highlight w:val="none"/>
          <w:u w:val="single"/>
        </w:rPr>
        <w:t xml:space="preserve">十五日</w:t>
      </w:r>
      <w:r>
        <w:rPr>
          <w:rFonts w:hint="eastAsia"/>
          <w:color w:val="auto"/>
          <w:sz w:val="21"/>
          <w:szCs w:val="21"/>
          <w:highlight w:val="none"/>
        </w:rPr>
        <w:t xml:space="preserve">前，在原招标公告媒体发布更正公告，该澄清或者修改的内容为招标文件的组成部分。</w:t>
      </w:r>
      <w:r/>
    </w:p>
    <w:p>
      <w:pPr>
        <w:pStyle w:val="950"/>
        <w:numPr>
          <w:ilvl w:val="1"/>
          <w:numId w:val="5"/>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招标代理机构在招标文件要求提交投标文件截止时间</w:t>
      </w:r>
      <w:r>
        <w:rPr>
          <w:rFonts w:hint="eastAsia"/>
          <w:b/>
          <w:color w:val="auto"/>
          <w:sz w:val="21"/>
          <w:szCs w:val="21"/>
          <w:highlight w:val="none"/>
          <w:u w:val="single"/>
        </w:rPr>
        <w:t xml:space="preserve">三日</w:t>
      </w:r>
      <w:r>
        <w:rPr>
          <w:rFonts w:hint="eastAsia"/>
          <w:color w:val="auto"/>
          <w:sz w:val="21"/>
          <w:szCs w:val="21"/>
          <w:highlight w:val="none"/>
        </w:rPr>
        <w:t xml:space="preserve">前，有权决定延长投标截止时间和开标时间，并在原采购信息发布媒体上发布变更公告。</w:t>
      </w:r>
      <w:r/>
    </w:p>
    <w:p>
      <w:pPr>
        <w:pStyle w:val="950"/>
        <w:numPr>
          <w:ilvl w:val="1"/>
          <w:numId w:val="5"/>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供应商应在投标截止时间前关注原采购信息发布媒体上有关本招标项目有无变更公告。  </w:t>
      </w:r>
      <w:bookmarkStart w:id="13" w:name="三、投标"/>
      <w:r/>
      <w:bookmarkEnd w:id="13"/>
      <w:r/>
      <w:r/>
    </w:p>
    <w:p>
      <w:pPr>
        <w:pStyle w:val="950"/>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三、投标</w:t>
      </w:r>
      <w:r/>
    </w:p>
    <w:p>
      <w:pPr>
        <w:ind w:firstLine="422"/>
        <w:spacing w:line="360" w:lineRule="auto"/>
        <w:rPr>
          <w:b/>
          <w:color w:val="auto"/>
          <w:sz w:val="21"/>
          <w:szCs w:val="21"/>
          <w:highlight w:val="none"/>
        </w:rPr>
      </w:pPr>
      <w:r>
        <w:rPr>
          <w:rFonts w:hint="eastAsia"/>
          <w:b/>
          <w:color w:val="auto"/>
          <w:sz w:val="21"/>
          <w:szCs w:val="21"/>
          <w:highlight w:val="none"/>
        </w:rPr>
        <w:t xml:space="preserve">6、投标文件的语言、计量单位、货币和编制</w:t>
      </w:r>
      <w:r/>
    </w:p>
    <w:p>
      <w:pPr>
        <w:pStyle w:val="950"/>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50"/>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6.2 供应商所使用的计量单位应为国家法定计量单位。</w:t>
      </w:r>
      <w:r/>
    </w:p>
    <w:p>
      <w:pPr>
        <w:pStyle w:val="950"/>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6.3 供应商应用人民币报价。</w:t>
      </w:r>
      <w:r/>
    </w:p>
    <w:p>
      <w:pPr>
        <w:pStyle w:val="950"/>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6.4 如标书制作工具中格式和内容与“江苏政府采购网”发布的招标文件不一致，以“江苏政府采购网”发布的招标文件为准。</w:t>
      </w:r>
      <w:r/>
    </w:p>
    <w:p>
      <w:pPr>
        <w:pStyle w:val="950"/>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6.5 供应商应在投标文件中写清相应的项目编号、项目名称、供应商全称、地址、电话、传真等。</w:t>
      </w:r>
      <w:r/>
    </w:p>
    <w:p>
      <w:pPr>
        <w:pStyle w:val="950"/>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6.6 供应商所使用的技术标准应遵循国家最新标准及规范。</w:t>
      </w:r>
      <w:r>
        <w:rPr>
          <w:rFonts w:hint="eastAsia"/>
          <w:color w:val="auto"/>
          <w:sz w:val="21"/>
          <w:szCs w:val="21"/>
          <w:highlight w:val="none"/>
        </w:rPr>
        <w:t xml:space="preserve">   </w:t>
      </w:r>
      <w:r/>
    </w:p>
    <w:p>
      <w:pPr>
        <w:pStyle w:val="950"/>
        <w:ind w:left="440" w:firstLine="0"/>
        <w:spacing w:line="360" w:lineRule="auto"/>
        <w:tabs>
          <w:tab w:val="left" w:pos="1059" w:leader="none"/>
        </w:tabs>
        <w:rPr>
          <w:b/>
          <w:color w:val="auto"/>
          <w:sz w:val="21"/>
          <w:szCs w:val="21"/>
          <w:highlight w:val="none"/>
        </w:rPr>
      </w:pPr>
      <w:r>
        <w:rPr>
          <w:rFonts w:hint="eastAsia"/>
          <w:color w:val="auto"/>
          <w:sz w:val="21"/>
          <w:szCs w:val="21"/>
          <w:highlight w:val="none"/>
        </w:rPr>
        <w:t xml:space="preserve">7</w:t>
      </w:r>
      <w:r>
        <w:rPr>
          <w:rFonts w:hint="eastAsia"/>
          <w:b/>
          <w:color w:val="auto"/>
          <w:sz w:val="21"/>
          <w:szCs w:val="21"/>
          <w:highlight w:val="none"/>
        </w:rPr>
        <w:t xml:space="preserve">、联合投标</w:t>
      </w:r>
      <w:r/>
    </w:p>
    <w:p>
      <w:pPr>
        <w:ind w:firstLine="420"/>
        <w:spacing w:line="360" w:lineRule="auto"/>
        <w:rPr>
          <w:color w:val="auto"/>
          <w:sz w:val="21"/>
          <w:szCs w:val="21"/>
          <w:highlight w:val="none"/>
        </w:rPr>
      </w:pPr>
      <w:r>
        <w:rPr>
          <w:rFonts w:hint="eastAsia"/>
          <w:color w:val="auto"/>
          <w:sz w:val="21"/>
          <w:szCs w:val="21"/>
          <w:highlight w:val="none"/>
        </w:rPr>
        <w:t xml:space="preserve">本次项目不接受联合体形式投标</w:t>
      </w:r>
      <w:bookmarkStart w:id="14" w:name="8、投标费用"/>
      <w:r/>
      <w:bookmarkEnd w:id="14"/>
      <w:r>
        <w:rPr>
          <w:rFonts w:hint="eastAsia"/>
          <w:color w:val="auto"/>
          <w:sz w:val="21"/>
          <w:szCs w:val="21"/>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8、投标费用</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w:t>
      </w:r>
      <w:r>
        <w:rPr>
          <w:bCs/>
          <w:color w:val="auto"/>
          <w:sz w:val="21"/>
          <w:szCs w:val="21"/>
          <w:highlight w:val="none"/>
          <w:lang w:val="en-US"/>
        </w:rPr>
        <w:t xml:space="preserve">.</w:t>
      </w:r>
      <w:r>
        <w:rPr>
          <w:rFonts w:hint="eastAsia"/>
          <w:bCs/>
          <w:color w:val="auto"/>
          <w:sz w:val="21"/>
          <w:szCs w:val="21"/>
          <w:highlight w:val="none"/>
          <w:lang w:val="en-US"/>
        </w:rPr>
        <w:t xml:space="preserve">1 </w:t>
      </w:r>
      <w:r>
        <w:rPr>
          <w:bCs/>
          <w:color w:val="auto"/>
          <w:sz w:val="21"/>
          <w:szCs w:val="21"/>
          <w:highlight w:val="none"/>
          <w:lang w:val="en-US"/>
        </w:rPr>
        <w:t xml:space="preserve">8.2 本次招标，招标代理服务费按《招标代理服务费管理暂行办法》（国家发展计划委员会计价格【2002】1980号）收费标准的20%计算（不足3900元按3900元计），由中标单位向招标代理机构支付。该项费用请供应商综合考虑在投标报价中，后期采购人不单独列支，必须在领取中标通知书前向招标代理机构支付招标服务费。  </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8.2 投标保证金：本项目</w:t>
      </w:r>
      <w:r>
        <w:rPr>
          <w:rFonts w:hint="eastAsia"/>
          <w:b/>
          <w:color w:val="auto"/>
          <w:sz w:val="21"/>
          <w:szCs w:val="21"/>
          <w:highlight w:val="none"/>
          <w:lang w:val="en-US"/>
        </w:rPr>
        <w:t xml:space="preserve">不收取</w:t>
      </w:r>
      <w:r>
        <w:rPr>
          <w:rFonts w:hint="eastAsia"/>
          <w:bCs/>
          <w:color w:val="auto"/>
          <w:sz w:val="21"/>
          <w:szCs w:val="21"/>
          <w:highlight w:val="none"/>
          <w:lang w:val="en-US"/>
        </w:rPr>
        <w:t xml:space="preserve">投标保证金。</w:t>
      </w:r>
      <w:r/>
    </w:p>
    <w:p>
      <w:pPr>
        <w:ind w:firstLine="422"/>
        <w:spacing w:line="360" w:lineRule="auto"/>
        <w:rPr>
          <w:b/>
          <w:color w:val="auto"/>
          <w:sz w:val="21"/>
          <w:szCs w:val="21"/>
          <w:highlight w:val="none"/>
        </w:rPr>
      </w:pPr>
      <w:r>
        <w:rPr>
          <w:rFonts w:hint="eastAsia"/>
          <w:b/>
          <w:color w:val="auto"/>
          <w:sz w:val="21"/>
          <w:szCs w:val="21"/>
          <w:highlight w:val="none"/>
        </w:rPr>
        <w:t xml:space="preserve">9、投标文件组成</w:t>
      </w:r>
      <w:r/>
    </w:p>
    <w:p>
      <w:pPr>
        <w:pStyle w:val="950"/>
        <w:numPr>
          <w:ilvl w:val="1"/>
          <w:numId w:val="6"/>
        </w:numPr>
        <w:ind w:firstLine="420"/>
        <w:spacing w:line="360" w:lineRule="auto"/>
        <w:tabs>
          <w:tab w:val="left" w:pos="1006" w:leader="none"/>
        </w:tabs>
        <w:rPr>
          <w:color w:val="auto"/>
          <w:sz w:val="21"/>
          <w:szCs w:val="21"/>
          <w:highlight w:val="none"/>
        </w:rPr>
      </w:pPr>
      <w:r>
        <w:rPr>
          <w:rFonts w:hint="eastAsia"/>
          <w:color w:val="auto"/>
          <w:sz w:val="21"/>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950"/>
        <w:numPr>
          <w:ilvl w:val="1"/>
          <w:numId w:val="6"/>
        </w:numPr>
        <w:ind w:firstLine="420"/>
        <w:spacing w:line="360" w:lineRule="auto"/>
        <w:tabs>
          <w:tab w:val="left" w:pos="1049" w:leader="none"/>
        </w:tabs>
        <w:rPr>
          <w:color w:val="auto"/>
          <w:sz w:val="21"/>
          <w:szCs w:val="21"/>
          <w:highlight w:val="none"/>
        </w:rPr>
      </w:pPr>
      <w:r>
        <w:rPr>
          <w:rFonts w:hint="eastAsia"/>
          <w:color w:val="auto"/>
          <w:sz w:val="21"/>
          <w:szCs w:val="21"/>
          <w:highlight w:val="none"/>
        </w:rPr>
        <w:t xml:space="preserve">供应商根据招标文件载明的标的采购项目实际情况，拟在中标后将中标项目的非主体、非关键性工作交由他人完成的，应当在投标文件中载明。</w:t>
      </w:r>
      <w:r/>
    </w:p>
    <w:p>
      <w:pPr>
        <w:pStyle w:val="950"/>
        <w:numPr>
          <w:ilvl w:val="1"/>
          <w:numId w:val="6"/>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投标文件由商务部分、技术部分、价格部分，以及其他部分组成。 </w:t>
      </w:r>
      <w:r/>
    </w:p>
    <w:p>
      <w:pPr>
        <w:pStyle w:val="950"/>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10、投标文件的商务部分</w:t>
      </w:r>
      <w:r/>
    </w:p>
    <w:p>
      <w:pPr>
        <w:pStyle w:val="880"/>
        <w:ind w:firstLine="420"/>
        <w:spacing w:line="360" w:lineRule="auto"/>
        <w:rPr>
          <w:color w:val="auto"/>
          <w:highlight w:val="none"/>
        </w:rPr>
      </w:pPr>
      <w:r>
        <w:rPr>
          <w:rFonts w:hint="eastAsia"/>
          <w:color w:val="auto"/>
          <w:highlight w:val="none"/>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color w:val="auto"/>
          <w:highlight w:val="none"/>
        </w:rPr>
        <w:t xml:space="preserve">★</w:t>
      </w:r>
      <w:r>
        <w:rPr>
          <w:rFonts w:hint="eastAsia"/>
          <w:color w:val="auto"/>
          <w:highlight w:val="none"/>
        </w:rPr>
        <w:t xml:space="preserve">”项目不得有缺失或无效。</w:t>
      </w:r>
      <w:r/>
    </w:p>
    <w:p>
      <w:pPr>
        <w:pStyle w:val="950"/>
        <w:numPr>
          <w:ilvl w:val="0"/>
          <w:numId w:val="7"/>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投标申请及声明；</w:t>
      </w:r>
      <w:r/>
    </w:p>
    <w:p>
      <w:pPr>
        <w:pStyle w:val="950"/>
        <w:numPr>
          <w:ilvl w:val="0"/>
          <w:numId w:val="7"/>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法定代表人授权委托书及委托代理人的身份证复印件；</w:t>
      </w:r>
      <w:r/>
    </w:p>
    <w:p>
      <w:pPr>
        <w:pStyle w:val="950"/>
        <w:numPr>
          <w:ilvl w:val="0"/>
          <w:numId w:val="7"/>
        </w:numPr>
        <w:ind w:firstLine="442"/>
        <w:spacing w:line="360" w:lineRule="auto"/>
        <w:tabs>
          <w:tab w:val="left" w:pos="1169"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第一章投标邀请中申请人的资格要求规定的资格条件证明文件；</w:t>
      </w:r>
      <w:r/>
    </w:p>
    <w:p>
      <w:pPr>
        <w:pStyle w:val="950"/>
        <w:ind w:left="440" w:firstLine="0"/>
        <w:spacing w:line="360" w:lineRule="auto"/>
        <w:tabs>
          <w:tab w:val="left" w:pos="1163" w:leader="none"/>
        </w:tabs>
        <w:rPr>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4</w:t>
      </w:r>
      <w:r>
        <w:rPr>
          <w:rFonts w:hint="eastAsia"/>
          <w:color w:val="auto"/>
          <w:sz w:val="21"/>
          <w:szCs w:val="21"/>
          <w:highlight w:val="none"/>
        </w:rPr>
        <w:t xml:space="preserve">）</w:t>
      </w: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《商务条款偏离表》；</w:t>
      </w:r>
      <w:r/>
    </w:p>
    <w:p>
      <w:pPr>
        <w:pStyle w:val="950"/>
        <w:ind w:left="440" w:firstLine="0"/>
        <w:spacing w:line="360" w:lineRule="auto"/>
        <w:tabs>
          <w:tab w:val="left" w:pos="1163" w:leader="none"/>
        </w:tabs>
        <w:rPr>
          <w:b/>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5</w:t>
      </w:r>
      <w:r>
        <w:rPr>
          <w:rFonts w:hint="eastAsia"/>
          <w:color w:val="auto"/>
          <w:sz w:val="21"/>
          <w:szCs w:val="21"/>
          <w:highlight w:val="none"/>
        </w:rPr>
        <w:t xml:space="preserve">）供应商认为需要提供的其他资格证明文件和商务资料等。 </w:t>
      </w:r>
      <w:r/>
    </w:p>
    <w:p>
      <w:pPr>
        <w:pStyle w:val="950"/>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11、投标文件的技术部分</w:t>
      </w:r>
      <w:r/>
    </w:p>
    <w:p>
      <w:pPr>
        <w:pStyle w:val="950"/>
        <w:numPr>
          <w:ilvl w:val="1"/>
          <w:numId w:val="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950"/>
        <w:numPr>
          <w:ilvl w:val="1"/>
          <w:numId w:val="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若技术性能无特殊说明，则按国家有关部门最新颁布的标准及规范为准；</w:t>
      </w:r>
      <w:r/>
    </w:p>
    <w:p>
      <w:pPr>
        <w:pStyle w:val="950"/>
        <w:numPr>
          <w:ilvl w:val="1"/>
          <w:numId w:val="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提供的服务如与招标文件要求有不符之处，应说明其差别之所在，并在《技术条款偏离表》中逐条予以说明。</w:t>
      </w:r>
      <w:r/>
    </w:p>
    <w:p>
      <w:pPr>
        <w:pStyle w:val="950"/>
        <w:numPr>
          <w:ilvl w:val="1"/>
          <w:numId w:val="8"/>
        </w:numPr>
        <w:ind w:firstLine="420"/>
        <w:spacing w:line="360" w:lineRule="auto"/>
        <w:tabs>
          <w:tab w:val="left" w:pos="1164" w:leader="none"/>
        </w:tabs>
        <w:rPr>
          <w:b/>
          <w:color w:val="auto"/>
          <w:sz w:val="21"/>
          <w:szCs w:val="21"/>
          <w:highlight w:val="none"/>
        </w:rPr>
      </w:pPr>
      <w:r>
        <w:rPr>
          <w:rFonts w:hint="eastAsia"/>
          <w:color w:val="auto"/>
          <w:sz w:val="21"/>
          <w:szCs w:val="21"/>
          <w:highlight w:val="none"/>
        </w:rPr>
        <w:t xml:space="preserve">投标文件应按照招标文件要求提供技术资料、文件和有关证明，包括但不限于</w:t>
      </w:r>
      <w:r>
        <w:rPr>
          <w:rFonts w:hint="eastAsia"/>
          <w:b/>
          <w:color w:val="auto"/>
          <w:sz w:val="21"/>
          <w:szCs w:val="21"/>
          <w:highlight w:val="none"/>
        </w:rPr>
        <w:t xml:space="preserve">其中加</w:t>
      </w: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项目不得有缺失或无效：</w:t>
      </w:r>
      <w:r/>
    </w:p>
    <w:p>
      <w:pPr>
        <w:pStyle w:val="950"/>
        <w:numPr>
          <w:ilvl w:val="0"/>
          <w:numId w:val="9"/>
        </w:numPr>
        <w:ind w:firstLine="420"/>
        <w:spacing w:line="360" w:lineRule="auto"/>
        <w:tabs>
          <w:tab w:val="left" w:pos="1164" w:leader="none"/>
        </w:tabs>
        <w:rPr>
          <w:bCs/>
          <w:color w:val="auto"/>
          <w:sz w:val="21"/>
          <w:szCs w:val="21"/>
          <w:highlight w:val="none"/>
        </w:rPr>
      </w:pPr>
      <w:r>
        <w:rPr>
          <w:rFonts w:hint="eastAsia"/>
          <w:bCs/>
          <w:color w:val="auto"/>
          <w:sz w:val="21"/>
          <w:szCs w:val="21"/>
          <w:highlight w:val="none"/>
        </w:rPr>
        <w:t xml:space="preserve">拟投入本项目人员配备表；</w:t>
      </w:r>
      <w:r/>
    </w:p>
    <w:p>
      <w:pPr>
        <w:pStyle w:val="950"/>
        <w:numPr>
          <w:ilvl w:val="0"/>
          <w:numId w:val="9"/>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项目实施方案；</w:t>
      </w:r>
      <w:r/>
    </w:p>
    <w:p>
      <w:pPr>
        <w:pStyle w:val="950"/>
        <w:numPr>
          <w:ilvl w:val="0"/>
          <w:numId w:val="9"/>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服务承诺；</w:t>
      </w:r>
      <w:r/>
    </w:p>
    <w:p>
      <w:pPr>
        <w:pStyle w:val="950"/>
        <w:numPr>
          <w:ilvl w:val="0"/>
          <w:numId w:val="9"/>
        </w:numPr>
        <w:ind w:firstLine="442"/>
        <w:spacing w:line="360" w:lineRule="auto"/>
        <w:tabs>
          <w:tab w:val="left" w:pos="1163"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《技术条款偏离表》；</w:t>
      </w:r>
      <w:r/>
    </w:p>
    <w:p>
      <w:pPr>
        <w:pStyle w:val="950"/>
        <w:numPr>
          <w:ilvl w:val="0"/>
          <w:numId w:val="9"/>
        </w:numPr>
        <w:ind w:firstLine="420"/>
        <w:spacing w:line="360" w:lineRule="auto"/>
        <w:tabs>
          <w:tab w:val="left" w:pos="1163" w:leader="none"/>
        </w:tabs>
        <w:rPr>
          <w:b/>
          <w:color w:val="auto"/>
          <w:sz w:val="21"/>
          <w:szCs w:val="21"/>
          <w:highlight w:val="none"/>
        </w:rPr>
      </w:pPr>
      <w:r>
        <w:rPr>
          <w:rFonts w:hint="eastAsia"/>
          <w:color w:val="auto"/>
          <w:sz w:val="21"/>
          <w:szCs w:val="21"/>
          <w:highlight w:val="none"/>
        </w:rPr>
        <w:t xml:space="preserve">供应商认为需要提供的其他技术资料。</w:t>
      </w:r>
      <w:r/>
    </w:p>
    <w:p>
      <w:pPr>
        <w:pStyle w:val="950"/>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12、投标文件的价格部分</w:t>
      </w:r>
      <w:r/>
    </w:p>
    <w:p>
      <w:pPr>
        <w:pStyle w:val="950"/>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12.1 价格部分是对投标价格构成的说明，每一项货物仅接受一个价格。投标人应按照招标文件规定格式填报投标分项报价表。</w:t>
      </w:r>
      <w:r/>
    </w:p>
    <w:p>
      <w:pPr>
        <w:pStyle w:val="950"/>
        <w:spacing w:line="360" w:lineRule="auto"/>
        <w:tabs>
          <w:tab w:val="left" w:pos="1164" w:leader="none"/>
        </w:tabs>
        <w:rPr>
          <w:color w:val="auto"/>
          <w:sz w:val="21"/>
          <w:szCs w:val="21"/>
          <w:highlight w:val="none"/>
        </w:rPr>
      </w:pPr>
      <w:r>
        <w:rPr>
          <w:rFonts w:hint="eastAsia"/>
          <w:color w:val="auto"/>
          <w:sz w:val="21"/>
          <w:szCs w:val="21"/>
          <w:highlight w:val="none"/>
        </w:rPr>
        <w:t xml:space="preserve">12.2 本项目为交钥匙工程，各潜在投标人踏勘现场时要注意现场的施工条件和复杂程度，评估工作量</w:t>
      </w:r>
      <w:r>
        <w:rPr>
          <w:color w:val="auto"/>
          <w:sz w:val="21"/>
          <w:szCs w:val="21"/>
          <w:highlight w:val="none"/>
        </w:rPr>
        <w:t xml:space="preserve">,各系统报价需包含配管配线，包含开槽及恢复工作的费用，对接产生的一切费用已包含在投标总价中。</w:t>
      </w:r>
      <w:r/>
    </w:p>
    <w:p>
      <w:pPr>
        <w:pStyle w:val="950"/>
        <w:spacing w:line="360" w:lineRule="auto"/>
        <w:tabs>
          <w:tab w:val="left" w:pos="1164" w:leader="none"/>
        </w:tabs>
        <w:rPr>
          <w:color w:val="auto"/>
          <w:sz w:val="21"/>
          <w:szCs w:val="21"/>
          <w:highlight w:val="none"/>
        </w:rPr>
      </w:pPr>
      <w:r>
        <w:rPr>
          <w:color w:val="auto"/>
          <w:sz w:val="21"/>
          <w:szCs w:val="21"/>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950"/>
        <w:spacing w:line="360" w:lineRule="auto"/>
        <w:tabs>
          <w:tab w:val="left" w:pos="1164" w:leader="none"/>
        </w:tabs>
        <w:rPr>
          <w:color w:val="auto"/>
          <w:sz w:val="21"/>
          <w:szCs w:val="21"/>
          <w:highlight w:val="none"/>
        </w:rPr>
      </w:pPr>
      <w:r>
        <w:rPr>
          <w:color w:val="auto"/>
          <w:sz w:val="21"/>
          <w:szCs w:val="21"/>
          <w:highlight w:val="none"/>
        </w:rPr>
        <w:t xml:space="preserve">2）供应商的任何错漏、优惠、竞争性报价不得作为减轻责任、减少服务、增加收费、降低服务质量的理由。</w:t>
      </w:r>
      <w:r/>
    </w:p>
    <w:p>
      <w:pPr>
        <w:pStyle w:val="950"/>
        <w:ind w:left="0"/>
        <w:spacing w:line="360" w:lineRule="auto"/>
        <w:tabs>
          <w:tab w:val="left" w:pos="1164" w:leader="none"/>
        </w:tabs>
        <w:rPr>
          <w:color w:val="auto"/>
          <w:sz w:val="21"/>
          <w:szCs w:val="21"/>
          <w:highlight w:val="none"/>
        </w:rPr>
      </w:pPr>
      <w:r>
        <w:rPr>
          <w:color w:val="auto"/>
          <w:sz w:val="21"/>
          <w:szCs w:val="21"/>
          <w:highlight w:val="none"/>
        </w:rPr>
        <w:t xml:space="preserve">3）供应商报价除包含招标文件中列明的项目外，还应包括保障服务正常运行应当具有的线材、管材、物资和服务，对服务正常运行应当具有的线材、管材、物资和服务理解不一致的以采购单位解释为准。</w:t>
      </w:r>
      <w:r/>
    </w:p>
    <w:p>
      <w:pPr>
        <w:pStyle w:val="950"/>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12.3 供应商的任何错漏、优惠、竞争性报价不得作为减轻责任、减少服务、增加收费、降低质量的理由。</w:t>
      </w:r>
      <w:r/>
    </w:p>
    <w:p>
      <w:pPr>
        <w:pStyle w:val="950"/>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950"/>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12.5 《开标一览表》须加盖电子公章。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13、投标文件的其他部分</w:t>
      </w:r>
      <w:r/>
    </w:p>
    <w:p>
      <w:pPr>
        <w:pStyle w:val="880"/>
        <w:ind w:firstLine="420"/>
        <w:spacing w:line="360" w:lineRule="auto"/>
        <w:rPr>
          <w:color w:val="auto"/>
          <w:highlight w:val="none"/>
        </w:rPr>
      </w:pPr>
      <w:r>
        <w:rPr>
          <w:rFonts w:hint="eastAsia"/>
          <w:color w:val="auto"/>
          <w:highlight w:val="none"/>
        </w:rPr>
        <w:t xml:space="preserve">13.1 其他部分由供应商根据编制投标文件需要提供的其他相关文件组成。</w:t>
      </w:r>
      <w:r/>
    </w:p>
    <w:p>
      <w:pPr>
        <w:pStyle w:val="880"/>
        <w:ind w:firstLine="422"/>
        <w:spacing w:line="360" w:lineRule="auto"/>
        <w:rPr>
          <w:b/>
          <w:color w:val="auto"/>
          <w:highlight w:val="none"/>
        </w:rPr>
      </w:pPr>
      <w:r>
        <w:rPr>
          <w:rFonts w:hint="eastAsia"/>
          <w:b/>
          <w:color w:val="auto"/>
          <w:highlight w:val="none"/>
        </w:rPr>
        <w:t xml:space="preserve">14、投标有效期</w:t>
      </w:r>
      <w:r/>
    </w:p>
    <w:p>
      <w:pPr>
        <w:pStyle w:val="950"/>
        <w:numPr>
          <w:ilvl w:val="1"/>
          <w:numId w:val="10"/>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自开标之日起</w:t>
      </w:r>
      <w:r>
        <w:rPr>
          <w:rFonts w:hint="eastAsia"/>
          <w:b/>
          <w:color w:val="auto"/>
          <w:sz w:val="21"/>
          <w:szCs w:val="21"/>
          <w:highlight w:val="none"/>
        </w:rPr>
        <w:t xml:space="preserve">60天</w:t>
      </w:r>
      <w:r>
        <w:rPr>
          <w:rFonts w:hint="eastAsia"/>
          <w:color w:val="auto"/>
          <w:sz w:val="21"/>
          <w:szCs w:val="21"/>
          <w:highlight w:val="none"/>
        </w:rPr>
        <w:t xml:space="preserve">内投标有效。</w:t>
      </w:r>
      <w:r/>
    </w:p>
    <w:p>
      <w:pPr>
        <w:pStyle w:val="950"/>
        <w:numPr>
          <w:ilvl w:val="1"/>
          <w:numId w:val="10"/>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auto"/>
          <w:sz w:val="21"/>
          <w:szCs w:val="21"/>
          <w:highlight w:val="none"/>
        </w:rPr>
      </w:pPr>
      <w:r>
        <w:rPr>
          <w:rFonts w:hint="eastAsia"/>
          <w:b/>
          <w:color w:val="auto"/>
          <w:sz w:val="21"/>
          <w:szCs w:val="21"/>
          <w:highlight w:val="none"/>
        </w:rPr>
        <w:t xml:space="preserve">15、投标文件的份数、签署</w:t>
      </w:r>
      <w:r/>
    </w:p>
    <w:p>
      <w:pPr>
        <w:pStyle w:val="950"/>
        <w:numPr>
          <w:ilvl w:val="1"/>
          <w:numId w:val="11"/>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除供应商对错处做必要修改外，投标文件不得行间插字、涂改或增删。如有修改错漏处，必须由投标文件签署人签字或加盖电子公章。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16、投标文件的递交</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.1 投标人应当按照《操作手册》规定，在招标公告规定的投标截止时间前制作并上传电子投标文件。</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.2 投标人应充分考虑网络环境、网络带宽等因素可能对投标产生的影响，如因投标人自身原因造成的电子投标文件上传不成功的，按照本招标文件第二章第21.2.2.4 条规定做无效投标处理。</w:t>
      </w:r>
      <w:r/>
    </w:p>
    <w:p>
      <w:pPr>
        <w:pStyle w:val="950"/>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.3 代理机构有权通过修改招标文件酌情延长投标截止时间，在此情况下，投标人的所有权利和义务均以延长后新的截止时间为准。</w:t>
      </w:r>
      <w:r>
        <w:rPr>
          <w:rFonts w:hint="eastAsia"/>
          <w:color w:val="auto"/>
          <w:sz w:val="21"/>
          <w:szCs w:val="21"/>
          <w:highlight w:val="none"/>
        </w:rPr>
        <w:t xml:space="preserve">   </w:t>
      </w:r>
      <w:r/>
    </w:p>
    <w:p>
      <w:pPr>
        <w:pStyle w:val="950"/>
        <w:ind w:left="440" w:firstLine="0"/>
        <w:spacing w:line="360" w:lineRule="auto"/>
        <w:tabs>
          <w:tab w:val="left" w:pos="1164" w:leader="none"/>
        </w:tabs>
        <w:rPr>
          <w:b/>
          <w:color w:val="auto"/>
          <w:sz w:val="21"/>
          <w:szCs w:val="21"/>
          <w:highlight w:val="none"/>
        </w:rPr>
      </w:pPr>
      <w:r>
        <w:rPr>
          <w:rFonts w:hint="eastAsia"/>
          <w:b/>
          <w:color w:val="auto"/>
          <w:sz w:val="21"/>
          <w:szCs w:val="21"/>
          <w:highlight w:val="none"/>
        </w:rPr>
        <w:t xml:space="preserve">17、有下列情形之一的投标文件将拒收：</w:t>
      </w:r>
      <w:r/>
    </w:p>
    <w:p>
      <w:pPr>
        <w:ind w:firstLine="420"/>
        <w:spacing w:line="360" w:lineRule="auto"/>
        <w:rPr>
          <w:color w:val="auto"/>
          <w:highlight w:val="none"/>
        </w:rPr>
      </w:pPr>
      <w:r>
        <w:rPr>
          <w:rFonts w:hint="eastAsia"/>
          <w:color w:val="auto"/>
          <w:sz w:val="21"/>
          <w:szCs w:val="21"/>
          <w:highlight w:val="none"/>
          <w:lang w:val="en-US"/>
        </w:rPr>
        <w:t xml:space="preserve">17.1 </w:t>
      </w:r>
      <w:r>
        <w:rPr>
          <w:rFonts w:hint="eastAsia"/>
          <w:color w:val="auto"/>
          <w:sz w:val="21"/>
          <w:szCs w:val="21"/>
          <w:highlight w:val="none"/>
        </w:rPr>
        <w:t xml:space="preserve">在招标文件要求提交投标文件的截止时间之后上传的。</w:t>
      </w:r>
      <w:r/>
    </w:p>
    <w:p>
      <w:pPr>
        <w:ind w:firstLine="422"/>
        <w:spacing w:line="360" w:lineRule="auto"/>
        <w:rPr>
          <w:b/>
          <w:color w:val="auto"/>
          <w:sz w:val="21"/>
          <w:szCs w:val="21"/>
          <w:highlight w:val="none"/>
        </w:rPr>
      </w:pPr>
      <w:r>
        <w:rPr>
          <w:rFonts w:hint="eastAsia"/>
          <w:b/>
          <w:color w:val="auto"/>
          <w:sz w:val="21"/>
          <w:szCs w:val="21"/>
          <w:highlight w:val="none"/>
        </w:rPr>
        <w:t xml:space="preserve">18、投标文件的修改和撤回</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.1 投标文件的修改</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投标人可在投标截止时间前对其电子投标文件进行修改，具体操作方法见《操作手册》。</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投标截止时间之后，投标人不得对其电子投标文件作任何修改。</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 投标文件的撤回</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投标人可在投标截止时间前撤回其电子投标文件，具体操作方法见《操作手册》。</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投标人撤回电子投标文件，则认为其不再参与本项目投标活动。</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.2.3 在投标截止时间至招标文件中规定的投标有效期满之间的这段时间内，投标人不得撤回其投标。</w:t>
      </w:r>
      <w:r/>
    </w:p>
    <w:p>
      <w:pPr>
        <w:ind w:firstLine="422"/>
        <w:spacing w:line="360" w:lineRule="auto"/>
        <w:rPr>
          <w:b/>
          <w:color w:val="auto"/>
          <w:sz w:val="21"/>
          <w:szCs w:val="21"/>
          <w:highlight w:val="none"/>
        </w:rPr>
      </w:pPr>
      <w:r/>
      <w:bookmarkStart w:id="15" w:name="四、开标、评标与确定中标供应商"/>
      <w:r/>
      <w:bookmarkEnd w:id="15"/>
      <w:r>
        <w:rPr>
          <w:rFonts w:hint="eastAsia"/>
          <w:b/>
          <w:color w:val="auto"/>
          <w:sz w:val="21"/>
          <w:szCs w:val="21"/>
          <w:highlight w:val="none"/>
        </w:rPr>
        <w:t xml:space="preserve">四、开标、评标与确定中标供应商</w:t>
      </w:r>
      <w:r/>
    </w:p>
    <w:p>
      <w:pPr>
        <w:ind w:firstLine="422"/>
        <w:spacing w:line="360" w:lineRule="auto"/>
        <w:rPr>
          <w:b/>
          <w:color w:val="auto"/>
          <w:sz w:val="21"/>
          <w:szCs w:val="21"/>
          <w:highlight w:val="none"/>
        </w:rPr>
      </w:pPr>
      <w:r>
        <w:rPr>
          <w:rFonts w:hint="eastAsia"/>
          <w:b/>
          <w:color w:val="auto"/>
          <w:sz w:val="21"/>
          <w:szCs w:val="21"/>
          <w:highlight w:val="none"/>
        </w:rPr>
        <w:t xml:space="preserve">19、开标</w:t>
      </w:r>
      <w:r/>
    </w:p>
    <w:p>
      <w:pPr>
        <w:pStyle w:val="950"/>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950"/>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.2 投标人在开标过程中涉及到的投标文件解密、开标结果确认等工作，应按照《操作手册》规定执行。</w:t>
      </w:r>
      <w:r/>
    </w:p>
    <w:p>
      <w:pPr>
        <w:pStyle w:val="950"/>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auto"/>
          <w:sz w:val="21"/>
          <w:szCs w:val="21"/>
          <w:highlight w:val="none"/>
        </w:rPr>
      </w:pPr>
      <w:r>
        <w:rPr>
          <w:rFonts w:hint="eastAsia"/>
          <w:b/>
          <w:color w:val="auto"/>
          <w:sz w:val="21"/>
          <w:szCs w:val="21"/>
          <w:highlight w:val="none"/>
        </w:rPr>
        <w:t xml:space="preserve">20、评标</w:t>
      </w:r>
      <w:r/>
    </w:p>
    <w:p>
      <w:pPr>
        <w:pStyle w:val="950"/>
        <w:numPr>
          <w:ilvl w:val="1"/>
          <w:numId w:val="0"/>
        </w:numPr>
        <w:ind w:firstLine="422"/>
        <w:spacing w:line="360" w:lineRule="auto"/>
        <w:tabs>
          <w:tab w:val="left" w:pos="1109" w:leader="none"/>
        </w:tabs>
        <w:rPr>
          <w:b/>
          <w:color w:val="auto"/>
          <w:sz w:val="21"/>
          <w:szCs w:val="21"/>
          <w:highlight w:val="none"/>
        </w:rPr>
      </w:pPr>
      <w:r>
        <w:rPr>
          <w:color w:val="auto"/>
          <w:sz w:val="21"/>
          <w:szCs w:val="21"/>
          <w:highlight w:val="none"/>
        </w:rPr>
        <w:t xml:space="preserve">20.1</w:t>
      </w:r>
      <w:r>
        <w:rPr>
          <w:rFonts w:hint="eastAsia"/>
          <w:b/>
          <w:color w:val="auto"/>
          <w:sz w:val="21"/>
          <w:szCs w:val="21"/>
          <w:highlight w:val="none"/>
        </w:rPr>
        <w:t xml:space="preserve">评标组织</w:t>
      </w:r>
      <w:r/>
    </w:p>
    <w:p>
      <w:pPr>
        <w:pStyle w:val="950"/>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21.1.1评标工作由代理机构组织评标委员会（以下简称“评委会”）进行，具体评标事务由依法组建的评标委员会负责，并独立履行下列职责：</w:t>
      </w:r>
      <w:r/>
    </w:p>
    <w:p>
      <w:pPr>
        <w:pStyle w:val="950"/>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（1）审查、评价投标文件是否符合招标文件的商务、技术等实质性要求；</w:t>
      </w:r>
      <w:r/>
    </w:p>
    <w:p>
      <w:pPr>
        <w:pStyle w:val="950"/>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（2）要求供应商对投标文件有关事项作出澄清或者说明；</w:t>
      </w:r>
      <w:r/>
    </w:p>
    <w:p>
      <w:pPr>
        <w:pStyle w:val="950"/>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（3）对投标文件进行比较和评价；</w:t>
      </w:r>
      <w:r/>
    </w:p>
    <w:p>
      <w:pPr>
        <w:pStyle w:val="950"/>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（4）推荐中标候选人或根据采购人委托直接确定中标供应商；</w:t>
      </w:r>
      <w:r/>
    </w:p>
    <w:p>
      <w:pPr>
        <w:pStyle w:val="950"/>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（5）向采购人、财政部门报告评标中发现的违法行为。</w:t>
      </w:r>
      <w:r/>
    </w:p>
    <w:p>
      <w:pPr>
        <w:pStyle w:val="950"/>
        <w:numPr>
          <w:ilvl w:val="1"/>
          <w:numId w:val="0"/>
        </w:numPr>
        <w:ind w:firstLine="422"/>
        <w:spacing w:line="360" w:lineRule="auto"/>
        <w:tabs>
          <w:tab w:val="left" w:pos="1167" w:leader="none"/>
        </w:tabs>
        <w:rPr>
          <w:b/>
          <w:color w:val="auto"/>
          <w:sz w:val="21"/>
          <w:szCs w:val="21"/>
          <w:highlight w:val="none"/>
        </w:rPr>
      </w:pPr>
      <w:r>
        <w:rPr>
          <w:color w:val="auto"/>
          <w:sz w:val="21"/>
          <w:szCs w:val="21"/>
          <w:highlight w:val="none"/>
        </w:rPr>
        <w:t xml:space="preserve">20.2</w:t>
      </w:r>
      <w:r>
        <w:rPr>
          <w:rFonts w:hint="eastAsia"/>
          <w:b/>
          <w:color w:val="auto"/>
          <w:sz w:val="21"/>
          <w:szCs w:val="21"/>
          <w:highlight w:val="none"/>
        </w:rPr>
        <w:t xml:space="preserve">评标程序</w:t>
      </w:r>
      <w:r/>
    </w:p>
    <w:p>
      <w:pPr>
        <w:pStyle w:val="950"/>
        <w:numPr>
          <w:ilvl w:val="2"/>
          <w:numId w:val="0"/>
        </w:numPr>
        <w:ind w:firstLine="422"/>
        <w:spacing w:line="360" w:lineRule="auto"/>
        <w:tabs>
          <w:tab w:val="left" w:pos="1378" w:leader="none"/>
        </w:tabs>
        <w:rPr>
          <w:b/>
          <w:color w:val="auto"/>
          <w:sz w:val="21"/>
          <w:szCs w:val="21"/>
          <w:highlight w:val="none"/>
        </w:rPr>
      </w:pPr>
      <w:r>
        <w:rPr>
          <w:color w:val="auto"/>
          <w:sz w:val="21"/>
          <w:szCs w:val="21"/>
          <w:highlight w:val="none"/>
        </w:rPr>
        <w:t xml:space="preserve">20.2.1</w:t>
      </w:r>
      <w:r>
        <w:rPr>
          <w:rFonts w:hint="eastAsia"/>
          <w:b/>
          <w:color w:val="auto"/>
          <w:sz w:val="21"/>
          <w:szCs w:val="21"/>
          <w:highlight w:val="none"/>
        </w:rPr>
        <w:t xml:space="preserve">投标文件的资格审查。</w:t>
      </w:r>
      <w:r/>
    </w:p>
    <w:p>
      <w:pPr>
        <w:pStyle w:val="950"/>
        <w:ind w:left="0"/>
        <w:spacing w:line="360" w:lineRule="auto"/>
        <w:tabs>
          <w:tab w:val="left" w:pos="1163" w:leader="none"/>
        </w:tabs>
        <w:rPr>
          <w:color w:val="auto"/>
          <w:sz w:val="21"/>
          <w:szCs w:val="21"/>
          <w:highlight w:val="none"/>
        </w:rPr>
      </w:pPr>
      <w:r/>
      <w:bookmarkStart w:id="16" w:name="20.2.1.1采购人代表将依法对投标人的资格进行审查。"/>
      <w:r/>
      <w:bookmarkEnd w:id="16"/>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.2.1.1采购人代表依法对供应商的资格进行审查。</w:t>
      </w:r>
      <w:r/>
    </w:p>
    <w:p>
      <w:pPr>
        <w:pStyle w:val="950"/>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.2.1.2采购人代表依据法律法规和招标文件的规定，对投标文件中的资格证明文件等进行审查，以确定投标供应商是否具备投标资格。</w:t>
      </w:r>
      <w:r/>
    </w:p>
    <w:p>
      <w:pPr>
        <w:pStyle w:val="950"/>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950"/>
        <w:ind w:left="0"/>
        <w:spacing w:line="360" w:lineRule="auto"/>
        <w:tabs>
          <w:tab w:val="left" w:pos="1163" w:leader="none"/>
        </w:tabs>
        <w:rPr>
          <w:color w:val="auto"/>
          <w:sz w:val="21"/>
          <w:szCs w:val="21"/>
          <w:highlight w:val="none"/>
        </w:rPr>
      </w:pPr>
      <w:r>
        <w:rPr>
          <w:b/>
          <w:bCs/>
          <w:color w:val="auto"/>
          <w:sz w:val="21"/>
          <w:szCs w:val="21"/>
          <w:highlight w:val="none"/>
        </w:rPr>
        <w:t xml:space="preserve">2</w:t>
      </w:r>
      <w:r>
        <w:rPr>
          <w:rFonts w:hint="eastAsia"/>
          <w:b/>
          <w:bCs/>
          <w:color w:val="auto"/>
          <w:sz w:val="21"/>
          <w:szCs w:val="21"/>
          <w:highlight w:val="none"/>
          <w:lang w:val="en-US"/>
        </w:rPr>
        <w:t xml:space="preserve">0</w:t>
      </w:r>
      <w:r>
        <w:rPr>
          <w:b/>
          <w:bCs/>
          <w:color w:val="auto"/>
          <w:sz w:val="21"/>
          <w:szCs w:val="21"/>
          <w:highlight w:val="none"/>
        </w:rPr>
        <w:t xml:space="preserve">.2.1.4 投标文件有下列情况之一的，在资格性审查时按照无效投标处理</w:t>
      </w:r>
      <w:r/>
    </w:p>
    <w:p>
      <w:pPr>
        <w:pStyle w:val="950"/>
        <w:ind w:left="0"/>
        <w:spacing w:line="360" w:lineRule="auto"/>
        <w:tabs>
          <w:tab w:val="left" w:pos="1163" w:leader="none"/>
        </w:tabs>
        <w:rPr>
          <w:color w:val="auto"/>
          <w:sz w:val="21"/>
          <w:szCs w:val="21"/>
          <w:highlight w:val="none"/>
        </w:rPr>
      </w:pPr>
      <w:r>
        <w:rPr>
          <w:color w:val="auto"/>
          <w:sz w:val="21"/>
          <w:szCs w:val="21"/>
          <w:highlight w:val="none"/>
        </w:rPr>
        <w:t xml:space="preserve">（1）不具备招标文件规定资格条件的； </w:t>
      </w:r>
      <w:r/>
    </w:p>
    <w:p>
      <w:pPr>
        <w:pStyle w:val="950"/>
        <w:ind w:left="0"/>
        <w:spacing w:line="360" w:lineRule="auto"/>
        <w:tabs>
          <w:tab w:val="left" w:pos="1163" w:leader="none"/>
        </w:tabs>
        <w:rPr>
          <w:color w:val="auto"/>
          <w:sz w:val="21"/>
          <w:szCs w:val="21"/>
          <w:highlight w:val="none"/>
        </w:rPr>
      </w:pPr>
      <w:r>
        <w:rPr>
          <w:color w:val="auto"/>
          <w:sz w:val="21"/>
          <w:szCs w:val="21"/>
          <w:highlight w:val="none"/>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50"/>
        <w:numPr>
          <w:ilvl w:val="2"/>
          <w:numId w:val="0"/>
        </w:numPr>
        <w:ind w:firstLine="422"/>
        <w:spacing w:line="360" w:lineRule="auto"/>
        <w:tabs>
          <w:tab w:val="left" w:pos="1588" w:leader="none"/>
          <w:tab w:val="left" w:pos="1589" w:leader="none"/>
        </w:tabs>
        <w:rPr>
          <w:b/>
          <w:color w:val="auto"/>
          <w:sz w:val="21"/>
          <w:szCs w:val="21"/>
          <w:highlight w:val="none"/>
        </w:rPr>
      </w:pPr>
      <w:r>
        <w:rPr>
          <w:color w:val="auto"/>
          <w:sz w:val="21"/>
          <w:szCs w:val="21"/>
          <w:highlight w:val="none"/>
        </w:rPr>
        <w:t xml:space="preserve">20.2.2</w:t>
      </w:r>
      <w:r>
        <w:rPr>
          <w:rFonts w:hint="eastAsia"/>
          <w:b/>
          <w:color w:val="auto"/>
          <w:sz w:val="21"/>
          <w:szCs w:val="21"/>
          <w:highlight w:val="none"/>
        </w:rPr>
        <w:t xml:space="preserve">投标文件的符合性审查。</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.2.2.1评标委员会将依据法律法规和招标文件的规定，对投标文件的有效性、完整性和对招标文件的响应程度进行审查，以确定是否对招标文件的实质性要求作出响应。</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.2.2.2 实质性要求是指本招标文件中带“★”的商务和技术要求。</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.2.2.3 如果投标文件实质上没有响应招标文件的要求，评标委员会将予以拒绝，供应商不得通过修改或撤销不合要求的偏离而使其投标成为实质性响应的投标。</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.2.2.4 投标文件有下列情况之一的，在符合性审查时按照无效投标处理</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（1）未按招标文件规定签署、盖章的；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（2）没有《开标一览表》或《开标一览表》未按招标文件要求盖章的；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（3）投标总价超出采购预算金额或者最高限价的；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（4）不同供应商的投标文件由同一单位或者个人编制；</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（5）不同供应商委托同一单位或者个人办理投标事宜；</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（6）不同供应商的投标文件载明的项目管理成员或者联系人员为同一人；</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（7）不同供应商的投标文件异常一致或者投标报价呈规律性差异；</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（8）不同供应商的投标文件相互混装；</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（9）不同供应商的法定代表人或委托代理人有夫妻、直系血亲关系的；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（10）不同供应商的负责人为同一人或者存在控股、管理关系的；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（11）不同供应商的委托代理人（或法定代表人、项目经理、项目总监、项目负责人等）在招标文件发布日上月至投标截止日当月在同一单位缴纳社会保险的；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（12）属于投标邀请中拒绝参加本次采购活动供应商的；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（13）投标文件含有采购人不能接受的附加条件的；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bookmarkStart w:id="32" w:name="_GoBack"/>
      <w:r/>
      <w:bookmarkEnd w:id="32"/>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（15）投标人在苏采云系统规定的时间内未成功解密电子投标文件。</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（16）投标人未按照招标文件要求上传电子投标文件。</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（17）同一投标人提交两个（含两个）以上不同的投标报价。</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（18）采购产品被财政部、国家发改委、生态环境部等列入“节能产品品目清单”强制采购范围，而投标人提供的产品不在强制采购范围内。</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未通过资格审查或符合性审查的投标人，代理机构将通过苏采云系统告知其具体原因，评标结束后不再接受有关询问。</w:t>
      </w:r>
      <w:r/>
    </w:p>
    <w:p>
      <w:pPr>
        <w:pStyle w:val="950"/>
        <w:numPr>
          <w:ilvl w:val="3"/>
          <w:numId w:val="0"/>
        </w:numPr>
        <w:ind w:firstLine="420"/>
        <w:spacing w:line="360" w:lineRule="auto"/>
        <w:tabs>
          <w:tab w:val="left" w:pos="1584" w:leader="none"/>
        </w:tabs>
        <w:rPr>
          <w:color w:val="auto"/>
          <w:sz w:val="21"/>
          <w:szCs w:val="21"/>
          <w:highlight w:val="none"/>
        </w:rPr>
      </w:pPr>
      <w:r>
        <w:rPr>
          <w:b/>
          <w:bCs/>
          <w:color w:val="auto"/>
          <w:sz w:val="21"/>
          <w:szCs w:val="21"/>
          <w:highlight w:val="none"/>
        </w:rPr>
        <w:t xml:space="preserve">20.2.2.5</w:t>
      </w:r>
      <w:r>
        <w:rPr>
          <w:rFonts w:hint="eastAsia"/>
          <w:b/>
          <w:bCs/>
          <w:color w:val="auto"/>
          <w:sz w:val="21"/>
          <w:szCs w:val="21"/>
          <w:highlight w:val="none"/>
          <w:lang w:val="en-US"/>
        </w:rPr>
        <w:t xml:space="preserve"> </w:t>
      </w:r>
      <w:r>
        <w:rPr>
          <w:rFonts w:hint="eastAsia"/>
          <w:b/>
          <w:bCs/>
          <w:color w:val="auto"/>
          <w:sz w:val="21"/>
          <w:szCs w:val="21"/>
          <w:highlight w:val="none"/>
        </w:rPr>
        <w:t xml:space="preserve">废标</w:t>
      </w:r>
      <w:r/>
    </w:p>
    <w:p>
      <w:pPr>
        <w:pStyle w:val="950"/>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.2.2.5.1 符合资格条件的供应商或者对招标文件作实质响应的供应商不足三家。</w:t>
      </w:r>
      <w:r/>
    </w:p>
    <w:p>
      <w:pPr>
        <w:pStyle w:val="950"/>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.2.2.5.2 出现影响采购公正的违法、违规行为。</w:t>
      </w:r>
      <w:r/>
    </w:p>
    <w:p>
      <w:pPr>
        <w:pStyle w:val="950"/>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.2.2.5.3 因重大变故采购任务取消。</w:t>
      </w:r>
      <w:r/>
    </w:p>
    <w:p>
      <w:pPr>
        <w:pStyle w:val="950"/>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.2.2.5.4 评委会认定招标文件存在歧义、重大缺陷导致评审工作无法进行。</w:t>
      </w:r>
      <w:r/>
    </w:p>
    <w:p>
      <w:pPr>
        <w:pStyle w:val="950"/>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.2.2.5.5 预留份额的采购项目或采购包，通过发布公告方式邀请供应商后，符合资格条件的中小企业数量不足3家的。</w:t>
      </w:r>
      <w:r/>
    </w:p>
    <w:p>
      <w:pPr>
        <w:pStyle w:val="950"/>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21.2.2.5.6 因苏采云系统故障造成开标不成功。</w:t>
      </w:r>
      <w:r/>
    </w:p>
    <w:p>
      <w:pPr>
        <w:pStyle w:val="950"/>
        <w:ind w:left="440" w:firstLine="0"/>
        <w:spacing w:line="360" w:lineRule="auto"/>
        <w:tabs>
          <w:tab w:val="left" w:pos="1163" w:leader="none"/>
        </w:tabs>
        <w:rPr>
          <w:color w:val="auto"/>
          <w:sz w:val="21"/>
          <w:szCs w:val="21"/>
          <w:highlight w:val="none"/>
          <w:lang w:val="en-US"/>
        </w:rPr>
      </w:pPr>
      <w:r>
        <w:rPr>
          <w:rFonts w:hint="eastAsia"/>
          <w:b/>
          <w:bCs/>
          <w:color w:val="auto"/>
          <w:sz w:val="21"/>
          <w:szCs w:val="21"/>
          <w:highlight w:val="none"/>
          <w:lang w:val="en-US"/>
        </w:rPr>
        <w:t xml:space="preserve">20.2.3 投标文件的进一步评审</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20.2.3.1评标委员会将对确定为实质性响应的投标文件进行进一步评审，看其是否有计算上或累加上的算术错误，修正错误的原则如下：</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（1）如果用数字表示的金额和用文字表示的金额不一致时，应以文字表示的金额为准进行修正；</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（2）当单价与数量的乘积和总价不一致时，以单价为准进行修正。只有在评标委员会认为单价有明显的小数点错误时，才能以标出的总价为准，并修改单价。</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20.2.3.3 评标委员会将允许修正投标文件中不构成重大偏离的、微小的、非正规的、不一致的或不规则的地方，但这些修改不能影响任何供应商相应的名次排列。</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20.2.3.5 比较与评价。按照招标文件中规定的评标方法和标准，对资格性检查和符合性检查合格的投标文件进行商务和技术评估，综合比较与评价。</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20.2.3.6 投标人在开、评标全过程中应保持通讯畅通，及时登录苏采云系统查阅、答复相关信息，并安排专人与代理机构及评委会联系。</w:t>
      </w:r>
      <w:r/>
    </w:p>
    <w:p>
      <w:pPr>
        <w:pStyle w:val="950"/>
        <w:ind w:left="0"/>
        <w:spacing w:line="360" w:lineRule="auto"/>
        <w:tabs>
          <w:tab w:val="left" w:pos="1163" w:leader="none"/>
        </w:tabs>
        <w:rPr>
          <w:color w:val="auto"/>
          <w:sz w:val="21"/>
          <w:szCs w:val="21"/>
          <w:highlight w:val="none"/>
        </w:rPr>
      </w:pPr>
      <w:r>
        <w:rPr>
          <w:rFonts w:hint="eastAsia"/>
          <w:color w:val="auto"/>
          <w:sz w:val="21"/>
          <w:szCs w:val="21"/>
          <w:highlight w:val="none"/>
          <w:lang w:val="en-US"/>
        </w:rPr>
        <w:t xml:space="preserve">20.2.3.7 如出现投标截止时间后参加投标的供应商或者对招标文件作出实质性响应的供应商不足三家的情况，按政府采购相关规定执行。</w:t>
      </w:r>
      <w:r/>
    </w:p>
    <w:p>
      <w:pPr>
        <w:pStyle w:val="950"/>
        <w:numPr>
          <w:ilvl w:val="2"/>
          <w:numId w:val="0"/>
        </w:numPr>
        <w:ind w:firstLine="422"/>
        <w:spacing w:line="360" w:lineRule="auto"/>
        <w:tabs>
          <w:tab w:val="left" w:pos="1588" w:leader="none"/>
          <w:tab w:val="left" w:pos="1589" w:leader="none"/>
        </w:tabs>
        <w:rPr>
          <w:b/>
          <w:color w:val="auto"/>
          <w:sz w:val="21"/>
          <w:szCs w:val="21"/>
          <w:highlight w:val="none"/>
        </w:rPr>
      </w:pPr>
      <w:r>
        <w:rPr>
          <w:b/>
          <w:bCs/>
          <w:color w:val="auto"/>
          <w:sz w:val="21"/>
          <w:szCs w:val="21"/>
          <w:highlight w:val="none"/>
        </w:rPr>
        <w:t xml:space="preserve">20.2.</w:t>
      </w:r>
      <w:r>
        <w:rPr>
          <w:rFonts w:hint="eastAsia"/>
          <w:b/>
          <w:bCs/>
          <w:color w:val="auto"/>
          <w:sz w:val="21"/>
          <w:szCs w:val="21"/>
          <w:highlight w:val="none"/>
          <w:lang w:val="en-US"/>
        </w:rPr>
        <w:t xml:space="preserve">4</w:t>
      </w:r>
      <w:r>
        <w:rPr>
          <w:rFonts w:hint="eastAsia"/>
          <w:b/>
          <w:bCs/>
          <w:color w:val="auto"/>
          <w:sz w:val="21"/>
          <w:szCs w:val="21"/>
          <w:highlight w:val="none"/>
        </w:rPr>
        <w:t xml:space="preserve">评</w:t>
      </w:r>
      <w:r>
        <w:rPr>
          <w:rFonts w:hint="eastAsia"/>
          <w:b/>
          <w:color w:val="auto"/>
          <w:sz w:val="21"/>
          <w:szCs w:val="21"/>
          <w:highlight w:val="none"/>
        </w:rPr>
        <w:t xml:space="preserve">审过程中出现下列情形之一的，评审委员会应当启动异常低价投标（响应）审查程序：</w:t>
      </w:r>
      <w:r/>
    </w:p>
    <w:p>
      <w:pPr>
        <w:pStyle w:val="950"/>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950"/>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950"/>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（3）投标（响应）报价低于采购项目最高限价45%的，即投标（响应）报价&lt;采购项目最高限价×45%；</w:t>
      </w:r>
      <w:r/>
    </w:p>
    <w:p>
      <w:pPr>
        <w:pStyle w:val="950"/>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（4）评审委员会认定的供应商报价过低、有可能影响产品质量或者不能诚信履约的其他情形。</w:t>
      </w:r>
      <w:r/>
    </w:p>
    <w:p>
      <w:pPr>
        <w:pStyle w:val="950"/>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评审委员会启动异常低价投标（响应）审查后，属于前述第1项至第4项情形的，应当</w:t>
      </w:r>
      <w:r>
        <w:rPr>
          <w:color w:val="auto"/>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950"/>
        <w:numPr>
          <w:ilvl w:val="1"/>
          <w:numId w:val="0"/>
        </w:numPr>
        <w:ind w:firstLine="422"/>
        <w:spacing w:line="360" w:lineRule="auto"/>
        <w:tabs>
          <w:tab w:val="left" w:pos="1167" w:leader="none"/>
        </w:tabs>
        <w:rPr>
          <w:b/>
          <w:color w:val="auto"/>
          <w:sz w:val="21"/>
          <w:szCs w:val="21"/>
          <w:highlight w:val="none"/>
        </w:rPr>
      </w:pPr>
      <w:r>
        <w:rPr>
          <w:b/>
          <w:bCs/>
          <w:color w:val="auto"/>
          <w:sz w:val="21"/>
          <w:szCs w:val="21"/>
          <w:highlight w:val="none"/>
        </w:rPr>
        <w:t xml:space="preserve">20.3</w:t>
      </w:r>
      <w:r>
        <w:rPr>
          <w:rFonts w:hint="eastAsia"/>
          <w:b/>
          <w:color w:val="auto"/>
          <w:sz w:val="21"/>
          <w:szCs w:val="21"/>
          <w:highlight w:val="none"/>
        </w:rPr>
        <w:t xml:space="preserve">评标方法和标准</w:t>
      </w:r>
      <w:r/>
    </w:p>
    <w:p>
      <w:pPr>
        <w:pStyle w:val="950"/>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950"/>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.3.2 综合评分的主要因素详见文件第三章。</w:t>
      </w:r>
      <w:r/>
    </w:p>
    <w:p>
      <w:pPr>
        <w:pStyle w:val="950"/>
        <w:numPr>
          <w:ilvl w:val="2"/>
          <w:numId w:val="0"/>
        </w:numPr>
        <w:ind w:firstLine="422"/>
        <w:spacing w:line="360" w:lineRule="auto"/>
        <w:tabs>
          <w:tab w:val="left" w:pos="1270"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.3.3评分标准详见文件第三章。</w:t>
      </w:r>
      <w:r/>
    </w:p>
    <w:p>
      <w:pPr>
        <w:ind w:firstLine="422"/>
        <w:spacing w:line="360" w:lineRule="auto"/>
        <w:rPr>
          <w:b/>
          <w:color w:val="auto"/>
          <w:sz w:val="21"/>
          <w:szCs w:val="21"/>
          <w:highlight w:val="none"/>
        </w:rPr>
      </w:pPr>
      <w:r>
        <w:rPr>
          <w:rFonts w:hint="eastAsia"/>
          <w:b/>
          <w:color w:val="auto"/>
          <w:sz w:val="21"/>
          <w:szCs w:val="21"/>
          <w:highlight w:val="none"/>
        </w:rPr>
        <w:t xml:space="preserve">21、确定中标供应商</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.2 按以下第（1）种方式确定中标供应商</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（1）评标委员会直接确定排名第一的中标候选人为中标供应商；</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（2）采购人在评标委员会推荐的中标候选人中按顺序确定中标供应商。</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.3 中标供应商确定之日起两个工作日内，将在财政部门指定的政府采购信息发布媒体上公告。</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.4 《中标通知书》对采购人和中标供应商具有同等法律效力。</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.5 《中标通知书》发出后，中标供应商无正当理由不与采购人签订合同的，应当依法承担法律责任。</w:t>
      </w:r>
      <w:r/>
    </w:p>
    <w:p>
      <w:pPr>
        <w:pStyle w:val="950"/>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.6代理机构和评标委员会对未中标的供应商不作未中标原因的解释。</w:t>
      </w:r>
      <w:r>
        <w:rPr>
          <w:rFonts w:hint="eastAsia"/>
          <w:color w:val="auto"/>
          <w:sz w:val="21"/>
          <w:szCs w:val="21"/>
          <w:highlight w:val="none"/>
        </w:rPr>
        <w:t xml:space="preserve">  </w:t>
      </w:r>
      <w:r/>
    </w:p>
    <w:p>
      <w:pPr>
        <w:pStyle w:val="950"/>
        <w:ind w:left="0" w:firstLine="422"/>
        <w:spacing w:line="360" w:lineRule="auto"/>
        <w:tabs>
          <w:tab w:val="left" w:pos="1164" w:leader="none"/>
        </w:tabs>
        <w:rPr>
          <w:b/>
          <w:color w:val="auto"/>
          <w:sz w:val="21"/>
          <w:szCs w:val="21"/>
          <w:highlight w:val="none"/>
        </w:rPr>
      </w:pPr>
      <w:r>
        <w:rPr>
          <w:rFonts w:hint="eastAsia"/>
          <w:b/>
          <w:color w:val="auto"/>
          <w:sz w:val="21"/>
          <w:szCs w:val="21"/>
          <w:highlight w:val="none"/>
        </w:rPr>
        <w:t xml:space="preserve">22、编写评标报告</w:t>
      </w:r>
      <w:r/>
    </w:p>
    <w:p>
      <w:pPr>
        <w:ind w:firstLine="420"/>
        <w:spacing w:line="360" w:lineRule="auto"/>
        <w:rPr>
          <w:color w:val="auto"/>
          <w:sz w:val="21"/>
          <w:szCs w:val="21"/>
          <w:highlight w:val="none"/>
        </w:rPr>
      </w:pPr>
      <w:r>
        <w:rPr>
          <w:rFonts w:hint="eastAsia"/>
          <w:color w:val="auto"/>
          <w:sz w:val="21"/>
          <w:szCs w:val="21"/>
          <w:highlight w:val="none"/>
        </w:rPr>
        <w:t xml:space="preserve">22.1 评标委员会根据全体评标成员签字的原始评标记录和评标结果编写评审报告。</w:t>
      </w:r>
      <w:r/>
    </w:p>
    <w:p>
      <w:pPr>
        <w:ind w:firstLine="422"/>
        <w:spacing w:line="360" w:lineRule="auto"/>
        <w:rPr>
          <w:b/>
          <w:color w:val="auto"/>
          <w:sz w:val="21"/>
          <w:szCs w:val="21"/>
          <w:highlight w:val="none"/>
        </w:rPr>
      </w:pPr>
      <w:r>
        <w:rPr>
          <w:rFonts w:hint="eastAsia"/>
          <w:b/>
          <w:color w:val="auto"/>
          <w:sz w:val="21"/>
          <w:szCs w:val="21"/>
          <w:highlight w:val="none"/>
        </w:rPr>
        <w:t xml:space="preserve">23、评标过程的保密性</w:t>
      </w:r>
      <w:r/>
    </w:p>
    <w:p>
      <w:pPr>
        <w:pStyle w:val="950"/>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招标代理将采取必要措施，保证评标在严格保密的情况下进行。</w:t>
      </w:r>
      <w:r/>
    </w:p>
    <w:p>
      <w:pPr>
        <w:pStyle w:val="950"/>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任何单位和个人不得非法干预、影响评标办法的确定，以及评标过程和结果。</w:t>
      </w:r>
      <w:r/>
    </w:p>
    <w:p>
      <w:pPr>
        <w:pStyle w:val="950"/>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凡是与审查、澄清、评价和比较投标的有关资料等，均不向供应商及与评标无关的其他人员透露。</w:t>
      </w:r>
      <w:r/>
    </w:p>
    <w:p>
      <w:pPr>
        <w:ind w:firstLine="422"/>
        <w:spacing w:line="360" w:lineRule="auto"/>
        <w:rPr>
          <w:b/>
          <w:color w:val="auto"/>
          <w:sz w:val="21"/>
          <w:szCs w:val="21"/>
          <w:highlight w:val="none"/>
        </w:rPr>
      </w:pPr>
      <w:r/>
      <w:bookmarkStart w:id="17" w:name="五、签订合同"/>
      <w:r/>
      <w:bookmarkEnd w:id="17"/>
      <w:r>
        <w:rPr>
          <w:rFonts w:hint="eastAsia"/>
          <w:b/>
          <w:color w:val="auto"/>
          <w:sz w:val="21"/>
          <w:szCs w:val="21"/>
          <w:highlight w:val="none"/>
        </w:rPr>
        <w:t xml:space="preserve">五、签订合同</w:t>
      </w:r>
      <w:r/>
    </w:p>
    <w:p>
      <w:pPr>
        <w:ind w:firstLine="422"/>
        <w:spacing w:line="360" w:lineRule="auto"/>
        <w:rPr>
          <w:b/>
          <w:color w:val="auto"/>
          <w:sz w:val="21"/>
          <w:szCs w:val="21"/>
          <w:highlight w:val="none"/>
        </w:rPr>
      </w:pPr>
      <w:r>
        <w:rPr>
          <w:rFonts w:hint="eastAsia"/>
          <w:b/>
          <w:color w:val="auto"/>
          <w:sz w:val="21"/>
          <w:szCs w:val="21"/>
          <w:highlight w:val="none"/>
        </w:rPr>
        <w:t xml:space="preserve">24、签订合同</w:t>
      </w:r>
      <w:r/>
    </w:p>
    <w:p>
      <w:pPr>
        <w:pStyle w:val="950"/>
        <w:numPr>
          <w:ilvl w:val="1"/>
          <w:numId w:val="1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950"/>
        <w:numPr>
          <w:ilvl w:val="1"/>
          <w:numId w:val="1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采购人不得向中标人提出任何不合理的要求作为签订合同的条件，不得与中标人私下订立背离合同实质性内容的协议。</w:t>
      </w:r>
      <w:r/>
    </w:p>
    <w:p>
      <w:pPr>
        <w:pStyle w:val="950"/>
        <w:numPr>
          <w:ilvl w:val="1"/>
          <w:numId w:val="13"/>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950"/>
        <w:numPr>
          <w:ilvl w:val="1"/>
          <w:numId w:val="1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color w:val="auto"/>
          <w:sz w:val="21"/>
          <w:szCs w:val="21"/>
          <w:highlight w:val="none"/>
        </w:rPr>
      </w:pPr>
      <w:r/>
      <w:bookmarkStart w:id="18" w:name="六、询问、质疑、投诉和诚实信用"/>
      <w:r/>
      <w:bookmarkEnd w:id="18"/>
      <w:r>
        <w:rPr>
          <w:rFonts w:hint="eastAsia"/>
          <w:b/>
          <w:color w:val="auto"/>
          <w:sz w:val="21"/>
          <w:szCs w:val="21"/>
          <w:highlight w:val="none"/>
        </w:rPr>
        <w:t xml:space="preserve">六、询问、质疑、投诉和诚实信用</w:t>
      </w:r>
      <w:r/>
    </w:p>
    <w:p>
      <w:pPr>
        <w:ind w:firstLine="422"/>
        <w:spacing w:line="360" w:lineRule="auto"/>
        <w:rPr>
          <w:b/>
          <w:color w:val="auto"/>
          <w:sz w:val="21"/>
          <w:szCs w:val="21"/>
          <w:highlight w:val="none"/>
        </w:rPr>
      </w:pPr>
      <w:r>
        <w:rPr>
          <w:rFonts w:hint="eastAsia"/>
          <w:b/>
          <w:color w:val="auto"/>
          <w:sz w:val="21"/>
          <w:szCs w:val="21"/>
          <w:highlight w:val="none"/>
        </w:rPr>
        <w:t xml:space="preserve">25、询问</w:t>
      </w:r>
      <w:r/>
    </w:p>
    <w:p>
      <w:pPr>
        <w:pStyle w:val="880"/>
        <w:ind w:firstLine="420"/>
        <w:spacing w:line="360" w:lineRule="auto"/>
        <w:rPr>
          <w:b/>
          <w:color w:val="auto"/>
          <w:highlight w:val="none"/>
        </w:rPr>
      </w:pPr>
      <w:r>
        <w:rPr>
          <w:rFonts w:hint="eastAsia"/>
          <w:color w:val="auto"/>
          <w:highlight w:val="none"/>
        </w:rPr>
        <w:t xml:space="preserve">25.1 供应商对招标活动事项有疑问的，可以向招标代理或采购人提出询问，招标代理或采购人将在两个工作日内作出答复，但答复的内容不涉及商业秘密</w:t>
      </w:r>
      <w:r>
        <w:rPr>
          <w:rFonts w:hint="eastAsia"/>
          <w:bCs/>
          <w:color w:val="auto"/>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26、质疑</w:t>
      </w:r>
      <w:r/>
    </w:p>
    <w:p>
      <w:pPr>
        <w:pStyle w:val="950"/>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供应商（投标人）认为自己的权益受到损害的，可以在知道或者应知其权益受到损害之日起七个工作日内，以书面形式向采购代理机构提出质疑，逾期将不再受理。</w:t>
      </w:r>
      <w:r/>
    </w:p>
    <w:p>
      <w:pPr>
        <w:pStyle w:val="950"/>
        <w:numPr>
          <w:ilvl w:val="1"/>
          <w:numId w:val="14"/>
        </w:numPr>
        <w:ind w:firstLine="420"/>
        <w:spacing w:line="360" w:lineRule="auto"/>
        <w:tabs>
          <w:tab w:val="left" w:pos="1155" w:leader="none"/>
        </w:tabs>
        <w:rPr>
          <w:color w:val="auto"/>
          <w:sz w:val="21"/>
          <w:szCs w:val="21"/>
          <w:highlight w:val="none"/>
        </w:rPr>
      </w:pPr>
      <w:r>
        <w:rPr>
          <w:rFonts w:hint="eastAsia"/>
          <w:color w:val="auto"/>
          <w:sz w:val="21"/>
          <w:szCs w:val="21"/>
          <w:highlight w:val="none"/>
        </w:rPr>
        <w:t xml:space="preserve">质疑供应商是指直接参加本次投标活动的供应商，未参加投标活动的供应商或在投标活动中自身权益未受到损害的供应商所提出的质疑不予受理。</w:t>
      </w:r>
      <w:r/>
    </w:p>
    <w:p>
      <w:pPr>
        <w:pStyle w:val="950"/>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质疑必须以参加投标供应商法定代表人或授权代表（投标文件中所确定的）原件送达的方式提交，否则，招标代理有权不予受理。</w:t>
      </w:r>
      <w:r/>
    </w:p>
    <w:p>
      <w:pPr>
        <w:pStyle w:val="950"/>
        <w:numPr>
          <w:ilvl w:val="1"/>
          <w:numId w:val="14"/>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上述应知其权益受到损害之日是指：</w:t>
      </w:r>
      <w:r/>
    </w:p>
    <w:p>
      <w:pPr>
        <w:pStyle w:val="950"/>
        <w:numPr>
          <w:ilvl w:val="0"/>
          <w:numId w:val="15"/>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对招标文件提出质疑的，为投标文件公告期限届满之日起计算；</w:t>
      </w:r>
      <w:r/>
    </w:p>
    <w:p>
      <w:pPr>
        <w:pStyle w:val="950"/>
        <w:numPr>
          <w:ilvl w:val="0"/>
          <w:numId w:val="15"/>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对采购过程提出质疑的，自采购程序环节结束之日起计算；</w:t>
      </w:r>
      <w:r/>
    </w:p>
    <w:p>
      <w:pPr>
        <w:pStyle w:val="950"/>
        <w:numPr>
          <w:ilvl w:val="0"/>
          <w:numId w:val="15"/>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对中标结果提出质疑的，自中标结果公告期限届满之日起计算。</w:t>
      </w:r>
      <w:r/>
    </w:p>
    <w:p>
      <w:pPr>
        <w:pStyle w:val="950"/>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质疑文件应包括以下主要内容，并按照“谁主张、谁举证”的原则，附上相关证明材料。否则，招标代理或采购人不予受理：</w:t>
      </w:r>
      <w:r/>
    </w:p>
    <w:p>
      <w:pPr>
        <w:pStyle w:val="950"/>
        <w:numPr>
          <w:ilvl w:val="0"/>
          <w:numId w:val="16"/>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质疑项目名称、项目编号、包号、招标公告发布时间、开标时间；</w:t>
      </w:r>
      <w:r/>
    </w:p>
    <w:p>
      <w:pPr>
        <w:pStyle w:val="950"/>
        <w:numPr>
          <w:ilvl w:val="0"/>
          <w:numId w:val="16"/>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提起质疑的日期、具体的质疑事项及事实根据（具体条款）；</w:t>
      </w:r>
      <w:r/>
    </w:p>
    <w:p>
      <w:pPr>
        <w:pStyle w:val="950"/>
        <w:numPr>
          <w:ilvl w:val="0"/>
          <w:numId w:val="16"/>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50"/>
        <w:numPr>
          <w:ilvl w:val="0"/>
          <w:numId w:val="16"/>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质疑供应商名称、地址、邮编、联系人、联系电话（包括座机、手机、传真号码等）；</w:t>
      </w:r>
      <w:r/>
    </w:p>
    <w:p>
      <w:pPr>
        <w:pStyle w:val="950"/>
        <w:numPr>
          <w:ilvl w:val="0"/>
          <w:numId w:val="16"/>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质疑文件应当署名，质疑人为自然人的，应当由本人签字并附有效身份证明；质疑人为法人或其他组织的，应当由法定代表人签字并加盖单位公章。</w:t>
      </w:r>
      <w:r/>
    </w:p>
    <w:p>
      <w:pPr>
        <w:pStyle w:val="950"/>
        <w:numPr>
          <w:ilvl w:val="0"/>
          <w:numId w:val="16"/>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供应商委托代理质疑的，应当向被质疑人提交授权委托书，并载明委托代理的具体权限和事项。</w:t>
      </w:r>
      <w:r/>
    </w:p>
    <w:p>
      <w:pPr>
        <w:pStyle w:val="950"/>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auto"/>
          <w:sz w:val="21"/>
          <w:szCs w:val="21"/>
          <w:highlight w:val="none"/>
        </w:rPr>
      </w:pPr>
      <w:r>
        <w:rPr>
          <w:rFonts w:hint="eastAsia"/>
          <w:b/>
          <w:color w:val="auto"/>
          <w:sz w:val="21"/>
          <w:szCs w:val="21"/>
          <w:highlight w:val="none"/>
        </w:rPr>
        <w:t xml:space="preserve">27、投诉</w:t>
      </w:r>
      <w:r/>
    </w:p>
    <w:p>
      <w:pPr>
        <w:pStyle w:val="880"/>
        <w:ind w:firstLine="420"/>
        <w:spacing w:line="360" w:lineRule="auto"/>
        <w:rPr>
          <w:color w:val="auto"/>
          <w:highlight w:val="none"/>
        </w:rPr>
      </w:pPr>
      <w:r>
        <w:rPr>
          <w:rFonts w:hint="eastAsia"/>
          <w:color w:val="auto"/>
          <w:highlight w:val="none"/>
        </w:rPr>
        <w:t xml:space="preserve">27.1 质疑供应商对招标代理的答复不满意，或招标代理未在规定的时间内作出答复的，可以在答复期满后</w:t>
      </w:r>
      <w:r>
        <w:rPr>
          <w:rFonts w:hint="eastAsia"/>
          <w:b/>
          <w:color w:val="auto"/>
          <w:highlight w:val="none"/>
        </w:rPr>
        <w:t xml:space="preserve">十五个工作日内</w:t>
      </w:r>
      <w:r>
        <w:rPr>
          <w:rFonts w:hint="eastAsia"/>
          <w:color w:val="auto"/>
          <w:highlight w:val="none"/>
        </w:rPr>
        <w:t xml:space="preserve">向采购项目同级财政部门投诉。</w:t>
      </w:r>
      <w:r/>
    </w:p>
    <w:p>
      <w:pPr>
        <w:contextualSpacing/>
        <w:ind w:firstLine="422"/>
        <w:spacing w:line="360" w:lineRule="auto"/>
        <w:rPr>
          <w:b/>
          <w:color w:val="auto"/>
          <w:sz w:val="21"/>
          <w:szCs w:val="21"/>
          <w:highlight w:val="none"/>
        </w:rPr>
      </w:pPr>
      <w:r>
        <w:rPr>
          <w:rFonts w:hint="eastAsia"/>
          <w:b/>
          <w:color w:val="auto"/>
          <w:sz w:val="21"/>
          <w:szCs w:val="21"/>
          <w:highlight w:val="none"/>
        </w:rPr>
        <w:t xml:space="preserve">28、诚实信用</w:t>
      </w:r>
      <w:r/>
    </w:p>
    <w:p>
      <w:pPr>
        <w:pStyle w:val="950"/>
        <w:numPr>
          <w:ilvl w:val="1"/>
          <w:numId w:val="17"/>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供应商之间不得相互串通投标报价，不得妨碍其他供应商的公平竞争，不得损害采购人和其他供应商的合法权益。</w:t>
      </w:r>
      <w:r/>
    </w:p>
    <w:p>
      <w:pPr>
        <w:pStyle w:val="950"/>
        <w:numPr>
          <w:ilvl w:val="1"/>
          <w:numId w:val="17"/>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950"/>
        <w:numPr>
          <w:ilvl w:val="1"/>
          <w:numId w:val="17"/>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950"/>
        <w:numPr>
          <w:ilvl w:val="1"/>
          <w:numId w:val="17"/>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供应商不得虚假承诺，否则，按照提供虚假材料谋取中标成交处理。</w:t>
      </w:r>
      <w:r/>
    </w:p>
    <w:p>
      <w:pPr>
        <w:pStyle w:val="950"/>
        <w:contextualSpacing/>
        <w:ind w:left="0"/>
        <w:spacing w:line="360" w:lineRule="auto"/>
        <w:tabs>
          <w:tab w:val="left" w:pos="1164" w:leader="none"/>
        </w:tabs>
        <w:rPr>
          <w:color w:val="auto"/>
          <w:sz w:val="21"/>
          <w:highlight w:val="none"/>
        </w:rPr>
        <w:sectPr>
          <w:footerReference w:type="default" r:id="rId10"/>
          <w:footnotePr/>
          <w:endnotePr/>
          <w:type w:val="nextPage"/>
          <w:pgSz w:w="11910" w:h="16840" w:orient="portrait"/>
          <w:pgMar w:top="1134" w:right="1134" w:bottom="1134" w:left="1134" w:header="567" w:footer="567" w:gutter="0"/>
          <w:cols w:num="1" w:sep="0" w:space="720" w:equalWidth="1"/>
          <w:docGrid w:linePitch="360"/>
        </w:sectPr>
      </w:pPr>
      <w:r>
        <w:rPr>
          <w:rFonts w:hint="eastAsia"/>
          <w:color w:val="auto"/>
          <w:sz w:val="21"/>
          <w:szCs w:val="21"/>
          <w:highlight w:val="none"/>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auto"/>
          <w:sz w:val="36"/>
          <w:highlight w:val="none"/>
        </w:rPr>
        <w:outlineLvl w:val="0"/>
      </w:pPr>
      <w:r/>
      <w:bookmarkStart w:id="19" w:name="_Toc9832"/>
      <w:r>
        <w:rPr>
          <w:rFonts w:hint="eastAsia" w:ascii="黑体" w:eastAsia="黑体"/>
          <w:b/>
          <w:color w:val="auto"/>
          <w:sz w:val="36"/>
          <w:highlight w:val="none"/>
        </w:rPr>
        <w:t xml:space="preserve">第三章 评标标准</w:t>
      </w:r>
      <w:bookmarkEnd w:id="19"/>
      <w:r/>
      <w:r/>
    </w:p>
    <w:p>
      <w:pPr>
        <w:ind w:firstLine="440"/>
        <w:rPr>
          <w:color w:val="auto"/>
          <w:highlight w:val="none"/>
        </w:rPr>
      </w:pPr>
      <w:r/>
      <w:bookmarkStart w:id="20" w:name="_Toc12644"/>
      <w:r>
        <w:rPr>
          <w:rFonts w:hint="eastAsia"/>
          <w:color w:val="auto"/>
          <w:highlight w:val="none"/>
        </w:rPr>
        <w:t xml:space="preserve">本项目评标方法采用综合评分法，综合评分的主要因素是：价格、技术、服务、业绩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r/>
    </w:p>
    <w:tbl>
      <w:tblPr>
        <w:tblStyle w:val="875"/>
        <w:tblW w:w="957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200"/>
        <w:gridCol w:w="690"/>
        <w:gridCol w:w="7080"/>
        <w:gridCol w:w="600"/>
      </w:tblGrid>
      <w:tr>
        <w:trPr>
          <w:jc w:val="center"/>
          <w:trHeight w:val="600"/>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b/>
                <w:color w:val="auto"/>
                <w:highlight w:val="none"/>
              </w:rPr>
              <w:t xml:space="preserve">评分因素</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line="315" w:lineRule="exact"/>
              <w:rPr>
                <w:color w:val="auto"/>
                <w:highlight w:val="none"/>
              </w:rPr>
            </w:pPr>
            <w:r>
              <w:rPr>
                <w:b/>
                <w:color w:val="auto"/>
                <w:highlight w:val="none"/>
              </w:rPr>
              <w:t xml:space="preserve">分值</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7080" w:type="dxa"/>
            <w:vAlign w:val="center"/>
            <w:textDirection w:val="lrTb"/>
            <w:noWrap w:val="false"/>
          </w:tcPr>
          <w:p>
            <w:pPr>
              <w:jc w:val="center"/>
              <w:spacing w:line="315" w:lineRule="exact"/>
              <w:rPr>
                <w:color w:val="auto"/>
                <w:highlight w:val="none"/>
              </w:rPr>
            </w:pPr>
            <w:r>
              <w:rPr>
                <w:b/>
                <w:color w:val="auto"/>
                <w:highlight w:val="none"/>
              </w:rPr>
              <w:t xml:space="preserve">评分标准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投标报价</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50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b/>
                <w:color w:val="auto"/>
                <w:highlight w:val="none"/>
              </w:rPr>
              <w:t xml:space="preserve">投标最低报价为评标基准价</w:t>
            </w:r>
            <w:r>
              <w:rPr>
                <w:color w:val="auto"/>
                <w:highlight w:val="none"/>
              </w:rPr>
              <w:t xml:space="preserve">：满足招标文件要求且投标价格最低的投标报价为评标基准价，其价格分为满分。其他投标人的价格分统一按照下列公式计算：投标报价得分=(评标基准价/投标报价)×50。</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技术分</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18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color w:val="auto"/>
                <w:highlight w:val="none"/>
              </w:rPr>
              <w:t xml:space="preserve">设备技术参数全部满足磋商文件要求的得满分</w:t>
            </w:r>
            <w:r>
              <w:rPr>
                <w:rFonts w:hint="eastAsia"/>
                <w:color w:val="auto"/>
                <w:highlight w:val="none"/>
              </w:rPr>
              <w:t xml:space="preserve">18</w:t>
            </w:r>
            <w:r>
              <w:rPr>
                <w:color w:val="auto"/>
                <w:highlight w:val="none"/>
              </w:rPr>
              <w:t xml:space="preserve">分；</w:t>
            </w:r>
            <w:r/>
          </w:p>
          <w:p>
            <w:pPr>
              <w:spacing w:line="315" w:lineRule="exact"/>
              <w:rPr>
                <w:color w:val="auto"/>
                <w:highlight w:val="none"/>
              </w:rPr>
            </w:pPr>
            <w:r>
              <w:rPr>
                <w:color w:val="auto"/>
                <w:highlight w:val="none"/>
              </w:rPr>
              <w:t xml:space="preserve">（1）技术指标带 ★ 号指标为必须满足项，如有负偏离将作为无效投标；</w:t>
            </w:r>
            <w:r/>
          </w:p>
          <w:p>
            <w:pPr>
              <w:spacing w:line="315" w:lineRule="exact"/>
              <w:rPr>
                <w:color w:val="auto"/>
                <w:highlight w:val="none"/>
              </w:rPr>
            </w:pPr>
            <w:r>
              <w:rPr>
                <w:color w:val="auto"/>
                <w:highlight w:val="none"/>
              </w:rPr>
              <w:t xml:space="preserve">（2）带▲项为重要技术参数、性能指标，根据招标文件要求提供证明材料，有一项负偏离扣1分，扣完为止；</w:t>
            </w:r>
            <w:r/>
          </w:p>
          <w:p>
            <w:pPr>
              <w:spacing w:line="315" w:lineRule="exact"/>
              <w:rPr>
                <w:color w:val="auto"/>
                <w:highlight w:val="none"/>
              </w:rPr>
            </w:pPr>
            <w:r>
              <w:rPr>
                <w:color w:val="auto"/>
                <w:highlight w:val="none"/>
              </w:rPr>
              <w:t xml:space="preserve">（3）其余为一般技术参数、性能指标，一般技术参数、性能指标每负偏离一项扣0.5分，扣完为止。（▲项根据招标文件要求提供证明材料并在《技术规格偏离表》中详细标明技术支持资料在投标文件中的页码和位置。未提供证明材料的作负偏离处理，如因未在《技术规格偏离表》中注明证明材料具体页码和位置导致本项不得分的，由此产生的后果由供应商自行承担。没有要求的和一般技术参数性能指标根据《技术条款偏离表》响应情况为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实施组织管理方案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color w:val="auto"/>
                <w:highlight w:val="none"/>
              </w:rPr>
              <w:t xml:space="preserve">根据该项目建设内容提供智能化建设实施方案：</w:t>
            </w:r>
            <w:r/>
          </w:p>
          <w:p>
            <w:pPr>
              <w:spacing w:line="315" w:lineRule="exact"/>
              <w:rPr>
                <w:color w:val="auto"/>
                <w:highlight w:val="none"/>
              </w:rPr>
            </w:pPr>
            <w:r>
              <w:rPr>
                <w:color w:val="auto"/>
                <w:highlight w:val="none"/>
              </w:rPr>
              <w:t xml:space="preserve">（1）实施方案全面，进度安排、组织架构合理可行，具有很好的进度控制和风险控制管理、质量保障措施、信息安全管理措施、文档管理措施的得</w:t>
            </w:r>
            <w:r>
              <w:rPr>
                <w:rFonts w:hint="eastAsia"/>
                <w:color w:val="auto"/>
                <w:highlight w:val="none"/>
              </w:rPr>
              <w:t xml:space="preserve">7</w:t>
            </w:r>
            <w:r>
              <w:rPr>
                <w:color w:val="auto"/>
                <w:highlight w:val="none"/>
              </w:rPr>
              <w:t xml:space="preserve">分；</w:t>
            </w:r>
            <w:r/>
          </w:p>
          <w:p>
            <w:pPr>
              <w:spacing w:line="315" w:lineRule="exact"/>
              <w:rPr>
                <w:color w:val="auto"/>
                <w:highlight w:val="none"/>
              </w:rPr>
            </w:pPr>
            <w:r>
              <w:rPr>
                <w:color w:val="auto"/>
                <w:highlight w:val="none"/>
              </w:rPr>
              <w:t xml:space="preserve">（2）实施方案较全面，进度安排、组织架构不够合理，进度控制、风险控制管理、质量保障措施、信息安全管理措施、文档管理措施较得当的得</w:t>
            </w:r>
            <w:r>
              <w:rPr>
                <w:rFonts w:hint="eastAsia"/>
                <w:color w:val="auto"/>
                <w:highlight w:val="none"/>
              </w:rPr>
              <w:t xml:space="preserve">4</w:t>
            </w:r>
            <w:r>
              <w:rPr>
                <w:color w:val="auto"/>
                <w:highlight w:val="none"/>
              </w:rPr>
              <w:t xml:space="preserve">分；</w:t>
            </w:r>
            <w:r/>
          </w:p>
          <w:p>
            <w:pPr>
              <w:spacing w:line="315" w:lineRule="exact"/>
              <w:rPr>
                <w:color w:val="auto"/>
                <w:highlight w:val="none"/>
              </w:rPr>
            </w:pPr>
            <w:r>
              <w:rPr>
                <w:color w:val="auto"/>
                <w:highlight w:val="none"/>
              </w:rPr>
              <w:t xml:space="preserve">（3）实施方案，进度安排、组织架构不合理，进度控制、风险控制管理、质量保障措施、信息安全管理措施、文档管理措施一般，可行性较差的得1分；</w:t>
            </w:r>
            <w:r/>
          </w:p>
          <w:p>
            <w:pPr>
              <w:spacing w:line="315" w:lineRule="exact"/>
              <w:rPr>
                <w:color w:val="auto"/>
                <w:highlight w:val="none"/>
              </w:rPr>
            </w:pPr>
            <w:r>
              <w:rPr>
                <w:color w:val="auto"/>
                <w:highlight w:val="none"/>
              </w:rPr>
              <w:t xml:space="preserve">（4）未提供实施方案或方案与项目要求严重不符的本项不得分。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企业实力</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10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color w:val="auto"/>
                <w:highlight w:val="none"/>
              </w:rPr>
              <w:t xml:space="preserve">1、供应商具有CCRC信息安全服务资质认证证书(信息系统安全集成)证书的</w:t>
            </w:r>
            <w:r>
              <w:rPr>
                <w:rFonts w:hint="eastAsia"/>
                <w:color w:val="auto"/>
                <w:highlight w:val="none"/>
              </w:rPr>
              <w:t xml:space="preserve">，</w:t>
            </w:r>
            <w:r>
              <w:rPr>
                <w:color w:val="auto"/>
                <w:highlight w:val="none"/>
              </w:rPr>
              <w:t xml:space="preserve">得1分；</w:t>
            </w:r>
            <w:r/>
          </w:p>
          <w:p>
            <w:pPr>
              <w:spacing w:line="315" w:lineRule="exact"/>
              <w:rPr>
                <w:color w:val="auto"/>
                <w:highlight w:val="none"/>
              </w:rPr>
            </w:pPr>
            <w:r>
              <w:rPr>
                <w:color w:val="auto"/>
                <w:highlight w:val="none"/>
              </w:rPr>
              <w:t xml:space="preserve">2、具有ISO 27001信息安全管理体系认证证书的，得1分。</w:t>
            </w:r>
            <w:r/>
          </w:p>
          <w:p>
            <w:pPr>
              <w:spacing w:line="315" w:lineRule="exact"/>
              <w:rPr>
                <w:color w:val="auto"/>
                <w:highlight w:val="none"/>
              </w:rPr>
            </w:pPr>
            <w:r>
              <w:rPr>
                <w:color w:val="auto"/>
                <w:highlight w:val="none"/>
              </w:rPr>
              <w:t xml:space="preserve">3、具有CCRC信息安全服务资质认证证书(信息系统安全运维)证书的</w:t>
            </w:r>
            <w:r>
              <w:rPr>
                <w:rFonts w:hint="eastAsia"/>
                <w:color w:val="auto"/>
                <w:highlight w:val="none"/>
              </w:rPr>
              <w:t xml:space="preserve">，</w:t>
            </w:r>
            <w:r>
              <w:rPr>
                <w:color w:val="auto"/>
                <w:highlight w:val="none"/>
              </w:rPr>
              <w:t xml:space="preserve">得1分。</w:t>
            </w:r>
            <w:r/>
          </w:p>
          <w:p>
            <w:pPr>
              <w:spacing w:line="315" w:lineRule="exact"/>
              <w:rPr>
                <w:color w:val="auto"/>
                <w:highlight w:val="none"/>
              </w:rPr>
            </w:pPr>
            <w:r>
              <w:rPr>
                <w:color w:val="auto"/>
                <w:highlight w:val="none"/>
              </w:rPr>
              <w:t xml:space="preserve">4、供应商提供拟投入本项目的项目负责人具有高级信息系统项目管理师</w:t>
            </w:r>
            <w:r>
              <w:rPr>
                <w:rFonts w:hint="eastAsia"/>
                <w:color w:val="auto"/>
                <w:highlight w:val="none"/>
              </w:rPr>
              <w:t xml:space="preserve">、</w:t>
            </w:r>
            <w:r>
              <w:rPr>
                <w:color w:val="auto"/>
                <w:highlight w:val="none"/>
              </w:rPr>
              <w:t xml:space="preserve">注册信息安全专业人员(CISP)</w:t>
            </w:r>
            <w:r>
              <w:rPr>
                <w:rFonts w:hint="eastAsia"/>
                <w:color w:val="auto"/>
                <w:highlight w:val="none"/>
              </w:rPr>
              <w:t xml:space="preserve">、</w:t>
            </w:r>
            <w:r>
              <w:rPr>
                <w:color w:val="auto"/>
                <w:highlight w:val="none"/>
              </w:rPr>
              <w:t xml:space="preserve">ITSS </w:t>
            </w:r>
            <w:r>
              <w:rPr>
                <w:rFonts w:hint="eastAsia"/>
                <w:color w:val="auto"/>
                <w:highlight w:val="none"/>
                <w:lang w:val="en-US"/>
              </w:rPr>
              <w:t xml:space="preserve">IT</w:t>
            </w:r>
            <w:r>
              <w:rPr>
                <w:color w:val="auto"/>
                <w:highlight w:val="none"/>
                <w:lang w:val="en-US"/>
              </w:rPr>
              <w:t xml:space="preserve"> </w:t>
            </w:r>
            <w:r>
              <w:rPr>
                <w:color w:val="auto"/>
                <w:highlight w:val="none"/>
              </w:rPr>
              <w:t xml:space="preserve">服务项目经理，每提供一个得1分，最高得3分。</w:t>
            </w:r>
            <w:r/>
          </w:p>
          <w:p>
            <w:pPr>
              <w:spacing w:line="315" w:lineRule="exact"/>
              <w:rPr>
                <w:color w:val="auto"/>
                <w:highlight w:val="none"/>
              </w:rPr>
            </w:pPr>
            <w:r>
              <w:rPr>
                <w:color w:val="auto"/>
                <w:highlight w:val="none"/>
              </w:rPr>
              <w:t xml:space="preserve">5、供应商提供拟投入本项目的技术负责人具有ITSS IT服务工程师</w:t>
            </w:r>
            <w:r>
              <w:rPr>
                <w:rFonts w:hint="eastAsia"/>
                <w:color w:val="auto"/>
                <w:highlight w:val="none"/>
              </w:rPr>
              <w:t xml:space="preserve">、</w:t>
            </w:r>
            <w:r>
              <w:rPr>
                <w:color w:val="auto"/>
                <w:highlight w:val="none"/>
              </w:rPr>
              <w:t xml:space="preserve">系统集成项目管理工程师</w:t>
            </w:r>
            <w:r>
              <w:rPr>
                <w:rFonts w:hint="eastAsia"/>
                <w:color w:val="auto"/>
                <w:highlight w:val="none"/>
              </w:rPr>
              <w:t xml:space="preserve">、</w:t>
            </w:r>
            <w:r>
              <w:rPr>
                <w:color w:val="auto"/>
                <w:highlight w:val="none"/>
              </w:rPr>
              <w:t xml:space="preserve">高级信息系统项目管理师，每提供一个得1分，最高得2分。</w:t>
            </w:r>
            <w:r/>
          </w:p>
          <w:p>
            <w:pPr>
              <w:spacing w:line="315" w:lineRule="exact"/>
              <w:rPr>
                <w:color w:val="auto"/>
                <w:highlight w:val="none"/>
              </w:rPr>
            </w:pPr>
            <w:r>
              <w:rPr>
                <w:color w:val="auto"/>
                <w:highlight w:val="none"/>
              </w:rPr>
              <w:t xml:space="preserve">6、供应商针对本项目拟派出的团队人员（项目负责人、技术负责人除外）具有</w:t>
            </w:r>
            <w:r>
              <w:rPr>
                <w:rFonts w:hint="eastAsia"/>
                <w:color w:val="auto"/>
                <w:highlight w:val="none"/>
              </w:rPr>
              <w:t xml:space="preserve">网络工程师证书</w:t>
            </w:r>
            <w:r>
              <w:rPr>
                <w:color w:val="auto"/>
                <w:highlight w:val="none"/>
              </w:rPr>
              <w:t xml:space="preserve">每提供一个得1分，最多得2分。</w:t>
            </w:r>
            <w:r/>
          </w:p>
          <w:p>
            <w:pPr>
              <w:spacing w:line="315" w:lineRule="exact"/>
              <w:rPr>
                <w:color w:val="auto"/>
                <w:highlight w:val="none"/>
              </w:rPr>
            </w:pPr>
            <w:r>
              <w:rPr>
                <w:color w:val="auto"/>
                <w:highlight w:val="none"/>
              </w:rPr>
              <w:t xml:space="preserve">（以上人员提供证书复印件以及本单位为其缴纳的近六个月任意一个月的社保缴费证明【加盖社保公章或具有可验证的二维码（或验证码）】）</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类似业绩</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10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color w:val="auto"/>
                <w:highlight w:val="none"/>
              </w:rPr>
              <w:t xml:space="preserve">供应商自2023年6月1日（含）以来承担过类似项目，每提供1个得2.5分，最高得10分。（提供合同复印件加盖公章，时间以合同签订时间为准，如相关证明材料未能反映相关内容和数据的，视为未提供不得分）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售后服务和延长质保服务</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color w:val="auto"/>
                <w:highlight w:val="none"/>
              </w:rPr>
              <w:t xml:space="preserve">一、根据供应商提供的售后服务方案，包括售后服务措施、技术支持与培训(含详细的培训计划、培训的师资力量、培训的具体内容）等的合理性、完整性等进行评审：</w:t>
            </w:r>
            <w:r/>
          </w:p>
          <w:p>
            <w:pPr>
              <w:spacing w:line="315" w:lineRule="exact"/>
              <w:rPr>
                <w:color w:val="auto"/>
                <w:highlight w:val="none"/>
              </w:rPr>
            </w:pPr>
            <w:r>
              <w:rPr>
                <w:color w:val="auto"/>
                <w:highlight w:val="none"/>
              </w:rPr>
              <w:t xml:space="preserve">1、售后服务措施、技术支持与培训等方案很科学、很完整、合理可行的得3分；</w:t>
            </w:r>
            <w:r/>
          </w:p>
          <w:p>
            <w:pPr>
              <w:spacing w:line="315" w:lineRule="exact"/>
              <w:rPr>
                <w:color w:val="auto"/>
                <w:highlight w:val="none"/>
              </w:rPr>
            </w:pPr>
            <w:r>
              <w:rPr>
                <w:color w:val="auto"/>
                <w:highlight w:val="none"/>
              </w:rPr>
              <w:t xml:space="preserve">2、售后服务措施、技术支持与培训等方案较为科学、完整，有一定可行性的得2分；</w:t>
            </w:r>
            <w:r/>
          </w:p>
          <w:p>
            <w:pPr>
              <w:spacing w:line="315" w:lineRule="exact"/>
              <w:rPr>
                <w:color w:val="auto"/>
                <w:highlight w:val="none"/>
              </w:rPr>
            </w:pPr>
            <w:r>
              <w:rPr>
                <w:color w:val="auto"/>
                <w:highlight w:val="none"/>
              </w:rPr>
              <w:t xml:space="preserve">3、售后服务措施、技术支持与培训等方案不科学、不完整、可行性较差的得0.5分；</w:t>
            </w:r>
            <w:r/>
          </w:p>
          <w:p>
            <w:pPr>
              <w:spacing w:line="315" w:lineRule="exact"/>
              <w:rPr>
                <w:color w:val="auto"/>
                <w:highlight w:val="none"/>
              </w:rPr>
            </w:pPr>
            <w:r>
              <w:rPr>
                <w:color w:val="auto"/>
                <w:highlight w:val="none"/>
              </w:rPr>
              <w:t xml:space="preserve">4、未提供方案的本项不得分。</w:t>
            </w:r>
            <w:r/>
          </w:p>
          <w:p>
            <w:pPr>
              <w:spacing w:line="315" w:lineRule="exact"/>
              <w:rPr>
                <w:color w:val="auto"/>
                <w:highlight w:val="none"/>
              </w:rPr>
            </w:pPr>
            <w:r>
              <w:rPr>
                <w:color w:val="auto"/>
                <w:highlight w:val="none"/>
              </w:rPr>
              <w:t xml:space="preserve">二、本项目质保期为4年，每增加半年质保得1分，共计2分。（提供承诺书）</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30" w:hRule="exact"/>
        </w:trPr>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1200" w:type="dxa"/>
            <w:textDirection w:val="lrTb"/>
            <w:noWrap w:val="false"/>
          </w:tcPr>
          <w:p>
            <w:pPr>
              <w:rPr>
                <w:color w:val="auto"/>
                <w:highlight w:val="none"/>
              </w:rPr>
            </w:pPr>
            <w:r>
              <w:rPr>
                <w:color w:val="auto"/>
                <w:highlight w:val="none"/>
              </w:rPr>
            </w:r>
            <w:r/>
          </w:p>
        </w:tc>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690" w:type="dxa"/>
            <w:textDirection w:val="lrTb"/>
            <w:noWrap w:val="false"/>
          </w:tcPr>
          <w:p>
            <w:pPr>
              <w:rPr>
                <w:color w:val="auto"/>
                <w:highlight w:val="none"/>
              </w:rPr>
            </w:pPr>
            <w:r>
              <w:rPr>
                <w:color w:val="auto"/>
                <w:highlight w:val="none"/>
              </w:rPr>
            </w:r>
            <w:r/>
          </w:p>
        </w:tc>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7080" w:type="dxa"/>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600" w:type="dxa"/>
            <w:textDirection w:val="lrTb"/>
            <w:noWrap w:val="false"/>
          </w:tcPr>
          <w:p>
            <w:pPr>
              <w:rPr>
                <w:color w:val="auto"/>
                <w:highlight w:val="none"/>
              </w:rPr>
            </w:pPr>
            <w:r>
              <w:rPr>
                <w:color w:val="auto"/>
                <w:highlight w:val="none"/>
              </w:rPr>
            </w:r>
            <w:r/>
          </w:p>
        </w:tc>
      </w:tr>
    </w:tbl>
    <w:p>
      <w:pPr>
        <w:ind w:firstLine="442"/>
        <w:rPr>
          <w:rStyle w:val="1103"/>
          <w:rFonts w:ascii="宋体" w:hAnsi="宋体" w:cs="宋体"/>
          <w:b/>
          <w:color w:val="auto"/>
          <w:szCs w:val="21"/>
          <w:highlight w:val="none"/>
          <w:lang w:bidi="ar"/>
        </w:rPr>
      </w:pPr>
      <w:r>
        <w:rPr>
          <w:rFonts w:ascii="宋体" w:hAnsi="宋体" w:cs="宋体"/>
          <w:b/>
          <w:color w:val="auto"/>
          <w:szCs w:val="21"/>
          <w:highlight w:val="none"/>
          <w:lang w:bidi="ar"/>
        </w:rPr>
      </w:r>
      <w:r/>
    </w:p>
    <w:p>
      <w:pPr>
        <w:rPr>
          <w:b/>
          <w:color w:val="auto"/>
          <w:highlight w:val="none"/>
        </w:rPr>
      </w:pPr>
      <w:r>
        <w:rPr>
          <w:rStyle w:val="1103"/>
          <w:rFonts w:hint="eastAsia" w:ascii="宋体" w:hAnsi="宋体" w:cs="宋体"/>
          <w:b/>
          <w:color w:val="auto"/>
          <w:szCs w:val="21"/>
          <w:highlight w:val="none"/>
          <w:lang w:bidi="ar"/>
        </w:rPr>
        <w:t xml:space="preserve">说明：</w:t>
      </w:r>
      <w:r/>
    </w:p>
    <w:p>
      <w:pPr>
        <w:ind w:firstLine="442"/>
        <w:spacing w:line="360" w:lineRule="auto"/>
        <w:rPr>
          <w:b/>
          <w:bCs/>
          <w:color w:val="auto"/>
          <w:szCs w:val="21"/>
          <w:highlight w:val="none"/>
        </w:rPr>
      </w:pPr>
      <w:r>
        <w:rPr>
          <w:rFonts w:hint="eastAsia"/>
          <w:b/>
          <w:bCs/>
          <w:color w:val="auto"/>
          <w:szCs w:val="21"/>
          <w:highlight w:val="none"/>
          <w:lang w:bidi="ar"/>
        </w:rPr>
        <w:t xml:space="preserve">1、小微企业的价格扣除</w:t>
      </w:r>
      <w:r/>
    </w:p>
    <w:p>
      <w:pPr>
        <w:ind w:firstLine="440"/>
        <w:spacing w:line="360" w:lineRule="auto"/>
        <w:rPr>
          <w:color w:val="auto"/>
          <w:szCs w:val="21"/>
          <w:highlight w:val="none"/>
        </w:rPr>
      </w:pPr>
      <w:r>
        <w:rPr>
          <w:rFonts w:hint="eastAsia"/>
          <w:color w:val="auto"/>
          <w:szCs w:val="21"/>
          <w:highlight w:val="none"/>
          <w:lang w:bidi="ar"/>
        </w:rPr>
        <w:t xml:space="preserve">（1）对于非专门面向中小企业的采购项目，给予小微企业报价10%的价格扣除，用扣除后的价格参与评审。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（2）对于非专门面向中小企业的</w:t>
      </w:r>
      <w:r>
        <w:rPr>
          <w:rFonts w:hint="eastAsia"/>
          <w:bCs/>
          <w:color w:val="auto"/>
          <w:szCs w:val="21"/>
          <w:highlight w:val="none"/>
          <w:lang w:bidi="ar"/>
        </w:rPr>
        <w:t xml:space="preserve">货物</w:t>
      </w:r>
      <w:r>
        <w:rPr>
          <w:rFonts w:hint="eastAsia"/>
          <w:color w:val="auto"/>
          <w:szCs w:val="21"/>
          <w:highlight w:val="none"/>
          <w:lang w:bidi="ar"/>
        </w:rPr>
        <w:t xml:space="preserve">采购项目</w:t>
      </w:r>
      <w:r>
        <w:rPr>
          <w:rFonts w:hint="eastAsia"/>
          <w:bCs/>
          <w:color w:val="auto"/>
          <w:szCs w:val="21"/>
          <w:highlight w:val="none"/>
          <w:lang w:bidi="ar"/>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auto"/>
          <w:highlight w:val="none"/>
        </w:rPr>
      </w:pPr>
      <w:r>
        <w:rPr>
          <w:rStyle w:val="1103"/>
          <w:rFonts w:hint="eastAsia" w:ascii="宋体" w:hAnsi="宋体" w:cs="宋体"/>
          <w:color w:val="auto"/>
          <w:szCs w:val="21"/>
          <w:highlight w:val="none"/>
          <w:lang w:bidi="ar"/>
        </w:rPr>
        <w:t xml:space="preserve">（3）供应商需按照采购文件的要求提供相应的《中小企业声明函》。</w:t>
      </w:r>
      <w:r/>
    </w:p>
    <w:p>
      <w:pPr>
        <w:ind w:firstLine="440"/>
        <w:spacing w:line="360" w:lineRule="auto"/>
        <w:rPr>
          <w:color w:val="auto"/>
          <w:highlight w:val="none"/>
        </w:rPr>
      </w:pPr>
      <w:r>
        <w:rPr>
          <w:rStyle w:val="1103"/>
          <w:rFonts w:hint="eastAsia" w:ascii="宋体" w:hAnsi="宋体" w:cs="宋体"/>
          <w:color w:val="auto"/>
          <w:szCs w:val="21"/>
          <w:highlight w:val="none"/>
          <w:lang w:bidi="ar"/>
        </w:rPr>
        <w:t xml:space="preserve">（4）企业标准请参照《关于印发中小企业划型标准规定的通知》（工信部联企业[2011]300</w:t>
      </w:r>
      <w:r>
        <w:rPr>
          <w:rStyle w:val="1103"/>
          <w:color w:val="auto"/>
          <w:szCs w:val="21"/>
          <w:highlight w:val="none"/>
          <w:lang w:bidi="ar"/>
        </w:rPr>
        <w:t xml:space="preserve"> </w:t>
      </w:r>
      <w:r>
        <w:rPr>
          <w:rStyle w:val="1103"/>
          <w:rFonts w:hint="eastAsia" w:ascii="宋体" w:hAnsi="宋体" w:cs="宋体"/>
          <w:color w:val="auto"/>
          <w:szCs w:val="21"/>
          <w:highlight w:val="none"/>
          <w:lang w:bidi="ar"/>
        </w:rPr>
        <w:t xml:space="preserve">号）文件规定自行填写。 </w:t>
      </w:r>
      <w:r/>
    </w:p>
    <w:p>
      <w:pPr>
        <w:ind w:firstLine="421"/>
        <w:spacing w:line="360" w:lineRule="auto"/>
        <w:rPr>
          <w:b/>
          <w:color w:val="auto"/>
          <w:szCs w:val="21"/>
          <w:highlight w:val="none"/>
        </w:rPr>
      </w:pPr>
      <w:r>
        <w:rPr>
          <w:rFonts w:hint="eastAsia"/>
          <w:b/>
          <w:color w:val="auto"/>
          <w:szCs w:val="21"/>
          <w:highlight w:val="none"/>
          <w:lang w:bidi="ar"/>
        </w:rPr>
        <w:t xml:space="preserve">2、监狱和戒毒企业的价格扣除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（1）本项目对监狱和戒毒企业（简称监狱企业），给予报价10%的价格扣除，用扣除后的价格参与评审。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（2）监狱企业需提供由省级以上监狱管理局、戒毒管理局（含新疆生产建设兵团）出具的属于监狱企业的证明文件。</w:t>
      </w:r>
      <w:r/>
    </w:p>
    <w:p>
      <w:pPr>
        <w:ind w:firstLine="440"/>
        <w:spacing w:line="360" w:lineRule="auto"/>
        <w:rPr>
          <w:color w:val="auto"/>
          <w:szCs w:val="21"/>
          <w:highlight w:val="none"/>
        </w:rPr>
      </w:pPr>
      <w:r>
        <w:rPr>
          <w:rFonts w:hint="eastAsia"/>
          <w:color w:val="auto"/>
          <w:szCs w:val="21"/>
          <w:highlight w:val="none"/>
          <w:lang w:bidi="ar"/>
        </w:rPr>
        <w:t xml:space="preserve">（3）监狱企业标准请参照《关于政府采购支持监狱企业发展有关问题的通知》（财库〔2014〕68号）。</w:t>
      </w:r>
      <w:r/>
    </w:p>
    <w:p>
      <w:pPr>
        <w:ind w:firstLine="442"/>
        <w:spacing w:line="360" w:lineRule="auto"/>
        <w:rPr>
          <w:b/>
          <w:bCs/>
          <w:color w:val="auto"/>
          <w:szCs w:val="21"/>
          <w:highlight w:val="none"/>
        </w:rPr>
      </w:pPr>
      <w:r>
        <w:rPr>
          <w:rFonts w:hint="eastAsia"/>
          <w:b/>
          <w:bCs/>
          <w:color w:val="auto"/>
          <w:szCs w:val="21"/>
          <w:highlight w:val="none"/>
          <w:lang w:bidi="ar"/>
        </w:rPr>
        <w:t xml:space="preserve">3、残疾人福利性单位的价格扣除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（1）本项目对残疾人福利性单位，给予报价10%的价格扣除，用扣除后的价格参与评审。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（2）残疾人福利单位需按照采购文件的要求提供《残疾人福利性单位声明函》。</w:t>
      </w:r>
      <w:r/>
    </w:p>
    <w:p>
      <w:pPr>
        <w:ind w:firstLine="440"/>
        <w:spacing w:line="360" w:lineRule="auto"/>
        <w:rPr>
          <w:color w:val="auto"/>
          <w:szCs w:val="21"/>
          <w:highlight w:val="none"/>
        </w:rPr>
      </w:pPr>
      <w:r>
        <w:rPr>
          <w:rFonts w:hint="eastAsia"/>
          <w:color w:val="auto"/>
          <w:szCs w:val="21"/>
          <w:highlight w:val="none"/>
          <w:lang w:bidi="ar"/>
        </w:rPr>
        <w:t xml:space="preserve">（3）残疾人福利单位标准请参照《关于促进残疾人就业政府采购政策的通知》（财库〔2017〕141号）。</w:t>
      </w:r>
      <w:r/>
    </w:p>
    <w:p>
      <w:pPr>
        <w:ind w:firstLine="442"/>
        <w:spacing w:line="360" w:lineRule="auto"/>
        <w:rPr>
          <w:b/>
          <w:bCs/>
          <w:color w:val="auto"/>
          <w:szCs w:val="21"/>
          <w:highlight w:val="none"/>
        </w:rPr>
      </w:pPr>
      <w:r>
        <w:rPr>
          <w:rFonts w:hint="eastAsia"/>
          <w:b/>
          <w:bCs/>
          <w:color w:val="auto"/>
          <w:szCs w:val="21"/>
          <w:highlight w:val="none"/>
          <w:lang w:bidi="ar"/>
        </w:rPr>
        <w:t xml:space="preserve">4、监狱企业、残疾人福利性单位属于小微企业的，不重复享受政策。</w:t>
      </w:r>
      <w:r/>
    </w:p>
    <w:p>
      <w:pPr>
        <w:ind w:firstLine="442"/>
        <w:spacing w:line="360" w:lineRule="auto"/>
        <w:rPr>
          <w:b/>
          <w:color w:val="auto"/>
          <w:szCs w:val="21"/>
          <w:highlight w:val="none"/>
          <w:lang w:bidi="ar"/>
        </w:rPr>
      </w:pPr>
      <w:r>
        <w:rPr>
          <w:b/>
          <w:color w:val="auto"/>
          <w:szCs w:val="21"/>
          <w:highlight w:val="none"/>
          <w:lang w:bidi="ar"/>
        </w:rPr>
        <w:t xml:space="preserve">5</w:t>
      </w:r>
      <w:r>
        <w:rPr>
          <w:rFonts w:hint="eastAsia"/>
          <w:b/>
          <w:color w:val="auto"/>
          <w:szCs w:val="21"/>
          <w:highlight w:val="none"/>
          <w:lang w:bidi="ar"/>
        </w:rPr>
        <w:t xml:space="preserve">、采购本国产品的支持政策</w:t>
      </w:r>
      <w:r/>
    </w:p>
    <w:p>
      <w:pPr>
        <w:ind w:firstLine="440"/>
        <w:spacing w:line="360" w:lineRule="auto"/>
        <w:rPr>
          <w:color w:val="auto"/>
          <w:szCs w:val="21"/>
          <w:highlight w:val="none"/>
          <w:lang w:bidi="ar"/>
        </w:rPr>
      </w:pPr>
      <w:r>
        <w:rPr>
          <w:rFonts w:hint="eastAsia"/>
          <w:color w:val="auto"/>
          <w:szCs w:val="21"/>
          <w:highlight w:val="none"/>
          <w:lang w:bidi="ar"/>
        </w:rPr>
        <w:t xml:space="preserve">（1）</w:t>
      </w:r>
      <w:r>
        <w:rPr>
          <w:color w:val="auto"/>
          <w:szCs w:val="21"/>
          <w:highlight w:val="none"/>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auto"/>
          <w:szCs w:val="21"/>
          <w:highlight w:val="none"/>
          <w:lang w:bidi="ar"/>
        </w:rPr>
      </w:pPr>
      <w:r>
        <w:rPr>
          <w:rFonts w:hint="eastAsia"/>
          <w:color w:val="auto"/>
          <w:szCs w:val="21"/>
          <w:highlight w:val="none"/>
          <w:lang w:bidi="ar"/>
        </w:rPr>
        <w:t xml:space="preserve">（2）</w:t>
      </w:r>
      <w:r>
        <w:rPr>
          <w:color w:val="auto"/>
          <w:szCs w:val="21"/>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（3）</w:t>
      </w:r>
      <w:r>
        <w:rPr>
          <w:color w:val="auto"/>
          <w:szCs w:val="21"/>
          <w:highlight w:val="none"/>
          <w:lang w:bidi="ar"/>
        </w:rPr>
        <w:t xml:space="preserve">供应商需按照招标文件的要求提供《关于符合本国产品标准的声明函》，如不提供将不享受本国产品价格评审优惠。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（4）</w:t>
      </w:r>
      <w:r>
        <w:rPr>
          <w:color w:val="auto"/>
          <w:szCs w:val="21"/>
          <w:highlight w:val="none"/>
          <w:lang w:bidi="ar"/>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（5）</w:t>
      </w:r>
      <w:r>
        <w:rPr>
          <w:color w:val="auto"/>
          <w:szCs w:val="21"/>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auto"/>
          <w:szCs w:val="21"/>
          <w:highlight w:val="none"/>
          <w:lang w:bidi="ar"/>
        </w:rPr>
      </w:pPr>
      <w:r>
        <w:rPr>
          <w:color w:val="auto"/>
          <w:szCs w:val="21"/>
          <w:highlight w:val="none"/>
          <w:lang w:bidi="ar"/>
        </w:rPr>
        <w:br w:type="page" w:clear="all"/>
      </w:r>
      <w:r/>
    </w:p>
    <w:p>
      <w:pPr>
        <w:contextualSpacing/>
        <w:jc w:val="center"/>
        <w:spacing w:line="360" w:lineRule="auto"/>
        <w:rPr>
          <w:rFonts w:ascii="黑体" w:eastAsia="黑体"/>
          <w:b/>
          <w:color w:val="auto"/>
          <w:sz w:val="36"/>
          <w:highlight w:val="none"/>
        </w:rPr>
      </w:pPr>
      <w:r>
        <w:rPr>
          <w:rFonts w:hint="eastAsia" w:ascii="黑体" w:eastAsia="黑体"/>
          <w:b/>
          <w:color w:val="auto"/>
          <w:sz w:val="36"/>
          <w:highlight w:val="none"/>
        </w:rPr>
        <w:t xml:space="preserve">第四章 招标项目的技术规格、要求和数量等</w:t>
      </w:r>
      <w:bookmarkEnd w:id="20"/>
      <w:r/>
      <w:r/>
    </w:p>
    <w:p>
      <w:pPr>
        <w:spacing w:line="360" w:lineRule="auto"/>
        <w:rPr>
          <w:b/>
          <w:bCs/>
          <w:color w:val="auto"/>
          <w:sz w:val="36"/>
          <w:szCs w:val="36"/>
          <w:highlight w:val="none"/>
        </w:rPr>
      </w:pPr>
      <w:r/>
      <w:bookmarkStart w:id="21" w:name="_Toc17931"/>
      <w:r>
        <w:rPr>
          <w:b/>
          <w:bCs/>
          <w:color w:val="auto"/>
          <w:sz w:val="24"/>
          <w:szCs w:val="36"/>
          <w:highlight w:val="none"/>
        </w:rPr>
        <w:t xml:space="preserve">一、项目背景</w:t>
      </w:r>
      <w:r/>
    </w:p>
    <w:p>
      <w:pPr>
        <w:ind w:firstLine="240"/>
        <w:spacing w:line="360" w:lineRule="auto"/>
        <w:rPr>
          <w:color w:val="auto"/>
          <w:sz w:val="36"/>
          <w:szCs w:val="36"/>
          <w:highlight w:val="none"/>
        </w:rPr>
      </w:pPr>
      <w:r>
        <w:rPr>
          <w:color w:val="auto"/>
          <w:sz w:val="24"/>
          <w:szCs w:val="36"/>
          <w:highlight w:val="none"/>
        </w:rPr>
        <w:t xml:space="preserve"> 随着江苏第二师范学院办学规模扩大，草场门校区学生人数持续增长，现有教学空间资源已无法满足日常教学排班需求，“教室不足”成为制约教学秩序高效运转的关键问题。同时，教育信息化 2.0 时代背景下，传统教室的功能单一性与现代化教学对“互动化、数字化、智能化” 的需求存在显著差距，难以支撑精品课程建设、混合式教学开展及标准化考试组织。</w:t>
      </w:r>
      <w:r/>
    </w:p>
    <w:p>
      <w:pPr>
        <w:ind w:firstLine="240"/>
        <w:spacing w:line="360" w:lineRule="auto"/>
        <w:rPr>
          <w:color w:val="auto"/>
          <w:sz w:val="36"/>
          <w:szCs w:val="36"/>
          <w:highlight w:val="none"/>
        </w:rPr>
      </w:pPr>
      <w:r>
        <w:rPr>
          <w:color w:val="auto"/>
          <w:sz w:val="24"/>
          <w:szCs w:val="36"/>
          <w:highlight w:val="none"/>
        </w:rPr>
        <w:t xml:space="preserve"> 为破解空间资源瓶颈、提升教学质量与管理效率，学校决定对草场门校区红楼34个教室和石湫校区新增加的3间教室进行智能化升级改造。通过集成标准化考场系统、录播系统、多媒体扩音系统、公共广播系统电子班牌</w:t>
      </w:r>
      <w:r>
        <w:rPr>
          <w:rFonts w:hint="eastAsia"/>
          <w:color w:val="auto"/>
          <w:sz w:val="24"/>
          <w:szCs w:val="36"/>
          <w:highlight w:val="none"/>
        </w:rPr>
        <w:t xml:space="preserve">、智能交互设备</w:t>
      </w:r>
      <w:r>
        <w:rPr>
          <w:rFonts w:hint="eastAsia"/>
          <w:color w:val="auto"/>
          <w:highlight w:val="none"/>
        </w:rPr>
        <w:t xml:space="preserve">、校园网</w:t>
      </w:r>
      <w:r>
        <w:rPr>
          <w:color w:val="auto"/>
          <w:sz w:val="24"/>
          <w:szCs w:val="36"/>
          <w:highlight w:val="none"/>
        </w:rPr>
        <w:t xml:space="preserve">系统等，将其打造为"一室多用、智能高效” 的现代化智能教室</w:t>
      </w:r>
      <w:r>
        <w:rPr>
          <w:rFonts w:hint="eastAsia"/>
          <w:color w:val="auto"/>
          <w:sz w:val="24"/>
          <w:szCs w:val="36"/>
          <w:highlight w:val="none"/>
        </w:rPr>
        <w:t xml:space="preserve">和办公</w:t>
      </w:r>
      <w:r>
        <w:rPr>
          <w:color w:val="auto"/>
          <w:sz w:val="24"/>
          <w:szCs w:val="36"/>
          <w:highlight w:val="none"/>
        </w:rPr>
        <w:t xml:space="preserve">，既缓解教学空间</w:t>
      </w:r>
      <w:r>
        <w:rPr>
          <w:rFonts w:hint="eastAsia"/>
          <w:color w:val="auto"/>
          <w:sz w:val="24"/>
          <w:szCs w:val="36"/>
          <w:highlight w:val="none"/>
        </w:rPr>
        <w:t xml:space="preserve">和办公的</w:t>
      </w:r>
      <w:r>
        <w:rPr>
          <w:color w:val="auto"/>
          <w:sz w:val="24"/>
          <w:szCs w:val="36"/>
          <w:highlight w:val="none"/>
        </w:rPr>
        <w:t xml:space="preserve">紧张问题，又为教育教学改革提供技术支撑。</w:t>
      </w:r>
      <w:r/>
    </w:p>
    <w:p>
      <w:pPr>
        <w:spacing w:line="360" w:lineRule="auto"/>
        <w:rPr>
          <w:b/>
          <w:bCs/>
          <w:color w:val="auto"/>
          <w:sz w:val="36"/>
          <w:szCs w:val="36"/>
          <w:highlight w:val="none"/>
        </w:rPr>
      </w:pPr>
      <w:r>
        <w:rPr>
          <w:b/>
          <w:bCs/>
          <w:color w:val="auto"/>
          <w:sz w:val="24"/>
          <w:szCs w:val="36"/>
          <w:highlight w:val="none"/>
        </w:rPr>
        <w:t xml:space="preserve">二、建设目标</w:t>
      </w:r>
      <w:r/>
    </w:p>
    <w:p>
      <w:pPr>
        <w:ind w:firstLine="240"/>
        <w:spacing w:line="360" w:lineRule="auto"/>
        <w:rPr>
          <w:color w:val="auto"/>
          <w:sz w:val="36"/>
          <w:szCs w:val="36"/>
          <w:highlight w:val="none"/>
        </w:rPr>
      </w:pPr>
      <w:r>
        <w:rPr>
          <w:color w:val="auto"/>
          <w:sz w:val="24"/>
          <w:szCs w:val="36"/>
          <w:highlight w:val="none"/>
        </w:rPr>
        <w:t xml:space="preserve"> 功能适配目标:改造后的 37 个智能教室需同时满足“日常教学”与“标准化考试” 双重需求，实现功能快速切换，最大化教室使用效率，缓解空间不足压力</w:t>
      </w:r>
      <w:r>
        <w:rPr>
          <w:rFonts w:hint="eastAsia"/>
          <w:color w:val="auto"/>
          <w:sz w:val="24"/>
          <w:szCs w:val="36"/>
          <w:highlight w:val="none"/>
        </w:rPr>
        <w:t xml:space="preserve">；完成教学楼教室和办公室的网络链路建设，更好的满足师生上网需求。</w:t>
      </w:r>
      <w:r/>
    </w:p>
    <w:p>
      <w:pPr>
        <w:ind w:firstLine="240"/>
        <w:spacing w:line="360" w:lineRule="auto"/>
        <w:rPr>
          <w:color w:val="auto"/>
          <w:sz w:val="36"/>
          <w:szCs w:val="36"/>
          <w:highlight w:val="none"/>
        </w:rPr>
      </w:pPr>
      <w:r>
        <w:rPr>
          <w:color w:val="auto"/>
          <w:sz w:val="24"/>
          <w:szCs w:val="36"/>
          <w:highlight w:val="none"/>
        </w:rPr>
        <w:t xml:space="preserve">教学赋能目标:通过智能设备与系统联动，支持互动教学、实现教学资源复用，提升教师教学便捷性与学生学习体验。</w:t>
      </w:r>
      <w:r/>
    </w:p>
    <w:p>
      <w:pPr>
        <w:ind w:firstLine="240"/>
        <w:spacing w:line="360" w:lineRule="auto"/>
        <w:rPr>
          <w:color w:val="auto"/>
          <w:sz w:val="36"/>
          <w:szCs w:val="36"/>
          <w:highlight w:val="none"/>
        </w:rPr>
      </w:pPr>
      <w:r>
        <w:rPr>
          <w:color w:val="auto"/>
          <w:sz w:val="24"/>
          <w:szCs w:val="36"/>
          <w:highlight w:val="none"/>
        </w:rPr>
        <w:t xml:space="preserve">管理提效目标:建立统一的教室智能管理平台，实现设备状态实时监控、故障预警、远程运维，减少人工管理成本，同时通过标准化考场系统，满足国家教育考试“全程监控、身份核验、防作弊”要求，降低考试组织难度。</w:t>
      </w:r>
      <w:r/>
    </w:p>
    <w:p>
      <w:pPr>
        <w:ind w:firstLine="240"/>
        <w:spacing w:line="360" w:lineRule="auto"/>
        <w:rPr>
          <w:b/>
          <w:bCs/>
          <w:color w:val="auto"/>
          <w:sz w:val="36"/>
          <w:szCs w:val="36"/>
          <w:highlight w:val="none"/>
        </w:rPr>
      </w:pPr>
      <w:r>
        <w:rPr>
          <w:color w:val="auto"/>
          <w:sz w:val="24"/>
          <w:szCs w:val="36"/>
          <w:highlight w:val="none"/>
        </w:rPr>
        <w:t xml:space="preserve">兼容性目标:所有系统需兼容学校现有教学化管理平台(如智能控制系统、校园网络系统、巡课系统、标准化考场系统)，避免“信息孤岛”，确保长期可扩展(如后续可接入智慧校园统一管控平台)。</w:t>
      </w:r>
      <w:r/>
    </w:p>
    <w:p>
      <w:pPr>
        <w:spacing w:line="360" w:lineRule="auto"/>
        <w:rPr>
          <w:b/>
          <w:bCs/>
          <w:color w:val="auto"/>
          <w:sz w:val="36"/>
          <w:szCs w:val="36"/>
          <w:highlight w:val="none"/>
        </w:rPr>
      </w:pPr>
      <w:r>
        <w:rPr>
          <w:b/>
          <w:bCs/>
          <w:color w:val="auto"/>
          <w:sz w:val="24"/>
          <w:szCs w:val="36"/>
          <w:highlight w:val="none"/>
        </w:rPr>
        <w:t xml:space="preserve">三、核心建设内容</w:t>
      </w:r>
      <w:r/>
    </w:p>
    <w:p>
      <w:pPr>
        <w:ind w:firstLine="240"/>
        <w:spacing w:line="360" w:lineRule="auto"/>
        <w:rPr>
          <w:color w:val="auto"/>
          <w:sz w:val="36"/>
          <w:szCs w:val="36"/>
          <w:highlight w:val="none"/>
        </w:rPr>
      </w:pPr>
      <w:r>
        <w:rPr>
          <w:color w:val="auto"/>
          <w:sz w:val="24"/>
          <w:szCs w:val="36"/>
          <w:highlight w:val="none"/>
        </w:rPr>
        <w:t xml:space="preserve">针对 37个教室</w:t>
      </w:r>
      <w:r>
        <w:rPr>
          <w:rFonts w:hint="eastAsia"/>
          <w:color w:val="auto"/>
          <w:sz w:val="24"/>
          <w:szCs w:val="36"/>
          <w:highlight w:val="none"/>
        </w:rPr>
        <w:t xml:space="preserve">和办公室</w:t>
      </w:r>
      <w:r>
        <w:rPr>
          <w:color w:val="auto"/>
          <w:sz w:val="24"/>
          <w:szCs w:val="36"/>
          <w:highlight w:val="none"/>
        </w:rPr>
        <w:t xml:space="preserve">的空间特点（</w:t>
      </w:r>
      <w:r>
        <w:rPr>
          <w:rFonts w:hint="eastAsia"/>
          <w:color w:val="auto"/>
          <w:sz w:val="24"/>
          <w:szCs w:val="36"/>
          <w:highlight w:val="none"/>
        </w:rPr>
        <w:t xml:space="preserve">需提前现场勘测教室、办公室面积、布局、点位</w:t>
      </w:r>
      <w:r>
        <w:rPr>
          <w:color w:val="auto"/>
          <w:sz w:val="24"/>
          <w:szCs w:val="36"/>
          <w:highlight w:val="none"/>
        </w:rPr>
        <w:t xml:space="preserve">），按“统一标准、分类优化” 原则配置系统，37（其中1间从草场门校区迁移到石湫校区）个教室按“标准智能教室” 建设（满足基础教学与考试需求）。</w:t>
      </w:r>
      <w:r/>
    </w:p>
    <w:p>
      <w:pPr>
        <w:ind w:firstLine="240"/>
        <w:spacing w:line="360" w:lineRule="auto"/>
        <w:rPr>
          <w:color w:val="auto"/>
          <w:sz w:val="36"/>
          <w:szCs w:val="36"/>
          <w:highlight w:val="none"/>
        </w:rPr>
      </w:pPr>
      <w:r>
        <w:rPr>
          <w:color w:val="auto"/>
          <w:sz w:val="24"/>
          <w:szCs w:val="36"/>
          <w:highlight w:val="none"/>
        </w:rPr>
        <w:t xml:space="preserve">（一）标准化考场系统</w:t>
      </w:r>
      <w:r/>
    </w:p>
    <w:p>
      <w:pPr>
        <w:ind w:firstLine="240"/>
        <w:spacing w:line="360" w:lineRule="auto"/>
        <w:rPr>
          <w:color w:val="auto"/>
          <w:sz w:val="36"/>
          <w:szCs w:val="36"/>
          <w:highlight w:val="none"/>
        </w:rPr>
      </w:pPr>
      <w:r>
        <w:rPr>
          <w:color w:val="auto"/>
          <w:sz w:val="24"/>
          <w:szCs w:val="36"/>
          <w:highlight w:val="none"/>
        </w:rPr>
        <w:t xml:space="preserve"> 1. 建设要求</w:t>
      </w:r>
      <w:r/>
    </w:p>
    <w:p>
      <w:pPr>
        <w:ind w:firstLine="240"/>
        <w:spacing w:line="360" w:lineRule="auto"/>
        <w:rPr>
          <w:color w:val="auto"/>
          <w:sz w:val="36"/>
          <w:szCs w:val="36"/>
          <w:highlight w:val="none"/>
        </w:rPr>
      </w:pPr>
      <w:r>
        <w:rPr>
          <w:color w:val="auto"/>
          <w:sz w:val="24"/>
          <w:szCs w:val="36"/>
          <w:highlight w:val="none"/>
        </w:rPr>
        <w:t xml:space="preserve">严格遵循《国家教育考试网上巡查系统标准（GB/T 28181）》，实现 “身份核验 - 全程监控 - 作弊防控 - 数据存储” 全流程覆盖。</w:t>
      </w:r>
      <w:r/>
    </w:p>
    <w:p>
      <w:pPr>
        <w:ind w:firstLine="240"/>
        <w:spacing w:line="360" w:lineRule="auto"/>
        <w:rPr>
          <w:color w:val="auto"/>
          <w:sz w:val="36"/>
          <w:szCs w:val="36"/>
          <w:highlight w:val="none"/>
        </w:rPr>
      </w:pPr>
      <w:r>
        <w:rPr>
          <w:color w:val="auto"/>
          <w:sz w:val="24"/>
          <w:szCs w:val="36"/>
          <w:highlight w:val="none"/>
        </w:rPr>
        <w:t xml:space="preserve">2. 核心配置</w:t>
      </w:r>
      <w:r/>
    </w:p>
    <w:p>
      <w:pPr>
        <w:ind w:firstLine="240"/>
        <w:spacing w:line="360" w:lineRule="auto"/>
        <w:rPr>
          <w:color w:val="auto"/>
          <w:sz w:val="36"/>
          <w:szCs w:val="36"/>
          <w:highlight w:val="none"/>
        </w:rPr>
      </w:pPr>
      <w:r>
        <w:rPr>
          <w:color w:val="auto"/>
          <w:sz w:val="24"/>
          <w:szCs w:val="36"/>
          <w:highlight w:val="none"/>
        </w:rPr>
        <w:t xml:space="preserve">身份核验设备：每个教室入口预留 1个信息点位用于后期考试的人脸识别仪接入，替代传统准考证核验，杜绝替考。</w:t>
      </w:r>
      <w:r/>
    </w:p>
    <w:p>
      <w:pPr>
        <w:ind w:firstLine="240"/>
        <w:spacing w:line="360" w:lineRule="auto"/>
        <w:rPr>
          <w:color w:val="auto"/>
          <w:sz w:val="36"/>
          <w:szCs w:val="36"/>
          <w:highlight w:val="none"/>
        </w:rPr>
      </w:pPr>
      <w:r>
        <w:rPr>
          <w:color w:val="auto"/>
          <w:sz w:val="24"/>
          <w:szCs w:val="36"/>
          <w:highlight w:val="none"/>
        </w:rPr>
        <w:t xml:space="preserve">视频监控设备：</w:t>
      </w:r>
      <w:r/>
    </w:p>
    <w:p>
      <w:pPr>
        <w:ind w:firstLine="240"/>
        <w:spacing w:line="360" w:lineRule="auto"/>
        <w:rPr>
          <w:color w:val="auto"/>
          <w:sz w:val="36"/>
          <w:szCs w:val="36"/>
          <w:highlight w:val="none"/>
        </w:rPr>
      </w:pPr>
      <w:r>
        <w:rPr>
          <w:color w:val="auto"/>
          <w:sz w:val="24"/>
          <w:szCs w:val="36"/>
          <w:highlight w:val="none"/>
        </w:rPr>
        <w:t xml:space="preserve">标准教室：前端安装 1台 200 万像素高清半球摄像机（覆盖讲台 + 学生区域，支持 H.265 编码，夜视功能，录像分辨率 1080P）；</w:t>
      </w:r>
      <w:r/>
    </w:p>
    <w:p>
      <w:pPr>
        <w:ind w:firstLine="240"/>
        <w:spacing w:line="360" w:lineRule="auto"/>
        <w:rPr>
          <w:color w:val="auto"/>
          <w:sz w:val="36"/>
          <w:szCs w:val="36"/>
          <w:highlight w:val="none"/>
        </w:rPr>
      </w:pPr>
      <w:r>
        <w:rPr>
          <w:color w:val="auto"/>
          <w:sz w:val="24"/>
          <w:szCs w:val="36"/>
          <w:highlight w:val="none"/>
        </w:rPr>
        <w:t xml:space="preserve">存储与传输：所有教室监控视频接入学校监控中心存储服务器，存储时长≥90 天（满足考试录像留存要求），传输采用校园局域网，带宽≥4Mbps / 路，确保画面无卡顿。</w:t>
      </w:r>
      <w:r/>
    </w:p>
    <w:p>
      <w:pPr>
        <w:ind w:firstLine="240"/>
        <w:spacing w:line="360" w:lineRule="auto"/>
        <w:rPr>
          <w:color w:val="auto"/>
          <w:sz w:val="36"/>
          <w:szCs w:val="36"/>
          <w:highlight w:val="none"/>
        </w:rPr>
      </w:pPr>
      <w:r>
        <w:rPr>
          <w:color w:val="auto"/>
          <w:sz w:val="24"/>
          <w:szCs w:val="36"/>
          <w:highlight w:val="none"/>
        </w:rPr>
        <w:t xml:space="preserve">作弊防控设备：每个教室配置 1 台信号屏蔽仪（覆盖中国移动 / 联通 / 电信 2G-5G 信号及 WiFi 信号，屏蔽半径≥10 米，不影响校园公共通信）、1 台拾音器（与监控同步录音，音质清晰无杂音）。</w:t>
      </w:r>
      <w:r/>
    </w:p>
    <w:p>
      <w:pPr>
        <w:ind w:firstLine="240"/>
        <w:spacing w:line="360" w:lineRule="auto"/>
        <w:rPr>
          <w:color w:val="auto"/>
          <w:sz w:val="36"/>
          <w:szCs w:val="36"/>
          <w:highlight w:val="none"/>
        </w:rPr>
      </w:pPr>
      <w:r>
        <w:rPr>
          <w:color w:val="auto"/>
          <w:sz w:val="24"/>
          <w:szCs w:val="36"/>
          <w:highlight w:val="none"/>
        </w:rPr>
        <w:t xml:space="preserve"> （二）录播系统</w:t>
      </w:r>
      <w:r/>
    </w:p>
    <w:p>
      <w:pPr>
        <w:ind w:firstLine="240"/>
        <w:spacing w:line="360" w:lineRule="auto"/>
        <w:rPr>
          <w:color w:val="auto"/>
          <w:sz w:val="36"/>
          <w:szCs w:val="36"/>
          <w:highlight w:val="none"/>
        </w:rPr>
      </w:pPr>
      <w:r>
        <w:rPr>
          <w:color w:val="auto"/>
          <w:sz w:val="24"/>
          <w:szCs w:val="36"/>
          <w:highlight w:val="none"/>
        </w:rPr>
        <w:t xml:space="preserve">常态化录播教室（37间）：满足日常教学录制需求，实现 自动录播。1 台一体化录播终端（集成摄像机、麦克风、编码功能），录制画面覆盖讲台与学生区域，录制文件可自动上传至学校存储服务器。</w:t>
      </w:r>
      <w:r/>
    </w:p>
    <w:p>
      <w:pPr>
        <w:ind w:firstLine="240"/>
        <w:spacing w:line="360" w:lineRule="auto"/>
        <w:rPr>
          <w:color w:val="auto"/>
          <w:sz w:val="36"/>
          <w:szCs w:val="36"/>
          <w:highlight w:val="none"/>
        </w:rPr>
      </w:pPr>
      <w:r>
        <w:rPr>
          <w:color w:val="auto"/>
          <w:sz w:val="24"/>
          <w:szCs w:val="36"/>
          <w:highlight w:val="none"/>
        </w:rPr>
        <w:t xml:space="preserve">（三）多媒体扩音系统</w:t>
      </w:r>
      <w:r/>
    </w:p>
    <w:p>
      <w:pPr>
        <w:ind w:firstLine="240"/>
        <w:spacing w:line="360" w:lineRule="auto"/>
        <w:rPr>
          <w:color w:val="auto"/>
          <w:sz w:val="36"/>
          <w:szCs w:val="36"/>
          <w:highlight w:val="none"/>
        </w:rPr>
      </w:pPr>
      <w:r>
        <w:rPr>
          <w:color w:val="auto"/>
          <w:sz w:val="24"/>
          <w:szCs w:val="36"/>
          <w:highlight w:val="none"/>
        </w:rPr>
        <w:t xml:space="preserve">确保教室声音覆盖均匀，音质清晰无回声、无啸叫，支持教师无线发言与多媒体音频播放。</w:t>
      </w:r>
      <w:r/>
    </w:p>
    <w:p>
      <w:pPr>
        <w:ind w:firstLine="240"/>
        <w:spacing w:line="360" w:lineRule="auto"/>
        <w:rPr>
          <w:color w:val="auto"/>
          <w:sz w:val="36"/>
          <w:szCs w:val="36"/>
          <w:highlight w:val="none"/>
        </w:rPr>
      </w:pPr>
      <w:r>
        <w:rPr>
          <w:color w:val="auto"/>
          <w:sz w:val="24"/>
          <w:szCs w:val="36"/>
          <w:highlight w:val="none"/>
        </w:rPr>
        <w:t xml:space="preserve">发言设备：每个教室配置 1 台下吊麦克风（教师用，支持 UHF 频段，抗干扰能力强，有效距离≥20 米）、1 台无线手持麦克风（学生互动用）。</w:t>
      </w:r>
      <w:r/>
    </w:p>
    <w:p>
      <w:pPr>
        <w:ind w:firstLine="240"/>
        <w:spacing w:line="360" w:lineRule="auto"/>
        <w:rPr>
          <w:color w:val="auto"/>
          <w:sz w:val="36"/>
          <w:szCs w:val="36"/>
          <w:highlight w:val="none"/>
        </w:rPr>
      </w:pPr>
      <w:r>
        <w:rPr>
          <w:color w:val="auto"/>
          <w:sz w:val="24"/>
          <w:szCs w:val="36"/>
          <w:highlight w:val="none"/>
        </w:rPr>
        <w:t xml:space="preserve"> 扩音设备：根据教室面积选择音箱（20-50㎡教室配 2 只壁挂音箱），搭配 1 台数字功放（功率匹配音箱，支持音量分区调节）。</w:t>
      </w:r>
      <w:r/>
    </w:p>
    <w:p>
      <w:pPr>
        <w:ind w:firstLine="240"/>
        <w:spacing w:line="360" w:lineRule="auto"/>
        <w:rPr>
          <w:color w:val="auto"/>
          <w:sz w:val="36"/>
          <w:szCs w:val="36"/>
          <w:highlight w:val="none"/>
        </w:rPr>
      </w:pPr>
      <w:r>
        <w:rPr>
          <w:color w:val="auto"/>
          <w:sz w:val="24"/>
          <w:szCs w:val="36"/>
          <w:highlight w:val="none"/>
        </w:rPr>
        <w:t xml:space="preserve"> 音频处理：配置 1 台音频处理器（支持回声抑制、啸叫抑制、噪声消除功能，确保多媒体课件音频与麦克风声音无冲突）。</w:t>
      </w:r>
      <w:r/>
    </w:p>
    <w:p>
      <w:pPr>
        <w:ind w:firstLine="240"/>
        <w:spacing w:line="360" w:lineRule="auto"/>
        <w:rPr>
          <w:color w:val="auto"/>
          <w:sz w:val="36"/>
          <w:szCs w:val="36"/>
          <w:highlight w:val="none"/>
        </w:rPr>
      </w:pPr>
      <w:r>
        <w:rPr>
          <w:color w:val="auto"/>
          <w:sz w:val="24"/>
          <w:szCs w:val="36"/>
          <w:highlight w:val="none"/>
        </w:rPr>
        <w:t xml:space="preserve">（四）公共广播系统</w:t>
      </w:r>
      <w:r/>
    </w:p>
    <w:p>
      <w:pPr>
        <w:ind w:firstLine="240"/>
        <w:spacing w:line="360" w:lineRule="auto"/>
        <w:rPr>
          <w:color w:val="auto"/>
          <w:sz w:val="36"/>
          <w:szCs w:val="36"/>
          <w:highlight w:val="none"/>
        </w:rPr>
      </w:pPr>
      <w:r>
        <w:rPr>
          <w:color w:val="auto"/>
          <w:sz w:val="24"/>
          <w:szCs w:val="36"/>
          <w:highlight w:val="none"/>
        </w:rPr>
        <w:t xml:space="preserve"> 实现 “分区控制、定时播放、主备切换、紧急联动”，支持日常上下课铃声、通知播报，及考试期间指令播放（如开考 / 结束信号）。</w:t>
      </w:r>
      <w:r/>
    </w:p>
    <w:p>
      <w:pPr>
        <w:ind w:firstLine="240"/>
        <w:spacing w:line="360" w:lineRule="auto"/>
        <w:rPr>
          <w:color w:val="auto"/>
          <w:sz w:val="36"/>
          <w:szCs w:val="36"/>
          <w:highlight w:val="none"/>
        </w:rPr>
      </w:pPr>
      <w:r>
        <w:rPr>
          <w:color w:val="auto"/>
          <w:sz w:val="24"/>
          <w:szCs w:val="36"/>
          <w:highlight w:val="none"/>
        </w:rPr>
        <w:t xml:space="preserve"> 控制中心：在技术楼4楼值班室配置 1 台广播主机（支持分区管理，可对 36个教室单独或批量发送指令）、IP对讲（用于人工播报通知）。</w:t>
      </w:r>
      <w:r/>
    </w:p>
    <w:p>
      <w:pPr>
        <w:ind w:firstLine="240"/>
        <w:spacing w:line="360" w:lineRule="auto"/>
        <w:rPr>
          <w:color w:val="auto"/>
          <w:sz w:val="36"/>
          <w:szCs w:val="36"/>
          <w:highlight w:val="none"/>
        </w:rPr>
      </w:pPr>
      <w:r>
        <w:rPr>
          <w:color w:val="auto"/>
          <w:sz w:val="24"/>
          <w:szCs w:val="36"/>
          <w:highlight w:val="none"/>
        </w:rPr>
        <w:t xml:space="preserve"> 终端设备：每个教室配置2台广播音响（与公共广播系统对接，支持接收广播信号）。</w:t>
      </w:r>
      <w:r/>
    </w:p>
    <w:p>
      <w:pPr>
        <w:ind w:firstLine="240"/>
        <w:spacing w:line="360" w:lineRule="auto"/>
        <w:rPr>
          <w:color w:val="auto"/>
          <w:sz w:val="36"/>
          <w:szCs w:val="36"/>
          <w:highlight w:val="none"/>
        </w:rPr>
      </w:pPr>
      <w:r>
        <w:rPr>
          <w:color w:val="auto"/>
          <w:sz w:val="24"/>
          <w:szCs w:val="36"/>
          <w:highlight w:val="none"/>
        </w:rPr>
        <w:t xml:space="preserve"> 联动功能：与标准化考场系统联动，考试期间自动播放 “考生须知”“开考信号”“结束信号”，避免人工操作误差。</w:t>
      </w:r>
      <w:r/>
    </w:p>
    <w:p>
      <w:pPr>
        <w:spacing w:line="360" w:lineRule="auto"/>
        <w:rPr>
          <w:color w:val="auto"/>
          <w:sz w:val="36"/>
          <w:szCs w:val="36"/>
          <w:highlight w:val="none"/>
        </w:rPr>
      </w:pPr>
      <w:r>
        <w:rPr>
          <w:color w:val="auto"/>
          <w:sz w:val="24"/>
          <w:szCs w:val="36"/>
          <w:highlight w:val="none"/>
        </w:rPr>
        <w:t xml:space="preserve">（五）</w:t>
      </w:r>
      <w:r>
        <w:rPr>
          <w:rFonts w:hint="eastAsia"/>
          <w:color w:val="auto"/>
          <w:sz w:val="24"/>
          <w:szCs w:val="36"/>
          <w:highlight w:val="none"/>
        </w:rPr>
        <w:t xml:space="preserve">智能交互设备</w:t>
      </w:r>
      <w:r/>
    </w:p>
    <w:p>
      <w:pPr>
        <w:ind w:firstLine="240"/>
        <w:spacing w:line="360" w:lineRule="auto"/>
        <w:rPr>
          <w:color w:val="auto"/>
          <w:sz w:val="36"/>
          <w:szCs w:val="36"/>
          <w:highlight w:val="none"/>
        </w:rPr>
      </w:pPr>
      <w:r>
        <w:rPr>
          <w:color w:val="auto"/>
          <w:sz w:val="24"/>
          <w:szCs w:val="36"/>
          <w:highlight w:val="none"/>
        </w:rPr>
        <w:t xml:space="preserve"> 替代传统黑板与投影仪，支持触摸互动、多媒体展示，兼顾书写体验与护眼功能，兼容常用教学软件。</w:t>
      </w:r>
      <w:r/>
    </w:p>
    <w:p>
      <w:pPr>
        <w:ind w:firstLine="240"/>
        <w:spacing w:line="360" w:lineRule="auto"/>
        <w:rPr>
          <w:color w:val="auto"/>
          <w:sz w:val="36"/>
          <w:szCs w:val="36"/>
          <w:highlight w:val="none"/>
        </w:rPr>
      </w:pPr>
      <w:r>
        <w:rPr>
          <w:color w:val="auto"/>
          <w:sz w:val="24"/>
          <w:szCs w:val="36"/>
          <w:highlight w:val="none"/>
        </w:rPr>
        <w:t xml:space="preserve"> 硬件参数：每个教室配置 1 块98 英寸红外屏</w:t>
      </w:r>
      <w:r>
        <w:rPr>
          <w:rFonts w:hint="eastAsia"/>
          <w:color w:val="auto"/>
          <w:sz w:val="24"/>
          <w:szCs w:val="36"/>
          <w:highlight w:val="none"/>
        </w:rPr>
        <w:t xml:space="preserve">智能交互设备</w:t>
      </w:r>
      <w:r>
        <w:rPr>
          <w:color w:val="auto"/>
          <w:sz w:val="24"/>
          <w:szCs w:val="36"/>
          <w:highlight w:val="none"/>
        </w:rPr>
        <w:t xml:space="preserve">或者2块86寸红外屏</w:t>
      </w:r>
      <w:r>
        <w:rPr>
          <w:rFonts w:hint="eastAsia"/>
          <w:color w:val="auto"/>
          <w:sz w:val="24"/>
          <w:szCs w:val="36"/>
          <w:highlight w:val="none"/>
        </w:rPr>
        <w:t xml:space="preserve">智能交互设备</w:t>
      </w:r>
      <w:r>
        <w:rPr>
          <w:color w:val="auto"/>
          <w:sz w:val="24"/>
          <w:szCs w:val="36"/>
          <w:highlight w:val="none"/>
        </w:rPr>
        <w:t xml:space="preserve">（分辨率 3840×2160，触摸点数≥20 点，支持手笔分离（书写时手掌触摸无误操作），屏幕亮度≥400cd/㎡，防眩光）。</w:t>
      </w:r>
      <w:r/>
    </w:p>
    <w:p>
      <w:pPr>
        <w:ind w:firstLine="240"/>
        <w:spacing w:line="360" w:lineRule="auto"/>
        <w:rPr>
          <w:color w:val="auto"/>
          <w:sz w:val="36"/>
          <w:szCs w:val="36"/>
          <w:highlight w:val="none"/>
        </w:rPr>
      </w:pPr>
      <w:r>
        <w:rPr>
          <w:color w:val="auto"/>
          <w:sz w:val="24"/>
          <w:szCs w:val="36"/>
          <w:highlight w:val="none"/>
        </w:rPr>
        <w:t xml:space="preserve"> 软件功能：内置教学白板软件（支持书写、擦除、图形绘制、PPT 导入与批注），兼容希沃、鸿合等主流教学软件，支持 U 盘 / 校园网文件读取，具备屏幕分屏功能（如左侧显示 PPT，右侧书写批注）。</w:t>
      </w:r>
      <w:r/>
    </w:p>
    <w:p>
      <w:pPr>
        <w:ind w:firstLine="240"/>
        <w:spacing w:line="360" w:lineRule="auto"/>
        <w:rPr>
          <w:color w:val="auto"/>
          <w:sz w:val="36"/>
          <w:szCs w:val="36"/>
          <w:highlight w:val="none"/>
        </w:rPr>
      </w:pPr>
      <w:r>
        <w:rPr>
          <w:color w:val="auto"/>
          <w:sz w:val="24"/>
          <w:szCs w:val="36"/>
          <w:highlight w:val="none"/>
        </w:rPr>
        <w:t xml:space="preserve"> 辅助配置：搭配 1 台 OPS 电脑（满足软件运行需求）。</w:t>
      </w:r>
      <w:r/>
    </w:p>
    <w:p>
      <w:pPr>
        <w:ind w:firstLine="241"/>
        <w:spacing w:line="360" w:lineRule="auto"/>
        <w:rPr>
          <w:b/>
          <w:bCs/>
          <w:color w:val="auto"/>
          <w:sz w:val="36"/>
          <w:szCs w:val="36"/>
          <w:highlight w:val="none"/>
        </w:rPr>
      </w:pPr>
      <w:r>
        <w:rPr>
          <w:b/>
          <w:bCs/>
          <w:color w:val="auto"/>
          <w:sz w:val="24"/>
          <w:szCs w:val="36"/>
          <w:highlight w:val="none"/>
        </w:rPr>
        <w:t xml:space="preserve"> 四、技术选项原则</w:t>
      </w:r>
      <w:r/>
    </w:p>
    <w:p>
      <w:pPr>
        <w:ind w:firstLine="240"/>
        <w:spacing w:line="360" w:lineRule="auto"/>
        <w:rPr>
          <w:color w:val="auto"/>
          <w:sz w:val="36"/>
          <w:szCs w:val="36"/>
          <w:highlight w:val="none"/>
        </w:rPr>
      </w:pPr>
      <w:r>
        <w:rPr>
          <w:color w:val="auto"/>
          <w:sz w:val="24"/>
          <w:szCs w:val="36"/>
          <w:highlight w:val="none"/>
        </w:rPr>
        <w:t xml:space="preserve"> 先进性：优先选择近 2 年内主流技术（如 H.265 编码、电容屏触摸、AI 人脸识别），避免设备短期淘汰。</w:t>
      </w:r>
      <w:r/>
    </w:p>
    <w:p>
      <w:pPr>
        <w:ind w:firstLine="240"/>
        <w:spacing w:line="360" w:lineRule="auto"/>
        <w:rPr>
          <w:color w:val="auto"/>
          <w:sz w:val="36"/>
          <w:szCs w:val="36"/>
          <w:highlight w:val="none"/>
        </w:rPr>
      </w:pPr>
      <w:r>
        <w:rPr>
          <w:color w:val="auto"/>
          <w:sz w:val="24"/>
          <w:szCs w:val="36"/>
          <w:highlight w:val="none"/>
        </w:rPr>
        <w:t xml:space="preserve"> 可靠性：设备需通过国家 3C 认证，核心系统（如监控、录播）支持 7×24 小时稳定运行，平均无故障时间（MTBF）≥5000 小时。</w:t>
      </w:r>
      <w:r/>
    </w:p>
    <w:p>
      <w:pPr>
        <w:ind w:firstLine="240"/>
        <w:spacing w:line="360" w:lineRule="auto"/>
        <w:rPr>
          <w:color w:val="auto"/>
          <w:sz w:val="36"/>
          <w:szCs w:val="36"/>
          <w:highlight w:val="none"/>
        </w:rPr>
      </w:pPr>
      <w:r>
        <w:rPr>
          <w:color w:val="auto"/>
          <w:sz w:val="24"/>
          <w:szCs w:val="36"/>
          <w:highlight w:val="none"/>
        </w:rPr>
        <w:t xml:space="preserve"> 兼容性：所有系统需支持标准协议（如监控支持 GB/T 28181，录播支持 RTMP/RTSP），可与学校现有教务系统、校园网无缝对接。</w:t>
      </w:r>
      <w:r/>
    </w:p>
    <w:p>
      <w:pPr>
        <w:ind w:firstLine="240"/>
        <w:spacing w:line="360" w:lineRule="auto"/>
        <w:rPr>
          <w:color w:val="auto"/>
          <w:sz w:val="36"/>
          <w:szCs w:val="36"/>
          <w:highlight w:val="none"/>
        </w:rPr>
      </w:pPr>
      <w:r>
        <w:rPr>
          <w:color w:val="auto"/>
          <w:sz w:val="24"/>
          <w:szCs w:val="36"/>
          <w:highlight w:val="none"/>
        </w:rPr>
        <w:t xml:space="preserve"> 经济性：在满足功能需求的前提下，降低采购成本；同时考虑后期运维成本（如设备功耗、易损件更换难度）。</w:t>
      </w:r>
      <w:r/>
    </w:p>
    <w:p>
      <w:pPr>
        <w:ind w:firstLine="240"/>
        <w:spacing w:line="360" w:lineRule="auto"/>
        <w:rPr>
          <w:color w:val="auto"/>
          <w:sz w:val="24"/>
          <w:szCs w:val="36"/>
          <w:highlight w:val="none"/>
        </w:rPr>
      </w:pPr>
      <w:r>
        <w:rPr>
          <w:color w:val="auto"/>
          <w:sz w:val="24"/>
          <w:szCs w:val="36"/>
          <w:highlight w:val="none"/>
        </w:rPr>
        <w:t xml:space="preserve">易用性：设备操作界面简洁，教师无需专业培训即可上手（如电子黑板触摸操作与手机类似）。</w:t>
      </w:r>
      <w:r/>
    </w:p>
    <w:p>
      <w:pPr>
        <w:ind w:firstLine="241"/>
        <w:spacing w:line="360" w:lineRule="auto"/>
        <w:rPr>
          <w:b/>
          <w:bCs/>
          <w:color w:val="auto"/>
          <w:sz w:val="24"/>
          <w:szCs w:val="36"/>
          <w:highlight w:val="none"/>
        </w:rPr>
      </w:pPr>
      <w:r>
        <w:rPr>
          <w:rFonts w:hint="eastAsia"/>
          <w:b/>
          <w:bCs/>
          <w:color w:val="auto"/>
          <w:sz w:val="24"/>
          <w:szCs w:val="36"/>
          <w:highlight w:val="none"/>
          <w:lang w:val="en-US"/>
        </w:rPr>
        <w:t xml:space="preserve">五</w:t>
      </w:r>
      <w:r>
        <w:rPr>
          <w:b/>
          <w:bCs/>
          <w:color w:val="auto"/>
          <w:sz w:val="24"/>
          <w:szCs w:val="36"/>
          <w:highlight w:val="none"/>
        </w:rPr>
        <w:t xml:space="preserve">、预期效果</w:t>
      </w:r>
      <w:r/>
    </w:p>
    <w:p>
      <w:pPr>
        <w:ind w:firstLine="240"/>
        <w:spacing w:line="360" w:lineRule="auto"/>
        <w:rPr>
          <w:color w:val="auto"/>
          <w:sz w:val="24"/>
          <w:szCs w:val="36"/>
          <w:highlight w:val="none"/>
        </w:rPr>
      </w:pPr>
      <w:r>
        <w:rPr>
          <w:color w:val="auto"/>
          <w:sz w:val="24"/>
          <w:szCs w:val="36"/>
          <w:highlight w:val="none"/>
        </w:rPr>
        <w:t xml:space="preserve"> 缓解空间压力：改造后的 37 个智能教室实现 “一室多用”，可同时承担日常教学、标准化考试（如四六级、教师资格证考试），教室使用效率提升 50％ 以上，有效缓解学生增多导致的教学空间不足问题。</w:t>
      </w:r>
      <w:r/>
    </w:p>
    <w:p>
      <w:pPr>
        <w:ind w:firstLine="240"/>
        <w:spacing w:line="360" w:lineRule="auto"/>
        <w:rPr>
          <w:color w:val="auto"/>
          <w:sz w:val="24"/>
          <w:szCs w:val="36"/>
          <w:highlight w:val="none"/>
        </w:rPr>
      </w:pPr>
      <w:r>
        <w:rPr>
          <w:color w:val="auto"/>
          <w:sz w:val="24"/>
          <w:szCs w:val="36"/>
          <w:highlight w:val="none"/>
        </w:rPr>
        <w:t xml:space="preserve"> 提升教学质量：</w:t>
      </w:r>
      <w:r>
        <w:rPr>
          <w:rFonts w:hint="eastAsia"/>
          <w:color w:val="auto"/>
          <w:sz w:val="24"/>
          <w:szCs w:val="36"/>
          <w:highlight w:val="none"/>
        </w:rPr>
        <w:t xml:space="preserve">智能交互设备</w:t>
      </w:r>
      <w:r>
        <w:rPr>
          <w:color w:val="auto"/>
          <w:sz w:val="24"/>
          <w:szCs w:val="36"/>
          <w:highlight w:val="none"/>
        </w:rPr>
        <w:t xml:space="preserve">的互动功能与录播系统的资源复用能力，支持教师开展 “线上 + 线下” 混合式教学。</w:t>
      </w:r>
      <w:r/>
    </w:p>
    <w:p>
      <w:pPr>
        <w:ind w:firstLine="240"/>
        <w:spacing w:line="360" w:lineRule="auto"/>
        <w:rPr>
          <w:color w:val="auto"/>
          <w:sz w:val="24"/>
          <w:szCs w:val="36"/>
          <w:highlight w:val="none"/>
        </w:rPr>
      </w:pPr>
      <w:r>
        <w:rPr>
          <w:color w:val="auto"/>
          <w:sz w:val="24"/>
          <w:szCs w:val="36"/>
          <w:highlight w:val="none"/>
        </w:rPr>
        <w:t xml:space="preserve"> 降低管理成本：通过统一智能管理平台，管理员可远程监控 37个教室的设备状态，故障响应时间缩短至 24 小时内，人工巡检成本降低 60％；标准化考场系统实现考试 “无人监考化”。</w:t>
      </w:r>
      <w:r/>
    </w:p>
    <w:p>
      <w:pPr>
        <w:ind w:firstLine="240"/>
        <w:spacing w:line="360" w:lineRule="auto"/>
        <w:rPr>
          <w:color w:val="auto"/>
          <w:sz w:val="24"/>
          <w:szCs w:val="36"/>
          <w:highlight w:val="none"/>
        </w:rPr>
      </w:pPr>
      <w:r>
        <w:rPr>
          <w:color w:val="auto"/>
          <w:sz w:val="24"/>
          <w:szCs w:val="36"/>
          <w:highlight w:val="none"/>
        </w:rPr>
        <w:t xml:space="preserve"> 支撑长远发展：所有系统兼容智慧校园建设标准，后续可接入校园统一管控平台，为学校打造 “智慧教学环境” 奠定基础，助力教育教学改革与高质量发展。</w:t>
      </w:r>
      <w:r/>
    </w:p>
    <w:p>
      <w:pPr>
        <w:rPr>
          <w:rFonts w:asciiTheme="minorEastAsia" w:hAnsiTheme="minorEastAsia" w:eastAsiaTheme="minorEastAsia" w:cstheme="minorEastAsia"/>
          <w:b/>
          <w:bCs/>
          <w:color w:val="auto"/>
          <w:spacing w:val="5"/>
          <w:sz w:val="28"/>
          <w:szCs w:val="28"/>
          <w:highlight w:val="none"/>
        </w:rPr>
      </w:pPr>
      <w:r>
        <w:rPr>
          <w:rFonts w:hint="eastAsia" w:asciiTheme="minorEastAsia" w:hAnsiTheme="minorEastAsia" w:eastAsiaTheme="minorEastAsia" w:cstheme="minorEastAsia"/>
          <w:b/>
          <w:bCs/>
          <w:color w:val="auto"/>
          <w:spacing w:val="5"/>
          <w:sz w:val="28"/>
          <w:szCs w:val="28"/>
          <w:highlight w:val="none"/>
          <w:lang w:val="en-US"/>
        </w:rPr>
        <w:t xml:space="preserve">六</w:t>
      </w:r>
      <w:r>
        <w:rPr>
          <w:rFonts w:hint="eastAsia" w:asciiTheme="minorEastAsia" w:hAnsiTheme="minorEastAsia" w:eastAsiaTheme="minorEastAsia" w:cstheme="minorEastAsia"/>
          <w:b/>
          <w:bCs/>
          <w:color w:val="auto"/>
          <w:spacing w:val="5"/>
          <w:sz w:val="28"/>
          <w:szCs w:val="28"/>
          <w:highlight w:val="none"/>
        </w:rPr>
        <w:t xml:space="preserve">、技术要求</w:t>
      </w:r>
      <w:r/>
    </w:p>
    <w:tbl>
      <w:tblPr>
        <w:tblStyle w:val="875"/>
        <w:tblW w:w="9406"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694"/>
        <w:gridCol w:w="709"/>
        <w:gridCol w:w="6338"/>
        <w:gridCol w:w="525"/>
        <w:gridCol w:w="615"/>
        <w:gridCol w:w="525"/>
      </w:tblGrid>
      <w:tr>
        <w:trPr>
          <w:jc w:val="center"/>
          <w:trHeight w:val="540"/>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spacing w:line="273" w:lineRule="exact"/>
              <w:rPr>
                <w:color w:val="auto"/>
                <w:highlight w:val="none"/>
              </w:rPr>
            </w:pPr>
            <w:r/>
            <w:bookmarkStart w:id="22" w:name="OLE_LINK16"/>
            <w:r/>
            <w:bookmarkStart w:id="23" w:name="OLE_LINK15"/>
            <w:r>
              <w:rPr>
                <w:b/>
                <w:color w:val="auto"/>
                <w:highlight w:val="none"/>
              </w:rPr>
              <w:t xml:space="preserve">序号</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jc w:val="center"/>
              <w:spacing w:line="273" w:lineRule="exact"/>
              <w:rPr>
                <w:color w:val="auto"/>
                <w:highlight w:val="none"/>
              </w:rPr>
            </w:pPr>
            <w:r>
              <w:rPr>
                <w:color w:val="auto"/>
                <w:highlight w:val="none"/>
              </w:rPr>
              <w:t xml:space="preserve">★</w:t>
            </w:r>
            <w:r>
              <w:rPr>
                <w:b/>
                <w:color w:val="auto"/>
                <w:highlight w:val="none"/>
              </w:rPr>
              <w:t xml:space="preserve">名称</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jc w:val="center"/>
              <w:spacing w:line="273" w:lineRule="exact"/>
              <w:rPr>
                <w:color w:val="auto"/>
                <w:highlight w:val="none"/>
              </w:rPr>
            </w:pPr>
            <w:r>
              <w:rPr>
                <w:b/>
                <w:color w:val="auto"/>
                <w:highlight w:val="none"/>
              </w:rPr>
              <w:t xml:space="preserve">规格</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273" w:lineRule="exact"/>
              <w:rPr>
                <w:color w:val="auto"/>
                <w:highlight w:val="none"/>
              </w:rPr>
            </w:pPr>
            <w:r>
              <w:rPr>
                <w:color w:val="auto"/>
                <w:highlight w:val="none"/>
              </w:rPr>
              <w:t xml:space="preserve">★</w:t>
            </w:r>
            <w:r>
              <w:rPr>
                <w:b/>
                <w:color w:val="auto"/>
                <w:highlight w:val="none"/>
              </w:rPr>
              <w:t xml:space="preserve">单位</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spacing w:line="273" w:lineRule="exact"/>
              <w:rPr>
                <w:color w:val="auto"/>
                <w:highlight w:val="none"/>
              </w:rPr>
            </w:pPr>
            <w:r>
              <w:rPr>
                <w:color w:val="auto"/>
                <w:highlight w:val="none"/>
              </w:rPr>
              <w:t xml:space="preserve">★</w:t>
            </w:r>
            <w:r>
              <w:rPr>
                <w:b/>
                <w:color w:val="auto"/>
                <w:highlight w:val="none"/>
              </w:rPr>
              <w:t xml:space="preserve">数量</w:t>
            </w:r>
            <w:r/>
          </w:p>
        </w:tc>
        <w:tc>
          <w:tcPr>
            <w:tcBorders>
              <w:top w:val="single" w:color="auto" w:sz="12"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spacing w:line="273" w:lineRule="exact"/>
              <w:rPr>
                <w:color w:val="auto"/>
                <w:highlight w:val="none"/>
              </w:rPr>
            </w:pPr>
            <w:r>
              <w:rPr>
                <w:b/>
                <w:color w:val="auto"/>
                <w:highlight w:val="none"/>
              </w:rPr>
              <w:t xml:space="preserve">核心</w:t>
            </w:r>
            <w:r/>
          </w:p>
          <w:p>
            <w:pPr>
              <w:jc w:val="center"/>
              <w:spacing w:line="273" w:lineRule="exact"/>
              <w:rPr>
                <w:color w:val="auto"/>
                <w:highlight w:val="none"/>
              </w:rPr>
            </w:pPr>
            <w:r>
              <w:rPr>
                <w:b/>
                <w:color w:val="auto"/>
                <w:highlight w:val="none"/>
              </w:rPr>
              <w:t xml:space="preserve">产品</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bookmarkStart w:id="24" w:name="_Hlk232009832"/>
            <w:r>
              <w:rPr>
                <w:color w:val="auto"/>
                <w:highlight w:val="none"/>
              </w:rPr>
              <w:t xml:space="preserve">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控制主机（含授权）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一、控制主机：</w:t>
            </w:r>
            <w:r/>
          </w:p>
          <w:p>
            <w:pPr>
              <w:spacing w:line="273" w:lineRule="exact"/>
              <w:rPr>
                <w:color w:val="auto"/>
                <w:highlight w:val="none"/>
              </w:rPr>
            </w:pPr>
            <w:r>
              <w:rPr>
                <w:color w:val="auto"/>
                <w:highlight w:val="none"/>
              </w:rPr>
              <w:t xml:space="preserve">1、CPU主频≥1GHz，Flash Menory≥256MB，SDRAM≥512MB；</w:t>
            </w:r>
            <w:r/>
          </w:p>
          <w:p>
            <w:pPr>
              <w:spacing w:line="273" w:lineRule="exact"/>
              <w:rPr>
                <w:color w:val="auto"/>
                <w:highlight w:val="none"/>
              </w:rPr>
            </w:pPr>
            <w:r>
              <w:rPr>
                <w:color w:val="auto"/>
                <w:highlight w:val="none"/>
              </w:rPr>
              <w:t xml:space="preserve">2、机身自带≧ 3路强电电源控制，包含大屏或投影机、电动屏幕、功放、电脑、扩展设备电源；1路带保护功能的电源输入，或者其他方式可给通信设备供电；</w:t>
            </w:r>
            <w:r/>
          </w:p>
          <w:p>
            <w:pPr>
              <w:spacing w:line="273" w:lineRule="exact"/>
              <w:rPr>
                <w:color w:val="auto"/>
                <w:highlight w:val="none"/>
              </w:rPr>
            </w:pPr>
            <w:r>
              <w:rPr>
                <w:color w:val="auto"/>
                <w:highlight w:val="none"/>
              </w:rPr>
              <w:t xml:space="preserve">3、支持插IC卡联动上课功能，支持离线模式，断网后可继续通过IC卡按课表或白名单控制设备开关；</w:t>
            </w:r>
            <w:r/>
          </w:p>
          <w:p>
            <w:pPr>
              <w:spacing w:line="273" w:lineRule="exact"/>
              <w:rPr>
                <w:color w:val="auto"/>
                <w:highlight w:val="none"/>
              </w:rPr>
            </w:pPr>
            <w:r>
              <w:rPr>
                <w:color w:val="auto"/>
                <w:highlight w:val="none"/>
              </w:rPr>
              <w:t xml:space="preserve">4、机身自带输入高清接口：≧ 3路HDMI输入，并在控制面板显示相关设备的使用状态；</w:t>
            </w:r>
            <w:r/>
          </w:p>
          <w:p>
            <w:pPr>
              <w:spacing w:line="273" w:lineRule="exact"/>
              <w:rPr>
                <w:color w:val="auto"/>
                <w:highlight w:val="none"/>
              </w:rPr>
            </w:pPr>
            <w:r>
              <w:rPr>
                <w:color w:val="auto"/>
                <w:highlight w:val="none"/>
              </w:rPr>
              <w:t xml:space="preserve">5、机身自带≧ 2路RS-232控制接口、1个RJ45接口；</w:t>
            </w:r>
            <w:r/>
          </w:p>
          <w:p>
            <w:pPr>
              <w:spacing w:line="273" w:lineRule="exact"/>
              <w:rPr>
                <w:color w:val="auto"/>
                <w:highlight w:val="none"/>
              </w:rPr>
            </w:pPr>
            <w:r>
              <w:rPr>
                <w:color w:val="auto"/>
                <w:highlight w:val="none"/>
              </w:rPr>
              <w:t xml:space="preserve">6、机身自带输出高清接口：≧ 2路HDMI输出；</w:t>
            </w:r>
            <w:r/>
          </w:p>
          <w:p>
            <w:pPr>
              <w:spacing w:line="273" w:lineRule="exact"/>
              <w:rPr>
                <w:color w:val="auto"/>
                <w:highlight w:val="none"/>
              </w:rPr>
            </w:pPr>
            <w:r>
              <w:rPr>
                <w:color w:val="auto"/>
                <w:highlight w:val="none"/>
              </w:rPr>
              <w:t xml:space="preserve">二、智能控制授权点：</w:t>
            </w:r>
            <w:r/>
          </w:p>
          <w:p>
            <w:pPr>
              <w:spacing w:line="273" w:lineRule="exact"/>
              <w:rPr>
                <w:color w:val="auto"/>
                <w:highlight w:val="none"/>
              </w:rPr>
            </w:pPr>
            <w:r>
              <w:rPr>
                <w:color w:val="auto"/>
                <w:highlight w:val="none"/>
              </w:rPr>
              <w:t xml:space="preserve">1、软件安装于终端PC上，有独立的ID,自动生成或对应自定义，软件开机自动启动，自动搜索连接服务器。任务栏图标状态显示是否连线成功。支持获取教室上课电脑之音频.电脑画面.系统参数并上传到服务端，支持接收来自服务器或其他教室之转播和直播信息；</w:t>
            </w:r>
            <w:r/>
          </w:p>
          <w:p>
            <w:pPr>
              <w:spacing w:line="273" w:lineRule="exact"/>
              <w:rPr>
                <w:color w:val="auto"/>
                <w:highlight w:val="none"/>
              </w:rPr>
            </w:pPr>
            <w:r>
              <w:rPr>
                <w:color w:val="auto"/>
                <w:highlight w:val="none"/>
              </w:rPr>
              <w:t xml:space="preserve">2、通过软件终端连接到服务器，可以请求管理员远程协助；可以请求管理员对讲，并对语言和相关参数进行设置；</w:t>
            </w:r>
            <w:r/>
          </w:p>
          <w:p>
            <w:pPr>
              <w:spacing w:line="273" w:lineRule="exact"/>
              <w:rPr>
                <w:color w:val="auto"/>
                <w:highlight w:val="none"/>
              </w:rPr>
            </w:pPr>
            <w:r>
              <w:rPr>
                <w:color w:val="auto"/>
                <w:highlight w:val="none"/>
              </w:rPr>
              <w:t xml:space="preserve">3、网络参数设置：连接服务器是否成功文字显示；服务器IP地址设置；端点联接端口设置；内外网服务端口设置；</w:t>
            </w:r>
            <w:r/>
          </w:p>
          <w:p>
            <w:pPr>
              <w:spacing w:line="273" w:lineRule="exact"/>
              <w:rPr>
                <w:color w:val="auto"/>
                <w:highlight w:val="none"/>
              </w:rPr>
            </w:pPr>
            <w:r>
              <w:rPr>
                <w:color w:val="auto"/>
                <w:highlight w:val="none"/>
              </w:rPr>
              <w:t xml:space="preserve">4、采集源设置：可以分别对桌面.视频.音频进行压缩级别1-9级.采集格式.传输位率等数据进行设置；</w:t>
            </w:r>
            <w:r/>
          </w:p>
          <w:p>
            <w:pPr>
              <w:spacing w:line="273" w:lineRule="exact"/>
              <w:rPr>
                <w:color w:val="auto"/>
                <w:highlight w:val="none"/>
              </w:rPr>
            </w:pPr>
            <w:r>
              <w:rPr>
                <w:color w:val="auto"/>
                <w:highlight w:val="none"/>
              </w:rPr>
              <w:t xml:space="preserve">5、控制设置：启用串口控制，选择串口；请求发言.停止发言进行设置；关闭电脑，编写代码设置；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控制</w:t>
            </w:r>
            <w:r/>
          </w:p>
          <w:p>
            <w:pPr>
              <w:spacing w:line="273" w:lineRule="exact"/>
              <w:rPr>
                <w:color w:val="auto"/>
                <w:highlight w:val="none"/>
              </w:rPr>
            </w:pPr>
            <w:r>
              <w:rPr>
                <w:color w:val="auto"/>
                <w:highlight w:val="none"/>
              </w:rPr>
              <w:t xml:space="preserve">终端机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一、液晶控制面板：</w:t>
            </w:r>
            <w:r/>
          </w:p>
          <w:p>
            <w:pPr>
              <w:spacing w:line="273" w:lineRule="exact"/>
              <w:rPr>
                <w:color w:val="auto"/>
                <w:highlight w:val="none"/>
              </w:rPr>
            </w:pPr>
            <w:r>
              <w:rPr>
                <w:color w:val="auto"/>
                <w:highlight w:val="none"/>
              </w:rPr>
              <w:t xml:space="preserve">1、系统配置：CPU≥ARM® Cortex™-A7 4核心1.3GHz、内存≥1G、存储≥8G；安卓6.0 或以上，电容触摸，支持TCP 关电脑、执行电脑程序；</w:t>
            </w:r>
            <w:r/>
          </w:p>
          <w:p>
            <w:pPr>
              <w:spacing w:line="273" w:lineRule="exact"/>
              <w:rPr>
                <w:color w:val="auto"/>
                <w:highlight w:val="none"/>
              </w:rPr>
            </w:pPr>
            <w:r>
              <w:rPr>
                <w:color w:val="auto"/>
                <w:highlight w:val="none"/>
              </w:rPr>
              <w:t xml:space="preserve">2、尺寸和分辨率：显示屏≥7寸LCD 液晶屏，分辨率≥800*480；</w:t>
            </w:r>
            <w:r/>
          </w:p>
          <w:p>
            <w:pPr>
              <w:spacing w:line="273" w:lineRule="exact"/>
              <w:rPr>
                <w:color w:val="auto"/>
                <w:highlight w:val="none"/>
              </w:rPr>
            </w:pPr>
            <w:r>
              <w:rPr>
                <w:color w:val="auto"/>
                <w:highlight w:val="none"/>
              </w:rPr>
              <w:t xml:space="preserve">3、通讯接口：不少于RS232×1、RS485×2、RJ45×1、OTG×1、USB×1，可通过TCP,RS232,RS485控制第三方设备,包含大屏、投影机、电动屏幕、功放、推流设备等；</w:t>
            </w:r>
            <w:r/>
          </w:p>
          <w:p>
            <w:pPr>
              <w:spacing w:line="273" w:lineRule="exact"/>
              <w:rPr>
                <w:color w:val="auto"/>
                <w:highlight w:val="none"/>
              </w:rPr>
            </w:pPr>
            <w:r>
              <w:rPr>
                <w:color w:val="auto"/>
                <w:highlight w:val="none"/>
              </w:rPr>
              <w:t xml:space="preserve">二、读卡器模块：</w:t>
            </w:r>
            <w:r/>
          </w:p>
          <w:p>
            <w:pPr>
              <w:spacing w:line="273" w:lineRule="exact"/>
              <w:rPr>
                <w:color w:val="auto"/>
                <w:highlight w:val="none"/>
              </w:rPr>
            </w:pPr>
            <w:r>
              <w:rPr>
                <w:color w:val="auto"/>
                <w:highlight w:val="none"/>
              </w:rPr>
              <w:t xml:space="preserve">1、开机方式：开关机采用插拔卡形式，插卡后无需任何操作即可开启所有多媒体设备，拔卡即可关闭所有多媒体设备，工作频率： 13.56MHz ；支持的标准： ISO14443A/Mifare ；可读卡型： Mifare 1K/4K，FM11RF08，符合 T=CL 协议的 CPU 卡 （ISO14443A）；接口： RS485； </w:t>
            </w:r>
            <w:r/>
          </w:p>
          <w:p>
            <w:pPr>
              <w:spacing w:line="273" w:lineRule="exact"/>
              <w:rPr>
                <w:color w:val="auto"/>
                <w:highlight w:val="none"/>
              </w:rPr>
            </w:pPr>
            <w:r>
              <w:rPr>
                <w:color w:val="auto"/>
                <w:highlight w:val="none"/>
              </w:rPr>
              <w:t xml:space="preserve">2、不裸露，表面只留有插卡槽，和液晶控制面板一体化安装。</w:t>
            </w:r>
            <w:r/>
          </w:p>
          <w:p>
            <w:pPr>
              <w:spacing w:line="273" w:lineRule="exact"/>
              <w:rPr>
                <w:color w:val="auto"/>
                <w:highlight w:val="none"/>
              </w:rPr>
            </w:pPr>
            <w:r>
              <w:rPr>
                <w:color w:val="auto"/>
                <w:highlight w:val="none"/>
              </w:rPr>
              <w:t xml:space="preserve">三、IP对讲模块：</w:t>
            </w:r>
            <w:r/>
          </w:p>
          <w:p>
            <w:pPr>
              <w:spacing w:line="273" w:lineRule="exact"/>
              <w:rPr>
                <w:color w:val="auto"/>
                <w:highlight w:val="none"/>
              </w:rPr>
            </w:pPr>
            <w:r>
              <w:rPr>
                <w:color w:val="auto"/>
                <w:highlight w:val="none"/>
              </w:rPr>
              <w:t xml:space="preserve">▲1、在控制终端出现黑屏或控制主机出现故障时，IP对讲具有独立的额实体按键，模块可独立运行，具有一键式呼叫开关，内置扬声器和拾音话筒（提供实物图片；）</w:t>
            </w:r>
            <w:r/>
          </w:p>
          <w:p>
            <w:pPr>
              <w:spacing w:line="273" w:lineRule="exact"/>
              <w:rPr>
                <w:color w:val="auto"/>
                <w:highlight w:val="none"/>
              </w:rPr>
            </w:pPr>
            <w:r>
              <w:rPr>
                <w:color w:val="auto"/>
                <w:highlight w:val="none"/>
              </w:rPr>
              <w:t xml:space="preserve">2、内置IP全双工对讲系统，能通过WEB进行网络静态IP地址、服务器地址、账号、拔号规则、声音调节、语音编解码等系统参数设置；</w:t>
            </w:r>
            <w:r/>
          </w:p>
          <w:p>
            <w:pPr>
              <w:spacing w:line="273" w:lineRule="exact"/>
              <w:rPr>
                <w:color w:val="auto"/>
                <w:highlight w:val="none"/>
              </w:rPr>
            </w:pPr>
            <w:r>
              <w:rPr>
                <w:color w:val="auto"/>
                <w:highlight w:val="none"/>
              </w:rPr>
              <w:t xml:space="preserve">3、具有语音对讲和广播之网络功能：运用数字语音压缩传输技术实现IP对讲，一键式按钮，教师可以通过IP与控制室的管理人员通话；</w:t>
            </w:r>
            <w:r/>
          </w:p>
          <w:p>
            <w:pPr>
              <w:spacing w:line="273" w:lineRule="exact"/>
              <w:rPr>
                <w:color w:val="auto"/>
                <w:highlight w:val="none"/>
              </w:rPr>
            </w:pPr>
            <w:r>
              <w:rPr>
                <w:color w:val="auto"/>
                <w:highlight w:val="none"/>
              </w:rPr>
              <w:t xml:space="preserve">4、不裸露，表面只留有对讲按键，和液晶控制面板一体化安装。</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讲台（草场门）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1、讲台尺寸：长宽≥1200×≥740mm，圆角半径≥100mm。抽屉尺寸：≥668mm×≥246mm×≥50mm；抽屉可通过机械锁手动开关；</w:t>
            </w:r>
            <w:r/>
          </w:p>
          <w:p>
            <w:pPr>
              <w:spacing w:line="273" w:lineRule="exact"/>
              <w:rPr>
                <w:color w:val="auto"/>
                <w:highlight w:val="none"/>
              </w:rPr>
            </w:pPr>
            <w:r>
              <w:rPr>
                <w:color w:val="auto"/>
                <w:highlight w:val="none"/>
              </w:rPr>
              <w:t xml:space="preserve">2、讲台结构：采用钢（1.5mm冷轧钢板）木组合，桌板前部具备多层板弯曲而成的木色高围挡设计，表面喷漆，高度≥50mm,可防止桌面物品滚落，整个台面为钢结构，防锈，白色（可定制其它颜色）；</w:t>
            </w:r>
            <w:r/>
          </w:p>
          <w:p>
            <w:pPr>
              <w:spacing w:line="273" w:lineRule="exact"/>
              <w:rPr>
                <w:color w:val="auto"/>
                <w:highlight w:val="none"/>
              </w:rPr>
            </w:pPr>
            <w:r>
              <w:rPr>
                <w:color w:val="auto"/>
                <w:highlight w:val="none"/>
              </w:rPr>
              <w:t xml:space="preserve">3、接口：具备抽线区和接口区。抽线区有4个抽线孔。接口区需具备万能5孔220V电源插座 ≥1，RJ-45 网络接口 ≥1，USB-A 3.0 接口≥3，Type-C 3.0 接口≥ 1，HDMI输入接口≥1；</w:t>
            </w:r>
            <w:r/>
          </w:p>
          <w:p>
            <w:pPr>
              <w:spacing w:line="273" w:lineRule="exact"/>
              <w:rPr>
                <w:color w:val="auto"/>
                <w:highlight w:val="none"/>
              </w:rPr>
            </w:pPr>
            <w:r>
              <w:rPr>
                <w:color w:val="auto"/>
                <w:highlight w:val="none"/>
              </w:rPr>
              <w:t xml:space="preserve">4、讲桌机柜：独立12U机柜，门板上具有足够的散热孔，需具备一体化设计的电脑仓空间，可放置台式电脑主机。前门带锁，前面上部具有按压式开启小门，便于电脑主机电源按键的使用和USB口使用；</w:t>
            </w:r>
            <w:r/>
          </w:p>
          <w:p>
            <w:pPr>
              <w:spacing w:line="273" w:lineRule="exact"/>
              <w:rPr>
                <w:color w:val="auto"/>
                <w:highlight w:val="none"/>
              </w:rPr>
            </w:pPr>
            <w:r>
              <w:rPr>
                <w:color w:val="auto"/>
                <w:highlight w:val="none"/>
              </w:rPr>
              <w:t xml:space="preserve">5、讲桌预留第三方显示器和中控触摸屏安装位置以及安装支架，安装支架具有与桌面15度的倾斜角度，便于中控观看操作；</w:t>
            </w:r>
            <w:r/>
          </w:p>
          <w:p>
            <w:pPr>
              <w:spacing w:line="273" w:lineRule="exact"/>
              <w:rPr>
                <w:color w:val="auto"/>
                <w:highlight w:val="none"/>
              </w:rPr>
            </w:pPr>
            <w:r>
              <w:rPr>
                <w:color w:val="auto"/>
                <w:highlight w:val="none"/>
              </w:rPr>
              <w:t xml:space="preserve">6、讲台的甲醛、苯、甲苯、二甲苯、TVOC项目符合，家具涂层可迁移元素符合 GB/T35607-2024 标准要求，外观性能符合 GB/T3325-2024标准要求；</w:t>
            </w:r>
            <w:r/>
          </w:p>
          <w:p>
            <w:pPr>
              <w:spacing w:line="273" w:lineRule="exact"/>
              <w:rPr>
                <w:color w:val="auto"/>
                <w:highlight w:val="none"/>
              </w:rPr>
            </w:pPr>
            <w:r>
              <w:rPr>
                <w:color w:val="auto"/>
                <w:highlight w:val="none"/>
              </w:rPr>
              <w:t xml:space="preserve">★7、 符合GB18584-2024 标准要求。</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讲台（石湫）</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1、讲桌尺寸：长宽高（MM）：1100*680*868；拆装设计，讲桌采用1.0-1.5mm冷轧钢板，钣金全部通过酸洗磷化喷涂后再进行高温烘烤，防锈；</w:t>
            </w:r>
            <w:r/>
          </w:p>
          <w:p>
            <w:pPr>
              <w:spacing w:line="273" w:lineRule="exact"/>
              <w:rPr>
                <w:color w:val="auto"/>
                <w:highlight w:val="none"/>
              </w:rPr>
            </w:pPr>
            <w:r>
              <w:rPr>
                <w:color w:val="auto"/>
                <w:highlight w:val="none"/>
              </w:rPr>
              <w:t xml:space="preserve">2、讲桌设计：桌体采用分体式设计，桌面部分自成一体，下层采用拼装式；</w:t>
            </w:r>
            <w:r/>
          </w:p>
          <w:p>
            <w:pPr>
              <w:spacing w:line="273" w:lineRule="exact"/>
              <w:rPr>
                <w:color w:val="auto"/>
                <w:highlight w:val="none"/>
              </w:rPr>
            </w:pPr>
            <w:r>
              <w:rPr>
                <w:color w:val="auto"/>
                <w:highlight w:val="none"/>
              </w:rPr>
              <w:t xml:space="preserve">3、桌面两侧采用ABS 工程塑料扶手，防潮防锈防静电，预留安装位和过线位；</w:t>
            </w:r>
            <w:r/>
          </w:p>
          <w:p>
            <w:pPr>
              <w:spacing w:line="273" w:lineRule="exact"/>
              <w:rPr>
                <w:color w:val="auto"/>
                <w:highlight w:val="none"/>
              </w:rPr>
            </w:pPr>
            <w:r>
              <w:rPr>
                <w:color w:val="auto"/>
                <w:highlight w:val="none"/>
              </w:rPr>
              <w:t xml:space="preserve">4、键盘下方预留，控制面板、IP对讲安装位；</w:t>
            </w:r>
            <w:r/>
          </w:p>
          <w:p>
            <w:pPr>
              <w:spacing w:line="273" w:lineRule="exact"/>
              <w:rPr>
                <w:color w:val="auto"/>
                <w:highlight w:val="none"/>
              </w:rPr>
            </w:pPr>
            <w:r>
              <w:rPr>
                <w:color w:val="auto"/>
                <w:highlight w:val="none"/>
              </w:rPr>
              <w:t xml:space="preserve">5、讲台正面预留读卡器安装位、讲台侧面安装五眼插座。</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桌面触摸显示设备（草场门）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屏体的屏幕采用≥23.8英寸电容触摸屏且采用防眩光钢化玻璃面板，厚度≥2mm；支持≥10点触控；支持屏幕手动角度调节，可实现与桌面形成20°至80°角度调节；屏体侧面具有物理实体快捷按键≥6个，按键功能包括对屏幕一键开/关屏幕、对匹配的多媒体设备（如智慧黑板）进行一键熄屏以及一键音量加、一键音量减；（提供CMA认证的检测机构出具的检测报告复印件并加盖公章）</w:t>
            </w:r>
            <w:r/>
          </w:p>
          <w:p>
            <w:pPr>
              <w:spacing w:line="273" w:lineRule="exact"/>
              <w:rPr>
                <w:color w:val="auto"/>
                <w:highlight w:val="none"/>
              </w:rPr>
            </w:pPr>
            <w:r>
              <w:rPr>
                <w:color w:val="auto"/>
                <w:highlight w:val="none"/>
              </w:rPr>
              <w:t xml:space="preserve">2、接口：HDMI IN≥2个，HDMI OUT≥1个，Type-C≥1个，USB≥4个，RJ45≥1个；AUDIO OUT≥1个，RS232≥1个，220V国标五插电源接口≥1个（支持对外供电）；</w:t>
            </w:r>
            <w:r/>
          </w:p>
          <w:p>
            <w:pPr>
              <w:spacing w:line="273" w:lineRule="exact"/>
              <w:rPr>
                <w:color w:val="auto"/>
                <w:highlight w:val="none"/>
              </w:rPr>
            </w:pPr>
            <w:r>
              <w:rPr>
                <w:color w:val="auto"/>
                <w:highlight w:val="none"/>
              </w:rPr>
              <w:t xml:space="preserve">3、屏体侧边内置NFC模块；讲台屏至少支持NFC刷卡、二维码2种方式实现设备使用前的用户身份认证；</w:t>
            </w:r>
            <w:r/>
          </w:p>
          <w:p>
            <w:pPr>
              <w:spacing w:line="273" w:lineRule="exact"/>
              <w:rPr>
                <w:color w:val="auto"/>
                <w:highlight w:val="none"/>
              </w:rPr>
            </w:pPr>
            <w:r>
              <w:rPr>
                <w:color w:val="auto"/>
                <w:highlight w:val="none"/>
              </w:rPr>
              <w:t xml:space="preserve">4、讲台屏自带定制化独立操作系统，可在任意通道下唤出多功能中控菜单并实现相关操作；</w:t>
            </w:r>
            <w:r/>
          </w:p>
          <w:p>
            <w:pPr>
              <w:spacing w:line="273" w:lineRule="exact"/>
              <w:rPr>
                <w:color w:val="auto"/>
                <w:highlight w:val="none"/>
              </w:rPr>
            </w:pPr>
            <w:r>
              <w:rPr>
                <w:color w:val="auto"/>
                <w:highlight w:val="none"/>
              </w:rPr>
              <w:t xml:space="preserve">5、▲屏幕可调出中控菜单界面，支持一键上课及下课两种场景控制，也可以对连接的设备单独控制开关机；支持对屏幕输入源显示画面切换，包括智能平板、电脑、HDMI、Type-C；支持当接入匹配教室内的录播产品时，可显示录播导播流画面，选择开始录制、暂停录制和结束录制等功能；支持当接入匹配教室内的物联产品时，可视化显示物联设备且可进行应用场景化管理。（提供CMA认证的检测机构出具的检测报告复印件并加盖公章）</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桌面显示设备（石湫）</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21.5寸LED显示器，屏幕刷新率 100Hz,分辨率：1920*1080，接口HDMI、VGA  亮度：300cd/平方米，三边微边。</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长距激光显示设备</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1.▲投影技术：采用三片式3LCD纯激光投影成像技术），无色彩亮度衰减，画面色彩还原精准均匀。（提供CMA认证的检测机构出具的检测报告复印件并加盖公章）</w:t>
            </w:r>
            <w:r/>
          </w:p>
          <w:p>
            <w:pPr>
              <w:spacing w:line="273" w:lineRule="exact"/>
              <w:rPr>
                <w:color w:val="auto"/>
                <w:highlight w:val="none"/>
              </w:rPr>
            </w:pPr>
            <w:r>
              <w:rPr>
                <w:color w:val="auto"/>
                <w:highlight w:val="none"/>
              </w:rPr>
              <w:t xml:space="preserve">2.标称亮度：ISO标准标称亮度（白/彩）≥5200流明，白天会议室强光环境下画面通透清晰，无泛白发灰现象。</w:t>
            </w:r>
            <w:r/>
          </w:p>
          <w:p>
            <w:pPr>
              <w:ind w:firstLine="110"/>
              <w:spacing w:line="273" w:lineRule="exact"/>
              <w:rPr>
                <w:color w:val="auto"/>
                <w:highlight w:val="none"/>
              </w:rPr>
            </w:pPr>
            <w:r>
              <w:rPr>
                <w:color w:val="auto"/>
                <w:highlight w:val="none"/>
              </w:rPr>
              <w:t xml:space="preserve">3.物理分辨率：原生WUXGA（1920×1200）**物理分辨率，整机硬件兼容4K超高清信号输入解码输出，适配高清课件、视频、图文演示展示。</w:t>
            </w:r>
            <w:r/>
          </w:p>
          <w:p>
            <w:pPr>
              <w:spacing w:line="273" w:lineRule="exact"/>
              <w:rPr>
                <w:color w:val="auto"/>
                <w:highlight w:val="none"/>
              </w:rPr>
            </w:pPr>
            <w:r>
              <w:rPr>
                <w:color w:val="auto"/>
                <w:highlight w:val="none"/>
              </w:rPr>
              <w:t xml:space="preserve">4.动态对比度：原生全开动态对比度≥2500000:1（非算法插值、非智能分区动态虚拟拉升对比度），暗场画面纯净无杂色噪点，明暗画面层次细节完整。</w:t>
            </w:r>
            <w:r/>
          </w:p>
          <w:p>
            <w:pPr>
              <w:ind w:firstLine="110"/>
              <w:spacing w:line="273" w:lineRule="exact"/>
              <w:rPr>
                <w:color w:val="auto"/>
                <w:highlight w:val="none"/>
              </w:rPr>
            </w:pPr>
            <w:r>
              <w:rPr>
                <w:color w:val="auto"/>
                <w:highlight w:val="none"/>
              </w:rPr>
              <w:t xml:space="preserve">5.光源寿命：纯激光光源标准模式使用寿命≥20000小时，长时间连续工作亮度衰减缓慢，整机后期故障率低，运维成本低。</w:t>
            </w:r>
            <w:r/>
          </w:p>
          <w:p>
            <w:pPr>
              <w:ind w:firstLine="110"/>
              <w:spacing w:line="273" w:lineRule="exact"/>
              <w:rPr>
                <w:color w:val="auto"/>
                <w:highlight w:val="none"/>
              </w:rPr>
            </w:pPr>
            <w:r>
              <w:rPr>
                <w:color w:val="auto"/>
                <w:highlight w:val="none"/>
              </w:rPr>
              <w:t xml:space="preserve">6.▲镜头配置：光学变焦倍率≥1.6倍大变焦；具备独立物理光学镜头位移功能，垂直位移≥±60％、水平位移≥±30％，纯机械镜头调节画面，不依赖数字梯形校正失真补偿；适配吊顶吊装、侧装、嵌入式等复杂施工场景，调试灵活便捷；接口配置：机身出厂原生标配HDBaseT长距离传输接口，同时标配HDMI2.0、VGA、RJ45千兆网口、USB-A多功能接口；HDBaseT接口可单网线同步传输高清视频、音频、控制信号，无需外接选配模块加装扩展接口。（提供CMA认证的检测机构出具的检测报告复印件并加盖公章）</w:t>
            </w:r>
            <w:r/>
          </w:p>
          <w:p>
            <w:pPr>
              <w:ind w:firstLine="110"/>
              <w:spacing w:line="273" w:lineRule="exact"/>
              <w:rPr>
                <w:color w:val="auto"/>
                <w:highlight w:val="none"/>
              </w:rPr>
            </w:pPr>
            <w:r>
              <w:rPr>
                <w:color w:val="auto"/>
                <w:highlight w:val="none"/>
              </w:rPr>
              <w:t xml:space="preserve">7.投射画面：支持50英寸～500英寸无级调节投射画面尺寸，可适配中小型会议室、大型报告厅、阶梯教室多场景使用。</w:t>
            </w:r>
            <w:r/>
          </w:p>
          <w:p>
            <w:pPr>
              <w:spacing w:line="273" w:lineRule="exact"/>
              <w:rPr>
                <w:color w:val="auto"/>
                <w:highlight w:val="none"/>
              </w:rPr>
            </w:pPr>
            <w:r>
              <w:rPr>
                <w:color w:val="auto"/>
                <w:highlight w:val="none"/>
              </w:rPr>
              <w:t xml:space="preserve">8.拓展投屏功能：整机主板内置原生无线Wi-Fi投屏模块，出厂裸机自带多设备无线同屏功能，无需额外外接USB无线网卡、外置投屏适配器；支持手机、电脑多终端一键投屏、多路信号快速切换，兼容Windows、安卓、iOS系统。</w:t>
            </w:r>
            <w:r/>
          </w:p>
          <w:p>
            <w:pPr>
              <w:spacing w:line="273" w:lineRule="exact"/>
              <w:rPr>
                <w:color w:val="auto"/>
                <w:highlight w:val="none"/>
              </w:rPr>
            </w:pPr>
            <w:r>
              <w:rPr>
                <w:color w:val="auto"/>
                <w:highlight w:val="none"/>
              </w:rPr>
              <w:t xml:space="preserve">9.设备稳定性：工业级工程一体化机身结构设计，整机散热风道冗余充足，支持7×24小时不间断连续开机长时间运行，耐高温抗老化，适配学校、单位高频次常态化教学、会议使用场景。</w:t>
            </w:r>
            <w:r/>
          </w:p>
          <w:p>
            <w:pPr>
              <w:spacing w:line="273" w:lineRule="exact"/>
              <w:rPr>
                <w:color w:val="auto"/>
                <w:highlight w:val="none"/>
              </w:rPr>
            </w:pPr>
            <w:r>
              <w:rPr>
                <w:color w:val="auto"/>
                <w:highlight w:val="none"/>
              </w:rPr>
              <w:t xml:space="preserve">10、配备管理软件。</w:t>
            </w:r>
            <w:r/>
          </w:p>
          <w:p>
            <w:pPr>
              <w:spacing w:line="273" w:lineRule="exact"/>
              <w:rPr>
                <w:color w:val="auto"/>
                <w:highlight w:val="none"/>
              </w:rPr>
            </w:pPr>
            <w:r>
              <w:rPr>
                <w:color w:val="auto"/>
                <w:highlight w:val="none"/>
              </w:rPr>
              <w:t xml:space="preserve">11.含吊架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长距激光显示升降幕布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w:t>
            </w:r>
            <w:r>
              <w:rPr>
                <w:rFonts w:hint="eastAsia"/>
                <w:color w:val="auto"/>
                <w:highlight w:val="none"/>
              </w:rPr>
              <w:t xml:space="preserve">幕布</w:t>
            </w:r>
            <w:r>
              <w:rPr>
                <w:color w:val="auto"/>
                <w:highlight w:val="none"/>
              </w:rPr>
              <w:t xml:space="preserve">≥120英寸16:9电动升降幕，幕布采用玻纤基材复合光学涂层，水平可视角度≥170°；</w:t>
            </w:r>
            <w:r/>
          </w:p>
          <w:p>
            <w:pPr>
              <w:spacing w:line="273" w:lineRule="exact"/>
              <w:rPr>
                <w:color w:val="auto"/>
                <w:highlight w:val="none"/>
              </w:rPr>
            </w:pPr>
            <w:r>
              <w:rPr>
                <w:color w:val="auto"/>
                <w:highlight w:val="none"/>
              </w:rPr>
              <w:t xml:space="preserve">2、幕面亮度增益1.2±0.1，色彩还原度偏差≤5％，长期使用不泛黄；配备静音管状电机，升降噪音≤35dB，支持无线遥控+有线控制双模式，且预留RS485接口；</w:t>
            </w:r>
            <w:r/>
          </w:p>
          <w:p>
            <w:pPr>
              <w:spacing w:line="273" w:lineRule="exact"/>
              <w:rPr>
                <w:color w:val="auto"/>
                <w:highlight w:val="none"/>
              </w:rPr>
            </w:pPr>
            <w:r>
              <w:rPr>
                <w:color w:val="auto"/>
                <w:highlight w:val="none"/>
              </w:rPr>
              <w:t xml:space="preserve">3、外壳为金属冲压成型并经静电喷涂处理，具备防潮防尘特性。</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音频集控平台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1.平台基于Linux或windows操作系统，集成MySql数据库，提供对设备使用用户管理、系统使用日志的记录和统计功能；</w:t>
            </w:r>
            <w:r/>
          </w:p>
          <w:p>
            <w:pPr>
              <w:spacing w:line="273" w:lineRule="exact"/>
              <w:rPr>
                <w:color w:val="auto"/>
                <w:highlight w:val="none"/>
              </w:rPr>
            </w:pPr>
            <w:r>
              <w:rPr>
                <w:color w:val="auto"/>
                <w:highlight w:val="none"/>
              </w:rPr>
              <w:t xml:space="preserve">2.具备防数据信息泄露功能，要求该平台使用登录验证,未登录的用户无法获取数据,用户密码经过加密传输,后台保存时也必须要经过加密；</w:t>
            </w:r>
            <w:r/>
          </w:p>
          <w:p>
            <w:pPr>
              <w:spacing w:line="273" w:lineRule="exact"/>
              <w:rPr>
                <w:color w:val="auto"/>
                <w:highlight w:val="none"/>
              </w:rPr>
            </w:pPr>
            <w:r>
              <w:rPr>
                <w:color w:val="auto"/>
                <w:highlight w:val="none"/>
              </w:rPr>
              <w:t xml:space="preserve">3.要求本平台具有防伪装攻击功能，非本站网页无法请求数据,防止第三方恶意攻击；</w:t>
            </w:r>
            <w:r/>
          </w:p>
          <w:p>
            <w:pPr>
              <w:spacing w:line="273" w:lineRule="exact"/>
              <w:rPr>
                <w:color w:val="auto"/>
                <w:highlight w:val="none"/>
              </w:rPr>
            </w:pPr>
            <w:r>
              <w:rPr>
                <w:color w:val="auto"/>
                <w:highlight w:val="none"/>
              </w:rPr>
              <w:t xml:space="preserve">4.支持客户端基于B/S构架通过不同权限账号登录平台管理不同的音频终端</w:t>
            </w:r>
            <w:r/>
          </w:p>
          <w:p>
            <w:pPr>
              <w:spacing w:line="273" w:lineRule="exact"/>
              <w:rPr>
                <w:color w:val="auto"/>
                <w:highlight w:val="none"/>
              </w:rPr>
            </w:pPr>
            <w:r>
              <w:rPr>
                <w:color w:val="auto"/>
                <w:highlight w:val="none"/>
              </w:rPr>
              <w:t xml:space="preserve">5.系统支持各种日志按字段，按时段查询和搜索功能，支持超级管理员指定时间日志统计和清除功能，支持数据定时备份；</w:t>
            </w:r>
            <w:r/>
          </w:p>
          <w:p>
            <w:pPr>
              <w:spacing w:line="273" w:lineRule="exact"/>
              <w:rPr>
                <w:color w:val="auto"/>
                <w:highlight w:val="none"/>
              </w:rPr>
            </w:pPr>
            <w:r>
              <w:rPr>
                <w:color w:val="auto"/>
                <w:highlight w:val="none"/>
              </w:rPr>
              <w:t xml:space="preserve">6.支持资产管理功能，包含教室各个多媒体设备数量统计、设备报修、自动分配记录、设备分配及审批、业务维修办理等；</w:t>
            </w:r>
            <w:r/>
          </w:p>
          <w:p>
            <w:pPr>
              <w:spacing w:line="273" w:lineRule="exact"/>
              <w:rPr>
                <w:color w:val="auto"/>
                <w:highlight w:val="none"/>
              </w:rPr>
            </w:pPr>
            <w:r>
              <w:rPr>
                <w:color w:val="auto"/>
                <w:highlight w:val="none"/>
              </w:rPr>
              <w:t xml:space="preserve">7.支持远程管理、升级、功放音量调节、单独通道的音量调节等功能，提供在线设备升级功能，显示设备当前版本可升级目标版本；</w:t>
            </w:r>
            <w:r/>
          </w:p>
          <w:p>
            <w:pPr>
              <w:spacing w:line="273" w:lineRule="exact"/>
              <w:rPr>
                <w:color w:val="auto"/>
                <w:highlight w:val="none"/>
              </w:rPr>
            </w:pPr>
            <w:r>
              <w:rPr>
                <w:color w:val="auto"/>
                <w:highlight w:val="none"/>
              </w:rPr>
              <w:t xml:space="preserve">8.提供音频智慧管理可视化界面总图，含有教室使用率、教室在线数量统计、教室状况统计等，支持通过饼状图、柱状图、折线图等形式呈现，并可以针对用户的实际需求进行定制化数据统计和呈现；</w:t>
            </w:r>
            <w:r/>
          </w:p>
          <w:p>
            <w:pPr>
              <w:spacing w:line="273" w:lineRule="exact"/>
              <w:rPr>
                <w:color w:val="auto"/>
                <w:highlight w:val="none"/>
              </w:rPr>
            </w:pPr>
            <w:r>
              <w:rPr>
                <w:color w:val="auto"/>
                <w:highlight w:val="none"/>
              </w:rPr>
              <w:t xml:space="preserve">9.支持权限管理功能，可为不同的用户设置不同的角色。角色由用户自定义，而不是由系统提前设定。用户可以设置不同的角色，并为这些角色设置不同的权限；</w:t>
            </w:r>
            <w:r/>
          </w:p>
          <w:p>
            <w:pPr>
              <w:spacing w:line="273" w:lineRule="exact"/>
              <w:rPr>
                <w:color w:val="auto"/>
                <w:highlight w:val="none"/>
              </w:rPr>
            </w:pPr>
            <w:r>
              <w:rPr>
                <w:color w:val="auto"/>
                <w:highlight w:val="none"/>
              </w:rPr>
              <w:t xml:space="preserve">10.开放软件平台接口，提供标准API，可实现一卡通数据对接、教务数据对接、监控数据对接、大数据单点登录、数据打通，实现信息及数据的联动；</w:t>
            </w:r>
            <w:r/>
          </w:p>
          <w:p>
            <w:pPr>
              <w:spacing w:line="273" w:lineRule="exact"/>
              <w:rPr>
                <w:color w:val="auto"/>
                <w:highlight w:val="none"/>
              </w:rPr>
            </w:pPr>
            <w:r>
              <w:rPr>
                <w:color w:val="auto"/>
                <w:highlight w:val="none"/>
              </w:rPr>
              <w:t xml:space="preserve">11.系统须具备自动巡检功能，在上课前对教室内扩声系统进行检测，能够精准的检测出话筒、音箱是否正常，系统完成自检后须生成自检报告；；</w:t>
            </w:r>
            <w:r/>
          </w:p>
          <w:p>
            <w:pPr>
              <w:spacing w:line="273" w:lineRule="exact"/>
              <w:rPr>
                <w:color w:val="auto"/>
                <w:highlight w:val="none"/>
              </w:rPr>
            </w:pPr>
            <w:r>
              <w:rPr>
                <w:color w:val="auto"/>
                <w:highlight w:val="none"/>
              </w:rPr>
              <w:t xml:space="preserve">12▲具有数字广播功能，对定点、预先分组的终端进行定时广播、手动广播、网络链接广播等功能，实现视频广播推送，主机接收到视频信号后自动开启大屏/投影教学设备，实现无人值守智能化视频广播功能，广播实现优先级管理（提供CMA认证的检测机构出具的检测报告复印件并加盖公章）</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音频处理器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1、机架式设备，高度≤1U，音频处理部分和功率放大器集成到一个机箱内，采用DSP嵌入式音频处理算法；</w:t>
            </w:r>
            <w:r/>
          </w:p>
          <w:p>
            <w:pPr>
              <w:spacing w:line="273" w:lineRule="exact"/>
              <w:rPr>
                <w:color w:val="auto"/>
                <w:highlight w:val="none"/>
              </w:rPr>
            </w:pPr>
            <w:r>
              <w:rPr>
                <w:color w:val="auto"/>
                <w:highlight w:val="none"/>
              </w:rPr>
              <w:t xml:space="preserve">2、前面板具有音量指示灯和≥2.5寸液晶显示屏，用于显示各项参数指标，为了便于调试，要求前面板具有不低于6个物理按键；</w:t>
            </w:r>
            <w:r/>
          </w:p>
          <w:p>
            <w:pPr>
              <w:spacing w:line="273" w:lineRule="exact"/>
              <w:rPr>
                <w:color w:val="auto"/>
                <w:highlight w:val="none"/>
              </w:rPr>
            </w:pPr>
            <w:r>
              <w:rPr>
                <w:color w:val="auto"/>
                <w:highlight w:val="none"/>
              </w:rPr>
              <w:t xml:space="preserve">3、具有至少2路48V幻象供电麦克风输入，采用凤凰端子，集成UHF数字调制无线麦克风接收功能，支持≥1路同品牌无线麦克风直接对频实现扩音，可在操作面板实现音量调整及麦克风开关，有线麦克与无线麦克之间可自由切换，支持≥1路网络麦克风接入直接对频实现扩音；</w:t>
            </w:r>
            <w:r/>
          </w:p>
          <w:p>
            <w:pPr>
              <w:spacing w:line="273" w:lineRule="exact"/>
              <w:rPr>
                <w:color w:val="auto"/>
                <w:highlight w:val="none"/>
              </w:rPr>
            </w:pPr>
            <w:r>
              <w:rPr>
                <w:color w:val="auto"/>
                <w:highlight w:val="none"/>
              </w:rPr>
              <w:t xml:space="preserve">4、音频输入输出：课件音频输入：支持≥4路RCA或3.5mm 立体声插座输入；录音音频输出：支持≥2路RCA或3.5mm 立体声插座输出；</w:t>
            </w:r>
            <w:r/>
          </w:p>
          <w:p>
            <w:pPr>
              <w:spacing w:line="273" w:lineRule="exact"/>
              <w:rPr>
                <w:color w:val="auto"/>
                <w:highlight w:val="none"/>
              </w:rPr>
            </w:pPr>
            <w:r>
              <w:rPr>
                <w:color w:val="auto"/>
                <w:highlight w:val="none"/>
              </w:rPr>
              <w:t xml:space="preserve">5、具有≥1路USB声卡输出，≥2个以太网接口，支持接入网络进行管控，配套平台支持远程声音控制、批量升级、音频参数调节、实时显示音量大小等功能；</w:t>
            </w:r>
            <w:r/>
          </w:p>
          <w:p>
            <w:pPr>
              <w:spacing w:line="273" w:lineRule="exact"/>
              <w:rPr>
                <w:color w:val="auto"/>
                <w:highlight w:val="none"/>
              </w:rPr>
            </w:pPr>
            <w:r>
              <w:rPr>
                <w:color w:val="auto"/>
                <w:highlight w:val="none"/>
              </w:rPr>
              <w:t xml:space="preserve">6、支持≥2路RS-232接口，≥1路RS-485串行接口，支持≥3路的弱电IO扩展接口；</w:t>
            </w:r>
            <w:r/>
          </w:p>
          <w:p>
            <w:pPr>
              <w:spacing w:line="273" w:lineRule="exact"/>
              <w:rPr>
                <w:color w:val="auto"/>
                <w:highlight w:val="none"/>
              </w:rPr>
            </w:pPr>
            <w:r>
              <w:rPr>
                <w:color w:val="auto"/>
                <w:highlight w:val="none"/>
              </w:rPr>
              <w:t xml:space="preserve">7、具有1路RJ-45触摸屏连接接口，支持外接具有调节音频处理器的中控液晶面板，中控面板能实现的功能至少包括：本地讲话扩声静音按钮（能打开和关闭本地讲话扩声，但不能关闭电脑的声音）、本地扩声音量加减按钮和电脑音量加减按钮，调节本地扩声音量加减按钮不能影响电脑音量，调节电脑音量加减按钮不能影响本地讲话扩声音量，系统重启后能自动回到初始设定状态；</w:t>
            </w:r>
            <w:r/>
          </w:p>
          <w:p>
            <w:pPr>
              <w:spacing w:line="273" w:lineRule="exact"/>
              <w:rPr>
                <w:color w:val="auto"/>
                <w:highlight w:val="none"/>
              </w:rPr>
            </w:pPr>
            <w:r>
              <w:rPr>
                <w:color w:val="auto"/>
                <w:highlight w:val="none"/>
              </w:rPr>
              <w:t xml:space="preserve">8、采用数字功放芯片组，解析力高，发热量低。具有延时保护、短路过流保护、过热保护功能；</w:t>
            </w:r>
            <w:r/>
          </w:p>
          <w:p>
            <w:pPr>
              <w:spacing w:line="273" w:lineRule="exact"/>
              <w:rPr>
                <w:color w:val="auto"/>
                <w:highlight w:val="none"/>
              </w:rPr>
            </w:pPr>
            <w:r>
              <w:rPr>
                <w:color w:val="auto"/>
                <w:highlight w:val="none"/>
              </w:rPr>
              <w:t xml:space="preserve">9、内置自适应音频处理算法，</w:t>
            </w:r>
            <w:r>
              <w:rPr>
                <w:color w:val="auto"/>
                <w:highlight w:val="none"/>
              </w:rPr>
              <w:t xml:space="preserve">在不同场地均能实现自动校准，不需任何声场装修，通过软件进行音频的调试，具体音频相关技术指标要求：反馈抑制（AFC）：传声增益提升幅度：≥15dB；自动增益控制（AGC）：增益控制幅度：-12dB - +12dB。自适应背景降噪（ANS）：信噪比提升≥18dB ；回声消除（AEC）：回音消除尾音长度：≥512ms，回声消除幅度：≥ 60dB，收敛速度：≥ 60dB/S ；信噪比：≥95dB，信号处理延时＜8ms ；本地扩声声场不均匀度小于5dB；所有音频处理部分的频率响应： 20Hz-20kHz（±3dB）；</w:t>
            </w:r>
            <w:r/>
          </w:p>
          <w:p>
            <w:pPr>
              <w:spacing w:line="273" w:lineRule="exact"/>
              <w:rPr>
                <w:color w:val="auto"/>
                <w:highlight w:val="none"/>
              </w:rPr>
            </w:pPr>
            <w:r>
              <w:rPr>
                <w:color w:val="auto"/>
                <w:highlight w:val="none"/>
              </w:rPr>
              <w:t xml:space="preserve">10、功率放大器的最大输出功率：≥2*100W；</w:t>
            </w:r>
            <w:r/>
          </w:p>
          <w:p>
            <w:pPr>
              <w:spacing w:line="273" w:lineRule="exact"/>
              <w:rPr>
                <w:color w:val="auto"/>
                <w:highlight w:val="none"/>
              </w:rPr>
            </w:pPr>
            <w:r>
              <w:rPr>
                <w:color w:val="auto"/>
                <w:highlight w:val="none"/>
              </w:rPr>
              <w:t xml:space="preserve">▲ 11、具备动态自适应噪音抑制技术：对电风扇、空调等固定噪声源具有智能消除功能，对拍掌、脚步声等非固定噪声源能自学习识别并消除，具有明显消除效果；防啸叫能力：自适应防啸叫抑制，进行本地扩声时麦克风正对着音箱1m以内，系统不啸叫；回声消除与混响抑制：能自动感知声场回声效果，对于空间反射声具有回声消除与混响抑制功能，本地扩声后并未加重回声抑制，对于空间混响能有效抑制，通过调节混响抑制等级能明显听出不同混响效果；（提供CMA认证的检测机构出具的检测报告复印件并加盖公章）</w:t>
            </w:r>
            <w:r/>
          </w:p>
          <w:p>
            <w:pPr>
              <w:spacing w:line="273" w:lineRule="exact"/>
              <w:rPr>
                <w:color w:val="auto"/>
                <w:highlight w:val="none"/>
              </w:rPr>
            </w:pPr>
            <w:r>
              <w:rPr>
                <w:color w:val="auto"/>
                <w:highlight w:val="none"/>
              </w:rPr>
              <w:t xml:space="preserve">12、具有≥1路升级调试串口，可以使用计算机通过调试软件连接主机进行输入/输出增益、EQ、AGC、降噪、混响级别等参数的配置；</w:t>
            </w:r>
            <w:r/>
          </w:p>
          <w:p>
            <w:pPr>
              <w:spacing w:line="273" w:lineRule="exact"/>
              <w:rPr>
                <w:color w:val="auto"/>
                <w:highlight w:val="none"/>
              </w:rPr>
            </w:pPr>
            <w:r>
              <w:rPr>
                <w:color w:val="auto"/>
                <w:highlight w:val="none"/>
              </w:rPr>
              <w:t xml:space="preserve">13、通过一只吊装麦克风实现本地扩音和远程互动，本地扩音和远程互动能同时进行，并且相互不影响效果；本地扩音要求扩出来的声音清晰响亮、无啸叫，混响时间小于1秒；远程互动要求声音清晰、无噪声和回声，双端同时讲话无卡音、丢字、声音变小和失真现象；</w:t>
            </w:r>
            <w:r/>
          </w:p>
          <w:p>
            <w:pPr>
              <w:spacing w:line="273" w:lineRule="exact"/>
              <w:rPr>
                <w:color w:val="auto"/>
                <w:highlight w:val="none"/>
              </w:rPr>
            </w:pPr>
            <w:r>
              <w:rPr>
                <w:color w:val="auto"/>
                <w:highlight w:val="none"/>
              </w:rPr>
              <w:t xml:space="preserve">14、支持对接配套的音频管理平台，要求相对于的音频管理平台是集成C/S架构和B/S架构，可以通过后台程序集中管理，也可以通过客户端App进行点对点的操作。支持远程登录管理平台；</w:t>
            </w:r>
            <w:r/>
          </w:p>
          <w:p>
            <w:pPr>
              <w:spacing w:line="273" w:lineRule="exact"/>
              <w:rPr>
                <w:color w:val="auto"/>
                <w:highlight w:val="none"/>
              </w:rPr>
            </w:pPr>
            <w:r>
              <w:rPr>
                <w:color w:val="auto"/>
                <w:highlight w:val="none"/>
              </w:rPr>
              <w:t xml:space="preserve">15、支持定时管理功能，可定时重启，支持本地升级和远程批量升级，支持对接教务课表系统，实现定时开关音频系统功能。</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高保真音箱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1、频率响应：80Hz-18KHz（±3dB）；</w:t>
            </w:r>
            <w:r/>
          </w:p>
          <w:p>
            <w:pPr>
              <w:spacing w:line="273" w:lineRule="exact"/>
              <w:rPr>
                <w:color w:val="auto"/>
                <w:highlight w:val="none"/>
              </w:rPr>
            </w:pPr>
            <w:r>
              <w:rPr>
                <w:color w:val="auto"/>
                <w:highlight w:val="none"/>
              </w:rPr>
              <w:t xml:space="preserve">2、额定阻抗：≤8Ω；</w:t>
            </w:r>
            <w:r/>
          </w:p>
          <w:p>
            <w:pPr>
              <w:spacing w:line="273" w:lineRule="exact"/>
              <w:rPr>
                <w:color w:val="auto"/>
                <w:highlight w:val="none"/>
              </w:rPr>
            </w:pPr>
            <w:r>
              <w:rPr>
                <w:color w:val="auto"/>
                <w:highlight w:val="none"/>
              </w:rPr>
              <w:t xml:space="preserve">3、总谐波失真（120Hz-20KHz频率范围内）：≤3％；</w:t>
            </w:r>
            <w:r/>
          </w:p>
          <w:p>
            <w:pPr>
              <w:spacing w:line="273" w:lineRule="exact"/>
              <w:rPr>
                <w:color w:val="auto"/>
                <w:highlight w:val="none"/>
              </w:rPr>
            </w:pPr>
            <w:r>
              <w:rPr>
                <w:color w:val="auto"/>
                <w:highlight w:val="none"/>
              </w:rPr>
              <w:t xml:space="preserve">4、特性灵敏度：≥88dB；</w:t>
            </w:r>
            <w:r/>
          </w:p>
          <w:p>
            <w:pPr>
              <w:spacing w:line="273" w:lineRule="exact"/>
              <w:rPr>
                <w:color w:val="auto"/>
                <w:highlight w:val="none"/>
              </w:rPr>
            </w:pPr>
            <w:r>
              <w:rPr>
                <w:color w:val="auto"/>
                <w:highlight w:val="none"/>
              </w:rPr>
              <w:t xml:space="preserve">5、长期最大功率：≥60W。</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58</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拾音麦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1、频率范围：20-20KHz ；</w:t>
            </w:r>
            <w:r/>
          </w:p>
          <w:p>
            <w:pPr>
              <w:spacing w:line="273" w:lineRule="exact"/>
              <w:rPr>
                <w:color w:val="auto"/>
                <w:highlight w:val="none"/>
              </w:rPr>
            </w:pPr>
            <w:r>
              <w:rPr>
                <w:color w:val="auto"/>
                <w:highlight w:val="none"/>
              </w:rPr>
              <w:t xml:space="preserve">2、灵敏度：≥-35dB（18mV/Pa）； </w:t>
            </w:r>
            <w:r/>
          </w:p>
          <w:p>
            <w:pPr>
              <w:spacing w:line="273" w:lineRule="exact"/>
              <w:rPr>
                <w:color w:val="auto"/>
                <w:highlight w:val="none"/>
              </w:rPr>
            </w:pPr>
            <w:r>
              <w:rPr>
                <w:color w:val="auto"/>
                <w:highlight w:val="none"/>
              </w:rPr>
              <w:t xml:space="preserve">3、指向性：超心型；（长：≤150mm、直径：≤20mm）</w:t>
            </w:r>
            <w:r/>
          </w:p>
          <w:p>
            <w:pPr>
              <w:spacing w:line="273" w:lineRule="exact"/>
              <w:rPr>
                <w:color w:val="auto"/>
                <w:highlight w:val="none"/>
              </w:rPr>
            </w:pPr>
            <w:r>
              <w:rPr>
                <w:color w:val="auto"/>
                <w:highlight w:val="none"/>
              </w:rPr>
              <w:t xml:space="preserve">4、最大声压级：≥135dB；</w:t>
            </w:r>
            <w:r/>
          </w:p>
          <w:p>
            <w:pPr>
              <w:spacing w:line="273" w:lineRule="exact"/>
              <w:rPr>
                <w:color w:val="auto"/>
                <w:highlight w:val="none"/>
              </w:rPr>
            </w:pPr>
            <w:r>
              <w:rPr>
                <w:color w:val="auto"/>
                <w:highlight w:val="none"/>
              </w:rPr>
              <w:t xml:space="preserve">5、信噪比：≥75dB ；</w:t>
            </w:r>
            <w:r/>
          </w:p>
          <w:p>
            <w:pPr>
              <w:spacing w:line="273" w:lineRule="exact"/>
              <w:rPr>
                <w:color w:val="auto"/>
                <w:highlight w:val="none"/>
              </w:rPr>
            </w:pPr>
            <w:r>
              <w:rPr>
                <w:color w:val="auto"/>
                <w:highlight w:val="none"/>
              </w:rPr>
              <w:t xml:space="preserve">6、供电电压：48V幻象电源供电；</w:t>
            </w:r>
            <w:r/>
          </w:p>
          <w:p>
            <w:pPr>
              <w:spacing w:line="273" w:lineRule="exact"/>
              <w:rPr>
                <w:color w:val="auto"/>
                <w:highlight w:val="none"/>
              </w:rPr>
            </w:pPr>
            <w:r>
              <w:rPr>
                <w:color w:val="auto"/>
                <w:highlight w:val="none"/>
              </w:rPr>
              <w:t xml:space="preserve">7、抗手机、电磁、高频干扰。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54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扩音麦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1、频率范围：20-20KHz ；</w:t>
            </w:r>
            <w:r/>
          </w:p>
          <w:p>
            <w:pPr>
              <w:spacing w:line="273" w:lineRule="exact"/>
              <w:rPr>
                <w:color w:val="auto"/>
                <w:highlight w:val="none"/>
              </w:rPr>
            </w:pPr>
            <w:r>
              <w:rPr>
                <w:color w:val="auto"/>
                <w:highlight w:val="none"/>
              </w:rPr>
              <w:t xml:space="preserve">2、灵敏度：≥-35dB（18mV/Pa）； </w:t>
            </w:r>
            <w:r/>
          </w:p>
          <w:p>
            <w:pPr>
              <w:spacing w:line="273" w:lineRule="exact"/>
              <w:rPr>
                <w:color w:val="auto"/>
                <w:highlight w:val="none"/>
              </w:rPr>
            </w:pPr>
            <w:r>
              <w:rPr>
                <w:color w:val="auto"/>
                <w:highlight w:val="none"/>
              </w:rPr>
              <w:t xml:space="preserve">3、指向性：超心型；（长：≤150mm、直径：≤20mm）</w:t>
            </w:r>
            <w:r/>
          </w:p>
          <w:p>
            <w:pPr>
              <w:spacing w:line="273" w:lineRule="exact"/>
              <w:rPr>
                <w:color w:val="auto"/>
                <w:highlight w:val="none"/>
              </w:rPr>
            </w:pPr>
            <w:r>
              <w:rPr>
                <w:color w:val="auto"/>
                <w:highlight w:val="none"/>
              </w:rPr>
              <w:t xml:space="preserve">4、最大声压级：≥135dB；</w:t>
            </w:r>
            <w:r/>
          </w:p>
          <w:p>
            <w:pPr>
              <w:spacing w:line="273" w:lineRule="exact"/>
              <w:rPr>
                <w:color w:val="auto"/>
                <w:highlight w:val="none"/>
              </w:rPr>
            </w:pPr>
            <w:r>
              <w:rPr>
                <w:color w:val="auto"/>
                <w:highlight w:val="none"/>
              </w:rPr>
              <w:t xml:space="preserve">5、信噪比：≥75dB ；</w:t>
            </w:r>
            <w:r/>
          </w:p>
          <w:p>
            <w:pPr>
              <w:spacing w:line="273" w:lineRule="exact"/>
              <w:rPr>
                <w:color w:val="auto"/>
                <w:highlight w:val="none"/>
              </w:rPr>
            </w:pPr>
            <w:r>
              <w:rPr>
                <w:color w:val="auto"/>
                <w:highlight w:val="none"/>
              </w:rPr>
              <w:t xml:space="preserve">6、供电电压：48V幻象电源供电；</w:t>
            </w:r>
            <w:r/>
          </w:p>
          <w:p>
            <w:pPr>
              <w:spacing w:line="273" w:lineRule="exact"/>
              <w:rPr>
                <w:color w:val="auto"/>
                <w:highlight w:val="none"/>
              </w:rPr>
            </w:pPr>
            <w:r>
              <w:rPr>
                <w:color w:val="auto"/>
                <w:highlight w:val="none"/>
              </w:rPr>
              <w:t xml:space="preserve">7、抗手机、电磁、高频干扰。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麦克风含底座</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一、无线麦:</w:t>
            </w:r>
            <w:r/>
          </w:p>
          <w:p>
            <w:pPr>
              <w:spacing w:line="273" w:lineRule="exact"/>
              <w:rPr>
                <w:color w:val="auto"/>
                <w:highlight w:val="none"/>
              </w:rPr>
            </w:pPr>
            <w:r>
              <w:rPr>
                <w:color w:val="auto"/>
                <w:highlight w:val="none"/>
              </w:rPr>
              <w:t xml:space="preserve">1、采用UHF数字调制和无线抗干扰编码技术；</w:t>
            </w:r>
            <w:r/>
          </w:p>
          <w:p>
            <w:pPr>
              <w:spacing w:line="273" w:lineRule="exact"/>
              <w:rPr>
                <w:color w:val="auto"/>
                <w:highlight w:val="none"/>
              </w:rPr>
            </w:pPr>
            <w:r>
              <w:rPr>
                <w:color w:val="auto"/>
                <w:highlight w:val="none"/>
              </w:rPr>
              <w:t xml:space="preserve">2、接收机和充电底座采用一体化设计，话筒插入充电座即可自动完成配对，开机即用；</w:t>
            </w:r>
            <w:r/>
          </w:p>
          <w:p>
            <w:pPr>
              <w:spacing w:line="273" w:lineRule="exact"/>
              <w:rPr>
                <w:color w:val="auto"/>
                <w:highlight w:val="none"/>
              </w:rPr>
            </w:pPr>
            <w:r>
              <w:rPr>
                <w:color w:val="auto"/>
                <w:highlight w:val="none"/>
              </w:rPr>
              <w:t xml:space="preserve">3、无线话筒采用直插式桌面充电器充电方式，具有充电灯光提醒及保护功能；</w:t>
            </w:r>
            <w:r/>
          </w:p>
          <w:p>
            <w:pPr>
              <w:spacing w:line="273" w:lineRule="exact"/>
              <w:rPr>
                <w:color w:val="auto"/>
                <w:highlight w:val="none"/>
              </w:rPr>
            </w:pPr>
            <w:r>
              <w:rPr>
                <w:color w:val="auto"/>
                <w:highlight w:val="none"/>
              </w:rPr>
              <w:t xml:space="preserve">4、无线话筒具有翻页笔和激光笔功能；</w:t>
            </w:r>
            <w:r/>
          </w:p>
          <w:p>
            <w:pPr>
              <w:spacing w:line="273" w:lineRule="exact"/>
              <w:rPr>
                <w:color w:val="auto"/>
                <w:highlight w:val="none"/>
              </w:rPr>
            </w:pPr>
            <w:r>
              <w:rPr>
                <w:color w:val="auto"/>
                <w:highlight w:val="none"/>
              </w:rPr>
              <w:t xml:space="preserve">5、无线麦克风侧面需具有独立音量加减按键；</w:t>
            </w:r>
            <w:r/>
          </w:p>
          <w:p>
            <w:pPr>
              <w:spacing w:line="273" w:lineRule="exact"/>
              <w:rPr>
                <w:color w:val="auto"/>
                <w:highlight w:val="none"/>
              </w:rPr>
            </w:pPr>
            <w:r>
              <w:rPr>
                <w:color w:val="auto"/>
                <w:highlight w:val="none"/>
              </w:rPr>
              <w:t xml:space="preserve">6、收发频率： 470MHz - 510MHz；</w:t>
            </w:r>
            <w:r/>
          </w:p>
          <w:p>
            <w:pPr>
              <w:spacing w:line="273" w:lineRule="exact"/>
              <w:rPr>
                <w:color w:val="auto"/>
                <w:highlight w:val="none"/>
              </w:rPr>
            </w:pPr>
            <w:r>
              <w:rPr>
                <w:color w:val="auto"/>
                <w:highlight w:val="none"/>
              </w:rPr>
              <w:t xml:space="preserve">7、频率响应范围：20Hz-20KHz（±3dB）；</w:t>
            </w:r>
            <w:r/>
          </w:p>
          <w:p>
            <w:pPr>
              <w:spacing w:line="273" w:lineRule="exact"/>
              <w:rPr>
                <w:color w:val="auto"/>
                <w:highlight w:val="none"/>
              </w:rPr>
            </w:pPr>
            <w:r>
              <w:rPr>
                <w:color w:val="auto"/>
                <w:highlight w:val="none"/>
              </w:rPr>
              <w:t xml:space="preserve">8、综合信噪比：≥85dB；</w:t>
            </w:r>
            <w:r/>
          </w:p>
          <w:p>
            <w:pPr>
              <w:spacing w:line="273" w:lineRule="exact"/>
              <w:rPr>
                <w:color w:val="auto"/>
                <w:highlight w:val="none"/>
              </w:rPr>
            </w:pPr>
            <w:r>
              <w:rPr>
                <w:color w:val="auto"/>
                <w:highlight w:val="none"/>
              </w:rPr>
              <w:t xml:space="preserve">9、充电底座具有物理解锁按键；</w:t>
            </w:r>
            <w:r/>
          </w:p>
          <w:p>
            <w:pPr>
              <w:spacing w:line="273" w:lineRule="exact"/>
              <w:rPr>
                <w:color w:val="auto"/>
                <w:highlight w:val="none"/>
              </w:rPr>
            </w:pPr>
            <w:r>
              <w:rPr>
                <w:color w:val="auto"/>
                <w:highlight w:val="none"/>
              </w:rPr>
              <w:t xml:space="preserve">▲10、提供远程统一管理软硬件接口，配合中控可以做到上课可以开锁，下课后话筒插入底座后自动锁死，防止话筒丢失；需具有归还语音提示功能，下课时老师未将无线麦克风插入底座可向功放设备输出归还提示语音；（提供CMA认证的检测机构出具的检测报告复印件并加盖公章）</w:t>
            </w:r>
            <w:r/>
          </w:p>
          <w:p>
            <w:pPr>
              <w:spacing w:line="273" w:lineRule="exact"/>
              <w:rPr>
                <w:color w:val="auto"/>
                <w:highlight w:val="none"/>
              </w:rPr>
            </w:pPr>
            <w:r>
              <w:rPr>
                <w:color w:val="auto"/>
                <w:highlight w:val="none"/>
              </w:rPr>
              <w:t xml:space="preserve">11、通过中控可以远程获知和管理话筒当前状态、电池电量及未归还提醒等功能；</w:t>
            </w:r>
            <w:r/>
          </w:p>
          <w:p>
            <w:pPr>
              <w:spacing w:line="273" w:lineRule="exact"/>
              <w:rPr>
                <w:color w:val="auto"/>
                <w:highlight w:val="none"/>
              </w:rPr>
            </w:pPr>
            <w:r>
              <w:rPr>
                <w:color w:val="auto"/>
                <w:highlight w:val="none"/>
              </w:rPr>
              <w:t xml:space="preserve">12、可以选配外置头戴麦和领夹麦，且内置/外置麦都能独立调节音量和音色</w:t>
            </w:r>
            <w:r/>
          </w:p>
          <w:p>
            <w:pPr>
              <w:spacing w:line="273" w:lineRule="exact"/>
              <w:rPr>
                <w:color w:val="auto"/>
                <w:highlight w:val="none"/>
              </w:rPr>
            </w:pPr>
            <w:r>
              <w:rPr>
                <w:color w:val="auto"/>
                <w:highlight w:val="none"/>
              </w:rPr>
              <w:t xml:space="preserve">二、充电底座</w:t>
            </w:r>
            <w:r/>
          </w:p>
          <w:p>
            <w:pPr>
              <w:spacing w:line="273" w:lineRule="exact"/>
              <w:rPr>
                <w:color w:val="auto"/>
                <w:highlight w:val="none"/>
              </w:rPr>
            </w:pPr>
            <w:r>
              <w:rPr>
                <w:color w:val="auto"/>
                <w:highlight w:val="none"/>
              </w:rPr>
              <w:t xml:space="preserve">1、要求充电底座采用一体化设计，无线话筒插入充电座即可自动完成配对；</w:t>
            </w:r>
            <w:r/>
          </w:p>
          <w:p>
            <w:pPr>
              <w:spacing w:line="273" w:lineRule="exact"/>
              <w:rPr>
                <w:color w:val="auto"/>
                <w:highlight w:val="none"/>
              </w:rPr>
            </w:pPr>
            <w:r>
              <w:rPr>
                <w:color w:val="auto"/>
                <w:highlight w:val="none"/>
              </w:rPr>
              <w:t xml:space="preserve">2、收发频率： 470MHz - 510MHz</w:t>
            </w:r>
            <w:r/>
          </w:p>
          <w:p>
            <w:pPr>
              <w:spacing w:line="273" w:lineRule="exact"/>
              <w:rPr>
                <w:color w:val="auto"/>
                <w:highlight w:val="none"/>
              </w:rPr>
            </w:pPr>
            <w:r>
              <w:rPr>
                <w:color w:val="auto"/>
                <w:highlight w:val="none"/>
              </w:rPr>
              <w:t xml:space="preserve">3、要求采用GFSK调制方式；</w:t>
            </w:r>
            <w:r/>
          </w:p>
          <w:p>
            <w:pPr>
              <w:spacing w:line="273" w:lineRule="exact"/>
              <w:rPr>
                <w:color w:val="auto"/>
                <w:highlight w:val="none"/>
              </w:rPr>
            </w:pPr>
            <w:r>
              <w:rPr>
                <w:color w:val="auto"/>
                <w:highlight w:val="none"/>
              </w:rPr>
              <w:t xml:space="preserve">4、频率响应范围：20Hz-20KHz（±3dB）；</w:t>
            </w:r>
            <w:r/>
          </w:p>
          <w:p>
            <w:pPr>
              <w:spacing w:line="273" w:lineRule="exact"/>
              <w:rPr>
                <w:color w:val="auto"/>
                <w:highlight w:val="none"/>
              </w:rPr>
            </w:pPr>
            <w:r>
              <w:rPr>
                <w:color w:val="auto"/>
                <w:highlight w:val="none"/>
              </w:rPr>
              <w:t xml:space="preserve">5、频率稳定度：±0.005％以内；</w:t>
            </w:r>
            <w:r/>
          </w:p>
          <w:p>
            <w:pPr>
              <w:spacing w:line="273" w:lineRule="exact"/>
              <w:rPr>
                <w:color w:val="auto"/>
                <w:highlight w:val="none"/>
              </w:rPr>
            </w:pPr>
            <w:r>
              <w:rPr>
                <w:color w:val="auto"/>
                <w:highlight w:val="none"/>
              </w:rPr>
              <w:t xml:space="preserve">6、综合信噪比：＞85dB ，综合失真：≤0.5％；</w:t>
            </w:r>
            <w:r/>
          </w:p>
          <w:p>
            <w:pPr>
              <w:spacing w:line="273" w:lineRule="exact"/>
              <w:rPr>
                <w:color w:val="auto"/>
                <w:highlight w:val="none"/>
              </w:rPr>
            </w:pPr>
            <w:r>
              <w:rPr>
                <w:color w:val="auto"/>
                <w:highlight w:val="none"/>
              </w:rPr>
              <w:t xml:space="preserve">7、频道组数≥1通道；</w:t>
            </w:r>
            <w:r/>
          </w:p>
          <w:p>
            <w:pPr>
              <w:spacing w:line="273" w:lineRule="exact"/>
              <w:rPr>
                <w:color w:val="auto"/>
                <w:highlight w:val="none"/>
              </w:rPr>
            </w:pPr>
            <w:r>
              <w:rPr>
                <w:color w:val="auto"/>
                <w:highlight w:val="none"/>
              </w:rPr>
              <w:t xml:space="preserve">8、最长传输距离≥100米；</w:t>
            </w:r>
            <w:r/>
          </w:p>
          <w:p>
            <w:pPr>
              <w:spacing w:line="273" w:lineRule="exact"/>
              <w:rPr>
                <w:color w:val="auto"/>
                <w:highlight w:val="none"/>
              </w:rPr>
            </w:pPr>
            <w:r>
              <w:rPr>
                <w:color w:val="auto"/>
                <w:highlight w:val="none"/>
              </w:rPr>
              <w:t xml:space="preserve">9、提供远程统一管理软件接口，设备频道分配由控制软件远程统一管理设置。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音频处理控制器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1.支持AI降噪技术，在使用过程中对环境自动感知，只对人声扩声，屏蔽脚步，敲击，风扇等各种噪声；</w:t>
            </w:r>
            <w:r/>
          </w:p>
          <w:p>
            <w:pPr>
              <w:spacing w:line="273" w:lineRule="exact"/>
              <w:rPr>
                <w:color w:val="auto"/>
                <w:highlight w:val="none"/>
              </w:rPr>
            </w:pPr>
            <w:r>
              <w:rPr>
                <w:color w:val="auto"/>
                <w:highlight w:val="none"/>
              </w:rPr>
              <w:t xml:space="preserve">2.支持声幕墙技术，采用该技术学生区域任何声音都不会扩出来，保证纯净的扩声效果；</w:t>
            </w:r>
            <w:r/>
          </w:p>
          <w:p>
            <w:pPr>
              <w:spacing w:line="273" w:lineRule="exact"/>
              <w:rPr>
                <w:color w:val="auto"/>
                <w:highlight w:val="none"/>
              </w:rPr>
            </w:pPr>
            <w:r>
              <w:rPr>
                <w:color w:val="auto"/>
                <w:highlight w:val="none"/>
              </w:rPr>
              <w:t xml:space="preserve">3.支持同时使用本地扩声和远程采集功能，不需要切换，在远程授课的同时，可进行本地扩声，提供教室音频一体化的解决方案；</w:t>
            </w:r>
            <w:r/>
          </w:p>
          <w:p>
            <w:pPr>
              <w:spacing w:line="273" w:lineRule="exact"/>
              <w:rPr>
                <w:color w:val="auto"/>
                <w:highlight w:val="none"/>
              </w:rPr>
            </w:pPr>
            <w:r>
              <w:rPr>
                <w:color w:val="auto"/>
                <w:highlight w:val="none"/>
              </w:rPr>
              <w:t xml:space="preserve">4.支持持通过网络或485接口对设备进行软控制；支持≥2路无线麦接入，在检测到无线麦接入时，优选无线麦扩声；支持≥2路远程音频信号接入，≥2路本地音频信号接入；支持≥2*150W功放模块，≥2路模拟线路音频输出</w:t>
            </w:r>
            <w:r/>
          </w:p>
          <w:p>
            <w:pPr>
              <w:spacing w:line="273" w:lineRule="exact"/>
              <w:rPr>
                <w:color w:val="auto"/>
                <w:highlight w:val="none"/>
              </w:rPr>
            </w:pPr>
            <w:r>
              <w:rPr>
                <w:color w:val="auto"/>
                <w:highlight w:val="none"/>
              </w:rPr>
              <w:t xml:space="preserve">5. 前面板具备≥9个音量调节旋钮，灵活调节每一路音量大小</w:t>
            </w:r>
            <w:r/>
          </w:p>
          <w:p>
            <w:pPr>
              <w:spacing w:line="273" w:lineRule="exact"/>
              <w:rPr>
                <w:color w:val="auto"/>
                <w:highlight w:val="none"/>
              </w:rPr>
            </w:pPr>
            <w:r>
              <w:rPr>
                <w:color w:val="auto"/>
                <w:highlight w:val="none"/>
              </w:rPr>
              <w:t xml:space="preserve">6.内置2*150W功放模块，可提供出色的音质表现，具有清晰、细腻、富有层次感的音效效果，让扩声更加真实、动感。</w:t>
            </w:r>
            <w:r/>
          </w:p>
          <w:p>
            <w:pPr>
              <w:spacing w:line="273" w:lineRule="exact"/>
              <w:rPr>
                <w:color w:val="auto"/>
                <w:highlight w:val="none"/>
              </w:rPr>
            </w:pPr>
            <w:r>
              <w:rPr>
                <w:color w:val="auto"/>
                <w:highlight w:val="none"/>
              </w:rPr>
              <w:t xml:space="preserve">7.支持自动反馈抑制（AFC）：传声增益提升幅度：≥18dB，反馈抑制可有效提升本地扩音的音量，并且能防止本地啸叫；</w:t>
            </w:r>
            <w:r/>
          </w:p>
          <w:p>
            <w:pPr>
              <w:spacing w:line="273" w:lineRule="exact"/>
              <w:rPr>
                <w:color w:val="auto"/>
                <w:highlight w:val="none"/>
              </w:rPr>
            </w:pPr>
            <w:r>
              <w:rPr>
                <w:color w:val="auto"/>
                <w:highlight w:val="none"/>
              </w:rPr>
              <w:t xml:space="preserve">8.支持自动回声消除（AEC）：可有效消除回声，避免泄露回声，即消除由扬声器播放出来的声音被麦克风拾取的声音，避免远端发言者听到自己的声音；此外AFC（即本地扩声）功能打开时，AEC和AFC功能不相互受影响，即远端有人讲话时，不影响本地的扩声，本地扩声也不会导致回声泄露；</w:t>
            </w:r>
            <w:r/>
          </w:p>
          <w:p>
            <w:pPr>
              <w:spacing w:line="273" w:lineRule="exact"/>
              <w:rPr>
                <w:color w:val="auto"/>
                <w:highlight w:val="none"/>
              </w:rPr>
            </w:pPr>
            <w:r>
              <w:rPr>
                <w:color w:val="auto"/>
                <w:highlight w:val="none"/>
              </w:rPr>
              <w:t xml:space="preserve">9.支持自动噪声抑制（ANS）：平稳噪声抑制幅度：≥30dB，可有效压制噪音，增强语音，以提高在噪音环境下的言语清晰度；</w:t>
            </w:r>
            <w:r/>
          </w:p>
          <w:p>
            <w:pPr>
              <w:spacing w:line="273" w:lineRule="exact"/>
              <w:rPr>
                <w:color w:val="auto"/>
                <w:highlight w:val="none"/>
              </w:rPr>
            </w:pPr>
            <w:r>
              <w:rPr>
                <w:color w:val="auto"/>
                <w:highlight w:val="none"/>
              </w:rPr>
              <w:t xml:space="preserve">10.支持自动增益控制（AGC）：远程互动教学时，采用自动增益控制音量提升幅度：≥15dB，在扩声时，在集体朗读等大音量场景自动抑制扩声音量；</w:t>
            </w:r>
            <w:r/>
          </w:p>
          <w:p>
            <w:pPr>
              <w:spacing w:line="273" w:lineRule="exact"/>
              <w:rPr>
                <w:color w:val="auto"/>
                <w:highlight w:val="none"/>
              </w:rPr>
            </w:pPr>
            <w:r>
              <w:rPr>
                <w:color w:val="auto"/>
                <w:highlight w:val="none"/>
              </w:rPr>
              <w:t xml:space="preserve">11.支持混响抑制（ARR）：在打开混响抑制时，可明显感知降低了混响，提高了语音清晰度。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6.5寸二分频全频音箱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1.额定功率不小于100W</w:t>
            </w:r>
            <w:r/>
          </w:p>
          <w:p>
            <w:pPr>
              <w:spacing w:line="273" w:lineRule="exact"/>
              <w:rPr>
                <w:color w:val="auto"/>
                <w:highlight w:val="none"/>
              </w:rPr>
            </w:pPr>
            <w:r>
              <w:rPr>
                <w:color w:val="auto"/>
                <w:highlight w:val="none"/>
              </w:rPr>
              <w:t xml:space="preserve">2.频率响应 120~20KHz (-3dB) 75~22KHz (-10dB)</w:t>
            </w:r>
            <w:r/>
          </w:p>
          <w:p>
            <w:pPr>
              <w:spacing w:line="273" w:lineRule="exact"/>
              <w:rPr>
                <w:color w:val="auto"/>
                <w:highlight w:val="none"/>
              </w:rPr>
            </w:pPr>
            <w:r>
              <w:rPr>
                <w:color w:val="auto"/>
                <w:highlight w:val="none"/>
              </w:rPr>
              <w:t xml:space="preserve">3.标准阻抗 8  Ohm</w:t>
            </w:r>
            <w:r/>
          </w:p>
          <w:p>
            <w:pPr>
              <w:spacing w:line="273" w:lineRule="exact"/>
              <w:rPr>
                <w:color w:val="auto"/>
                <w:highlight w:val="none"/>
              </w:rPr>
            </w:pPr>
            <w:r>
              <w:rPr>
                <w:color w:val="auto"/>
                <w:highlight w:val="none"/>
              </w:rPr>
              <w:t xml:space="preserve">4.灵敏度 90d 1W/1M</w:t>
            </w:r>
            <w:r/>
          </w:p>
          <w:p>
            <w:pPr>
              <w:spacing w:line="273" w:lineRule="exact"/>
              <w:rPr>
                <w:color w:val="auto"/>
                <w:highlight w:val="none"/>
              </w:rPr>
            </w:pPr>
            <w:r>
              <w:rPr>
                <w:color w:val="auto"/>
                <w:highlight w:val="none"/>
              </w:rPr>
              <w:t xml:space="preserve">5.计算最大声压级1米) 110dB持续/ 116dB峰值</w:t>
            </w:r>
            <w:r/>
          </w:p>
          <w:p>
            <w:pPr>
              <w:spacing w:line="273" w:lineRule="exact"/>
              <w:rPr>
                <w:color w:val="auto"/>
                <w:highlight w:val="none"/>
              </w:rPr>
            </w:pPr>
            <w:r>
              <w:rPr>
                <w:color w:val="auto"/>
                <w:highlight w:val="none"/>
              </w:rPr>
              <w:t xml:space="preserve">6.标称覆盖角(-6dB) 100°水平:60°重直</w:t>
            </w:r>
            <w:r/>
          </w:p>
          <w:p>
            <w:pPr>
              <w:spacing w:line="273" w:lineRule="exact"/>
              <w:rPr>
                <w:color w:val="auto"/>
                <w:highlight w:val="none"/>
              </w:rPr>
            </w:pPr>
            <w:r>
              <w:rPr>
                <w:color w:val="auto"/>
                <w:highlight w:val="none"/>
              </w:rPr>
              <w:t xml:space="preserve">7.喇叭单元不小于 1x6.5"低音单元＋ 1x1"音圈压缩高音单元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超心型指向吊麦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1.含吊装支架</w:t>
            </w:r>
            <w:r/>
          </w:p>
          <w:p>
            <w:pPr>
              <w:spacing w:line="273" w:lineRule="exact"/>
              <w:rPr>
                <w:color w:val="auto"/>
                <w:highlight w:val="none"/>
              </w:rPr>
            </w:pPr>
            <w:r>
              <w:rPr>
                <w:color w:val="auto"/>
                <w:highlight w:val="none"/>
              </w:rPr>
              <w:t xml:space="preserve">2.类型：预极化电容式</w:t>
            </w:r>
            <w:r/>
          </w:p>
          <w:p>
            <w:pPr>
              <w:spacing w:line="273" w:lineRule="exact"/>
              <w:rPr>
                <w:color w:val="auto"/>
                <w:highlight w:val="none"/>
              </w:rPr>
            </w:pPr>
            <w:r>
              <w:rPr>
                <w:color w:val="auto"/>
                <w:highlight w:val="none"/>
              </w:rPr>
              <w:t xml:space="preserve">3.指向性：超心形</w:t>
            </w:r>
            <w:r/>
          </w:p>
          <w:p>
            <w:pPr>
              <w:spacing w:line="273" w:lineRule="exact"/>
              <w:rPr>
                <w:color w:val="auto"/>
                <w:highlight w:val="none"/>
              </w:rPr>
            </w:pPr>
            <w:r>
              <w:rPr>
                <w:color w:val="auto"/>
                <w:highlight w:val="none"/>
              </w:rPr>
              <w:t xml:space="preserve">4.拾音扇面：≤100°</w:t>
            </w:r>
            <w:r/>
          </w:p>
          <w:p>
            <w:pPr>
              <w:spacing w:line="273" w:lineRule="exact"/>
              <w:rPr>
                <w:color w:val="auto"/>
                <w:highlight w:val="none"/>
              </w:rPr>
            </w:pPr>
            <w:r>
              <w:rPr>
                <w:color w:val="auto"/>
                <w:highlight w:val="none"/>
              </w:rPr>
              <w:t xml:space="preserve">5.频率响应：30-20,000HZ</w:t>
            </w:r>
            <w:r/>
          </w:p>
          <w:p>
            <w:pPr>
              <w:spacing w:line="273" w:lineRule="exact"/>
              <w:rPr>
                <w:color w:val="auto"/>
                <w:highlight w:val="none"/>
              </w:rPr>
            </w:pPr>
            <w:r>
              <w:rPr>
                <w:color w:val="auto"/>
                <w:highlight w:val="none"/>
              </w:rPr>
              <w:t xml:space="preserve">6.敏感度：-50dB±3dB（1Db=1V/ Pa at 1KHZ)</w:t>
            </w:r>
            <w:r/>
          </w:p>
          <w:p>
            <w:pPr>
              <w:spacing w:line="273" w:lineRule="exact"/>
              <w:rPr>
                <w:color w:val="auto"/>
                <w:highlight w:val="none"/>
              </w:rPr>
            </w:pPr>
            <w:r>
              <w:rPr>
                <w:color w:val="auto"/>
                <w:highlight w:val="none"/>
              </w:rPr>
              <w:t xml:space="preserve">7.阻抗：600Ω</w:t>
            </w:r>
            <w:r/>
          </w:p>
          <w:p>
            <w:pPr>
              <w:spacing w:line="273" w:lineRule="exact"/>
              <w:rPr>
                <w:color w:val="auto"/>
                <w:highlight w:val="none"/>
              </w:rPr>
            </w:pPr>
            <w:r>
              <w:rPr>
                <w:color w:val="auto"/>
                <w:highlight w:val="none"/>
              </w:rPr>
              <w:t xml:space="preserve">8.最大声压级：132Db SPL</w:t>
            </w:r>
            <w:r/>
          </w:p>
          <w:p>
            <w:pPr>
              <w:spacing w:line="273" w:lineRule="exact"/>
              <w:rPr>
                <w:color w:val="auto"/>
                <w:highlight w:val="none"/>
                <w:lang w:val="en-US"/>
              </w:rPr>
            </w:pPr>
            <w:r>
              <w:rPr>
                <w:color w:val="auto"/>
                <w:highlight w:val="none"/>
                <w:lang w:val="en-US"/>
              </w:rPr>
              <w:t xml:space="preserve">9.</w:t>
            </w:r>
            <w:r>
              <w:rPr>
                <w:color w:val="auto"/>
                <w:highlight w:val="none"/>
              </w:rPr>
              <w:t xml:space="preserve">信噪比</w:t>
            </w:r>
            <w:r>
              <w:rPr>
                <w:color w:val="auto"/>
                <w:highlight w:val="none"/>
                <w:lang w:val="en-US"/>
              </w:rPr>
              <w:t xml:space="preserve">：＞70Db,1Khz at 1Pa</w:t>
            </w:r>
            <w:r/>
          </w:p>
          <w:p>
            <w:pPr>
              <w:spacing w:line="273" w:lineRule="exact"/>
              <w:rPr>
                <w:color w:val="auto"/>
                <w:highlight w:val="none"/>
              </w:rPr>
            </w:pPr>
            <w:r>
              <w:rPr>
                <w:color w:val="auto"/>
                <w:highlight w:val="none"/>
              </w:rPr>
              <w:t xml:space="preserve">10.动态范围：108Db,1kHZ at Max SPL</w:t>
            </w:r>
            <w:r/>
          </w:p>
          <w:p>
            <w:pPr>
              <w:spacing w:line="273" w:lineRule="exact"/>
              <w:rPr>
                <w:color w:val="auto"/>
                <w:highlight w:val="none"/>
              </w:rPr>
            </w:pPr>
            <w:r>
              <w:rPr>
                <w:color w:val="auto"/>
                <w:highlight w:val="none"/>
              </w:rPr>
              <w:t xml:space="preserve">11.幻象电源;48VDC,2mA</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智能桌面话筒套装（无线麦）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1.具备2.4G、UHF、IR红外三种无线传输模式，无缝融合使用；</w:t>
            </w:r>
            <w:r/>
          </w:p>
          <w:p>
            <w:pPr>
              <w:spacing w:line="273" w:lineRule="exact"/>
              <w:rPr>
                <w:color w:val="auto"/>
                <w:highlight w:val="none"/>
              </w:rPr>
            </w:pPr>
            <w:r>
              <w:rPr>
                <w:color w:val="auto"/>
                <w:highlight w:val="none"/>
              </w:rPr>
              <w:t xml:space="preserve">2.具备处理受干扰、易串频、音质差、和维护管理困难的有效技术； </w:t>
            </w:r>
            <w:r/>
          </w:p>
          <w:p>
            <w:pPr>
              <w:spacing w:line="273" w:lineRule="exact"/>
              <w:rPr>
                <w:color w:val="auto"/>
                <w:highlight w:val="none"/>
              </w:rPr>
            </w:pPr>
            <w:r>
              <w:rPr>
                <w:color w:val="auto"/>
                <w:highlight w:val="none"/>
              </w:rPr>
              <w:t xml:space="preserve">3.具备全数字化传输、DSP信号处理、数字调试和智能管理的性能；</w:t>
            </w:r>
            <w:r/>
          </w:p>
          <w:p>
            <w:pPr>
              <w:spacing w:line="273" w:lineRule="exact"/>
              <w:rPr>
                <w:color w:val="auto"/>
                <w:highlight w:val="none"/>
              </w:rPr>
            </w:pPr>
            <w:r>
              <w:rPr>
                <w:color w:val="auto"/>
                <w:highlight w:val="none"/>
              </w:rPr>
              <w:t xml:space="preserve">4.具备2.4G、IR红外两种自动对频方式，无缝转换，适应任何恶劣环境使用；具备开机自动检测工作环境，自动选择最优工作信道；</w:t>
            </w:r>
            <w:r/>
          </w:p>
          <w:p>
            <w:pPr>
              <w:spacing w:line="273" w:lineRule="exact"/>
              <w:rPr>
                <w:color w:val="auto"/>
                <w:highlight w:val="none"/>
              </w:rPr>
            </w:pPr>
            <w:r>
              <w:rPr>
                <w:color w:val="auto"/>
                <w:highlight w:val="none"/>
              </w:rPr>
              <w:t xml:space="preserve">5.具备使用过程中语音信道受到干扰时，自动进行信道选择切换的功能，不需人工干预；</w:t>
            </w:r>
            <w:r/>
          </w:p>
          <w:p>
            <w:pPr>
              <w:spacing w:line="273" w:lineRule="exact"/>
              <w:rPr>
                <w:color w:val="auto"/>
                <w:highlight w:val="none"/>
              </w:rPr>
            </w:pPr>
            <w:r>
              <w:rPr>
                <w:color w:val="auto"/>
                <w:highlight w:val="none"/>
              </w:rPr>
              <w:t xml:space="preserve">6.具备专业级话筒音质，48K,16bit，30~20KHz宽频响，无法感知延时；</w:t>
            </w:r>
            <w:r/>
          </w:p>
          <w:p>
            <w:pPr>
              <w:spacing w:line="273" w:lineRule="exact"/>
              <w:rPr>
                <w:color w:val="auto"/>
                <w:highlight w:val="none"/>
              </w:rPr>
            </w:pPr>
            <w:r>
              <w:rPr>
                <w:color w:val="auto"/>
                <w:highlight w:val="none"/>
              </w:rPr>
              <w:t xml:space="preserve">7.要求支持无线充电，放下充电，拿起讲话；</w:t>
            </w:r>
            <w:r/>
          </w:p>
          <w:p>
            <w:pPr>
              <w:spacing w:line="273" w:lineRule="exact"/>
              <w:rPr>
                <w:color w:val="auto"/>
                <w:highlight w:val="none"/>
              </w:rPr>
            </w:pPr>
            <w:r>
              <w:rPr>
                <w:color w:val="auto"/>
                <w:highlight w:val="none"/>
              </w:rPr>
              <w:t xml:space="preserve">8.要求集话筒、激光教鞭和无线PPT翻页三种使用功能一身；</w:t>
            </w:r>
            <w:r/>
          </w:p>
          <w:p>
            <w:pPr>
              <w:spacing w:line="273" w:lineRule="exact"/>
              <w:rPr>
                <w:color w:val="auto"/>
                <w:highlight w:val="none"/>
              </w:rPr>
            </w:pPr>
            <w:r>
              <w:rPr>
                <w:color w:val="auto"/>
                <w:highlight w:val="none"/>
              </w:rPr>
              <w:t xml:space="preserve">▲ 9.要求内置锂电1200mA或以上；（为保证锂电池的容量和安全性，提供CMA认证的检测机构出具的检测报告复印件并加盖公章）</w:t>
            </w:r>
            <w:r/>
          </w:p>
          <w:p>
            <w:pPr>
              <w:spacing w:line="273" w:lineRule="exact"/>
              <w:rPr>
                <w:color w:val="auto"/>
                <w:highlight w:val="none"/>
              </w:rPr>
            </w:pPr>
            <w:r>
              <w:rPr>
                <w:color w:val="auto"/>
                <w:highlight w:val="none"/>
              </w:rPr>
              <w:t xml:space="preserve">10.具备支持接入学校管理平台的接口，能够联网智能管理所有话筒；支持外接头戴麦；具备OLED显示屏，清晰显示系统状态及参数；具备自动静音功能，自动语音快速恢复，嘈杂环境，正常使用；</w:t>
            </w:r>
            <w:r/>
          </w:p>
          <w:p>
            <w:pPr>
              <w:spacing w:line="273" w:lineRule="exact"/>
              <w:rPr>
                <w:color w:val="auto"/>
                <w:highlight w:val="none"/>
              </w:rPr>
            </w:pPr>
            <w:r>
              <w:rPr>
                <w:color w:val="auto"/>
                <w:highlight w:val="none"/>
              </w:rPr>
              <w:t xml:space="preserve">11.具备内置DSP数字防啸叫功能；具备内置7段麦克风均衡器；</w:t>
            </w:r>
            <w:r/>
          </w:p>
          <w:p>
            <w:pPr>
              <w:spacing w:line="273" w:lineRule="exact"/>
              <w:rPr>
                <w:color w:val="auto"/>
                <w:highlight w:val="none"/>
              </w:rPr>
            </w:pPr>
            <w:r>
              <w:rPr>
                <w:color w:val="auto"/>
                <w:highlight w:val="none"/>
              </w:rPr>
              <w:t xml:space="preserve">12.要求拾音器结构及功能特殊设计，防喷、防风噪，声音通透自然，没有喷麦的爆破音；</w:t>
            </w:r>
            <w:r/>
          </w:p>
          <w:p>
            <w:pPr>
              <w:spacing w:line="273" w:lineRule="exact"/>
              <w:rPr>
                <w:color w:val="auto"/>
                <w:highlight w:val="none"/>
              </w:rPr>
            </w:pPr>
            <w:r>
              <w:rPr>
                <w:color w:val="auto"/>
                <w:highlight w:val="none"/>
              </w:rPr>
              <w:t xml:space="preserve">13.锁扣式智能保管、物联网智能接入控制。话筒解锁即可实现对频、通信等预处理工作，无需额外对频动作，按任意键激活即可使用</w:t>
            </w:r>
            <w:r/>
          </w:p>
          <w:p>
            <w:pPr>
              <w:spacing w:line="273" w:lineRule="exact"/>
              <w:rPr>
                <w:color w:val="auto"/>
                <w:highlight w:val="none"/>
              </w:rPr>
            </w:pPr>
            <w:r>
              <w:rPr>
                <w:color w:val="auto"/>
                <w:highlight w:val="none"/>
              </w:rPr>
              <w:t xml:space="preserve">14.需具有归还语音提示功能，下课时老师未将无线麦克风插入底座可向功放设备输出归还提示语音；15.分离式接口盒设计，桌面部分没有任何外露接插头，防止误插拔和接插头意外脱落极简接口设计，前端处理器只有一个隐藏式RJ45接口，接口不外露，只有一根网线连接，可暗藏走线。有效防止接口松动、插头被破坏被拔出：</w:t>
            </w:r>
            <w:r/>
          </w:p>
          <w:p>
            <w:pPr>
              <w:spacing w:line="273" w:lineRule="exact"/>
              <w:rPr>
                <w:color w:val="auto"/>
                <w:highlight w:val="none"/>
              </w:rPr>
            </w:pPr>
            <w:r>
              <w:rPr>
                <w:color w:val="auto"/>
                <w:highlight w:val="none"/>
              </w:rPr>
              <w:t xml:space="preserve">16.接收只需要一根网线连接话筒底座，50米内稳定传输，不受机柜安装位置限制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云桌面控制器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软硬件一体化设备，配置性能不低于CPU≥2颗，单CPU物理核心数≥48个，主频≥2.8GHz；提供内存插槽≥32个，配置内存容量≥384G；配置固态硬盘≥1块，SSD容量≥480G作为系统盘；配置固态硬盘≥1块，SSD容量≥480G作为缓存盘；以及机械硬盘≥3块、单块容量≥4T作为数据盘。网口：千兆网口≥2个，万兆光口≥2个；</w:t>
            </w:r>
            <w:r/>
          </w:p>
          <w:p>
            <w:pPr>
              <w:spacing w:line="273" w:lineRule="exact"/>
              <w:rPr>
                <w:color w:val="auto"/>
                <w:highlight w:val="none"/>
              </w:rPr>
            </w:pPr>
            <w:r>
              <w:rPr>
                <w:color w:val="auto"/>
                <w:highlight w:val="none"/>
              </w:rPr>
              <w:t xml:space="preserve">2、为防止因单电源故障产生的服务器宕机现象发生，提供双电源模块；</w:t>
            </w:r>
            <w:r/>
          </w:p>
          <w:p>
            <w:pPr>
              <w:spacing w:line="273" w:lineRule="exact"/>
              <w:rPr>
                <w:color w:val="auto"/>
                <w:highlight w:val="none"/>
              </w:rPr>
            </w:pPr>
            <w:r>
              <w:rPr>
                <w:color w:val="auto"/>
                <w:highlight w:val="none"/>
              </w:rPr>
              <w:t xml:space="preserve">3、所投设备平均故障间隔时间（MTBF）≥200000小时，</w:t>
            </w:r>
            <w:r/>
          </w:p>
          <w:p>
            <w:pPr>
              <w:spacing w:line="273" w:lineRule="exact"/>
              <w:rPr>
                <w:color w:val="auto"/>
                <w:highlight w:val="none"/>
              </w:rPr>
            </w:pPr>
            <w:r>
              <w:rPr>
                <w:color w:val="auto"/>
                <w:highlight w:val="none"/>
              </w:rPr>
              <w:t xml:space="preserve">4、所投产品应符合GB/T 9254.1-2021《信息技术设备、多媒体设备和接收机 电磁兼容 第1部分：发射要求》的辐射发射限值要求。提供具备CNAS或CMA资质的第三方检测机构出具的电磁兼容测试报告复印件并加盖公章。</w:t>
            </w:r>
            <w:r/>
          </w:p>
          <w:p>
            <w:pPr>
              <w:spacing w:line="273" w:lineRule="exact"/>
              <w:rPr>
                <w:color w:val="auto"/>
                <w:highlight w:val="none"/>
              </w:rPr>
            </w:pPr>
            <w:r>
              <w:rPr>
                <w:color w:val="auto"/>
                <w:highlight w:val="none"/>
              </w:rPr>
              <w:t xml:space="preserve">5、需要对于学校现有平台升级版本，能够支持如下要求：</w:t>
            </w:r>
            <w:r/>
          </w:p>
          <w:p>
            <w:pPr>
              <w:spacing w:line="273" w:lineRule="exact"/>
              <w:rPr>
                <w:color w:val="auto"/>
                <w:highlight w:val="none"/>
              </w:rPr>
            </w:pPr>
            <w:r>
              <w:rPr>
                <w:color w:val="auto"/>
                <w:highlight w:val="none"/>
              </w:rPr>
              <w:t xml:space="preserve">升级采用超融合架构，在同一管理平台内至少包含计算资源、存储资源、网络资源等功能管理模块；</w:t>
            </w:r>
            <w:r/>
          </w:p>
          <w:p>
            <w:pPr>
              <w:spacing w:line="273" w:lineRule="exact"/>
              <w:rPr>
                <w:color w:val="auto"/>
                <w:highlight w:val="none"/>
              </w:rPr>
            </w:pPr>
            <w:r>
              <w:rPr>
                <w:color w:val="auto"/>
                <w:highlight w:val="none"/>
              </w:rPr>
              <w:t xml:space="preserve">6、为保证硬盘故障后，数据可以快速重构，要求所投产品在分布式存储的方案下，1T数据重构时间不超过15分钟。</w:t>
            </w:r>
            <w:r/>
          </w:p>
          <w:p>
            <w:pPr>
              <w:spacing w:line="273" w:lineRule="exact"/>
              <w:rPr>
                <w:color w:val="auto"/>
                <w:highlight w:val="none"/>
              </w:rPr>
            </w:pPr>
            <w:r>
              <w:rPr>
                <w:color w:val="auto"/>
                <w:highlight w:val="none"/>
              </w:rPr>
              <w:t xml:space="preserve">7、含3个VDI云桌面虚拟软件授权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TCI云桌面虚拟软件授权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1、采用BS软件架构，中文图形化管理页面</w:t>
            </w:r>
            <w:r/>
          </w:p>
          <w:p>
            <w:pPr>
              <w:spacing w:line="273" w:lineRule="exact"/>
              <w:rPr>
                <w:color w:val="auto"/>
                <w:highlight w:val="none"/>
              </w:rPr>
            </w:pPr>
            <w:r>
              <w:rPr>
                <w:color w:val="auto"/>
                <w:highlight w:val="none"/>
              </w:rPr>
              <w:t xml:space="preserve">为了方便管理和使用，要求管理平台至少要包括镜像管理、教室管理、用户管理等关键功能模块</w:t>
            </w:r>
            <w:r/>
          </w:p>
          <w:p>
            <w:pPr>
              <w:spacing w:line="273" w:lineRule="exact"/>
              <w:rPr>
                <w:color w:val="auto"/>
                <w:highlight w:val="none"/>
              </w:rPr>
            </w:pPr>
            <w:r>
              <w:rPr>
                <w:color w:val="auto"/>
                <w:highlight w:val="none"/>
              </w:rPr>
              <w:t xml:space="preserve">2、为了方便因需求变更导致方案变更，要求一台终端可灵活支持VDI、IDV、TCI三类桌面的使用</w:t>
            </w:r>
            <w:r/>
          </w:p>
          <w:p>
            <w:pPr>
              <w:spacing w:line="273" w:lineRule="exact"/>
              <w:rPr>
                <w:color w:val="auto"/>
                <w:highlight w:val="none"/>
              </w:rPr>
            </w:pPr>
            <w:r>
              <w:rPr>
                <w:color w:val="auto"/>
                <w:highlight w:val="none"/>
              </w:rPr>
              <w:t xml:space="preserve">3、支持镜像模版链接分享功能，管理员可将编辑镜像模板的链接分享给任课老师，在浏览器中直接输入链接地址即可对镜像模板进行编辑，支持分享链接的失效期、分享验证码设置。</w:t>
            </w:r>
            <w:r/>
          </w:p>
          <w:p>
            <w:pPr>
              <w:spacing w:line="273" w:lineRule="exact"/>
              <w:rPr>
                <w:color w:val="auto"/>
                <w:highlight w:val="none"/>
              </w:rPr>
            </w:pPr>
            <w:r>
              <w:rPr>
                <w:color w:val="auto"/>
                <w:highlight w:val="none"/>
              </w:rPr>
              <w:t xml:space="preserve">4、为满足基本教学的使用需求，要求镜像模版可以使用多种类型的操作系统，包括且不限于：win 10、win11、win server 2016、UOS、KOS、Ubuntu等操作系统版本</w:t>
            </w:r>
            <w:r/>
          </w:p>
          <w:p>
            <w:pPr>
              <w:spacing w:line="273" w:lineRule="exact"/>
              <w:rPr>
                <w:color w:val="auto"/>
                <w:highlight w:val="none"/>
              </w:rPr>
            </w:pPr>
            <w:r>
              <w:rPr>
                <w:color w:val="auto"/>
                <w:highlight w:val="none"/>
              </w:rPr>
              <w:t xml:space="preserve">5、提供虚拟教室功能，能够按照教室规模创建不同的虚拟教室，每个虚拟教室独立管理和配置，在云终端控制器管理页面能够实现对独立教室的学生终端、教师云终端分别进行配置和管理</w:t>
            </w:r>
            <w:r/>
          </w:p>
          <w:p>
            <w:pPr>
              <w:spacing w:line="273" w:lineRule="exact"/>
              <w:rPr>
                <w:color w:val="auto"/>
                <w:highlight w:val="none"/>
              </w:rPr>
            </w:pPr>
            <w:r>
              <w:rPr>
                <w:color w:val="auto"/>
                <w:highlight w:val="none"/>
              </w:rPr>
              <w:t xml:space="preserve">▲ 6、提供教学镜像隐藏功能，在</w:t>
            </w:r>
            <w:r>
              <w:rPr>
                <w:color w:val="auto"/>
                <w:highlight w:val="none"/>
              </w:rPr>
              <w:t xml:space="preserve">云桌面控制器后台可实现针对指定教室的部分教学镜像对学生可见，部分镜像（如考试镜像）对学生不可见，当需要使用的时候，只需一键设置学生即可看到镜像，保证重要镜像的安全性。为方便正版软件的部署和使用，要求所投产品支持个性化配置保存功能，在还原桌面的情况下，首次完成软件的逐台注册激活后，可以将激活信息保存至个人数据盘中。之后即使更新镜像模版也不会破坏激活信息，无需重新激活。要求提供实际操作视频证明（至少完成3dmax2017等软件的激活）（提供实际界面截图以及具有 CMA认证的第三方权威机构检验报告证明加盖公章。）</w:t>
            </w:r>
            <w:r/>
          </w:p>
          <w:p>
            <w:pPr>
              <w:spacing w:line="273" w:lineRule="exact"/>
              <w:rPr>
                <w:color w:val="auto"/>
                <w:highlight w:val="none"/>
              </w:rPr>
            </w:pPr>
            <w:r>
              <w:rPr>
                <w:color w:val="auto"/>
                <w:highlight w:val="none"/>
              </w:rPr>
              <w:t xml:space="preserve">二、支持用户进行的创建、修改、查询、删除的操作</w:t>
            </w:r>
            <w:r/>
          </w:p>
          <w:p>
            <w:pPr>
              <w:spacing w:line="273" w:lineRule="exact"/>
              <w:rPr>
                <w:color w:val="auto"/>
                <w:highlight w:val="none"/>
              </w:rPr>
            </w:pPr>
            <w:r>
              <w:rPr>
                <w:color w:val="auto"/>
                <w:highlight w:val="none"/>
              </w:rPr>
              <w:t xml:space="preserve">1、支持自定义web登录页面和web管理页面的logo，用户可以根据自己的需求使用新的logo，</w:t>
            </w:r>
            <w:r/>
          </w:p>
          <w:p>
            <w:pPr>
              <w:spacing w:line="273" w:lineRule="exact"/>
              <w:rPr>
                <w:color w:val="auto"/>
                <w:highlight w:val="none"/>
              </w:rPr>
            </w:pPr>
            <w:r>
              <w:rPr>
                <w:color w:val="auto"/>
                <w:highlight w:val="none"/>
              </w:rPr>
              <w:t xml:space="preserve">2、为降低单个镜像大小获取更好的下发部署体验，支持对镜像进行瘦身操作来减少镜像占用空间，瘦身操作包含标准瘦身和深度瘦身。</w:t>
            </w:r>
            <w:r/>
          </w:p>
          <w:p>
            <w:pPr>
              <w:spacing w:line="273" w:lineRule="exact"/>
              <w:rPr>
                <w:color w:val="auto"/>
                <w:highlight w:val="none"/>
              </w:rPr>
            </w:pPr>
            <w:r>
              <w:rPr>
                <w:color w:val="auto"/>
                <w:highlight w:val="none"/>
              </w:rPr>
              <w:t xml:space="preserve">3、为了管理的便捷性，支持管理员通过服务器集群的web管理平台唤醒远程不同网段的终端，中间无需使用跳板机转发。</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60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无线键鼠套装</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1.键盘接口：无线</w:t>
            </w:r>
            <w:r/>
          </w:p>
          <w:p>
            <w:pPr>
              <w:spacing w:line="273" w:lineRule="exact"/>
              <w:rPr>
                <w:color w:val="auto"/>
                <w:highlight w:val="none"/>
              </w:rPr>
            </w:pPr>
            <w:r>
              <w:rPr>
                <w:color w:val="auto"/>
                <w:highlight w:val="none"/>
              </w:rPr>
              <w:t xml:space="preserve">2.键盘按键数：104键</w:t>
            </w:r>
            <w:r/>
          </w:p>
          <w:p>
            <w:pPr>
              <w:spacing w:line="273" w:lineRule="exact"/>
              <w:rPr>
                <w:color w:val="auto"/>
                <w:highlight w:val="none"/>
              </w:rPr>
            </w:pPr>
            <w:r>
              <w:rPr>
                <w:color w:val="auto"/>
                <w:highlight w:val="none"/>
              </w:rPr>
              <w:t xml:space="preserve">3.鼠标接口：无线</w:t>
            </w:r>
            <w:r/>
          </w:p>
          <w:p>
            <w:pPr>
              <w:spacing w:line="273" w:lineRule="exact"/>
              <w:rPr>
                <w:color w:val="auto"/>
                <w:highlight w:val="none"/>
              </w:rPr>
            </w:pPr>
            <w:r>
              <w:rPr>
                <w:color w:val="auto"/>
                <w:highlight w:val="none"/>
              </w:rPr>
              <w:t xml:space="preserve">4.滚轮方向：双向滚轮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终端设备</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1、CPU: ≥英特尔 @ 酷睿™ i5，13代</w:t>
            </w:r>
            <w:r/>
          </w:p>
          <w:p>
            <w:pPr>
              <w:spacing w:line="273" w:lineRule="exact"/>
              <w:rPr>
                <w:color w:val="auto"/>
                <w:highlight w:val="none"/>
              </w:rPr>
            </w:pPr>
            <w:r>
              <w:rPr>
                <w:color w:val="auto"/>
                <w:highlight w:val="none"/>
              </w:rPr>
              <w:t xml:space="preserve">2、架构:Raptor Lake，6性能核(P-Core)+4能效核(E-Core)，共 10 核 16 线程频率:基础频率 2.4GHz，最大容频 4.9GHZ，全核睿频 4.7GHZ</w:t>
            </w:r>
            <w:r/>
          </w:p>
          <w:p>
            <w:pPr>
              <w:spacing w:line="273" w:lineRule="exact"/>
              <w:rPr>
                <w:color w:val="auto"/>
                <w:highlight w:val="none"/>
              </w:rPr>
            </w:pPr>
            <w:r>
              <w:rPr>
                <w:color w:val="auto"/>
                <w:highlight w:val="none"/>
              </w:rPr>
              <w:t xml:space="preserve">缓存:24MB 三级缓存</w:t>
            </w:r>
            <w:r/>
          </w:p>
          <w:p>
            <w:pPr>
              <w:spacing w:line="273" w:lineRule="exact"/>
              <w:rPr>
                <w:color w:val="auto"/>
                <w:highlight w:val="none"/>
              </w:rPr>
            </w:pPr>
            <w:r>
              <w:rPr>
                <w:color w:val="auto"/>
                <w:highlight w:val="none"/>
              </w:rPr>
              <w:t xml:space="preserve">功耗:45W(TDP)，短时睿频功耗115W</w:t>
            </w:r>
            <w:r/>
          </w:p>
          <w:p>
            <w:pPr>
              <w:spacing w:line="273" w:lineRule="exact"/>
              <w:rPr>
                <w:color w:val="auto"/>
                <w:highlight w:val="none"/>
              </w:rPr>
            </w:pPr>
            <w:r>
              <w:rPr>
                <w:color w:val="auto"/>
                <w:highlight w:val="none"/>
              </w:rPr>
              <w:t xml:space="preserve">3、内存性能核(P-Core)+4能效核(E-Core): ≥16GB DDR4-3200(2 个插槽，最大支持 32GB)</w:t>
            </w:r>
            <w:r/>
          </w:p>
          <w:p>
            <w:pPr>
              <w:spacing w:line="273" w:lineRule="exact"/>
              <w:rPr>
                <w:color w:val="auto"/>
                <w:highlight w:val="none"/>
              </w:rPr>
            </w:pPr>
            <w:r>
              <w:rPr>
                <w:color w:val="auto"/>
                <w:highlight w:val="none"/>
              </w:rPr>
              <w:t xml:space="preserve">4、存储: ≥512GB M.2 NVMe PCle 3.0 ssD(读取速度约 3200MB/s)扩展性:支持额外添加 2.5 英寸 SATA 硬盘</w:t>
            </w:r>
            <w:r/>
          </w:p>
          <w:p>
            <w:pPr>
              <w:spacing w:line="273" w:lineRule="exact"/>
              <w:rPr>
                <w:color w:val="auto"/>
                <w:highlight w:val="none"/>
              </w:rPr>
            </w:pPr>
            <w:r>
              <w:rPr>
                <w:color w:val="auto"/>
                <w:highlight w:val="none"/>
              </w:rPr>
              <w:t xml:space="preserve">5、显卡:集成显卡，共享系统内存视频输出:1个 HDMI 2.0 接口，支持 4K@60Hz 单屏输出多屏支持:需通过 USB-C扩展坞实现(主机无原生 USB-C 接口)</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控制主机(功率）</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1.具有≥8个主程序，≥1个特殊备用程序，一键调用当天与明天程序运行。并可预设晴天雨天运行模式；</w:t>
            </w:r>
            <w:r/>
          </w:p>
          <w:p>
            <w:pPr>
              <w:spacing w:line="273" w:lineRule="exact"/>
              <w:rPr>
                <w:color w:val="auto"/>
                <w:highlight w:val="none"/>
              </w:rPr>
            </w:pPr>
            <w:r>
              <w:rPr>
                <w:color w:val="auto"/>
                <w:highlight w:val="none"/>
              </w:rPr>
              <w:t xml:space="preserve">2.可对内置MP3音源进行编程定时播放，采用SD卡存储MP3音乐，设有快捷键，一键调用MP3曲目；</w:t>
            </w:r>
            <w:r/>
          </w:p>
          <w:p>
            <w:pPr>
              <w:spacing w:line="273" w:lineRule="exact"/>
              <w:rPr>
                <w:color w:val="auto"/>
                <w:highlight w:val="none"/>
              </w:rPr>
            </w:pPr>
            <w:r>
              <w:rPr>
                <w:color w:val="auto"/>
                <w:highlight w:val="none"/>
              </w:rPr>
              <w:t xml:space="preserve">3.主机自带≥5进≥10出功率分区，实现编程自动或手动分区广播，打开分区通道；</w:t>
            </w:r>
            <w:r/>
          </w:p>
          <w:p>
            <w:pPr>
              <w:spacing w:line="273" w:lineRule="exact"/>
              <w:rPr>
                <w:color w:val="auto"/>
                <w:highlight w:val="none"/>
              </w:rPr>
            </w:pPr>
            <w:r>
              <w:rPr>
                <w:color w:val="auto"/>
                <w:highlight w:val="none"/>
              </w:rPr>
              <w:t xml:space="preserve">4.设网络总线，可控制≥16台分区器，最大可达≥160个广播分区，实现编程自动或手动分区广播；</w:t>
            </w:r>
            <w:r/>
          </w:p>
          <w:p>
            <w:pPr>
              <w:spacing w:line="273" w:lineRule="exact"/>
              <w:rPr>
                <w:color w:val="auto"/>
                <w:highlight w:val="none"/>
              </w:rPr>
            </w:pPr>
            <w:r>
              <w:rPr>
                <w:color w:val="auto"/>
                <w:highlight w:val="none"/>
              </w:rPr>
              <w:t xml:space="preserve">5.24小时精确到秒全天候按星期制运行程序，定时播放可达≥99曲；</w:t>
            </w:r>
            <w:r/>
          </w:p>
          <w:p>
            <w:pPr>
              <w:spacing w:line="273" w:lineRule="exact"/>
              <w:rPr>
                <w:color w:val="auto"/>
                <w:highlight w:val="none"/>
              </w:rPr>
            </w:pPr>
            <w:r>
              <w:rPr>
                <w:color w:val="auto"/>
                <w:highlight w:val="none"/>
              </w:rPr>
              <w:t xml:space="preserve">6.内置输出音源监听功能，并可调监听音量；</w:t>
            </w:r>
            <w:r/>
          </w:p>
          <w:p>
            <w:pPr>
              <w:spacing w:line="273" w:lineRule="exact"/>
              <w:rPr>
                <w:color w:val="auto"/>
                <w:highlight w:val="none"/>
              </w:rPr>
            </w:pPr>
            <w:r>
              <w:rPr>
                <w:color w:val="auto"/>
                <w:highlight w:val="none"/>
              </w:rPr>
              <w:t xml:space="preserve">7.设有≥4路可编程定时控制电源及≥2路辅助电源插座；</w:t>
            </w:r>
            <w:r/>
          </w:p>
          <w:p>
            <w:pPr>
              <w:spacing w:line="273" w:lineRule="exact"/>
              <w:rPr>
                <w:color w:val="auto"/>
                <w:highlight w:val="none"/>
              </w:rPr>
            </w:pPr>
            <w:r>
              <w:rPr>
                <w:color w:val="auto"/>
                <w:highlight w:val="none"/>
              </w:rPr>
              <w:t xml:space="preserve">8.消防信号触发，主机所接电源自动上电，全部分区自动打开，报警复位，转入正常广播；</w:t>
            </w:r>
            <w:r/>
          </w:p>
          <w:p>
            <w:pPr>
              <w:spacing w:line="273" w:lineRule="exact"/>
              <w:rPr>
                <w:color w:val="auto"/>
                <w:highlight w:val="none"/>
              </w:rPr>
            </w:pPr>
            <w:r>
              <w:rPr>
                <w:color w:val="auto"/>
                <w:highlight w:val="none"/>
              </w:rPr>
              <w:t xml:space="preserve">9.支持RS-232电脑接口，所有功能由电脑直接控制；</w:t>
            </w:r>
            <w:r/>
          </w:p>
          <w:p>
            <w:pPr>
              <w:spacing w:line="273" w:lineRule="exact"/>
              <w:rPr>
                <w:color w:val="auto"/>
                <w:highlight w:val="none"/>
              </w:rPr>
            </w:pPr>
            <w:r>
              <w:rPr>
                <w:color w:val="auto"/>
                <w:highlight w:val="none"/>
              </w:rPr>
              <w:t xml:space="preserve">10.远程遥控功能，通过电脑对遥控按键进行功能配置，可将遥控器任意键配置成电源管理、MP3 播放及分区控制；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主备切换器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1.具有≥8个独立通道，每个通道均支持主、备功放自动检测与自动切换。</w:t>
            </w:r>
            <w:r/>
          </w:p>
          <w:p>
            <w:pPr>
              <w:spacing w:line="273" w:lineRule="exact"/>
              <w:rPr>
                <w:color w:val="auto"/>
                <w:highlight w:val="none"/>
              </w:rPr>
            </w:pPr>
            <w:r>
              <w:rPr>
                <w:color w:val="auto"/>
                <w:highlight w:val="none"/>
              </w:rPr>
              <w:t xml:space="preserve">2.工作模式≥8主≥1备。</w:t>
            </w:r>
            <w:r/>
          </w:p>
          <w:p>
            <w:pPr>
              <w:spacing w:line="273" w:lineRule="exact"/>
              <w:rPr>
                <w:color w:val="auto"/>
                <w:highlight w:val="none"/>
              </w:rPr>
            </w:pPr>
            <w:r>
              <w:rPr>
                <w:color w:val="auto"/>
                <w:highlight w:val="none"/>
              </w:rPr>
              <w:t xml:space="preserve">3.主、备功放工作状态可通过指示灯。</w:t>
            </w:r>
            <w:r/>
          </w:p>
          <w:p>
            <w:pPr>
              <w:spacing w:line="273" w:lineRule="exact"/>
              <w:rPr>
                <w:color w:val="auto"/>
                <w:highlight w:val="none"/>
              </w:rPr>
            </w:pPr>
            <w:r>
              <w:rPr>
                <w:color w:val="auto"/>
                <w:highlight w:val="none"/>
              </w:rPr>
              <w:t xml:space="preserve">4.具有线路负载系数检测功能，能够检测线路总负载系数变化并提示故障。</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纯后级功放</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1.采用D类数字功放技术，功率放大电路设计</w:t>
            </w:r>
            <w:r/>
          </w:p>
          <w:p>
            <w:pPr>
              <w:spacing w:line="273" w:lineRule="exact"/>
              <w:rPr>
                <w:color w:val="auto"/>
                <w:highlight w:val="none"/>
              </w:rPr>
            </w:pPr>
            <w:r>
              <w:rPr>
                <w:color w:val="auto"/>
                <w:highlight w:val="none"/>
              </w:rPr>
              <w:t xml:space="preserve">2.额定输出功率：≥2000W</w:t>
            </w:r>
            <w:r/>
          </w:p>
          <w:p>
            <w:pPr>
              <w:spacing w:line="273" w:lineRule="exact"/>
              <w:rPr>
                <w:color w:val="auto"/>
                <w:highlight w:val="none"/>
              </w:rPr>
            </w:pPr>
            <w:r>
              <w:rPr>
                <w:color w:val="auto"/>
                <w:highlight w:val="none"/>
              </w:rPr>
              <w:t xml:space="preserve">3.具有管道式散热结构，内置自动温度控制风扇冷却系统。</w:t>
            </w:r>
            <w:r/>
          </w:p>
          <w:p>
            <w:pPr>
              <w:spacing w:line="273" w:lineRule="exact"/>
              <w:rPr>
                <w:color w:val="auto"/>
                <w:highlight w:val="none"/>
              </w:rPr>
            </w:pPr>
            <w:r>
              <w:rPr>
                <w:color w:val="auto"/>
                <w:highlight w:val="none"/>
              </w:rPr>
              <w:t xml:space="preserve">4.具有≥1通道LINE不平衡TRS/XLR高品质多功能输入接口，≥1通道LINE平衡XLR级联输出。</w:t>
            </w:r>
            <w:r/>
          </w:p>
          <w:p>
            <w:pPr>
              <w:spacing w:line="273" w:lineRule="exact"/>
              <w:rPr>
                <w:color w:val="auto"/>
                <w:highlight w:val="none"/>
              </w:rPr>
            </w:pPr>
            <w:r>
              <w:rPr>
                <w:color w:val="auto"/>
                <w:highlight w:val="none"/>
              </w:rPr>
              <w:t xml:space="preserve">5.内置PFC电路和软开关电源技术，开关机自动软启动控制。</w:t>
            </w:r>
            <w:r/>
          </w:p>
          <w:p>
            <w:pPr>
              <w:spacing w:line="273" w:lineRule="exact"/>
              <w:rPr>
                <w:color w:val="auto"/>
                <w:highlight w:val="none"/>
              </w:rPr>
            </w:pPr>
            <w:r>
              <w:rPr>
                <w:color w:val="auto"/>
                <w:highlight w:val="none"/>
              </w:rPr>
              <w:t xml:space="preserve">6.功放电路，零交越失真。</w:t>
            </w:r>
            <w:r/>
          </w:p>
          <w:p>
            <w:pPr>
              <w:spacing w:line="273" w:lineRule="exact"/>
              <w:rPr>
                <w:color w:val="auto"/>
                <w:highlight w:val="none"/>
              </w:rPr>
            </w:pPr>
            <w:r>
              <w:rPr>
                <w:color w:val="auto"/>
                <w:highlight w:val="none"/>
              </w:rPr>
              <w:t xml:space="preserve">7.内置智能削顶失真和过流压限系统，能保护扬声器单元。</w:t>
            </w:r>
            <w:r/>
          </w:p>
          <w:p>
            <w:pPr>
              <w:spacing w:line="273" w:lineRule="exact"/>
              <w:rPr>
                <w:color w:val="auto"/>
                <w:highlight w:val="none"/>
              </w:rPr>
            </w:pPr>
            <w:r>
              <w:rPr>
                <w:color w:val="auto"/>
                <w:highlight w:val="none"/>
              </w:rPr>
              <w:t xml:space="preserve">8.具有过温、过压、欠压、过流、短路多重智能检测保护系统。</w:t>
            </w:r>
            <w:r/>
          </w:p>
          <w:p>
            <w:pPr>
              <w:spacing w:line="273" w:lineRule="exact"/>
              <w:rPr>
                <w:color w:val="auto"/>
                <w:highlight w:val="none"/>
              </w:rPr>
            </w:pPr>
            <w:r>
              <w:rPr>
                <w:color w:val="auto"/>
                <w:highlight w:val="none"/>
              </w:rPr>
              <w:t xml:space="preserve">9.具有2种定阻和定压输出模式:4-16Ω/100V可选择。</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IP网络音箱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1.内置≥1路网络硬件音频解码模块,具有≥1路RJ45网络接口，≥100Mbps传输速率。</w:t>
            </w:r>
            <w:r/>
          </w:p>
          <w:p>
            <w:pPr>
              <w:spacing w:line="273" w:lineRule="exact"/>
              <w:rPr>
                <w:color w:val="auto"/>
                <w:highlight w:val="none"/>
              </w:rPr>
            </w:pPr>
            <w:r>
              <w:rPr>
                <w:color w:val="auto"/>
                <w:highlight w:val="none"/>
              </w:rPr>
              <w:t xml:space="preserve">2.支持≥1路音频线路输入接口，具有独立的音量调节功能。</w:t>
            </w:r>
            <w:r/>
          </w:p>
          <w:p>
            <w:pPr>
              <w:spacing w:line="273" w:lineRule="exact"/>
              <w:rPr>
                <w:color w:val="auto"/>
                <w:highlight w:val="none"/>
              </w:rPr>
            </w:pPr>
            <w:r>
              <w:rPr>
                <w:color w:val="auto"/>
                <w:highlight w:val="none"/>
              </w:rPr>
              <w:t xml:space="preserve">3.设备集成有数字功放，功率≥2×20W（MAX），≥1路接主音箱，≥1路外接到副音箱。</w:t>
            </w:r>
            <w:r/>
          </w:p>
          <w:p>
            <w:pPr>
              <w:spacing w:line="273" w:lineRule="exact"/>
              <w:rPr>
                <w:color w:val="auto"/>
                <w:highlight w:val="none"/>
              </w:rPr>
            </w:pPr>
            <w:r>
              <w:rPr>
                <w:color w:val="auto"/>
                <w:highlight w:val="none"/>
              </w:rPr>
              <w:t xml:space="preserve">4.设备内置有主备切换检测模块，在断网或断电的故障情况下，实现自动切换到≥100V定压备份通道，主备切换过程无卡顿、不掉字；在通网或通电情况下，恢复主通道。</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对</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智能交互设备（单屏）</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一、整机设计：</w:t>
            </w:r>
            <w:r/>
          </w:p>
          <w:p>
            <w:pPr>
              <w:spacing w:line="273" w:lineRule="exact"/>
              <w:rPr>
                <w:color w:val="auto"/>
                <w:highlight w:val="none"/>
              </w:rPr>
            </w:pPr>
            <w:r>
              <w:rPr>
                <w:color w:val="auto"/>
                <w:highlight w:val="none"/>
              </w:rPr>
              <w:t xml:space="preserve">1.整机屏幕采用98英寸液晶显示器。整机采用超高清LED液晶显示屏，显示比例16:9，分辨率3840×2160。</w:t>
            </w:r>
            <w:r/>
          </w:p>
          <w:p>
            <w:pPr>
              <w:spacing w:line="273" w:lineRule="exact"/>
              <w:rPr>
                <w:color w:val="auto"/>
                <w:highlight w:val="none"/>
              </w:rPr>
            </w:pPr>
            <w:r>
              <w:rPr>
                <w:color w:val="auto"/>
                <w:highlight w:val="none"/>
              </w:rPr>
              <w:t xml:space="preserve">2.侧置输入接口至少具备2路HDMI、1路RS232、1路USB接口，1路3.5mm Audio in 音频输入接口；侧置输出接口至少具备1路3.5mm Audio out音频输出、1路触控USB输出；侧置输出接口至少具备1路HDMI out接口，支持最大4K60HZ分辨率输出；前置输入接口至少具备3路USB接口（包含1路Type-C、2路USB）</w:t>
            </w:r>
            <w:r/>
          </w:p>
          <w:p>
            <w:pPr>
              <w:spacing w:line="273" w:lineRule="exact"/>
              <w:rPr>
                <w:color w:val="auto"/>
                <w:highlight w:val="none"/>
              </w:rPr>
            </w:pPr>
            <w:r>
              <w:rPr>
                <w:color w:val="auto"/>
                <w:highlight w:val="none"/>
              </w:rPr>
              <w:t xml:space="preserve">3.嵌入式系统版本不低于Android 13.0，内存≥4GB，存储空间≥32GB。</w:t>
            </w:r>
            <w:r/>
          </w:p>
          <w:p>
            <w:pPr>
              <w:spacing w:line="273" w:lineRule="exact"/>
              <w:rPr>
                <w:color w:val="auto"/>
                <w:highlight w:val="none"/>
              </w:rPr>
            </w:pPr>
            <w:r>
              <w:rPr>
                <w:color w:val="auto"/>
                <w:highlight w:val="none"/>
              </w:rPr>
              <w:t xml:space="preserve">4.采用红外触控方式，支持Windows系统中进行50点或以上触控，支持在Android系统中进行40点或以上触控。整机系统支持书写触控延迟≤15ms。</w:t>
            </w:r>
            <w:r/>
          </w:p>
          <w:p>
            <w:pPr>
              <w:spacing w:line="273" w:lineRule="exact"/>
              <w:rPr>
                <w:color w:val="auto"/>
                <w:highlight w:val="none"/>
              </w:rPr>
            </w:pPr>
            <w:r>
              <w:rPr>
                <w:color w:val="auto"/>
                <w:highlight w:val="none"/>
              </w:rPr>
              <w:t xml:space="preserve">▲ 5.整机设备内置2.2声道扬声器，前朝向发声，12W高音扬声器2个，上朝向30W中低音扬声器2个，最大功率≥84W，全部扬声器无需打开背板即可单独拆卸。（提供CNAS或CMA认证的检测机构出具的检测报告复印件并加盖公章）。</w:t>
            </w:r>
            <w:r/>
          </w:p>
          <w:p>
            <w:pPr>
              <w:spacing w:line="273" w:lineRule="exact"/>
              <w:rPr>
                <w:color w:val="auto"/>
                <w:highlight w:val="none"/>
              </w:rPr>
            </w:pPr>
            <w:r>
              <w:rPr>
                <w:color w:val="auto"/>
                <w:highlight w:val="none"/>
              </w:rPr>
              <w:t xml:space="preserve">6、整机听力模式下具备AI人声语言增强功能，支持三挡强弱调节。扩声系统语言传输指数（STIPA）≥0.75。</w:t>
            </w:r>
            <w:r/>
          </w:p>
          <w:p>
            <w:pPr>
              <w:spacing w:line="273" w:lineRule="exact"/>
              <w:rPr>
                <w:color w:val="auto"/>
                <w:highlight w:val="none"/>
              </w:rPr>
            </w:pPr>
            <w:r>
              <w:rPr>
                <w:color w:val="auto"/>
                <w:highlight w:val="none"/>
              </w:rPr>
              <w:t xml:space="preserve">7、▲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提供CNAS或CMA认证的检测机构出具的检测报告复印件并加盖公章）</w:t>
            </w:r>
            <w:r/>
          </w:p>
          <w:p>
            <w:pPr>
              <w:spacing w:line="273" w:lineRule="exact"/>
              <w:rPr>
                <w:color w:val="auto"/>
                <w:highlight w:val="none"/>
              </w:rPr>
            </w:pPr>
            <w:r>
              <w:rPr>
                <w:color w:val="auto"/>
                <w:highlight w:val="none"/>
              </w:rPr>
              <w:t xml:space="preserve">8.整机上边框内置非独立式摄像头，视场角≥141度且水平视场角≥139度，可拍摄≥1600万像素的照片，支持输出8192×2048分辨率的照片和视频，支持画面畸变矫正功能 </w:t>
            </w:r>
            <w:r/>
          </w:p>
          <w:p>
            <w:pPr>
              <w:spacing w:line="273" w:lineRule="exact"/>
              <w:rPr>
                <w:color w:val="auto"/>
                <w:highlight w:val="none"/>
              </w:rPr>
            </w:pPr>
            <w:r>
              <w:rPr>
                <w:color w:val="auto"/>
                <w:highlight w:val="none"/>
              </w:rPr>
              <w:t xml:space="preserve">9.整机内置双WiFi6无线网卡（不接受外接），在Android和Windows系统下，可实现Wi-Fi无线上网连接、AP无线热点发射。</w:t>
            </w:r>
            <w:r/>
          </w:p>
          <w:p>
            <w:pPr>
              <w:spacing w:line="273" w:lineRule="exact"/>
              <w:rPr>
                <w:color w:val="auto"/>
                <w:highlight w:val="none"/>
              </w:rPr>
            </w:pPr>
            <w:r>
              <w:rPr>
                <w:color w:val="auto"/>
                <w:highlight w:val="none"/>
              </w:rPr>
              <w:t xml:space="preserve">10.▲整机配套教学应用APP可通过wifi直连技术，近场发现附近教学大屏设备，无需扫码、账号密码输入步骤，即可直接连接并登录教学大屏设备，基于统一身份认证机制可实现其他教学软件免登录操作。（提供CMA认证的检测机构出具的检测报告复印件并加盖公章）</w:t>
            </w:r>
            <w:r/>
          </w:p>
          <w:p>
            <w:pPr>
              <w:spacing w:line="273" w:lineRule="exact"/>
              <w:rPr>
                <w:color w:val="auto"/>
                <w:highlight w:val="none"/>
              </w:rPr>
            </w:pPr>
            <w:r>
              <w:rPr>
                <w:color w:val="auto"/>
                <w:highlight w:val="none"/>
              </w:rPr>
              <w:t xml:space="preserve">11.整机Windows通道支持文件传输应用，支持通过扫码、超声、wifi直连三种方式与手机进行握手连接，实现文件传输功能。</w:t>
            </w:r>
            <w:r/>
          </w:p>
          <w:p>
            <w:pPr>
              <w:spacing w:line="273" w:lineRule="exact"/>
              <w:rPr>
                <w:color w:val="auto"/>
                <w:highlight w:val="none"/>
              </w:rPr>
            </w:pPr>
            <w:r>
              <w:rPr>
                <w:color w:val="auto"/>
                <w:highlight w:val="none"/>
              </w:rPr>
              <w:t xml:space="preserve">12.▲整机内置AI智能体（非第三方应用），根据教学和学习需求可快速创建，支持个性化设定角色信息包括角色性格、技能与头像信息，支持语音和文字两种方式与智能体进行对话交互，创建的智能体可上传到本校资源进行共享使用。（提供CNAS或CMA认证的检测机构出具的检测报告复印件并加盖公章）</w:t>
            </w:r>
            <w:r/>
          </w:p>
          <w:p>
            <w:pPr>
              <w:spacing w:line="273" w:lineRule="exact"/>
              <w:rPr>
                <w:color w:val="auto"/>
                <w:highlight w:val="none"/>
              </w:rPr>
            </w:pPr>
            <w:r>
              <w:rPr>
                <w:color w:val="auto"/>
                <w:highlight w:val="none"/>
              </w:rPr>
              <w:t xml:space="preserve">二、电脑模块：</w:t>
            </w:r>
            <w:r/>
          </w:p>
          <w:p>
            <w:pPr>
              <w:spacing w:line="273" w:lineRule="exact"/>
              <w:rPr>
                <w:color w:val="auto"/>
                <w:highlight w:val="none"/>
              </w:rPr>
            </w:pPr>
            <w:r>
              <w:rPr>
                <w:color w:val="auto"/>
                <w:highlight w:val="none"/>
              </w:rPr>
              <w:t xml:space="preserve">1.PC模块可抽拉式插入整机，可实现无单独接线的插拔，采用按压式卡扣，无需工具就可快速拆卸电脑模块。）</w:t>
            </w:r>
            <w:r/>
          </w:p>
          <w:p>
            <w:pPr>
              <w:spacing w:line="273" w:lineRule="exact"/>
              <w:rPr>
                <w:color w:val="auto"/>
                <w:highlight w:val="none"/>
              </w:rPr>
            </w:pPr>
            <w:r>
              <w:rPr>
                <w:color w:val="auto"/>
                <w:highlight w:val="none"/>
              </w:rPr>
              <w:t xml:space="preserve">2.电脑模块CPU要求：≥i7 12代处理器；≥ DDR4 16GB内存，≥512GB SSD硬盘；接口要求：≥1路HDMI，≥3路USB。</w:t>
            </w:r>
            <w:r/>
          </w:p>
          <w:p>
            <w:pPr>
              <w:spacing w:line="273" w:lineRule="exact"/>
              <w:rPr>
                <w:color w:val="auto"/>
                <w:highlight w:val="none"/>
              </w:rPr>
            </w:pPr>
            <w:r>
              <w:rPr>
                <w:color w:val="auto"/>
                <w:highlight w:val="none"/>
              </w:rPr>
              <w:t xml:space="preserve">3.PC模块可抽拉式插入整机，可实现无单独接线的插拔，采用按压式卡扣，无需工具就可快速拆卸电脑模块。具有独立非外扩展的视频输出接口：≥1路HDMI。具有独立非外扩展的电脑USB接口：≥3路USB。</w:t>
            </w:r>
            <w:r/>
          </w:p>
          <w:p>
            <w:pPr>
              <w:spacing w:line="273" w:lineRule="exact"/>
              <w:rPr>
                <w:color w:val="auto"/>
                <w:highlight w:val="none"/>
              </w:rPr>
            </w:pPr>
            <w:r>
              <w:rPr>
                <w:color w:val="auto"/>
                <w:highlight w:val="none"/>
              </w:rPr>
              <w:t xml:space="preserve">4.和整机的连接采用万兆级接口，传输速率≥10Gbps。</w:t>
            </w:r>
            <w:r/>
          </w:p>
          <w:p>
            <w:pPr>
              <w:spacing w:line="273" w:lineRule="exact"/>
              <w:rPr>
                <w:color w:val="auto"/>
                <w:highlight w:val="none"/>
              </w:rPr>
            </w:pPr>
            <w:r>
              <w:rPr>
                <w:color w:val="auto"/>
                <w:highlight w:val="none"/>
              </w:rPr>
              <w:t xml:space="preserve">5.含集中控制系统。</w:t>
            </w:r>
            <w:r/>
          </w:p>
          <w:p>
            <w:pPr>
              <w:spacing w:line="273" w:lineRule="exact"/>
              <w:rPr>
                <w:color w:val="auto"/>
                <w:highlight w:val="none"/>
              </w:rPr>
            </w:pPr>
            <w:r>
              <w:rPr>
                <w:color w:val="auto"/>
                <w:highlight w:val="none"/>
              </w:rPr>
              <w:t xml:space="preserve">三、教学软件</w:t>
            </w:r>
            <w:r/>
          </w:p>
          <w:p>
            <w:pPr>
              <w:spacing w:line="273" w:lineRule="exact"/>
              <w:rPr>
                <w:color w:val="auto"/>
                <w:highlight w:val="none"/>
              </w:rPr>
            </w:pPr>
            <w:r>
              <w:rPr>
                <w:color w:val="auto"/>
                <w:highlight w:val="none"/>
              </w:rPr>
              <w:t xml:space="preserve">1.班级创建：支持老师主动创建班级功能，老师可进行多班级创建，老师可在后台提前进行班级创建，创建成功后，老师登录授课端应用时即可直接进入班级列表，选择班级进入课堂，同时支持在授课端进行临时班级创建。</w:t>
            </w:r>
            <w:r/>
          </w:p>
          <w:p>
            <w:pPr>
              <w:spacing w:line="273" w:lineRule="exact"/>
              <w:rPr>
                <w:color w:val="auto"/>
                <w:highlight w:val="none"/>
              </w:rPr>
            </w:pPr>
            <w:r>
              <w:rPr>
                <w:color w:val="auto"/>
                <w:highlight w:val="none"/>
              </w:rPr>
              <w:t xml:space="preserve">2.统计考勤：支持无感考勤签到功能，学生连接成功进入课堂后，名字可自动显示在签到列表上，签到列表可实时统计已签到人数，并支持查看未到的人员。</w:t>
            </w:r>
            <w:r/>
          </w:p>
          <w:p>
            <w:pPr>
              <w:spacing w:line="273" w:lineRule="exact"/>
              <w:rPr>
                <w:color w:val="auto"/>
                <w:highlight w:val="none"/>
              </w:rPr>
            </w:pPr>
            <w:r>
              <w:rPr>
                <w:color w:val="auto"/>
                <w:highlight w:val="none"/>
              </w:rPr>
              <w:t xml:space="preserve">3.资料分发：支持教师下载教室空间的文档格式的资料给全员和小组端，支持的文件包含但不局限于以下格式：音视频格式，文档格式，图片格式。</w:t>
            </w:r>
            <w:r/>
          </w:p>
          <w:p>
            <w:pPr>
              <w:spacing w:line="273" w:lineRule="exact"/>
              <w:rPr>
                <w:color w:val="auto"/>
                <w:highlight w:val="none"/>
              </w:rPr>
            </w:pPr>
            <w:r>
              <w:rPr>
                <w:color w:val="auto"/>
                <w:highlight w:val="none"/>
              </w:rPr>
              <w:t xml:space="preserve">4.课堂答疑：教师端在连接状态下可实时接收到来自学生的提问，提问内容可根据老师操作自动判断为已读或者未读，并且支持问题放大全屏查看。</w:t>
            </w:r>
            <w:r/>
          </w:p>
          <w:p>
            <w:pPr>
              <w:spacing w:line="273" w:lineRule="exact"/>
              <w:rPr>
                <w:color w:val="auto"/>
                <w:highlight w:val="none"/>
              </w:rPr>
            </w:pPr>
            <w:r>
              <w:rPr>
                <w:color w:val="auto"/>
                <w:highlight w:val="none"/>
              </w:rPr>
              <w:t xml:space="preserve">5.具备互动反馈功能：可将所有学生端和教师端连接在一起构建成为一套互动反馈系统，方便老师在授课过程中发布问题让所有同学实时参与互动并形成数据沉淀统计，在系统中教师可以设置：主观观点收集互动，单选/多选/判断等可观答题互动，同时支持文件下发、批注下发功能。</w:t>
            </w:r>
            <w:r/>
          </w:p>
          <w:p>
            <w:pPr>
              <w:spacing w:line="273" w:lineRule="exact"/>
              <w:rPr>
                <w:color w:val="auto"/>
                <w:highlight w:val="none"/>
              </w:rPr>
            </w:pPr>
            <w:r>
              <w:rPr>
                <w:color w:val="auto"/>
                <w:highlight w:val="none"/>
              </w:rPr>
              <w:t xml:space="preserve">6、含集控系统，兼容主流品牌大屏。</w:t>
            </w:r>
            <w:r/>
          </w:p>
          <w:p>
            <w:pPr>
              <w:spacing w:line="273" w:lineRule="exact"/>
              <w:rPr>
                <w:color w:val="auto"/>
                <w:highlight w:val="none"/>
              </w:rPr>
            </w:pPr>
            <w:r>
              <w:rPr>
                <w:color w:val="auto"/>
                <w:highlight w:val="none"/>
              </w:rPr>
              <w:t xml:space="preserve">7、OPS电脑需具有一键还原功能，能够设置硬盘还原时间。</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27</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一体搪瓷书写绿板（内嵌大屏版）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结构定制，需与教学一体机结构适配。</w:t>
            </w:r>
            <w:r/>
          </w:p>
          <w:p>
            <w:pPr>
              <w:spacing w:line="273" w:lineRule="exact"/>
              <w:rPr>
                <w:color w:val="auto"/>
                <w:highlight w:val="none"/>
              </w:rPr>
            </w:pPr>
            <w:r>
              <w:rPr>
                <w:color w:val="auto"/>
                <w:highlight w:val="none"/>
              </w:rPr>
              <w:t xml:space="preserve">1、结构：</w:t>
            </w:r>
            <w:r>
              <w:rPr>
                <w:rFonts w:hint="eastAsia"/>
                <w:color w:val="auto"/>
                <w:highlight w:val="none"/>
              </w:rPr>
              <w:t xml:space="preserve">1、结构：左右推拉结构，由三块书写板和铝合金边框组装而成，支持电子产品居中镶嵌式安装：规格尺寸：≥</w:t>
            </w:r>
            <w:r>
              <w:rPr>
                <w:color w:val="auto"/>
                <w:highlight w:val="none"/>
              </w:rPr>
              <w:t xml:space="preserve">5800*1480mm</w:t>
            </w:r>
            <w:r>
              <w:rPr>
                <w:rFonts w:hint="eastAsia"/>
                <w:color w:val="auto"/>
                <w:highlight w:val="none"/>
              </w:rPr>
              <w:t xml:space="preserve">，实际尺寸根据现场情况适当调整</w:t>
            </w:r>
            <w:r>
              <w:rPr>
                <w:color w:val="auto"/>
                <w:highlight w:val="none"/>
              </w:rPr>
              <w:t xml:space="preserve">。</w:t>
            </w:r>
            <w:r/>
          </w:p>
          <w:p>
            <w:pPr>
              <w:spacing w:line="273" w:lineRule="exact"/>
              <w:rPr>
                <w:color w:val="auto"/>
                <w:highlight w:val="none"/>
              </w:rPr>
            </w:pPr>
            <w:r>
              <w:rPr>
                <w:color w:val="auto"/>
                <w:highlight w:val="none"/>
              </w:rPr>
              <w:t xml:space="preserve">▲2、板面材质：选用e3 搪瓷板，厚度≥0.4mm，亚光、墨绿色。板面涂层珐琅度为107um。e3 搪瓷板经滚筒方式涂上搪瓷面层,再经摄氏 700 度高温烤制而成，拥有优良的擦拭效果，并具有耐刮、耐磨、 抗 化 学 物 等 特 性 。 </w:t>
            </w:r>
            <w:r/>
          </w:p>
          <w:p>
            <w:pPr>
              <w:spacing w:line="273" w:lineRule="exact"/>
              <w:rPr>
                <w:color w:val="auto"/>
                <w:highlight w:val="none"/>
              </w:rPr>
            </w:pPr>
            <w:r>
              <w:rPr>
                <w:color w:val="auto"/>
                <w:highlight w:val="none"/>
              </w:rPr>
              <w:t xml:space="preserve">★3、光泽度：光泽度＜6％，无明显眩光，不反光，符合GB 28231-2011《书写板安全卫生要求》（提供CMA认证的检测机构出具的检测报告复印件并加盖公章）。</w:t>
            </w:r>
            <w:r/>
          </w:p>
          <w:p>
            <w:pPr>
              <w:spacing w:line="273" w:lineRule="exact"/>
              <w:rPr>
                <w:color w:val="auto"/>
                <w:highlight w:val="none"/>
              </w:rPr>
            </w:pPr>
            <w:r>
              <w:rPr>
                <w:color w:val="auto"/>
                <w:highlight w:val="none"/>
              </w:rPr>
              <w:t xml:space="preserve">▲4、粘合剂材料： 采用防腐，防锈，防潮的黑板专用粘胶粘合牢固。甲醛释放量应不大于1.5mg/L;邻苯二甲酸酯含量≦0.1。符合HJ 572-2010《环境标志产品技术要求 文具》（提供CMA认证的检测机构出具的检测报告复印件并加盖公章）。</w:t>
            </w:r>
            <w:r/>
          </w:p>
          <w:p>
            <w:pPr>
              <w:spacing w:line="273" w:lineRule="exact"/>
              <w:rPr>
                <w:color w:val="auto"/>
                <w:highlight w:val="none"/>
              </w:rPr>
            </w:pPr>
            <w:r>
              <w:rPr>
                <w:color w:val="auto"/>
                <w:highlight w:val="none"/>
              </w:rPr>
              <w:t xml:space="preserve">5、衬板为消音聚苯乙烯板，整体厚度≧15mm，面层无折痕。</w:t>
            </w:r>
            <w:r/>
          </w:p>
          <w:p>
            <w:pPr>
              <w:spacing w:line="273" w:lineRule="exact"/>
              <w:rPr>
                <w:color w:val="auto"/>
                <w:highlight w:val="none"/>
              </w:rPr>
            </w:pPr>
            <w:r>
              <w:rPr>
                <w:color w:val="auto"/>
                <w:highlight w:val="none"/>
              </w:rPr>
              <w:t xml:space="preserve">6、背板采用彩涂钢板，厚度≧0.23mm，不反光，无静电。</w:t>
            </w:r>
            <w:r/>
          </w:p>
          <w:p>
            <w:pPr>
              <w:spacing w:line="273" w:lineRule="exact"/>
              <w:rPr>
                <w:color w:val="auto"/>
                <w:highlight w:val="none"/>
              </w:rPr>
            </w:pPr>
            <w:r>
              <w:rPr>
                <w:color w:val="auto"/>
                <w:highlight w:val="none"/>
              </w:rPr>
              <w:t xml:space="preserve">7、粘合工艺；面板、衬板与背板粘合；长，宽尺寸公差≦3mm；冷压时间≧72小时。</w:t>
            </w:r>
            <w:r/>
          </w:p>
          <w:p>
            <w:pPr>
              <w:spacing w:line="273" w:lineRule="exact"/>
              <w:rPr>
                <w:color w:val="auto"/>
                <w:highlight w:val="none"/>
              </w:rPr>
            </w:pPr>
            <w:r>
              <w:rPr>
                <w:color w:val="auto"/>
                <w:highlight w:val="none"/>
              </w:rPr>
              <w:t xml:space="preserve">8、边框材质：采用高级亚光铝合金型材，颜色：香槟色，表面氧化、磨砂涂层处理，内边框规格≥20mm×34mm，封闭管状，内加助筋，增加有效书写面积，提高书写板挺度；外框规格：上框正面尺寸≥50mm，立面尺寸≥85mm，下框正面尺寸≥66mm，立面尺寸≥115mm，采用双层加强结构设计，承重部分适当加厚，确保牢固安全；</w:t>
            </w:r>
            <w:r/>
          </w:p>
          <w:p>
            <w:pPr>
              <w:spacing w:line="273" w:lineRule="exact"/>
              <w:rPr>
                <w:color w:val="auto"/>
                <w:highlight w:val="none"/>
              </w:rPr>
            </w:pPr>
            <w:r>
              <w:rPr>
                <w:color w:val="auto"/>
                <w:highlight w:val="none"/>
              </w:rPr>
              <w:t xml:space="preserve">★9、边框符合GB 21027-2020《学生用品的安全通用要求》（提供CMA认证的检测机构出具的检测报告复印件并加盖公章）。</w:t>
            </w:r>
            <w:r/>
          </w:p>
          <w:p>
            <w:pPr>
              <w:spacing w:line="273" w:lineRule="exact"/>
              <w:rPr>
                <w:color w:val="auto"/>
                <w:highlight w:val="none"/>
              </w:rPr>
            </w:pPr>
            <w:r>
              <w:rPr>
                <w:color w:val="auto"/>
                <w:highlight w:val="none"/>
              </w:rPr>
              <w:t xml:space="preserve">10、黑板下框一体化粉笔槽设计，一次成型， 整体美观。</w:t>
            </w:r>
            <w:r/>
          </w:p>
          <w:p>
            <w:pPr>
              <w:spacing w:line="273" w:lineRule="exact"/>
              <w:rPr>
                <w:color w:val="auto"/>
                <w:highlight w:val="none"/>
              </w:rPr>
            </w:pPr>
            <w:r>
              <w:rPr>
                <w:color w:val="auto"/>
                <w:highlight w:val="none"/>
              </w:rPr>
              <w:t xml:space="preserve">11、插角材质；采用ABS工程塑料，模具一次成型，具有良好的耐脆性、耐磨性、抗冲击力强。11.安全性：一把锁实现对滑动黑板的锁定，钥匙通用，方便实用。</w:t>
            </w:r>
            <w:r/>
          </w:p>
          <w:p>
            <w:pPr>
              <w:spacing w:line="273" w:lineRule="exact"/>
              <w:rPr>
                <w:color w:val="auto"/>
                <w:highlight w:val="none"/>
              </w:rPr>
            </w:pPr>
            <w:r>
              <w:rPr>
                <w:color w:val="auto"/>
                <w:highlight w:val="none"/>
              </w:rPr>
              <w:t xml:space="preserve">12.预留OPS检修口。</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28</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rFonts w:hint="eastAsia"/>
                <w:color w:val="auto"/>
                <w:highlight w:val="none"/>
              </w:rPr>
              <w:t xml:space="preserve">一体搪瓷书写绿板双轨推拉（双屏版）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1、规格:6600㎜×1340㎜，实际尺寸根据现场情况适当</w:t>
            </w:r>
            <w:r>
              <w:rPr>
                <w:rFonts w:hint="eastAsia"/>
                <w:color w:val="auto"/>
                <w:highlight w:val="none"/>
              </w:rPr>
              <w:t xml:space="preserve">调整</w:t>
            </w:r>
            <w:r>
              <w:rPr>
                <w:color w:val="auto"/>
                <w:highlight w:val="none"/>
              </w:rPr>
              <w:t xml:space="preserve">。  2、▲选用e3 搪瓷板，厚度 0.4mm，亚光、墨绿色、光 泽度≤6 光泽单位。板面涂层珐琅度为107um。e3 搪瓷板经滚筒方式涂上搪瓷面层,再经摄氏 700 度高温烤制而成，拥有优良的擦拭效果，并具有耐刮、耐磨、 抗 化 学 物 等 特 性 。</w:t>
            </w:r>
            <w:r/>
          </w:p>
          <w:p>
            <w:pPr>
              <w:ind w:firstLine="110"/>
              <w:spacing w:line="273" w:lineRule="exact"/>
              <w:rPr>
                <w:color w:val="auto"/>
                <w:highlight w:val="none"/>
              </w:rPr>
            </w:pPr>
            <w:r>
              <w:rPr>
                <w:color w:val="auto"/>
                <w:highlight w:val="none"/>
              </w:rPr>
              <w:t xml:space="preserve">★3、板 面 表 面 附 有 一 层 透 明 保 护 膜 ，符合GB 28231-2011《书写板安全卫生要求》并出具检测报告。（提供CMA认证的检测机构出具的检测报告复印件并加盖公章）。</w:t>
            </w:r>
            <w:r/>
          </w:p>
          <w:p>
            <w:pPr>
              <w:spacing w:line="273" w:lineRule="exact"/>
              <w:rPr>
                <w:color w:val="auto"/>
                <w:highlight w:val="none"/>
              </w:rPr>
            </w:pPr>
            <w:r>
              <w:rPr>
                <w:color w:val="auto"/>
                <w:highlight w:val="none"/>
              </w:rPr>
              <w:t xml:space="preserve">▲4、粘合剂材料： 采用防腐，防锈，防潮的黑板专用粘胶粘合牢固。甲醛释放量应不大于1.5mg/L;邻苯二甲酸酯含量≦0.1。符合HJ 572-2010《环境标志产品技术要求 文具》（提供CMA认证的检测机构出具的检测报告复印件并加盖公章）。</w:t>
            </w:r>
            <w:r/>
          </w:p>
          <w:p>
            <w:pPr>
              <w:spacing w:line="273" w:lineRule="exact"/>
              <w:rPr>
                <w:color w:val="auto"/>
                <w:highlight w:val="none"/>
              </w:rPr>
            </w:pPr>
            <w:r>
              <w:rPr>
                <w:color w:val="auto"/>
                <w:highlight w:val="none"/>
              </w:rPr>
              <w:t xml:space="preserve">5、夹层:采用高强度消音聚苯乙烯板，厚度≥15mm, 软硬适中、挺度好，不变形，整张无接缝。 </w:t>
            </w:r>
            <w:r/>
          </w:p>
          <w:p>
            <w:pPr>
              <w:spacing w:line="273" w:lineRule="exact"/>
              <w:rPr>
                <w:color w:val="auto"/>
                <w:highlight w:val="none"/>
              </w:rPr>
            </w:pPr>
            <w:r>
              <w:rPr>
                <w:color w:val="auto"/>
                <w:highlight w:val="none"/>
              </w:rPr>
              <w:t xml:space="preserve">6、背板：材料为优质彩涂钢板,厚度为≥0.23㎜,表面光洁,抗腐蚀性强。 不采用加强凹槽式，避免脱胶起泡。</w:t>
            </w:r>
            <w:r/>
          </w:p>
          <w:p>
            <w:pPr>
              <w:spacing w:line="273" w:lineRule="exact"/>
              <w:rPr>
                <w:color w:val="auto"/>
                <w:highlight w:val="none"/>
              </w:rPr>
            </w:pPr>
            <w:r>
              <w:rPr>
                <w:color w:val="auto"/>
                <w:highlight w:val="none"/>
              </w:rPr>
              <w:t xml:space="preserve">7、边框材质：采用亚光黑色铝合金,色泽柔和,不反光。外框:采用双轨道一体化正向4凹槽轨道吊轨设计,模具一次成型,推拉顺畅，为节省讲台位置空间，增加安全性，轨道框宽度≤90mm，壁厚1.0㎜；竖框为双层结构，与固定板完美结合，竖框整体不允许拼接。 </w:t>
            </w:r>
            <w:r/>
          </w:p>
          <w:p>
            <w:pPr>
              <w:spacing w:line="273" w:lineRule="exact"/>
              <w:rPr>
                <w:color w:val="auto"/>
                <w:highlight w:val="none"/>
              </w:rPr>
            </w:pPr>
            <w:r>
              <w:rPr>
                <w:color w:val="auto"/>
                <w:highlight w:val="none"/>
              </w:rPr>
              <w:t xml:space="preserve">8、包角材料：抗疲劳ABS工程塑料，模具成型,无直角,边框与书写面板的固定：壁厚大于2.6mm，没有外露的金属紧固件。</w:t>
            </w:r>
            <w:r/>
          </w:p>
          <w:p>
            <w:pPr>
              <w:spacing w:line="273" w:lineRule="exact"/>
              <w:rPr>
                <w:color w:val="auto"/>
                <w:highlight w:val="none"/>
              </w:rPr>
            </w:pPr>
            <w:r>
              <w:rPr>
                <w:color w:val="auto"/>
                <w:highlight w:val="none"/>
              </w:rPr>
              <w:t xml:space="preserve">9、黑板橡胶刷安装在活动绿板下方两侧各1个，伴随推拉过程，完成粉笔灰尘清洁，方便使用；整套黑板装有4个缓冲橡胶垫。中间1个定位橡胶块，防止撞击产生的噪音过大。</w:t>
            </w:r>
            <w:r/>
          </w:p>
          <w:p>
            <w:pPr>
              <w:spacing w:line="273" w:lineRule="exact"/>
              <w:rPr>
                <w:color w:val="auto"/>
                <w:highlight w:val="none"/>
              </w:rPr>
            </w:pPr>
            <w:r>
              <w:rPr>
                <w:color w:val="auto"/>
                <w:highlight w:val="none"/>
              </w:rPr>
              <w:t xml:space="preserve">10、组合方式：整套黑板有三块组合,后面一块为固定板,固定板与上下轨道框无固定件连接。A活动板可左右交叉推拉，活动板上下由4组滑轮(共＞12个轮子)组成，上面固定两组滑动轮，采用工字型钢质骨架，T形吊装，经久耐用，下面固定两组导向轮，导向轮两侧配置橡胶粉刷，清理轨道内粉灰，推拉无卡挤现象。B活动板在A活动板前面推拉，可固定左右位置，可左右推拉。</w:t>
            </w:r>
            <w:r/>
          </w:p>
          <w:p>
            <w:pPr>
              <w:spacing w:line="273" w:lineRule="exact"/>
              <w:rPr>
                <w:color w:val="auto"/>
                <w:highlight w:val="none"/>
              </w:rPr>
            </w:pPr>
            <w:r>
              <w:rPr>
                <w:color w:val="auto"/>
                <w:highlight w:val="none"/>
              </w:rPr>
              <w:t xml:space="preserve">11、安装要求:满足师生安全使用需要，除正常膨胀螺栓固定外，另有其它黑板防脱落装置，设计上不能有安全使用隐患，隐形安装,表面没有安装痕迹。</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智能交互设备（双屏）</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 1.智能交互平板显示尺寸≥86英寸，分辨率：3840*2160 ，采用直下式背光D-LED，红外触控技术，在Windows、Android下均支持40点触控及40点书写划线。智能交互平板前置接口具备中文标识，至少具有1路前置HDMI接口（非转接），2路USB3.0接口，1路全功能的Type-C接口。无需打开智能交互平板背板，前置接口面板支持单独前拆维护，智能交互平板后置非转接 HDMI输入≥2路，HDMI输出≥1路。（提供CMA认证的检测机构出具的检测报告复印件并加盖公章）</w:t>
            </w:r>
            <w:r/>
          </w:p>
          <w:p>
            <w:pPr>
              <w:spacing w:line="273" w:lineRule="exact"/>
              <w:rPr>
                <w:color w:val="auto"/>
                <w:highlight w:val="none"/>
              </w:rPr>
            </w:pPr>
            <w:r>
              <w:rPr>
                <w:color w:val="auto"/>
                <w:highlight w:val="none"/>
              </w:rPr>
              <w:t xml:space="preserve">2.智能交互平板表面玻璃采用高强度钢化玻璃，AG防眩光，硬度≥莫氏7级，石墨硬度≥9H；</w:t>
            </w:r>
            <w:r/>
          </w:p>
          <w:p>
            <w:pPr>
              <w:spacing w:line="273" w:lineRule="exact"/>
              <w:rPr>
                <w:color w:val="auto"/>
                <w:highlight w:val="none"/>
              </w:rPr>
            </w:pPr>
            <w:r>
              <w:rPr>
                <w:color w:val="auto"/>
                <w:highlight w:val="none"/>
              </w:rPr>
              <w:t xml:space="preserve">3.智能交互平板前置物理按键≥5个，具有中文标识，可实现音量加减、窗口关闭、触控开关等功能，且按键均支持功能复用。前置按键面板向上倾斜；</w:t>
            </w:r>
            <w:r/>
          </w:p>
          <w:p>
            <w:pPr>
              <w:spacing w:line="273" w:lineRule="exact"/>
              <w:rPr>
                <w:color w:val="auto"/>
                <w:highlight w:val="none"/>
              </w:rPr>
            </w:pPr>
            <w:r>
              <w:rPr>
                <w:color w:val="auto"/>
                <w:highlight w:val="none"/>
              </w:rPr>
              <w:t xml:space="preserve">4.智能交互平板采用≥12核驱动芯片，8核CPU、4核GPU。 Android 系统版本≥13.0，RAM不小于4G，ROM不小于32G。</w:t>
            </w:r>
            <w:r/>
          </w:p>
          <w:p>
            <w:pPr>
              <w:spacing w:line="273" w:lineRule="exact"/>
              <w:rPr>
                <w:color w:val="auto"/>
                <w:highlight w:val="none"/>
              </w:rPr>
            </w:pPr>
            <w:r>
              <w:rPr>
                <w:color w:val="auto"/>
                <w:highlight w:val="none"/>
              </w:rPr>
              <w:t xml:space="preserve">5.采用针孔阵列发声设计，2.2声道，下边框发声单元大于4个，最大功率＞60W, 扬声器在100％音量下，1米处声压级≥88dB，10米处声压级≥80dB；最低谐振频率不高于100Hz。</w:t>
            </w:r>
            <w:r/>
          </w:p>
          <w:p>
            <w:pPr>
              <w:spacing w:line="273" w:lineRule="exact"/>
              <w:rPr>
                <w:color w:val="auto"/>
                <w:highlight w:val="none"/>
              </w:rPr>
            </w:pPr>
            <w:r>
              <w:rPr>
                <w:color w:val="auto"/>
                <w:highlight w:val="none"/>
              </w:rPr>
              <w:t xml:space="preserve">6.内置一体化超高清4K以上摄像头，单颗摄像头有效像素≥1800W，可输出最大分辨率5104*3864的图片与视频，支持搭配AI软件实现自动点名点数功能，支持远程巡课功能，具备指示灯工作状态提示；</w:t>
            </w:r>
            <w:r/>
          </w:p>
          <w:p>
            <w:pPr>
              <w:spacing w:line="273" w:lineRule="exact"/>
              <w:rPr>
                <w:color w:val="auto"/>
                <w:highlight w:val="none"/>
              </w:rPr>
            </w:pPr>
            <w:r>
              <w:rPr>
                <w:color w:val="auto"/>
                <w:highlight w:val="none"/>
              </w:rPr>
              <w:t xml:space="preserve">7.智能交互平板内置8阵列麦克风，拾音角度≥180°，可用于对教室环境音频进行采集。</w:t>
            </w:r>
            <w:r/>
          </w:p>
          <w:p>
            <w:pPr>
              <w:spacing w:line="273" w:lineRule="exact"/>
              <w:rPr>
                <w:color w:val="auto"/>
                <w:highlight w:val="none"/>
              </w:rPr>
            </w:pPr>
            <w:r>
              <w:rPr>
                <w:color w:val="auto"/>
                <w:highlight w:val="none"/>
              </w:rPr>
              <w:t xml:space="preserve">▲ 8.智能交互平板具备前置电脑还原物理按键，具有中文标识，可轻松解决电脑系统故障（提供CMA认证的检测机构出具的检测报告复印件并加盖公章）</w:t>
            </w:r>
            <w:r/>
          </w:p>
          <w:p>
            <w:pPr>
              <w:spacing w:line="273" w:lineRule="exact"/>
              <w:rPr>
                <w:color w:val="auto"/>
                <w:highlight w:val="none"/>
              </w:rPr>
            </w:pPr>
            <w:r>
              <w:rPr>
                <w:color w:val="auto"/>
                <w:highlight w:val="none"/>
              </w:rPr>
              <w:t xml:space="preserve">9.智能交互平板具备无线（包括Wi-Fi和Bluetooth蓝牙）独立模块，。内置Wi-Fi6无线网卡和蓝牙Bluetooth 5.4模块，支持连接外部蓝牙音箱播放音频。</w:t>
            </w:r>
            <w:r/>
          </w:p>
          <w:p>
            <w:pPr>
              <w:spacing w:line="273" w:lineRule="exact"/>
              <w:rPr>
                <w:color w:val="auto"/>
                <w:highlight w:val="none"/>
              </w:rPr>
            </w:pPr>
            <w:r>
              <w:rPr>
                <w:color w:val="auto"/>
                <w:highlight w:val="none"/>
              </w:rPr>
              <w:t xml:space="preserve">10.安卓白板，无PC状态下，白板背景支持颜色背景和图案背景设置，支持仅允许用细笔书写模式或允许用细笔或手指书写模式，细笔可用于书写，手指可用于拖动漫游，实现手笔分离的教学效果。</w:t>
            </w:r>
            <w:r/>
          </w:p>
          <w:p>
            <w:pPr>
              <w:spacing w:line="273" w:lineRule="exact"/>
              <w:rPr>
                <w:color w:val="auto"/>
                <w:highlight w:val="none"/>
              </w:rPr>
            </w:pPr>
            <w:r>
              <w:rPr>
                <w:color w:val="auto"/>
                <w:highlight w:val="none"/>
              </w:rPr>
              <w:t xml:space="preserve">11.支持多端程序入口,支持PC端、交互设备、移动端及网页端；且均可快速生成、播放课件。备授课软件采用备授课一体化设计，包含新建课件、我的课件、资源中心、班务管理、网盘空间、AI 备课等应用模块。</w:t>
            </w:r>
            <w:r/>
          </w:p>
          <w:p>
            <w:pPr>
              <w:spacing w:line="273" w:lineRule="exact"/>
              <w:rPr>
                <w:color w:val="auto"/>
                <w:highlight w:val="none"/>
              </w:rPr>
            </w:pPr>
            <w:r>
              <w:rPr>
                <w:color w:val="auto"/>
                <w:highlight w:val="none"/>
              </w:rPr>
              <w:t xml:space="preserve">12.不少于五种登录方式，包含U盘登录、快捷登录、账号密码直接登录，微信扫码登录手机验证码快捷登录等，支持免登录打开本地课件；其中书写登录可录入内容及笔迹，在任意设备进行书写登录软件；</w:t>
            </w:r>
            <w:r/>
          </w:p>
          <w:p>
            <w:pPr>
              <w:spacing w:line="273" w:lineRule="exact"/>
              <w:rPr>
                <w:color w:val="auto"/>
                <w:highlight w:val="none"/>
              </w:rPr>
            </w:pPr>
            <w:r>
              <w:rPr>
                <w:color w:val="auto"/>
                <w:highlight w:val="none"/>
              </w:rPr>
              <w:t xml:space="preserve">▲13.老师个人账号可获取不少于50GB云端存储空间，支持实时查看空间使用情况，网盘支持上传和下载课件、文档、图片、音频、视频和其它常用文件类型。软件具备 AI备课功能：支持一句话生成课件或导入文件生成课件，同时可设置 PPT 教学大纲文字内容、学段、年级、学科、是否深度思考等，具备输入提示。（提供CMA认证的检测机构出具的检测报告复印件并加盖公章）</w:t>
            </w:r>
            <w:r/>
          </w:p>
          <w:p>
            <w:pPr>
              <w:spacing w:line="273" w:lineRule="exact"/>
              <w:rPr>
                <w:color w:val="auto"/>
                <w:highlight w:val="none"/>
              </w:rPr>
            </w:pPr>
            <w:r>
              <w:rPr>
                <w:color w:val="auto"/>
                <w:highlight w:val="none"/>
              </w:rPr>
              <w:t xml:space="preserve">14.备课模式下，自动匹配与个人资料相对应的教学素材，可快速插入到课件中；也支持跨学科学段调用教学素材；支持划词搜索功能，可根据文本内容自动搜索匹配对应的教学素材。</w:t>
            </w:r>
            <w:r/>
          </w:p>
          <w:p>
            <w:pPr>
              <w:spacing w:line="273" w:lineRule="exact"/>
              <w:rPr>
                <w:color w:val="auto"/>
                <w:highlight w:val="none"/>
              </w:rPr>
            </w:pPr>
            <w:r>
              <w:rPr>
                <w:color w:val="auto"/>
                <w:highlight w:val="none"/>
              </w:rPr>
              <w:t xml:space="preserve">15.处理器酷睿I7第12代及以上处理器，10核16线程。内存：≥16G DDR4。</w:t>
            </w:r>
            <w:r/>
          </w:p>
          <w:p>
            <w:pPr>
              <w:spacing w:line="273" w:lineRule="exact"/>
              <w:rPr>
                <w:color w:val="auto"/>
                <w:highlight w:val="none"/>
              </w:rPr>
            </w:pPr>
            <w:r>
              <w:rPr>
                <w:color w:val="auto"/>
                <w:highlight w:val="none"/>
              </w:rPr>
              <w:t xml:space="preserve">硬盘：≥512G SSD固态硬盘。</w:t>
            </w:r>
            <w:r/>
          </w:p>
          <w:p>
            <w:pPr>
              <w:spacing w:line="273" w:lineRule="exact"/>
              <w:rPr>
                <w:color w:val="auto"/>
                <w:highlight w:val="none"/>
              </w:rPr>
            </w:pPr>
            <w:r>
              <w:rPr>
                <w:color w:val="auto"/>
                <w:highlight w:val="none"/>
              </w:rPr>
              <w:t xml:space="preserve">16.OPS具备独立复位按键。</w:t>
            </w:r>
            <w:r/>
          </w:p>
          <w:p>
            <w:pPr>
              <w:spacing w:line="273" w:lineRule="exact"/>
              <w:rPr>
                <w:color w:val="auto"/>
                <w:highlight w:val="none"/>
              </w:rPr>
            </w:pPr>
            <w:r>
              <w:rPr>
                <w:color w:val="auto"/>
                <w:highlight w:val="none"/>
              </w:rPr>
              <w:t xml:space="preserve">17.接口：整机非外扩展具备6个USB接口；具有独立非外扩展的输出接口：≥1路HDMI等；具有3.5mm圆孔接口；具有2路LED状态指示灯；line out≥1路；RJ45≥1路。</w:t>
            </w:r>
            <w:r/>
          </w:p>
          <w:p>
            <w:pPr>
              <w:spacing w:line="273" w:lineRule="exact"/>
              <w:rPr>
                <w:color w:val="auto"/>
                <w:highlight w:val="none"/>
              </w:rPr>
            </w:pPr>
            <w:r>
              <w:rPr>
                <w:color w:val="auto"/>
                <w:highlight w:val="none"/>
              </w:rPr>
              <w:t xml:space="preserve">18.无线键盘鼠标1套。</w:t>
            </w:r>
            <w:r/>
          </w:p>
          <w:p>
            <w:pPr>
              <w:spacing w:line="273" w:lineRule="exact"/>
              <w:rPr>
                <w:color w:val="auto"/>
                <w:highlight w:val="none"/>
              </w:rPr>
            </w:pPr>
            <w:r>
              <w:rPr>
                <w:color w:val="auto"/>
                <w:highlight w:val="none"/>
              </w:rPr>
              <w:t xml:space="preserve">19、含集控系统，兼容主流品牌大屏</w:t>
            </w:r>
            <w:r/>
          </w:p>
          <w:p>
            <w:pPr>
              <w:spacing w:line="273" w:lineRule="exact"/>
              <w:rPr>
                <w:color w:val="auto"/>
                <w:highlight w:val="none"/>
              </w:rPr>
            </w:pPr>
            <w:r>
              <w:rPr>
                <w:color w:val="auto"/>
                <w:highlight w:val="none"/>
              </w:rPr>
              <w:t xml:space="preserve">20、OPS电脑需具有一键还原功能，能够设置硬盘还原时间。</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双屏联动软件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1.基于Windows系统开发的授课端软件，适合于“双大屏”教室环境中，满足16:9和32:9画面展示，实现PPT课件及黑板的双屏互动、多资源对比教学。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高密度刀片式存储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单个刀片节点规格：</w:t>
            </w:r>
            <w:r/>
          </w:p>
          <w:p>
            <w:pPr>
              <w:spacing w:line="273" w:lineRule="exact"/>
              <w:rPr>
                <w:color w:val="auto"/>
                <w:highlight w:val="none"/>
              </w:rPr>
            </w:pPr>
            <w:r>
              <w:rPr>
                <w:color w:val="auto"/>
                <w:highlight w:val="none"/>
              </w:rPr>
              <w:t xml:space="preserve">1.CPU：性能不低于主频2.1G，2*CPU，主机单CPU核数≥10核20线程。</w:t>
            </w:r>
            <w:r/>
          </w:p>
          <w:p>
            <w:pPr>
              <w:spacing w:line="273" w:lineRule="exact"/>
              <w:rPr>
                <w:color w:val="auto"/>
                <w:highlight w:val="none"/>
              </w:rPr>
            </w:pPr>
            <w:r>
              <w:rPr>
                <w:color w:val="auto"/>
                <w:highlight w:val="none"/>
              </w:rPr>
              <w:t xml:space="preserve">2.应具有≥128GB带有 ECC 校验功能的低电压DDR4L内存，最大可扩展16个内存插槽。</w:t>
            </w:r>
            <w:r/>
          </w:p>
          <w:p>
            <w:pPr>
              <w:spacing w:line="273" w:lineRule="exact"/>
              <w:rPr>
                <w:color w:val="auto"/>
                <w:highlight w:val="none"/>
              </w:rPr>
            </w:pPr>
            <w:r>
              <w:rPr>
                <w:color w:val="auto"/>
                <w:highlight w:val="none"/>
              </w:rPr>
              <w:t xml:space="preserve">3.网口应具备≥2个万兆以太网SFP+光网口，含光模块。</w:t>
            </w:r>
            <w:r/>
          </w:p>
          <w:p>
            <w:pPr>
              <w:spacing w:line="273" w:lineRule="exact"/>
              <w:rPr>
                <w:color w:val="auto"/>
                <w:highlight w:val="none"/>
              </w:rPr>
            </w:pPr>
            <w:r>
              <w:rPr>
                <w:color w:val="auto"/>
                <w:highlight w:val="none"/>
              </w:rPr>
              <w:t xml:space="preserve">4.配置≥1个2.4TB SAS硬盘或SSD固态硬盘，≥1块960G SSD硬盘。</w:t>
            </w:r>
            <w:r/>
          </w:p>
          <w:p>
            <w:pPr>
              <w:spacing w:line="273" w:lineRule="exact"/>
              <w:rPr>
                <w:color w:val="auto"/>
                <w:highlight w:val="none"/>
              </w:rPr>
            </w:pPr>
            <w:r>
              <w:rPr>
                <w:color w:val="auto"/>
                <w:highlight w:val="none"/>
              </w:rPr>
              <w:t xml:space="preserve">5.具备≥1个VGA接口；≥2个USB3.0接口。</w:t>
            </w:r>
            <w:r/>
          </w:p>
          <w:p>
            <w:pPr>
              <w:spacing w:line="273" w:lineRule="exact"/>
              <w:rPr>
                <w:color w:val="auto"/>
                <w:highlight w:val="none"/>
              </w:rPr>
            </w:pPr>
            <w:r>
              <w:rPr>
                <w:color w:val="auto"/>
                <w:highlight w:val="none"/>
              </w:rPr>
              <w:t xml:space="preserve">6.采用≥22000转/分钟的高转速风扇，支持风扇调速，可随节点插拔更换。</w:t>
            </w:r>
            <w:r/>
          </w:p>
          <w:p>
            <w:pPr>
              <w:spacing w:line="273" w:lineRule="exact"/>
              <w:rPr>
                <w:color w:val="auto"/>
                <w:highlight w:val="none"/>
              </w:rPr>
            </w:pPr>
            <w:r>
              <w:rPr>
                <w:color w:val="auto"/>
                <w:highlight w:val="none"/>
              </w:rPr>
              <w:t xml:space="preserve">7.应支持windows、Red Hat、SUSE、CentOS、open Euler等主流操作系统，支持国产操作系统。</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高性能流媒体分布式存储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1)采用标准机架式服务器设计，≥24盘位，192T，具备双冗余电源，冗余风扇，支持电源、BBU电池、主板、风扇可直接插拔，具备≥2个万兆电口，≥1个千兆网口。</w:t>
            </w:r>
            <w:r/>
          </w:p>
          <w:p>
            <w:pPr>
              <w:spacing w:line="273" w:lineRule="exact"/>
              <w:rPr>
                <w:color w:val="auto"/>
                <w:highlight w:val="none"/>
              </w:rPr>
            </w:pPr>
            <w:r>
              <w:rPr>
                <w:color w:val="auto"/>
                <w:highlight w:val="none"/>
              </w:rPr>
              <w:t xml:space="preserve">2)支持BBU电池保护模块，在系统处于异常断电的情况下，缓存数据不丢失。</w:t>
            </w:r>
            <w:r/>
          </w:p>
          <w:p>
            <w:pPr>
              <w:spacing w:line="273" w:lineRule="exact"/>
              <w:rPr>
                <w:color w:val="auto"/>
                <w:highlight w:val="none"/>
              </w:rPr>
            </w:pPr>
            <w:r>
              <w:rPr>
                <w:color w:val="auto"/>
                <w:highlight w:val="none"/>
              </w:rPr>
              <w:t xml:space="preserve">3)内置SSD硬盘，支持3T、4T、6T、8T、12T硬盘混合使用，支持硬盘热插拔，硬盘热插拔过程中，数据不会丢失，也不会由于热插拔而重建。</w:t>
            </w:r>
            <w:r/>
          </w:p>
          <w:p>
            <w:pPr>
              <w:spacing w:line="273" w:lineRule="exact"/>
              <w:rPr>
                <w:color w:val="auto"/>
                <w:highlight w:val="none"/>
              </w:rPr>
            </w:pPr>
            <w:r>
              <w:rPr>
                <w:color w:val="auto"/>
                <w:highlight w:val="none"/>
              </w:rPr>
              <w:t xml:space="preserve">4)单台存储节点的读写性能支持≥16Gbps或≥1000路高清视频（码流4Mbps）。</w:t>
            </w:r>
            <w:r/>
          </w:p>
          <w:p>
            <w:pPr>
              <w:spacing w:line="273" w:lineRule="exact"/>
              <w:rPr>
                <w:color w:val="auto"/>
                <w:highlight w:val="none"/>
              </w:rPr>
            </w:pPr>
            <w:r>
              <w:rPr>
                <w:color w:val="auto"/>
                <w:highlight w:val="none"/>
              </w:rPr>
              <w:t xml:space="preserve">5)▲支持硬盘在单个设备节点内的漫游以及在不同节点间的漫游，漫游过程中，数据不会丢失，也不会由于漫游而重建。（提供CMA认证的检测机构出具的检测报告复印件并加盖公章）</w:t>
            </w:r>
            <w:r/>
          </w:p>
          <w:p>
            <w:pPr>
              <w:spacing w:line="273" w:lineRule="exact"/>
              <w:rPr>
                <w:color w:val="auto"/>
                <w:highlight w:val="none"/>
              </w:rPr>
            </w:pPr>
            <w:r>
              <w:rPr>
                <w:color w:val="auto"/>
                <w:highlight w:val="none"/>
              </w:rPr>
              <w:t xml:space="preserve">6)可实现在线扩、缩容；扩容模式下，支持即扩即用、直接添加硬盘或者添加存储节点的IP地址，系统存储空间即可快速自动扩容。支持选择数据均衡迁移或者不迁移策略，迁移策略下支持业务负载均衡，数据在存储节点及硬盘层面均达到负载均衡。</w:t>
            </w:r>
            <w:r/>
          </w:p>
          <w:p>
            <w:pPr>
              <w:spacing w:line="273" w:lineRule="exact"/>
              <w:rPr>
                <w:color w:val="auto"/>
                <w:highlight w:val="none"/>
              </w:rPr>
            </w:pPr>
            <w:r>
              <w:rPr>
                <w:color w:val="auto"/>
                <w:highlight w:val="none"/>
              </w:rPr>
              <w:t xml:space="preserve">7)支持SDK接口、iSCSI接口、POSIX接口、NFS接口、FTP接口、S3接口、CIFS接口及HDFS等多种数据接口。</w:t>
            </w:r>
            <w:r/>
          </w:p>
          <w:p>
            <w:pPr>
              <w:spacing w:line="273" w:lineRule="exact"/>
              <w:rPr>
                <w:color w:val="auto"/>
                <w:highlight w:val="none"/>
              </w:rPr>
            </w:pPr>
            <w:r>
              <w:rPr>
                <w:color w:val="auto"/>
                <w:highlight w:val="none"/>
              </w:rPr>
              <w:t xml:space="preserve">8)支持视频、图片及各类文件的混合存储，支持对存储视频进行保护，不可直接修改。</w:t>
            </w:r>
            <w:r/>
          </w:p>
          <w:p>
            <w:pPr>
              <w:spacing w:line="273" w:lineRule="exact"/>
              <w:rPr>
                <w:color w:val="auto"/>
                <w:highlight w:val="none"/>
              </w:rPr>
            </w:pPr>
            <w:r>
              <w:rPr>
                <w:color w:val="auto"/>
                <w:highlight w:val="none"/>
              </w:rPr>
              <w:t xml:space="preserve">9)控制节点支持单台以及多台节点集群，在不同控制节点进行多份元数据备份；同时在控制节点全部损坏情况下，从完好的存储节点中恢复系统元数据。</w:t>
            </w:r>
            <w:r/>
          </w:p>
          <w:p>
            <w:pPr>
              <w:spacing w:line="273" w:lineRule="exact"/>
              <w:rPr>
                <w:color w:val="auto"/>
                <w:highlight w:val="none"/>
              </w:rPr>
            </w:pPr>
            <w:r>
              <w:rPr>
                <w:color w:val="auto"/>
                <w:highlight w:val="none"/>
              </w:rPr>
              <w:t xml:space="preserve">10)▲设备需提供存储配额配置和空间预分配功能，支持国标GB/T28181视频流直写云存储设备；集群中每个域均可允许至多M节点故障（M为设定的校验块数量），数据不丢失、业务不中断，读写不受影响。支持流媒体服务能力（VTDU服务），可加入原有的存储VTDU集群，通过监控平台进行统一的管理和调度，支持前端摄像机的码流直接写入存储设备，并且支持存储码流的负载均衡和容错处理，任何一个存储节点的故障，相关的码流将自动切换到其他正常节点进行存储。（提供CMA认证的检测机构出具的检测报告复印件并加盖公章）</w:t>
            </w:r>
            <w:r/>
          </w:p>
          <w:p>
            <w:pPr>
              <w:spacing w:line="273" w:lineRule="exact"/>
              <w:rPr>
                <w:color w:val="auto"/>
                <w:highlight w:val="none"/>
              </w:rPr>
            </w:pPr>
            <w:r>
              <w:rPr>
                <w:color w:val="auto"/>
                <w:highlight w:val="none"/>
              </w:rPr>
              <w:t xml:space="preserve">11)在硬盘出现故障时在系统全局空闲空间内自动恢复数据，数据恢复速度最高可达到6TB/h，数据恢复过程中业务不中断。单台设备支持在任意3块以上硬盘同时出现故障（符合校验要求的情况下），数据不丢失、业务不中断，读写不受影响。</w:t>
            </w:r>
            <w:r/>
          </w:p>
          <w:p>
            <w:pPr>
              <w:spacing w:line="273" w:lineRule="exact"/>
              <w:rPr>
                <w:color w:val="auto"/>
                <w:highlight w:val="none"/>
              </w:rPr>
            </w:pPr>
            <w:r>
              <w:rPr>
                <w:color w:val="auto"/>
                <w:highlight w:val="none"/>
              </w:rPr>
              <w:t xml:space="preserve">12)支持视频图像功能，可实现视频录像、回放、检索以及录像文件的锁定，解锁等功能。支持视频录像以文件方式被第三方应用从云存储中直接读取。</w:t>
            </w:r>
            <w:r/>
          </w:p>
          <w:p>
            <w:pPr>
              <w:spacing w:line="273" w:lineRule="exact"/>
              <w:rPr>
                <w:color w:val="auto"/>
                <w:highlight w:val="none"/>
              </w:rPr>
            </w:pPr>
            <w:r>
              <w:rPr>
                <w:color w:val="auto"/>
                <w:highlight w:val="none"/>
              </w:rPr>
              <w:t xml:space="preserve">13)可实现分布存储架构，单台设备可独立配置为控制节点或存储节点，也可配置为控制和存储一体节点。可实现单台工作模式、非对称式分布存储架构以及对称分布存储架构。</w:t>
            </w:r>
            <w:r/>
          </w:p>
          <w:p>
            <w:pPr>
              <w:spacing w:line="273" w:lineRule="exact"/>
              <w:rPr>
                <w:color w:val="auto"/>
                <w:highlight w:val="none"/>
              </w:rPr>
            </w:pPr>
            <w:r>
              <w:rPr>
                <w:color w:val="auto"/>
                <w:highlight w:val="none"/>
              </w:rPr>
              <w:t xml:space="preserve">14)可通过WEB方式对云存储集群的软硬件进行统一化集中管理，实现集群的配置、资源使用状态监控、运行状态、性能监控、在线批量升级、系统日志查询、故障报警及一键升级等功能。</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网课终端</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 设备具备1路HDMI输入（应支持4K30fps、1080p及720P分辨率），1路HDMI环出，1路音频立体声输入，支持立体声和双声道；</w:t>
            </w:r>
            <w:r/>
          </w:p>
          <w:p>
            <w:pPr>
              <w:spacing w:line="273" w:lineRule="exact"/>
              <w:rPr>
                <w:color w:val="auto"/>
                <w:highlight w:val="none"/>
              </w:rPr>
            </w:pPr>
            <w:r>
              <w:rPr>
                <w:color w:val="auto"/>
                <w:highlight w:val="none"/>
              </w:rPr>
              <w:t xml:space="preserve">▲2. 具备1路UVC输出，驱动兼容性强，可兼容主流操作系统，模拟USB摄像机接入腾讯会议等软件视频会议；具备≥4个高清网络摄像机接入，支持ONVIF、RTSP、RTMP协议设备接入；网络支持NTP client 协议，支持IPV4/IPV6协议，支持 DHCP、静态路由表、SNMP、HTTPS、端口服务设置，支持注册SIP平台；（提供CMA认证的检测机构出具的检测报告复印件并加盖公章）</w:t>
            </w:r>
            <w:r/>
          </w:p>
          <w:p>
            <w:pPr>
              <w:spacing w:line="273" w:lineRule="exact"/>
              <w:rPr>
                <w:color w:val="auto"/>
                <w:highlight w:val="none"/>
              </w:rPr>
            </w:pPr>
            <w:r>
              <w:rPr>
                <w:color w:val="auto"/>
                <w:highlight w:val="none"/>
              </w:rPr>
              <w:t xml:space="preserve">3. 具有智能丢包重传恢复功能，在 5％的网络丢包率情况下，图像流畅、 清晰、无明显卡顿、无明显马赛克</w:t>
            </w:r>
            <w:r/>
          </w:p>
          <w:p>
            <w:pPr>
              <w:spacing w:line="273" w:lineRule="exact"/>
              <w:rPr>
                <w:color w:val="auto"/>
                <w:highlight w:val="none"/>
              </w:rPr>
            </w:pPr>
            <w:r>
              <w:rPr>
                <w:color w:val="auto"/>
                <w:highlight w:val="none"/>
              </w:rPr>
              <w:t xml:space="preserve">4. 可满足≥8路RTMP推流，支持对通道进行推送、停止推送、是否推送音频操作；</w:t>
            </w:r>
            <w:r/>
          </w:p>
          <w:p>
            <w:pPr>
              <w:spacing w:line="273" w:lineRule="exact"/>
              <w:rPr>
                <w:color w:val="auto"/>
                <w:highlight w:val="none"/>
              </w:rPr>
            </w:pPr>
            <w:r>
              <w:rPr>
                <w:color w:val="auto"/>
                <w:highlight w:val="none"/>
              </w:rPr>
              <w:t xml:space="preserve">5. 可满足对输入的音频信号进行选择和切换，支持实时混音配置，最大支持≥6路输入混音、1路音频输出，具备≥4级音频降噪功能；</w:t>
            </w:r>
            <w:r/>
          </w:p>
          <w:p>
            <w:pPr>
              <w:spacing w:line="273" w:lineRule="exact"/>
              <w:rPr>
                <w:color w:val="auto"/>
                <w:highlight w:val="none"/>
              </w:rPr>
            </w:pPr>
            <w:r>
              <w:rPr>
                <w:color w:val="auto"/>
                <w:highlight w:val="none"/>
              </w:rPr>
              <w:t xml:space="preserve">6. 具备画面合成能力，画面布局支持单画面、画中画等多种画面模式；</w:t>
            </w:r>
            <w:r/>
          </w:p>
          <w:p>
            <w:pPr>
              <w:spacing w:line="273" w:lineRule="exact"/>
              <w:rPr>
                <w:color w:val="auto"/>
                <w:highlight w:val="none"/>
              </w:rPr>
            </w:pPr>
            <w:r>
              <w:rPr>
                <w:color w:val="auto"/>
                <w:highlight w:val="none"/>
              </w:rPr>
              <w:t xml:space="preserve">7. 可实现远程控制前端摄像机的推拉、摇移等操作，支持手动导播，内容叠加时间、校标和水印；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38</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是</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视频终端拍照摄像机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1.机身参数：</w:t>
            </w:r>
            <w:r/>
          </w:p>
          <w:p>
            <w:pPr>
              <w:ind w:firstLine="110"/>
              <w:spacing w:line="273" w:lineRule="exact"/>
              <w:rPr>
                <w:color w:val="auto"/>
                <w:highlight w:val="none"/>
              </w:rPr>
            </w:pPr>
            <w:r>
              <w:rPr>
                <w:color w:val="auto"/>
                <w:highlight w:val="none"/>
              </w:rPr>
              <w:t xml:space="preserve">传感器：全画幅背照式CMOS，有效像素≥3300万，高动态范围，弱光成像表现优秀；影像处理器：旗舰级影像处理器，算力强劲；对焦系统：相位检测对焦，画面覆盖率≥94％，支持人眼、动物、鸟类、车辆全品类实时追焦；暗光对焦：支持-4EV暗光环境精准对焦。</w:t>
            </w:r>
            <w:r/>
          </w:p>
          <w:p>
            <w:pPr>
              <w:spacing w:line="273" w:lineRule="exact"/>
              <w:rPr>
                <w:color w:val="auto"/>
                <w:highlight w:val="none"/>
              </w:rPr>
            </w:pPr>
            <w:r>
              <w:rPr>
                <w:color w:val="auto"/>
                <w:highlight w:val="none"/>
              </w:rPr>
              <w:t xml:space="preserve">连拍性能：机械快门≥10张/秒，电子快门≥30张/秒无黑屏连拍，支持连续追焦</w:t>
            </w:r>
            <w:r/>
          </w:p>
          <w:p>
            <w:pPr>
              <w:spacing w:line="273" w:lineRule="exact"/>
              <w:rPr>
                <w:color w:val="auto"/>
                <w:highlight w:val="none"/>
              </w:rPr>
            </w:pPr>
            <w:r>
              <w:rPr>
                <w:color w:val="auto"/>
                <w:highlight w:val="none"/>
              </w:rPr>
              <w:t xml:space="preserve">视频功能：支持4K/60p无裁切录制、4K/120p慢动作录制，10bit 4:2:2色彩采样；内置S-Log3、HLG、电影风格色彩模式</w:t>
            </w:r>
            <w:r/>
          </w:p>
          <w:p>
            <w:pPr>
              <w:spacing w:line="273" w:lineRule="exact"/>
              <w:rPr>
                <w:color w:val="auto"/>
                <w:highlight w:val="none"/>
              </w:rPr>
            </w:pPr>
            <w:r>
              <w:rPr>
                <w:color w:val="auto"/>
                <w:highlight w:val="none"/>
              </w:rPr>
              <w:t xml:space="preserve">显示屏幕：3英寸侧翻触控屏，支持触控对焦与菜单操作</w:t>
            </w:r>
            <w:r/>
          </w:p>
          <w:p>
            <w:pPr>
              <w:spacing w:line="273" w:lineRule="exact"/>
              <w:rPr>
                <w:color w:val="auto"/>
                <w:highlight w:val="none"/>
              </w:rPr>
            </w:pPr>
            <w:r>
              <w:rPr>
                <w:color w:val="auto"/>
                <w:highlight w:val="none"/>
              </w:rPr>
              <w:t xml:space="preserve">存储配置：双卡槽，兼容CFexpress Type A、UHS-II SD高速存储卡</w:t>
            </w:r>
            <w:r/>
          </w:p>
          <w:p>
            <w:pPr>
              <w:spacing w:line="273" w:lineRule="exact"/>
              <w:rPr>
                <w:color w:val="auto"/>
                <w:highlight w:val="none"/>
              </w:rPr>
            </w:pPr>
            <w:r>
              <w:rPr>
                <w:color w:val="auto"/>
                <w:highlight w:val="none"/>
              </w:rPr>
              <w:t xml:space="preserve">接口配置：配备HDMI2.1、USB3.2 Gen2、3.5mm音频输入输出接口</w:t>
            </w:r>
            <w:r/>
          </w:p>
          <w:p>
            <w:pPr>
              <w:spacing w:line="273" w:lineRule="exact"/>
              <w:rPr>
                <w:color w:val="auto"/>
                <w:highlight w:val="none"/>
              </w:rPr>
            </w:pPr>
            <w:r>
              <w:rPr>
                <w:color w:val="auto"/>
                <w:highlight w:val="none"/>
              </w:rPr>
              <w:t xml:space="preserve">续航供电：原厂专用电池，CIPA标准续航≥580张，支持USB-PD快充</w:t>
            </w:r>
            <w:r/>
          </w:p>
          <w:p>
            <w:pPr>
              <w:spacing w:line="273" w:lineRule="exact"/>
              <w:rPr>
                <w:color w:val="auto"/>
                <w:highlight w:val="none"/>
              </w:rPr>
            </w:pPr>
            <w:r>
              <w:rPr>
                <w:color w:val="auto"/>
                <w:highlight w:val="none"/>
              </w:rPr>
              <w:t xml:space="preserve">对焦单元：标配759点相位检测对焦点，对焦响应迅速、追踪稳定性强</w:t>
            </w:r>
            <w:r/>
          </w:p>
          <w:p>
            <w:pPr>
              <w:spacing w:line="273" w:lineRule="exact"/>
              <w:rPr>
                <w:color w:val="auto"/>
                <w:highlight w:val="none"/>
              </w:rPr>
            </w:pPr>
            <w:r>
              <w:rPr>
                <w:color w:val="auto"/>
                <w:highlight w:val="none"/>
              </w:rPr>
              <w:t xml:space="preserve">视频能力：支持7K超采样生成4K/30p视频，画面细节与锐度大幅提升</w:t>
            </w:r>
            <w:r/>
          </w:p>
          <w:p>
            <w:pPr>
              <w:ind w:firstLine="110"/>
              <w:spacing w:line="273" w:lineRule="exact"/>
              <w:rPr>
                <w:color w:val="auto"/>
                <w:highlight w:val="none"/>
              </w:rPr>
            </w:pPr>
            <w:r>
              <w:rPr>
                <w:color w:val="auto"/>
                <w:highlight w:val="none"/>
              </w:rPr>
            </w:r>
            <w:r/>
          </w:p>
          <w:p>
            <w:pPr>
              <w:spacing w:line="273" w:lineRule="exact"/>
              <w:rPr>
                <w:color w:val="auto"/>
                <w:highlight w:val="none"/>
              </w:rPr>
            </w:pPr>
            <w:r>
              <w:rPr>
                <w:color w:val="auto"/>
                <w:highlight w:val="none"/>
              </w:rPr>
              <w:t xml:space="preserve">二、镜头（24-70mm 标准变焦镜头）参数</w:t>
            </w:r>
            <w:r/>
          </w:p>
          <w:p>
            <w:pPr>
              <w:ind w:firstLine="110"/>
              <w:spacing w:line="273" w:lineRule="exact"/>
              <w:rPr>
                <w:color w:val="auto"/>
                <w:highlight w:val="none"/>
              </w:rPr>
            </w:pPr>
            <w:r>
              <w:rPr>
                <w:color w:val="auto"/>
                <w:highlight w:val="none"/>
              </w:rPr>
            </w:r>
            <w:r/>
          </w:p>
          <w:p>
            <w:pPr>
              <w:ind w:firstLine="110"/>
              <w:spacing w:line="273" w:lineRule="exact"/>
              <w:rPr>
                <w:color w:val="auto"/>
                <w:highlight w:val="none"/>
              </w:rPr>
            </w:pPr>
            <w:r>
              <w:rPr>
                <w:color w:val="auto"/>
                <w:highlight w:val="none"/>
              </w:rPr>
              <w:t xml:space="preserve">基础规格：24-70mm焦段，全焦段恒定F2.8大光圈</w:t>
            </w:r>
            <w:r/>
          </w:p>
          <w:p>
            <w:pPr>
              <w:spacing w:line="273" w:lineRule="exact"/>
              <w:rPr>
                <w:color w:val="auto"/>
                <w:highlight w:val="none"/>
              </w:rPr>
            </w:pPr>
            <w:r>
              <w:rPr>
                <w:color w:val="auto"/>
                <w:highlight w:val="none"/>
              </w:rPr>
              <w:t xml:space="preserve">光学结构：15组20片镜片组合，含超级非球面、ED及Super ED超低色散镜片，有效抑制色差、畸变、彗差</w:t>
            </w:r>
            <w:r/>
          </w:p>
          <w:p>
            <w:pPr>
              <w:spacing w:line="273" w:lineRule="exact"/>
              <w:rPr>
                <w:color w:val="auto"/>
                <w:highlight w:val="none"/>
              </w:rPr>
            </w:pPr>
            <w:r>
              <w:rPr>
                <w:color w:val="auto"/>
                <w:highlight w:val="none"/>
              </w:rPr>
              <w:t xml:space="preserve">画质表现：F2.8全开光圈中心高锐度，F4后边缘画质优异，MTF表现出色</w:t>
            </w:r>
            <w:r/>
          </w:p>
          <w:p>
            <w:pPr>
              <w:spacing w:line="273" w:lineRule="exact"/>
              <w:rPr>
                <w:color w:val="auto"/>
                <w:highlight w:val="none"/>
              </w:rPr>
            </w:pPr>
            <w:r>
              <w:rPr>
                <w:color w:val="auto"/>
                <w:highlight w:val="none"/>
              </w:rPr>
              <w:t xml:space="preserve">操控设计：配备独立光圈环（无级/有级可调）、变焦阻尼调节器、双自定义按键</w:t>
            </w:r>
            <w:r/>
          </w:p>
          <w:p>
            <w:pPr>
              <w:spacing w:line="273" w:lineRule="exact"/>
              <w:rPr>
                <w:color w:val="auto"/>
                <w:highlight w:val="none"/>
              </w:rPr>
            </w:pPr>
            <w:r>
              <w:rPr>
                <w:color w:val="auto"/>
                <w:highlight w:val="none"/>
              </w:rPr>
              <w:t xml:space="preserve">近摄能力：24mm端最近对焦≤0.21m，70mm端最近对焦≤0.3m，最大放大倍率≥0.32倍</w:t>
            </w:r>
            <w:r/>
          </w:p>
          <w:p>
            <w:pPr>
              <w:spacing w:line="273" w:lineRule="exact"/>
              <w:rPr>
                <w:color w:val="auto"/>
                <w:highlight w:val="none"/>
              </w:rPr>
            </w:pPr>
            <w:r>
              <w:rPr>
                <w:color w:val="auto"/>
                <w:highlight w:val="none"/>
              </w:rPr>
              <w:t xml:space="preserve">防护性能：整机防尘防滴溅，前组镜片搭载氟防污镀膜</w:t>
            </w:r>
            <w:r/>
          </w:p>
          <w:p>
            <w:pPr>
              <w:spacing w:line="273" w:lineRule="exact"/>
              <w:rPr>
                <w:color w:val="auto"/>
                <w:highlight w:val="none"/>
              </w:rPr>
            </w:pPr>
            <w:r>
              <w:rPr>
                <w:color w:val="auto"/>
                <w:highlight w:val="none"/>
              </w:rPr>
              <w:t xml:space="preserve">滤镜规格：φ82mm，遮光罩预留CPL调节窗口</w:t>
            </w:r>
            <w:r/>
          </w:p>
          <w:p>
            <w:pPr>
              <w:ind w:firstLine="110"/>
              <w:spacing w:line="273" w:lineRule="exact"/>
              <w:rPr>
                <w:color w:val="auto"/>
                <w:highlight w:val="none"/>
              </w:rPr>
            </w:pPr>
            <w:r>
              <w:rPr>
                <w:color w:val="auto"/>
                <w:highlight w:val="none"/>
              </w:rPr>
              <w:t xml:space="preserve">对焦系统：搭载4枚XD线性马达，对焦响应低至0.02秒，支持焦点呼吸补偿</w:t>
            </w:r>
            <w:r/>
          </w:p>
          <w:p>
            <w:pPr>
              <w:spacing w:line="273" w:lineRule="exact"/>
              <w:rPr>
                <w:color w:val="auto"/>
                <w:highlight w:val="none"/>
              </w:rPr>
            </w:pPr>
            <w:r>
              <w:rPr>
                <w:color w:val="auto"/>
                <w:highlight w:val="none"/>
              </w:rPr>
              <w:t xml:space="preserve">机身重量：镜头自重≤695g，轻量化设计，搭配机身重心均衡。</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无线图传</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1、4k高清画质；</w:t>
            </w:r>
            <w:r/>
          </w:p>
          <w:p>
            <w:pPr>
              <w:spacing w:line="273" w:lineRule="exact"/>
              <w:rPr>
                <w:color w:val="auto"/>
                <w:highlight w:val="none"/>
              </w:rPr>
            </w:pPr>
            <w:r>
              <w:rPr>
                <w:color w:val="auto"/>
                <w:highlight w:val="none"/>
              </w:rPr>
              <w:t xml:space="preserve">2、5.1-5.8/2.4GHz双频；</w:t>
            </w:r>
            <w:r/>
          </w:p>
          <w:p>
            <w:pPr>
              <w:spacing w:line="273" w:lineRule="exact"/>
              <w:rPr>
                <w:color w:val="auto"/>
                <w:highlight w:val="none"/>
              </w:rPr>
            </w:pPr>
            <w:r>
              <w:rPr>
                <w:color w:val="auto"/>
                <w:highlight w:val="none"/>
              </w:rPr>
              <w:t xml:space="preserve">3、400m远距离传输；</w:t>
            </w:r>
            <w:r/>
          </w:p>
          <w:p>
            <w:pPr>
              <w:spacing w:line="273" w:lineRule="exact"/>
              <w:rPr>
                <w:color w:val="auto"/>
                <w:highlight w:val="none"/>
              </w:rPr>
            </w:pPr>
            <w:r>
              <w:rPr>
                <w:color w:val="auto"/>
                <w:highlight w:val="none"/>
              </w:rPr>
              <w:t xml:space="preserve">4、一拖四支持HDMI环出UVC推流（一拖二）；</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48口全光交换机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 设备为企业级三层千兆汇聚交换机，采用标准机架式结构，非SOHO级、非家用型设备，满足100～150个标准化考场视频监控及数据互联传输需求。</w:t>
            </w:r>
            <w:r/>
          </w:p>
          <w:p>
            <w:pPr>
              <w:spacing w:line="273" w:lineRule="exact"/>
              <w:rPr>
                <w:color w:val="auto"/>
                <w:highlight w:val="none"/>
              </w:rPr>
            </w:pPr>
            <w:r>
              <w:rPr>
                <w:color w:val="auto"/>
                <w:highlight w:val="none"/>
              </w:rPr>
              <w:t xml:space="preserve">2. 固化千兆SFP光接口≥48个，无电口；固化万兆SFP+光接口≥4个，所有端口支持全线速无阻塞转发。</w:t>
            </w:r>
            <w:r/>
          </w:p>
          <w:p>
            <w:pPr>
              <w:spacing w:line="273" w:lineRule="exact"/>
              <w:rPr>
                <w:color w:val="auto"/>
                <w:highlight w:val="none"/>
              </w:rPr>
            </w:pPr>
            <w:r>
              <w:rPr>
                <w:color w:val="auto"/>
                <w:highlight w:val="none"/>
              </w:rPr>
              <w:t xml:space="preserve">3. 整机交换容量≥598Gbps，整机包转发率≥450Mpps，MAC地址表容量≥64K，支持地址自动学习与老化。</w:t>
            </w:r>
            <w:r/>
          </w:p>
          <w:p>
            <w:pPr>
              <w:spacing w:line="273" w:lineRule="exact"/>
              <w:rPr>
                <w:color w:val="auto"/>
                <w:highlight w:val="none"/>
              </w:rPr>
            </w:pPr>
            <w:r>
              <w:rPr>
                <w:color w:val="auto"/>
                <w:highlight w:val="none"/>
              </w:rPr>
              <w:t xml:space="preserve">4. 支持IEEE 802.1Q VLAN，支持基于端口、MAC、协议、IP子网的VLAN划分，支持Guest VLAN、Voice VLAN、Super VLAN。</w:t>
            </w:r>
            <w:r/>
          </w:p>
          <w:p>
            <w:pPr>
              <w:spacing w:line="273" w:lineRule="exact"/>
              <w:rPr>
                <w:color w:val="auto"/>
                <w:highlight w:val="none"/>
              </w:rPr>
            </w:pPr>
            <w:r>
              <w:rPr>
                <w:color w:val="auto"/>
                <w:highlight w:val="none"/>
              </w:rPr>
              <w:t xml:space="preserve">5. 支持IPv4静态路由、RIPv1/v2、OSPF等三层路由协议，支持VRRP网关冗余协议，保障网络高可靠运行。</w:t>
            </w:r>
            <w:r/>
          </w:p>
          <w:p>
            <w:pPr>
              <w:spacing w:line="273" w:lineRule="exact"/>
              <w:rPr>
                <w:color w:val="auto"/>
                <w:highlight w:val="none"/>
              </w:rPr>
            </w:pPr>
            <w:r>
              <w:rPr>
                <w:color w:val="auto"/>
                <w:highlight w:val="none"/>
              </w:rPr>
              <w:t xml:space="preserve">6. 支持基于端口、ACL、DSCP、802.1p的QoS调度机制，支持SP、WRR、DRR、SP+WRR队列调度算法，保障视频监控流优先稳定传输。</w:t>
            </w:r>
            <w:r/>
          </w:p>
          <w:p>
            <w:pPr>
              <w:spacing w:line="273" w:lineRule="exact"/>
              <w:rPr>
                <w:color w:val="auto"/>
                <w:highlight w:val="none"/>
              </w:rPr>
            </w:pPr>
            <w:r>
              <w:rPr>
                <w:color w:val="auto"/>
                <w:highlight w:val="none"/>
              </w:rPr>
              <w:t xml:space="preserve">7. 支持静态及LACP动态链路聚合，支持跨设备链路聚合，上行端口可链路聚合扩容，满足视频大带宽接入存储设备。</w:t>
            </w:r>
            <w:r/>
          </w:p>
          <w:p>
            <w:pPr>
              <w:spacing w:line="273" w:lineRule="exact"/>
              <w:rPr>
                <w:color w:val="auto"/>
                <w:highlight w:val="none"/>
              </w:rPr>
            </w:pPr>
            <w:r>
              <w:rPr>
                <w:color w:val="auto"/>
                <w:highlight w:val="none"/>
              </w:rPr>
              <w:t xml:space="preserve">8. 支持IGMP Snooping v1/v2/v3，支持组播VLAN、组播过滤，降低视频组播流量占用，提升网络传输效率。</w:t>
            </w:r>
            <w:r/>
          </w:p>
          <w:p>
            <w:pPr>
              <w:spacing w:line="273" w:lineRule="exact"/>
              <w:rPr>
                <w:color w:val="auto"/>
                <w:highlight w:val="none"/>
              </w:rPr>
            </w:pPr>
            <w:r>
              <w:rPr>
                <w:color w:val="auto"/>
                <w:highlight w:val="none"/>
              </w:rPr>
              <w:t xml:space="preserve">9. 支持广播、组播、单播风暴抑制，支持环路检测、端口隔离、端口安全，防止环路及风暴导致视频卡顿、掉线。</w:t>
            </w:r>
            <w:r/>
          </w:p>
          <w:p>
            <w:pPr>
              <w:spacing w:line="273" w:lineRule="exact"/>
              <w:rPr>
                <w:color w:val="auto"/>
                <w:highlight w:val="none"/>
              </w:rPr>
            </w:pPr>
            <w:r>
              <w:rPr>
                <w:color w:val="auto"/>
                <w:highlight w:val="none"/>
              </w:rPr>
              <w:t xml:space="preserve">10. 支持IPv4/IPv6双栈，支持DHCP Snooping、ARP防攻击、ACL访问控制列表，保障考场网络安全稳定。</w:t>
            </w:r>
            <w:r/>
          </w:p>
          <w:p>
            <w:pPr>
              <w:spacing w:line="273" w:lineRule="exact"/>
              <w:rPr>
                <w:color w:val="auto"/>
                <w:highlight w:val="none"/>
              </w:rPr>
            </w:pPr>
            <w:r>
              <w:rPr>
                <w:color w:val="auto"/>
                <w:highlight w:val="none"/>
              </w:rPr>
              <w:t xml:space="preserve">11. 支持端口镜像、流镜像功能，满足网络运维、故障排查及考场数据监管要求。</w:t>
            </w:r>
            <w:r/>
          </w:p>
          <w:p>
            <w:pPr>
              <w:spacing w:line="273" w:lineRule="exact"/>
              <w:rPr>
                <w:color w:val="auto"/>
                <w:highlight w:val="none"/>
              </w:rPr>
            </w:pPr>
            <w:r>
              <w:rPr>
                <w:color w:val="auto"/>
                <w:highlight w:val="none"/>
              </w:rPr>
              <w:t xml:space="preserve">12. 设备采用可热插拔冗余电源设计，电源数量≥2，支持交直流供电，配置智能温控风扇，支持前后通风散热，满足7×24小时不间断运行。</w:t>
            </w:r>
            <w:r/>
          </w:p>
          <w:p>
            <w:pPr>
              <w:spacing w:line="273" w:lineRule="exact"/>
              <w:rPr>
                <w:color w:val="auto"/>
                <w:highlight w:val="none"/>
              </w:rPr>
            </w:pPr>
            <w:r>
              <w:rPr>
                <w:color w:val="auto"/>
                <w:highlight w:val="none"/>
              </w:rPr>
              <w:t xml:space="preserve">13. 支持命令行、WEB、SNMP等多种管理方式，支持统一网管平台集中管理，便于考场网络运维与监管。</w:t>
            </w:r>
            <w:r/>
          </w:p>
          <w:p>
            <w:pPr>
              <w:spacing w:line="273" w:lineRule="exact"/>
              <w:rPr>
                <w:color w:val="auto"/>
                <w:highlight w:val="none"/>
              </w:rPr>
            </w:pPr>
            <w:r>
              <w:rPr>
                <w:color w:val="auto"/>
                <w:highlight w:val="none"/>
              </w:rPr>
              <w:t xml:space="preserve">14. 设备标配万兆光模块：10GBASE-SR多模光模块≥4个，与交换机同一品牌，兼容匹配，即插即用。</w:t>
            </w:r>
            <w:r/>
          </w:p>
          <w:p>
            <w:pPr>
              <w:spacing w:line="273" w:lineRule="exact"/>
              <w:rPr>
                <w:color w:val="auto"/>
                <w:highlight w:val="none"/>
              </w:rPr>
            </w:pPr>
            <w:r>
              <w:rPr>
                <w:color w:val="auto"/>
                <w:highlight w:val="none"/>
              </w:rPr>
              <w:t xml:space="preserve">15. 设备提供原厂质保服务，投标时需提供原厂售后服务承诺函，确保项目交付及后期运维保障。</w:t>
            </w:r>
            <w:r/>
          </w:p>
          <w:p>
            <w:pPr>
              <w:spacing w:line="273" w:lineRule="exact"/>
              <w:rPr>
                <w:color w:val="auto"/>
                <w:highlight w:val="none"/>
              </w:rPr>
            </w:pPr>
            <w:r>
              <w:rPr>
                <w:color w:val="auto"/>
                <w:highlight w:val="none"/>
              </w:rPr>
              <w:t xml:space="preserve">包含所需的光模块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8口POE二层交换机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极简管理交换机，8*GE(PoE）+1*GE+1*SFP,交换容量：20Gbps，包转发率：14.88Mpps，桌面式，PoE功率：125W，</w:t>
            </w:r>
            <w:r/>
          </w:p>
          <w:p>
            <w:pPr>
              <w:spacing w:line="273" w:lineRule="exact"/>
              <w:rPr>
                <w:color w:val="auto"/>
                <w:highlight w:val="none"/>
              </w:rPr>
            </w:pPr>
            <w:r>
              <w:rPr>
                <w:color w:val="auto"/>
                <w:highlight w:val="none"/>
              </w:rPr>
              <w:t xml:space="preserve">每台配齐1对单光模块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72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教师和板书摄像机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1.采用深度学习硬件及算法，支持区域入侵侦测，越界侦测进入区域侦测和离开区域侦测，支持人脸抓拍</w:t>
            </w:r>
            <w:r/>
          </w:p>
          <w:p>
            <w:pPr>
              <w:spacing w:line="273" w:lineRule="exact"/>
              <w:rPr>
                <w:color w:val="auto"/>
                <w:highlight w:val="none"/>
              </w:rPr>
            </w:pPr>
            <w:r>
              <w:rPr>
                <w:color w:val="auto"/>
                <w:highlight w:val="none"/>
              </w:rPr>
              <w:t xml:space="preserve">2.最高分辨率可达3840x2160@25 fps，在该分辨率下可输出实时图像</w:t>
            </w:r>
            <w:r/>
          </w:p>
          <w:p>
            <w:pPr>
              <w:spacing w:line="273" w:lineRule="exact"/>
              <w:rPr>
                <w:color w:val="auto"/>
                <w:highlight w:val="none"/>
              </w:rPr>
            </w:pPr>
            <w:r>
              <w:rPr>
                <w:color w:val="auto"/>
                <w:highlight w:val="none"/>
              </w:rPr>
              <w:t xml:space="preserve">3.支持H.265/H.264/MJPEG视频压缩算法，支持多级别视频质量配置、编码复杂度设置</w:t>
            </w:r>
            <w:r/>
          </w:p>
          <w:p>
            <w:pPr>
              <w:spacing w:line="273" w:lineRule="exact"/>
              <w:rPr>
                <w:color w:val="auto"/>
                <w:highlight w:val="none"/>
              </w:rPr>
            </w:pPr>
            <w:r>
              <w:rPr>
                <w:color w:val="auto"/>
                <w:highlight w:val="none"/>
              </w:rPr>
              <w:t xml:space="preserve">4.支持ROI感兴趣区域增强编码，支持Smart265/264编码，可根据场景情况自适应调整码率分配，有效节省存储成本</w:t>
            </w:r>
            <w:r/>
          </w:p>
          <w:p>
            <w:pPr>
              <w:spacing w:line="273" w:lineRule="exact"/>
              <w:rPr>
                <w:color w:val="auto"/>
                <w:highlight w:val="none"/>
              </w:rPr>
            </w:pPr>
            <w:r>
              <w:rPr>
                <w:color w:val="auto"/>
                <w:highlight w:val="none"/>
              </w:rPr>
              <w:t xml:space="preserve">5.支持背光补偿，强光抑制，3D数字降噪，120dB宽动态，透雾</w:t>
            </w:r>
            <w:r/>
          </w:p>
          <w:p>
            <w:pPr>
              <w:spacing w:line="273" w:lineRule="exact"/>
              <w:rPr>
                <w:color w:val="auto"/>
                <w:highlight w:val="none"/>
              </w:rPr>
            </w:pPr>
            <w:r>
              <w:rPr>
                <w:color w:val="auto"/>
                <w:highlight w:val="none"/>
              </w:rPr>
              <w:t xml:space="preserve">6.采用高效阵列红外灯，使用寿命长，红外照射距离最远可达30 m</w:t>
            </w:r>
            <w:r/>
          </w:p>
          <w:p>
            <w:pPr>
              <w:spacing w:line="273" w:lineRule="exact"/>
              <w:rPr>
                <w:color w:val="auto"/>
                <w:highlight w:val="none"/>
              </w:rPr>
            </w:pPr>
            <w:r>
              <w:rPr>
                <w:color w:val="auto"/>
                <w:highlight w:val="none"/>
              </w:rPr>
              <w:t xml:space="preserve">7.支持最大256 GB MicrosD/MicroSDHC/MicroSDXC卡本地存储</w:t>
            </w:r>
            <w:r/>
          </w:p>
          <w:p>
            <w:pPr>
              <w:spacing w:line="273" w:lineRule="exact"/>
              <w:rPr>
                <w:color w:val="auto"/>
                <w:highlight w:val="none"/>
              </w:rPr>
            </w:pPr>
            <w:r>
              <w:rPr>
                <w:color w:val="auto"/>
                <w:highlight w:val="none"/>
              </w:rPr>
              <w:t xml:space="preserve">8.支持1路报警输入，1路报警输出(报警输出最大支持AC24/DC24V，1A)，1路音频输入，1路音频输出</w:t>
            </w:r>
            <w:r/>
          </w:p>
          <w:p>
            <w:pPr>
              <w:spacing w:line="273" w:lineRule="exact"/>
              <w:rPr>
                <w:color w:val="auto"/>
                <w:highlight w:val="none"/>
              </w:rPr>
            </w:pPr>
            <w:r>
              <w:rPr>
                <w:color w:val="auto"/>
                <w:highlight w:val="none"/>
              </w:rPr>
              <w:t xml:space="preserve">9.符合IP67防尘防水设计，可靠性高支持电动变焦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37</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学生和巡查摄像机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1.最高分辨率可达3840x2160 @20 fps</w:t>
            </w:r>
            <w:r/>
          </w:p>
          <w:p>
            <w:pPr>
              <w:spacing w:line="273" w:lineRule="exact"/>
              <w:rPr>
                <w:color w:val="auto"/>
                <w:highlight w:val="none"/>
              </w:rPr>
            </w:pPr>
            <w:r>
              <w:rPr>
                <w:color w:val="auto"/>
                <w:highlight w:val="none"/>
              </w:rPr>
              <w:t xml:space="preserve">2.支持背光补偿，强光抑制，3D数字降噪，120dB宽动态，适应不同监控环境</w:t>
            </w:r>
            <w:r/>
          </w:p>
          <w:p>
            <w:pPr>
              <w:spacing w:line="273" w:lineRule="exact"/>
              <w:rPr>
                <w:color w:val="auto"/>
                <w:highlight w:val="none"/>
              </w:rPr>
            </w:pPr>
            <w:r>
              <w:rPr>
                <w:color w:val="auto"/>
                <w:highlight w:val="none"/>
              </w:rPr>
              <w:t xml:space="preserve">3.支持Smart侦测:越界侦测，区域入侵侦测</w:t>
            </w:r>
            <w:r/>
          </w:p>
          <w:p>
            <w:pPr>
              <w:spacing w:line="273" w:lineRule="exact"/>
              <w:rPr>
                <w:color w:val="auto"/>
                <w:highlight w:val="none"/>
              </w:rPr>
            </w:pPr>
            <w:r>
              <w:rPr>
                <w:color w:val="auto"/>
                <w:highlight w:val="none"/>
              </w:rPr>
              <w:t xml:space="preserve">4.支持低码率、低延时、ROI感兴趣区域增强编码，支持Smart265编码，可根据场景情况自适应调整码率分配，有效节省存储成本</w:t>
            </w:r>
            <w:r/>
          </w:p>
          <w:p>
            <w:pPr>
              <w:spacing w:line="273" w:lineRule="exact"/>
              <w:rPr>
                <w:color w:val="auto"/>
                <w:highlight w:val="none"/>
              </w:rPr>
            </w:pPr>
            <w:r>
              <w:rPr>
                <w:color w:val="auto"/>
                <w:highlight w:val="none"/>
              </w:rPr>
              <w:t xml:space="preserve">5.支持MicroSD/MicroSDHC/MicroSDXC卡，最大256 GB本地存储1个内置麦克风，高清拾音</w:t>
            </w:r>
            <w:r/>
          </w:p>
          <w:p>
            <w:pPr>
              <w:spacing w:line="273" w:lineRule="exact"/>
              <w:rPr>
                <w:color w:val="auto"/>
                <w:highlight w:val="none"/>
              </w:rPr>
            </w:pPr>
            <w:r>
              <w:rPr>
                <w:color w:val="auto"/>
                <w:highlight w:val="none"/>
              </w:rPr>
              <w:t xml:space="preserve">6.支持白光/红外双补光，红外最远可达30m，白光最远可达20m</w:t>
            </w:r>
            <w:r/>
          </w:p>
          <w:p>
            <w:pPr>
              <w:spacing w:line="273" w:lineRule="exact"/>
              <w:rPr>
                <w:color w:val="auto"/>
                <w:highlight w:val="none"/>
              </w:rPr>
            </w:pPr>
            <w:r>
              <w:rPr>
                <w:color w:val="auto"/>
                <w:highlight w:val="none"/>
              </w:rPr>
              <w:t xml:space="preserve">7.符合IP66级防尘防水，可靠性高</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74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安防摄像头（含支架）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1、轻智能筒型网络摄像机，支持鳞镜补光，夜间成像效果更出色</w:t>
            </w:r>
            <w:r/>
          </w:p>
          <w:p>
            <w:pPr>
              <w:spacing w:line="273" w:lineRule="exact"/>
              <w:rPr>
                <w:color w:val="auto"/>
                <w:highlight w:val="none"/>
              </w:rPr>
            </w:pPr>
            <w:r>
              <w:rPr>
                <w:color w:val="auto"/>
                <w:highlight w:val="none"/>
              </w:rPr>
              <w:t xml:space="preserve">2、采用1/1.8"背照式传感器，相比传统摄像机前照式传感器，增加的进光量对图像质量有明显的改善作用</w:t>
            </w:r>
            <w:r/>
          </w:p>
          <w:p>
            <w:pPr>
              <w:spacing w:line="273" w:lineRule="exact"/>
              <w:rPr>
                <w:color w:val="auto"/>
                <w:highlight w:val="none"/>
              </w:rPr>
            </w:pPr>
            <w:r>
              <w:rPr>
                <w:color w:val="auto"/>
                <w:highlight w:val="none"/>
              </w:rPr>
              <w:t xml:space="preserve">3、支持智能资源模式：人脸抓拍、道路监控、Smart事件，多种智能模式可按需切换</w:t>
            </w:r>
            <w:r/>
          </w:p>
          <w:p>
            <w:pPr>
              <w:spacing w:line="273" w:lineRule="exact"/>
              <w:rPr>
                <w:color w:val="auto"/>
                <w:highlight w:val="none"/>
              </w:rPr>
            </w:pPr>
            <w:r>
              <w:rPr>
                <w:color w:val="auto"/>
                <w:highlight w:val="none"/>
              </w:rPr>
              <w:t xml:space="preserve">4、Smart事件模式：越界侦测，区域入侵侦测，进入区域侦测，离开区域侦测，徘徊侦测，人员聚集侦测，快速运动侦测，停车侦测，物品拿取侦测，物品遗留侦测，场景变更侦测，音频陡升侦测，音频陡降侦测，音频有无侦测，虚焦侦测。其中越界侦测，区域入侵侦测，进入区域侦测，离开区域侦测为深度学习算法，支持联动声光预警</w:t>
            </w:r>
            <w:r/>
          </w:p>
          <w:p>
            <w:pPr>
              <w:spacing w:line="273" w:lineRule="exact"/>
              <w:rPr>
                <w:color w:val="auto"/>
                <w:highlight w:val="none"/>
              </w:rPr>
            </w:pPr>
            <w:r>
              <w:rPr>
                <w:color w:val="auto"/>
                <w:highlight w:val="none"/>
              </w:rPr>
              <w:t xml:space="preserve">5、适用于混行道路、重点出入口、园区、路口路段等需要进行人车管理的场景</w:t>
            </w:r>
            <w:r/>
          </w:p>
          <w:p>
            <w:pPr>
              <w:spacing w:line="273" w:lineRule="exact"/>
              <w:rPr>
                <w:color w:val="auto"/>
                <w:highlight w:val="none"/>
              </w:rPr>
            </w:pPr>
            <w:r>
              <w:rPr>
                <w:color w:val="auto"/>
                <w:highlight w:val="none"/>
              </w:rPr>
              <w:t xml:space="preserve">6、鳞镜补光：采用隐藏式灯珠设计，通过鳞甲密布排列形成的镜面反射出光，见光不见灯；增加发光面积，降低聚光效果，补光柔和均匀</w:t>
            </w:r>
            <w:r/>
          </w:p>
          <w:p>
            <w:pPr>
              <w:spacing w:line="273" w:lineRule="exact"/>
              <w:rPr>
                <w:color w:val="auto"/>
                <w:highlight w:val="none"/>
              </w:rPr>
            </w:pPr>
            <w:r>
              <w:rPr>
                <w:color w:val="auto"/>
                <w:highlight w:val="none"/>
              </w:rPr>
              <w:t xml:space="preserve">7、Smart录像：支持断网续传功能保证录像不丢失，配合Smart NVR/SD卡实现事件录像的智能后检索、分析和浓缩播放，Smart编码：支持低码率、低延时、ROI感兴趣区域增强编码、SVC自适应编码技术，支持Smart265编码</w:t>
            </w:r>
            <w:r/>
          </w:p>
          <w:p>
            <w:pPr>
              <w:spacing w:line="273" w:lineRule="exact"/>
              <w:rPr>
                <w:color w:val="auto"/>
                <w:highlight w:val="none"/>
              </w:rPr>
            </w:pPr>
            <w:r>
              <w:rPr>
                <w:color w:val="auto"/>
                <w:highlight w:val="none"/>
              </w:rPr>
              <w:t xml:space="preserve">8、系统功能：支持开放型网络视频接口、ISAPI、GB/T28181和E-HOME协议接入；支持三码流技术，支持同时20路取流；支持萤石平台接入</w:t>
            </w:r>
            <w:r/>
          </w:p>
          <w:p>
            <w:pPr>
              <w:spacing w:line="273" w:lineRule="exact"/>
              <w:rPr>
                <w:color w:val="auto"/>
                <w:highlight w:val="none"/>
              </w:rPr>
            </w:pPr>
            <w:r>
              <w:rPr>
                <w:color w:val="auto"/>
                <w:highlight w:val="none"/>
              </w:rPr>
              <w:t xml:space="preserve">9、图像相关：支持400万像素 @60 fps实时帧率，图像更流畅；支持透雾，电子防抖，并具有多种白平衡模式，适合各种场景需求</w:t>
            </w:r>
            <w:r/>
          </w:p>
          <w:p>
            <w:pPr>
              <w:spacing w:line="273" w:lineRule="exact"/>
              <w:rPr>
                <w:color w:val="auto"/>
                <w:highlight w:val="none"/>
              </w:rPr>
            </w:pPr>
            <w:r>
              <w:rPr>
                <w:color w:val="auto"/>
                <w:highlight w:val="none"/>
              </w:rPr>
              <w:t xml:space="preserve">10、安全服务：支持三级用户权限管理，支持授权的用户和密码，支持IP地址过滤</w:t>
            </w:r>
            <w:r/>
          </w:p>
          <w:p>
            <w:pPr>
              <w:spacing w:line="273" w:lineRule="exact"/>
              <w:rPr>
                <w:color w:val="auto"/>
                <w:highlight w:val="none"/>
              </w:rPr>
            </w:pPr>
            <w:r>
              <w:rPr>
                <w:color w:val="auto"/>
                <w:highlight w:val="none"/>
              </w:rPr>
              <w:t xml:space="preserve">11、宽动态：支持宽动态范围达120 dB，适合逆光环境监控</w:t>
            </w:r>
            <w:r/>
          </w:p>
          <w:p>
            <w:pPr>
              <w:spacing w:line="273" w:lineRule="exact"/>
              <w:rPr>
                <w:color w:val="auto"/>
                <w:highlight w:val="none"/>
              </w:rPr>
            </w:pPr>
            <w:r>
              <w:rPr>
                <w:color w:val="auto"/>
                <w:highlight w:val="none"/>
              </w:rPr>
              <w:t xml:space="preserve">接口功能：内置MicroSD/MicroSDHC/MicroSDXC插槽，最大支持 256 GB；支持10 M/100 M自适应网口；支持一对报警输入输出</w:t>
            </w:r>
            <w:r/>
          </w:p>
          <w:p>
            <w:pPr>
              <w:spacing w:line="273" w:lineRule="exact"/>
              <w:rPr>
                <w:color w:val="auto"/>
                <w:highlight w:val="none"/>
              </w:rPr>
            </w:pPr>
            <w:r>
              <w:rPr>
                <w:color w:val="auto"/>
                <w:highlight w:val="none"/>
              </w:rPr>
              <w:t xml:space="preserve">12、传感器类型：1/1.8" Progressive Scan CMOS</w:t>
            </w:r>
            <w:r/>
          </w:p>
          <w:p>
            <w:pPr>
              <w:spacing w:line="273" w:lineRule="exact"/>
              <w:rPr>
                <w:color w:val="auto"/>
                <w:highlight w:val="none"/>
              </w:rPr>
            </w:pPr>
            <w:r>
              <w:rPr>
                <w:color w:val="auto"/>
                <w:highlight w:val="none"/>
              </w:rPr>
              <w:t xml:space="preserve">最低照度：彩色：0.002 Lux @（F1.2，AGC ON），0 Lux with Light</w:t>
            </w:r>
            <w:r/>
          </w:p>
          <w:p>
            <w:pPr>
              <w:spacing w:line="273" w:lineRule="exact"/>
              <w:rPr>
                <w:color w:val="auto"/>
                <w:highlight w:val="none"/>
                <w:lang w:val="en-US"/>
              </w:rPr>
            </w:pPr>
            <w:r>
              <w:rPr>
                <w:color w:val="auto"/>
                <w:highlight w:val="none"/>
                <w:lang w:val="en-US"/>
              </w:rPr>
              <w:t xml:space="preserve">13</w:t>
            </w:r>
            <w:r>
              <w:rPr>
                <w:color w:val="auto"/>
                <w:highlight w:val="none"/>
              </w:rPr>
              <w:t xml:space="preserve">、黑白</w:t>
            </w:r>
            <w:r>
              <w:rPr>
                <w:color w:val="auto"/>
                <w:highlight w:val="none"/>
                <w:lang w:val="en-US"/>
              </w:rPr>
              <w:t xml:space="preserve">：0.0002 Lux @（F1.2，AGC ON），0 Lux with IR</w:t>
            </w:r>
            <w:r/>
          </w:p>
          <w:p>
            <w:pPr>
              <w:spacing w:line="273" w:lineRule="exact"/>
              <w:rPr>
                <w:color w:val="auto"/>
                <w:highlight w:val="none"/>
              </w:rPr>
            </w:pPr>
            <w:r>
              <w:rPr>
                <w:color w:val="auto"/>
                <w:highlight w:val="none"/>
              </w:rPr>
              <w:t xml:space="preserve">宽动态：120 dB</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40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64路硬盘录像机（不含硬盘）</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1、可接驳符合开放型网络视频接口、RTSP、GB28181标准的网络摄像机</w:t>
            </w:r>
            <w:r/>
          </w:p>
          <w:p>
            <w:pPr>
              <w:spacing w:line="273" w:lineRule="exact"/>
              <w:rPr>
                <w:color w:val="auto"/>
                <w:highlight w:val="none"/>
              </w:rPr>
            </w:pPr>
            <w:r>
              <w:rPr>
                <w:color w:val="auto"/>
                <w:highlight w:val="none"/>
              </w:rPr>
              <w:t xml:space="preserve">2、支持接入H.265、Smart265、H,264、Smart264视频编码码流;</w:t>
            </w:r>
            <w:r/>
          </w:p>
          <w:p>
            <w:pPr>
              <w:spacing w:line="273" w:lineRule="exact"/>
              <w:rPr>
                <w:color w:val="auto"/>
                <w:highlight w:val="none"/>
              </w:rPr>
            </w:pPr>
            <w:r>
              <w:rPr>
                <w:color w:val="auto"/>
                <w:highlight w:val="none"/>
              </w:rPr>
              <w:t xml:space="preserve">3、解码性能强劲，最大支持24路1080P解码;支持1200万像素高清网络视频的预览、存储与回放;</w:t>
            </w:r>
            <w:r/>
          </w:p>
          <w:p>
            <w:pPr>
              <w:spacing w:line="273" w:lineRule="exact"/>
              <w:rPr>
                <w:color w:val="auto"/>
                <w:highlight w:val="none"/>
              </w:rPr>
            </w:pPr>
            <w:r>
              <w:rPr>
                <w:color w:val="auto"/>
                <w:highlight w:val="none"/>
              </w:rPr>
              <w:t xml:space="preserve">4、支持HDMI与VGA同/异源输出，HDMI最大支持4K超高清显示输出，VGA支持1080P高清显示输出</w:t>
            </w:r>
            <w:r/>
          </w:p>
          <w:p>
            <w:pPr>
              <w:spacing w:line="273" w:lineRule="exact"/>
              <w:rPr>
                <w:color w:val="auto"/>
                <w:highlight w:val="none"/>
              </w:rPr>
            </w:pPr>
            <w:r>
              <w:rPr>
                <w:color w:val="auto"/>
                <w:highlight w:val="none"/>
              </w:rPr>
              <w:t xml:space="preserve">5、自带8个SATA接口，最大支持满配16T硬盘;支持IP设备集中管理，包括IP设备一键添加、参数配置、批量升级、导入/导出等</w:t>
            </w:r>
            <w:r/>
          </w:p>
          <w:p>
            <w:pPr>
              <w:spacing w:line="273" w:lineRule="exact"/>
              <w:rPr>
                <w:color w:val="auto"/>
                <w:highlight w:val="none"/>
              </w:rPr>
            </w:pPr>
            <w:r>
              <w:rPr>
                <w:color w:val="auto"/>
                <w:highlight w:val="none"/>
              </w:rPr>
              <w:t xml:space="preserve">6、最大支持16路本地同步回放;</w:t>
            </w:r>
            <w:r/>
          </w:p>
          <w:p>
            <w:pPr>
              <w:spacing w:line="273" w:lineRule="exact"/>
              <w:rPr>
                <w:color w:val="auto"/>
                <w:highlight w:val="none"/>
              </w:rPr>
            </w:pPr>
            <w:r>
              <w:rPr>
                <w:color w:val="auto"/>
                <w:highlight w:val="none"/>
              </w:rPr>
              <w:t xml:space="preserve">7、针对人、车及事件类型，支持快速回放与智能检索功能，大幅提升录像回放和检索效率。</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会议发言席双头演讲话筒</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1.咪杆数量：双咪杆。</w:t>
            </w:r>
            <w:r/>
          </w:p>
          <w:p>
            <w:pPr>
              <w:spacing w:line="273" w:lineRule="exact"/>
              <w:rPr>
                <w:color w:val="auto"/>
                <w:highlight w:val="none"/>
              </w:rPr>
            </w:pPr>
            <w:r>
              <w:rPr>
                <w:color w:val="auto"/>
                <w:highlight w:val="none"/>
              </w:rPr>
              <w:t xml:space="preserve">2.拾音能力强、低噪声、低失真、超心型指向性，平衡输出。</w:t>
            </w:r>
            <w:r/>
          </w:p>
          <w:p>
            <w:pPr>
              <w:spacing w:line="273" w:lineRule="exact"/>
              <w:rPr>
                <w:color w:val="auto"/>
                <w:highlight w:val="none"/>
              </w:rPr>
            </w:pPr>
            <w:r>
              <w:rPr>
                <w:color w:val="auto"/>
                <w:highlight w:val="none"/>
              </w:rPr>
              <w:t xml:space="preserve">3.根据演讲汇报人员身高，可上下调整高度。</w:t>
            </w:r>
            <w:r/>
          </w:p>
          <w:p>
            <w:pPr>
              <w:spacing w:line="273" w:lineRule="exact"/>
              <w:rPr>
                <w:color w:val="auto"/>
                <w:highlight w:val="none"/>
              </w:rPr>
            </w:pPr>
            <w:r>
              <w:rPr>
                <w:color w:val="auto"/>
                <w:highlight w:val="none"/>
              </w:rPr>
              <w:t xml:space="preserve">4.换能方式：电容式。</w:t>
            </w:r>
            <w:r/>
          </w:p>
          <w:p>
            <w:pPr>
              <w:spacing w:line="273" w:lineRule="exact"/>
              <w:rPr>
                <w:color w:val="auto"/>
                <w:highlight w:val="none"/>
              </w:rPr>
            </w:pPr>
            <w:r>
              <w:rPr>
                <w:color w:val="auto"/>
                <w:highlight w:val="none"/>
              </w:rPr>
              <w:t xml:space="preserve">5.指向特性：超心型单一指向。</w:t>
            </w:r>
            <w:r/>
          </w:p>
          <w:p>
            <w:pPr>
              <w:spacing w:line="273" w:lineRule="exact"/>
              <w:rPr>
                <w:color w:val="auto"/>
                <w:highlight w:val="none"/>
              </w:rPr>
            </w:pPr>
            <w:r>
              <w:rPr>
                <w:color w:val="auto"/>
                <w:highlight w:val="none"/>
              </w:rPr>
              <w:t xml:space="preserve">6.频率响应：等同或优于60Hz-16kHz </w:t>
            </w:r>
            <w:r/>
          </w:p>
          <w:p>
            <w:pPr>
              <w:spacing w:line="273" w:lineRule="exact"/>
              <w:rPr>
                <w:color w:val="auto"/>
                <w:highlight w:val="none"/>
              </w:rPr>
            </w:pPr>
            <w:r>
              <w:rPr>
                <w:color w:val="auto"/>
                <w:highlight w:val="none"/>
              </w:rPr>
              <w:t xml:space="preserve">7.信噪比：＞65dB</w:t>
            </w:r>
            <w:r/>
          </w:p>
          <w:p>
            <w:pPr>
              <w:spacing w:line="273" w:lineRule="exact"/>
              <w:rPr>
                <w:color w:val="auto"/>
                <w:highlight w:val="none"/>
              </w:rPr>
            </w:pPr>
            <w:r>
              <w:rPr>
                <w:color w:val="auto"/>
                <w:highlight w:val="none"/>
              </w:rPr>
              <w:t xml:space="preserve">8.输出阻扰：≤1200Ω平衡</w:t>
            </w:r>
            <w:r/>
          </w:p>
          <w:p>
            <w:pPr>
              <w:spacing w:line="273" w:lineRule="exact"/>
              <w:rPr>
                <w:color w:val="auto"/>
                <w:highlight w:val="none"/>
              </w:rPr>
            </w:pPr>
            <w:r>
              <w:rPr>
                <w:color w:val="auto"/>
                <w:highlight w:val="none"/>
              </w:rPr>
              <w:t xml:space="preserve">9.灵敏度：-30dB</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会议主机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1.无线方式实现所有功能，摆脱繁琐的电缆铺设；</w:t>
            </w:r>
            <w:r/>
          </w:p>
          <w:p>
            <w:pPr>
              <w:spacing w:line="273" w:lineRule="exact"/>
              <w:rPr>
                <w:color w:val="auto"/>
                <w:highlight w:val="none"/>
              </w:rPr>
            </w:pPr>
            <w:r>
              <w:rPr>
                <w:color w:val="auto"/>
                <w:highlight w:val="none"/>
              </w:rPr>
              <w:t xml:space="preserve">2.系统具有一键扫频功能，通过扫描使用环境，自动选择无干扰频段，并内置发言通道监控功能，可实时查看干扰信号强度以及有效信号强度；</w:t>
            </w:r>
            <w:r/>
          </w:p>
          <w:p>
            <w:pPr>
              <w:spacing w:line="273" w:lineRule="exact"/>
              <w:rPr>
                <w:color w:val="auto"/>
                <w:highlight w:val="none"/>
              </w:rPr>
            </w:pPr>
            <w:r>
              <w:rPr>
                <w:color w:val="auto"/>
                <w:highlight w:val="none"/>
              </w:rPr>
              <w:t xml:space="preserve">3.内置多种传感器，无线侦测、无线调控、无线匹配、无线加密、无线自动管理；支持列席单元数量不限，同时发言人数不少于4人，可按实际会议需求设定人数；</w:t>
            </w:r>
            <w:r/>
          </w:p>
          <w:p>
            <w:pPr>
              <w:spacing w:line="273" w:lineRule="exact"/>
              <w:rPr>
                <w:color w:val="auto"/>
                <w:highlight w:val="none"/>
              </w:rPr>
            </w:pPr>
            <w:r>
              <w:rPr>
                <w:color w:val="auto"/>
                <w:highlight w:val="none"/>
              </w:rPr>
              <w:t xml:space="preserve">4.雷达选频自动同步工作，列席单元在同一地址码时，主控机更换通讯频道，所有列席单元自动跟随同步；</w:t>
            </w:r>
            <w:r/>
          </w:p>
          <w:p>
            <w:pPr>
              <w:spacing w:line="273" w:lineRule="exact"/>
              <w:rPr>
                <w:color w:val="auto"/>
                <w:highlight w:val="none"/>
              </w:rPr>
            </w:pPr>
            <w:r>
              <w:rPr>
                <w:color w:val="auto"/>
                <w:highlight w:val="none"/>
              </w:rPr>
              <w:t xml:space="preserve">5.发言模式设有先进先出、主席模式、限制模式，申请模式等；</w:t>
            </w:r>
            <w:r/>
          </w:p>
          <w:p>
            <w:pPr>
              <w:spacing w:line="273" w:lineRule="exact"/>
              <w:rPr>
                <w:color w:val="auto"/>
                <w:highlight w:val="none"/>
              </w:rPr>
            </w:pPr>
            <w:r>
              <w:rPr>
                <w:color w:val="auto"/>
                <w:highlight w:val="none"/>
              </w:rPr>
              <w:t xml:space="preserve">6.支持中控控制，话筒单元具有开、关话筒发码功能；</w:t>
            </w:r>
            <w:r/>
          </w:p>
          <w:p>
            <w:pPr>
              <w:spacing w:line="273" w:lineRule="exact"/>
              <w:rPr>
                <w:color w:val="auto"/>
                <w:highlight w:val="none"/>
              </w:rPr>
            </w:pPr>
            <w:r>
              <w:rPr>
                <w:color w:val="auto"/>
                <w:highlight w:val="none"/>
              </w:rPr>
              <w:t xml:space="preserve">7.可以发起编写单元ID地址，可按需增减单元数量，灵活方便，告别编址繁琐；</w:t>
            </w:r>
            <w:r/>
          </w:p>
          <w:p>
            <w:pPr>
              <w:spacing w:line="273" w:lineRule="exact"/>
              <w:rPr>
                <w:color w:val="auto"/>
                <w:highlight w:val="none"/>
              </w:rPr>
            </w:pPr>
            <w:r>
              <w:rPr>
                <w:color w:val="auto"/>
                <w:highlight w:val="none"/>
              </w:rPr>
              <w:t xml:space="preserve">8.▲具有一键关闭所有会议单元的功能；带USB录音模块，可实现录制会议内容，自动生成格式文件保存；（提供CMA认证的检测机构出具的检测报告复印件并加盖公章）</w:t>
            </w:r>
            <w:r/>
          </w:p>
          <w:p>
            <w:pPr>
              <w:spacing w:line="273" w:lineRule="exact"/>
              <w:rPr>
                <w:color w:val="auto"/>
                <w:highlight w:val="none"/>
              </w:rPr>
            </w:pPr>
            <w:r>
              <w:rPr>
                <w:color w:val="auto"/>
                <w:highlight w:val="none"/>
              </w:rPr>
              <w:t xml:space="preserve">9.列席单元无缝接入，随时更换或增加列席单元，无需中断会议进程；</w:t>
            </w:r>
            <w:r/>
          </w:p>
          <w:p>
            <w:pPr>
              <w:spacing w:line="273" w:lineRule="exact"/>
              <w:rPr>
                <w:color w:val="auto"/>
                <w:highlight w:val="none"/>
              </w:rPr>
            </w:pPr>
            <w:r>
              <w:rPr>
                <w:color w:val="auto"/>
                <w:highlight w:val="none"/>
              </w:rPr>
              <w:t xml:space="preserve">10.内置均衡器，对系统输出的信号进行调整；</w:t>
            </w:r>
            <w:r/>
          </w:p>
          <w:p>
            <w:pPr>
              <w:spacing w:line="273" w:lineRule="exact"/>
              <w:rPr>
                <w:color w:val="auto"/>
                <w:highlight w:val="none"/>
              </w:rPr>
            </w:pPr>
            <w:r>
              <w:rPr>
                <w:color w:val="auto"/>
                <w:highlight w:val="none"/>
              </w:rPr>
              <w:t xml:space="preserve">11.带不小于4寸真彩显示屏，电量显示和欠压警告，频率信道、信号指示和工作状态等功能；</w:t>
            </w:r>
            <w:r/>
          </w:p>
          <w:p>
            <w:pPr>
              <w:spacing w:line="273" w:lineRule="exact"/>
              <w:rPr>
                <w:color w:val="auto"/>
                <w:highlight w:val="none"/>
              </w:rPr>
            </w:pPr>
            <w:r>
              <w:rPr>
                <w:color w:val="auto"/>
                <w:highlight w:val="none"/>
              </w:rPr>
              <w:t xml:space="preserve">12.可与摄像头直接实现接控制，信号远距离传输，不受干扰，可控制、保存摄像头预设定位；</w:t>
            </w:r>
            <w:r/>
          </w:p>
          <w:p>
            <w:pPr>
              <w:spacing w:line="273" w:lineRule="exact"/>
              <w:rPr>
                <w:color w:val="auto"/>
                <w:highlight w:val="none"/>
              </w:rPr>
            </w:pPr>
            <w:r>
              <w:rPr>
                <w:color w:val="auto"/>
                <w:highlight w:val="none"/>
              </w:rPr>
              <w:t xml:space="preserve">13.自带视像跟踪功能；</w:t>
            </w:r>
            <w:r/>
          </w:p>
          <w:p>
            <w:pPr>
              <w:spacing w:line="273" w:lineRule="exact"/>
              <w:rPr>
                <w:color w:val="auto"/>
                <w:highlight w:val="none"/>
              </w:rPr>
            </w:pPr>
            <w:r>
              <w:rPr>
                <w:color w:val="auto"/>
                <w:highlight w:val="none"/>
              </w:rPr>
              <w:t xml:space="preserve">14.支持高清视频切换，并带有外接RS232视频切换协议端口支持连接高清视频矩阵切换视频；</w:t>
            </w:r>
            <w:r/>
          </w:p>
          <w:p>
            <w:pPr>
              <w:spacing w:line="273" w:lineRule="exact"/>
              <w:rPr>
                <w:color w:val="auto"/>
                <w:highlight w:val="none"/>
              </w:rPr>
            </w:pPr>
            <w:r>
              <w:rPr>
                <w:color w:val="auto"/>
                <w:highlight w:val="none"/>
              </w:rPr>
              <w:t xml:space="preserve">技术指标要求：</w:t>
            </w:r>
            <w:r/>
          </w:p>
          <w:p>
            <w:pPr>
              <w:spacing w:line="273" w:lineRule="exact"/>
              <w:rPr>
                <w:color w:val="auto"/>
                <w:highlight w:val="none"/>
              </w:rPr>
            </w:pPr>
            <w:r>
              <w:rPr>
                <w:color w:val="auto"/>
                <w:highlight w:val="none"/>
              </w:rPr>
              <w:t xml:space="preserve">1.载波频段：≥UHF640MHz-690MHz</w:t>
            </w:r>
            <w:r/>
          </w:p>
          <w:p>
            <w:pPr>
              <w:spacing w:line="273" w:lineRule="exact"/>
              <w:rPr>
                <w:color w:val="auto"/>
                <w:highlight w:val="none"/>
              </w:rPr>
            </w:pPr>
            <w:r>
              <w:rPr>
                <w:color w:val="auto"/>
                <w:highlight w:val="none"/>
              </w:rPr>
              <w:t xml:space="preserve">2.调制方式：FM</w:t>
            </w:r>
            <w:r/>
          </w:p>
          <w:p>
            <w:pPr>
              <w:spacing w:line="273" w:lineRule="exact"/>
              <w:rPr>
                <w:color w:val="auto"/>
                <w:highlight w:val="none"/>
              </w:rPr>
            </w:pPr>
            <w:r>
              <w:rPr>
                <w:color w:val="auto"/>
                <w:highlight w:val="none"/>
              </w:rPr>
              <w:t xml:space="preserve">3.工作有效距离：≥50米</w:t>
            </w:r>
            <w:r/>
          </w:p>
          <w:p>
            <w:pPr>
              <w:spacing w:line="273" w:lineRule="exact"/>
              <w:rPr>
                <w:color w:val="auto"/>
                <w:highlight w:val="none"/>
              </w:rPr>
            </w:pPr>
            <w:r>
              <w:rPr>
                <w:color w:val="auto"/>
                <w:highlight w:val="none"/>
              </w:rPr>
              <w:t xml:space="preserve">4.震荡方式：PLL相位锁定频率合成</w:t>
            </w:r>
            <w:r/>
          </w:p>
          <w:p>
            <w:pPr>
              <w:spacing w:line="273" w:lineRule="exact"/>
              <w:rPr>
                <w:color w:val="auto"/>
                <w:highlight w:val="none"/>
              </w:rPr>
            </w:pPr>
            <w:r>
              <w:rPr>
                <w:color w:val="auto"/>
                <w:highlight w:val="none"/>
              </w:rPr>
              <w:t xml:space="preserve">5.综合信噪比S/N：＞105dB</w:t>
            </w:r>
            <w:r/>
          </w:p>
          <w:p>
            <w:pPr>
              <w:spacing w:line="273" w:lineRule="exact"/>
              <w:rPr>
                <w:color w:val="auto"/>
                <w:highlight w:val="none"/>
              </w:rPr>
            </w:pPr>
            <w:r>
              <w:rPr>
                <w:color w:val="auto"/>
                <w:highlight w:val="none"/>
              </w:rPr>
              <w:t xml:space="preserve">6.综合T.H.D：＜0.7％@1KHz</w:t>
            </w:r>
            <w:r/>
          </w:p>
          <w:p>
            <w:pPr>
              <w:spacing w:line="273" w:lineRule="exact"/>
              <w:rPr>
                <w:color w:val="auto"/>
                <w:highlight w:val="none"/>
              </w:rPr>
            </w:pPr>
            <w:r>
              <w:rPr>
                <w:color w:val="auto"/>
                <w:highlight w:val="none"/>
              </w:rPr>
              <w:t xml:space="preserve">7.综合频率响应：≥45Hz-18KHz±1dB</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会议无线短杆双头主席单元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1.TFT真彩高清显示，分级菜单设计，使操作简明方便；</w:t>
            </w:r>
            <w:r/>
          </w:p>
          <w:p>
            <w:pPr>
              <w:spacing w:line="273" w:lineRule="exact"/>
              <w:rPr>
                <w:color w:val="auto"/>
                <w:highlight w:val="none"/>
              </w:rPr>
            </w:pPr>
            <w:r>
              <w:rPr>
                <w:color w:val="auto"/>
                <w:highlight w:val="none"/>
              </w:rPr>
              <w:t xml:space="preserve">2.内置干涉管小振膜电容咪芯；</w:t>
            </w:r>
            <w:r/>
          </w:p>
          <w:p>
            <w:pPr>
              <w:spacing w:line="273" w:lineRule="exact"/>
              <w:rPr>
                <w:color w:val="auto"/>
                <w:highlight w:val="none"/>
              </w:rPr>
            </w:pPr>
            <w:r>
              <w:rPr>
                <w:color w:val="auto"/>
                <w:highlight w:val="none"/>
              </w:rPr>
              <w:t xml:space="preserve">3.内置大容量锂电池，每支话筒单元配有专用充电器；</w:t>
            </w:r>
            <w:r/>
          </w:p>
          <w:p>
            <w:pPr>
              <w:spacing w:line="273" w:lineRule="exact"/>
              <w:rPr>
                <w:color w:val="auto"/>
                <w:highlight w:val="none"/>
              </w:rPr>
            </w:pPr>
            <w:r>
              <w:rPr>
                <w:color w:val="auto"/>
                <w:highlight w:val="none"/>
              </w:rPr>
              <w:t xml:space="preserve">4.超低功耗，列席单元大于8小时的连续发言时间和大于20小时的待机时间；</w:t>
            </w:r>
            <w:r/>
          </w:p>
          <w:p>
            <w:pPr>
              <w:spacing w:line="273" w:lineRule="exact"/>
              <w:rPr>
                <w:color w:val="auto"/>
                <w:highlight w:val="none"/>
              </w:rPr>
            </w:pPr>
            <w:r>
              <w:rPr>
                <w:color w:val="auto"/>
                <w:highlight w:val="none"/>
              </w:rPr>
              <w:t xml:space="preserve">5.具有电量显示和欠压警告，频率信道和信号指示等功能；</w:t>
            </w:r>
            <w:r/>
          </w:p>
          <w:p>
            <w:pPr>
              <w:spacing w:line="273" w:lineRule="exact"/>
              <w:rPr>
                <w:color w:val="auto"/>
                <w:highlight w:val="none"/>
              </w:rPr>
            </w:pPr>
            <w:r>
              <w:rPr>
                <w:color w:val="auto"/>
                <w:highlight w:val="none"/>
              </w:rPr>
              <w:t xml:space="preserve">6.内藏式天线，美观实用；</w:t>
            </w:r>
            <w:r/>
          </w:p>
          <w:p>
            <w:pPr>
              <w:spacing w:line="273" w:lineRule="exact"/>
              <w:rPr>
                <w:color w:val="auto"/>
                <w:highlight w:val="none"/>
              </w:rPr>
            </w:pPr>
            <w:r>
              <w:rPr>
                <w:color w:val="auto"/>
                <w:highlight w:val="none"/>
              </w:rPr>
              <w:t xml:space="preserve">7.话筒电子音量调节，具有一键防咳静音功能；</w:t>
            </w:r>
            <w:r/>
          </w:p>
          <w:p>
            <w:pPr>
              <w:spacing w:line="273" w:lineRule="exact"/>
              <w:rPr>
                <w:color w:val="auto"/>
                <w:highlight w:val="none"/>
              </w:rPr>
            </w:pPr>
            <w:r>
              <w:rPr>
                <w:color w:val="auto"/>
                <w:highlight w:val="none"/>
              </w:rPr>
              <w:t xml:space="preserve">8.主席单元不受任何限制随时关闭代表单元，充分显示优先发言权；</w:t>
            </w:r>
            <w:r/>
          </w:p>
          <w:p>
            <w:pPr>
              <w:spacing w:line="273" w:lineRule="exact"/>
              <w:rPr>
                <w:color w:val="auto"/>
                <w:highlight w:val="none"/>
              </w:rPr>
            </w:pPr>
            <w:r>
              <w:rPr>
                <w:color w:val="auto"/>
                <w:highlight w:val="none"/>
              </w:rPr>
              <w:t xml:space="preserve">9.通信方式：数字无线方式（双向）</w:t>
            </w:r>
            <w:r/>
          </w:p>
          <w:p>
            <w:pPr>
              <w:spacing w:line="273" w:lineRule="exact"/>
              <w:rPr>
                <w:color w:val="auto"/>
                <w:highlight w:val="none"/>
              </w:rPr>
            </w:pPr>
            <w:r>
              <w:rPr>
                <w:color w:val="auto"/>
                <w:highlight w:val="none"/>
              </w:rPr>
              <w:t xml:space="preserve">10.信道数：≥ 6通道</w:t>
            </w:r>
            <w:r/>
          </w:p>
          <w:p>
            <w:pPr>
              <w:spacing w:line="273" w:lineRule="exact"/>
              <w:rPr>
                <w:color w:val="auto"/>
                <w:highlight w:val="none"/>
              </w:rPr>
            </w:pPr>
            <w:r>
              <w:rPr>
                <w:color w:val="auto"/>
                <w:highlight w:val="none"/>
              </w:rPr>
              <w:t xml:space="preserve">11.频率范围：≥500MHz-980MHz</w:t>
            </w:r>
            <w:r/>
          </w:p>
          <w:p>
            <w:pPr>
              <w:spacing w:line="273" w:lineRule="exact"/>
              <w:rPr>
                <w:color w:val="auto"/>
                <w:highlight w:val="none"/>
              </w:rPr>
            </w:pPr>
            <w:r>
              <w:rPr>
                <w:color w:val="auto"/>
                <w:highlight w:val="none"/>
              </w:rPr>
              <w:t xml:space="preserve">12.信号覆盖范围：室内半径≥80米</w:t>
            </w:r>
            <w:r/>
          </w:p>
          <w:p>
            <w:pPr>
              <w:spacing w:line="273" w:lineRule="exact"/>
              <w:rPr>
                <w:color w:val="auto"/>
                <w:highlight w:val="none"/>
              </w:rPr>
            </w:pPr>
            <w:r>
              <w:rPr>
                <w:color w:val="auto"/>
                <w:highlight w:val="none"/>
              </w:rPr>
              <w:t xml:space="preserve">13.频率响应 ：≥30-18,000 Hz</w:t>
            </w:r>
            <w:r/>
          </w:p>
          <w:p>
            <w:pPr>
              <w:spacing w:line="273" w:lineRule="exact"/>
              <w:rPr>
                <w:color w:val="auto"/>
                <w:highlight w:val="none"/>
              </w:rPr>
            </w:pPr>
            <w:r>
              <w:rPr>
                <w:color w:val="auto"/>
                <w:highlight w:val="none"/>
              </w:rPr>
              <w:t xml:space="preserve">14.最大承受声压： ≥126 dB </w:t>
            </w:r>
            <w:r/>
          </w:p>
          <w:p>
            <w:pPr>
              <w:spacing w:line="273" w:lineRule="exact"/>
              <w:rPr>
                <w:color w:val="auto"/>
                <w:highlight w:val="none"/>
              </w:rPr>
            </w:pPr>
            <w:r>
              <w:rPr>
                <w:color w:val="auto"/>
                <w:highlight w:val="none"/>
              </w:rPr>
              <w:t xml:space="preserve">15.指向特性： 心形单指向性</w:t>
            </w:r>
            <w:r/>
          </w:p>
          <w:p>
            <w:pPr>
              <w:spacing w:line="273" w:lineRule="exact"/>
              <w:rPr>
                <w:color w:val="auto"/>
                <w:highlight w:val="none"/>
              </w:rPr>
            </w:pPr>
            <w:r>
              <w:rPr>
                <w:color w:val="auto"/>
                <w:highlight w:val="none"/>
              </w:rPr>
              <w:t xml:space="preserve">16.杆长：≤240MM方管短杆</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会议无线短杆代表单元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1.TFT真彩高清显示，分级菜单设计，使操作简明方便；</w:t>
            </w:r>
            <w:r/>
          </w:p>
          <w:p>
            <w:pPr>
              <w:spacing w:line="273" w:lineRule="exact"/>
              <w:rPr>
                <w:color w:val="auto"/>
                <w:highlight w:val="none"/>
              </w:rPr>
            </w:pPr>
            <w:r>
              <w:rPr>
                <w:color w:val="auto"/>
                <w:highlight w:val="none"/>
              </w:rPr>
              <w:t xml:space="preserve">2.内置干涉管小振膜电容咪芯；</w:t>
            </w:r>
            <w:r/>
          </w:p>
          <w:p>
            <w:pPr>
              <w:spacing w:line="273" w:lineRule="exact"/>
              <w:rPr>
                <w:color w:val="auto"/>
                <w:highlight w:val="none"/>
              </w:rPr>
            </w:pPr>
            <w:r>
              <w:rPr>
                <w:color w:val="auto"/>
                <w:highlight w:val="none"/>
              </w:rPr>
              <w:t xml:space="preserve">3.内置大容量锂电池，每支话筒单元配有专用充电器；</w:t>
            </w:r>
            <w:r/>
          </w:p>
          <w:p>
            <w:pPr>
              <w:spacing w:line="273" w:lineRule="exact"/>
              <w:rPr>
                <w:color w:val="auto"/>
                <w:highlight w:val="none"/>
              </w:rPr>
            </w:pPr>
            <w:r>
              <w:rPr>
                <w:color w:val="auto"/>
                <w:highlight w:val="none"/>
              </w:rPr>
              <w:t xml:space="preserve">▲ 4.超低功耗，列席单元大于8小时的连续发言时间和大于20小时的待机时间；信号覆盖范围：室内半径≥80米（提供CMA认证的检测机构出具的检测报告复印件并加盖公章）</w:t>
            </w:r>
            <w:r/>
          </w:p>
          <w:p>
            <w:pPr>
              <w:spacing w:line="273" w:lineRule="exact"/>
              <w:rPr>
                <w:color w:val="auto"/>
                <w:highlight w:val="none"/>
              </w:rPr>
            </w:pPr>
            <w:r>
              <w:rPr>
                <w:color w:val="auto"/>
                <w:highlight w:val="none"/>
              </w:rPr>
              <w:t xml:space="preserve">5.具有电量显示和欠压警告，频率信道和信号指示等功能；</w:t>
            </w:r>
            <w:r/>
          </w:p>
          <w:p>
            <w:pPr>
              <w:spacing w:line="273" w:lineRule="exact"/>
              <w:rPr>
                <w:color w:val="auto"/>
                <w:highlight w:val="none"/>
              </w:rPr>
            </w:pPr>
            <w:r>
              <w:rPr>
                <w:color w:val="auto"/>
                <w:highlight w:val="none"/>
              </w:rPr>
              <w:t xml:space="preserve">6.内藏式天线；</w:t>
            </w:r>
            <w:r/>
          </w:p>
          <w:p>
            <w:pPr>
              <w:spacing w:line="273" w:lineRule="exact"/>
              <w:rPr>
                <w:color w:val="auto"/>
                <w:highlight w:val="none"/>
              </w:rPr>
            </w:pPr>
            <w:r>
              <w:rPr>
                <w:color w:val="auto"/>
                <w:highlight w:val="none"/>
              </w:rPr>
              <w:t xml:space="preserve">7.话筒电子音量调节，具有一键防咳静音功能；</w:t>
            </w:r>
            <w:r/>
          </w:p>
          <w:p>
            <w:pPr>
              <w:spacing w:line="273" w:lineRule="exact"/>
              <w:rPr>
                <w:color w:val="auto"/>
                <w:highlight w:val="none"/>
              </w:rPr>
            </w:pPr>
            <w:r>
              <w:rPr>
                <w:color w:val="auto"/>
                <w:highlight w:val="none"/>
              </w:rPr>
              <w:t xml:space="preserve">规格参数要求：</w:t>
            </w:r>
            <w:r/>
          </w:p>
          <w:p>
            <w:pPr>
              <w:spacing w:line="273" w:lineRule="exact"/>
              <w:rPr>
                <w:color w:val="auto"/>
                <w:highlight w:val="none"/>
              </w:rPr>
            </w:pPr>
            <w:r>
              <w:rPr>
                <w:color w:val="auto"/>
                <w:highlight w:val="none"/>
              </w:rPr>
              <w:t xml:space="preserve">1.通信方式：数字无线方式（双向）</w:t>
            </w:r>
            <w:r/>
          </w:p>
          <w:p>
            <w:pPr>
              <w:spacing w:line="273" w:lineRule="exact"/>
              <w:rPr>
                <w:color w:val="auto"/>
                <w:highlight w:val="none"/>
              </w:rPr>
            </w:pPr>
            <w:r>
              <w:rPr>
                <w:color w:val="auto"/>
                <w:highlight w:val="none"/>
              </w:rPr>
              <w:t xml:space="preserve">2.信道数：≥ 6通道</w:t>
            </w:r>
            <w:r/>
          </w:p>
          <w:p>
            <w:pPr>
              <w:spacing w:line="273" w:lineRule="exact"/>
              <w:rPr>
                <w:color w:val="auto"/>
                <w:highlight w:val="none"/>
              </w:rPr>
            </w:pPr>
            <w:r>
              <w:rPr>
                <w:color w:val="auto"/>
                <w:highlight w:val="none"/>
              </w:rPr>
              <w:t xml:space="preserve">3.频率范围：≥500MHz-980MHz</w:t>
            </w:r>
            <w:r/>
          </w:p>
          <w:p>
            <w:pPr>
              <w:spacing w:line="273" w:lineRule="exact"/>
              <w:rPr>
                <w:color w:val="auto"/>
                <w:highlight w:val="none"/>
              </w:rPr>
            </w:pPr>
            <w:r>
              <w:rPr>
                <w:color w:val="auto"/>
                <w:highlight w:val="none"/>
              </w:rPr>
              <w:t xml:space="preserve">4.频率响应 ：≥30-18,000 Hz</w:t>
            </w:r>
            <w:r/>
          </w:p>
          <w:p>
            <w:pPr>
              <w:spacing w:line="273" w:lineRule="exact"/>
              <w:rPr>
                <w:color w:val="auto"/>
                <w:highlight w:val="none"/>
              </w:rPr>
            </w:pPr>
            <w:r>
              <w:rPr>
                <w:color w:val="auto"/>
                <w:highlight w:val="none"/>
              </w:rPr>
              <w:t xml:space="preserve">5.最大承受声压： ≥126 dB</w:t>
            </w:r>
            <w:r/>
          </w:p>
          <w:p>
            <w:pPr>
              <w:spacing w:line="273" w:lineRule="exact"/>
              <w:rPr>
                <w:color w:val="auto"/>
                <w:highlight w:val="none"/>
              </w:rPr>
            </w:pPr>
            <w:r>
              <w:rPr>
                <w:color w:val="auto"/>
                <w:highlight w:val="none"/>
              </w:rPr>
              <w:t xml:space="preserve">6.指向特性： 心形单指向性</w:t>
            </w:r>
            <w:r/>
          </w:p>
          <w:p>
            <w:pPr>
              <w:spacing w:line="273" w:lineRule="exact"/>
              <w:rPr>
                <w:color w:val="auto"/>
                <w:highlight w:val="none"/>
              </w:rPr>
            </w:pPr>
            <w:r>
              <w:rPr>
                <w:color w:val="auto"/>
                <w:highlight w:val="none"/>
              </w:rPr>
              <w:t xml:space="preserve">7.杆长：≤240MM方管短杆</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无线手持话筒</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产品类型：具备双通道真分集自动对频无线系统</w:t>
            </w:r>
            <w:r/>
          </w:p>
          <w:p>
            <w:pPr>
              <w:spacing w:line="273" w:lineRule="exact"/>
              <w:rPr>
                <w:color w:val="auto"/>
                <w:highlight w:val="none"/>
              </w:rPr>
            </w:pPr>
            <w:r>
              <w:rPr>
                <w:color w:val="auto"/>
                <w:highlight w:val="none"/>
              </w:rPr>
              <w:t xml:space="preserve">接收机技术参数</w:t>
            </w:r>
            <w:r/>
          </w:p>
          <w:p>
            <w:pPr>
              <w:spacing w:line="273" w:lineRule="exact"/>
              <w:rPr>
                <w:color w:val="auto"/>
                <w:highlight w:val="none"/>
              </w:rPr>
            </w:pPr>
            <w:r>
              <w:rPr>
                <w:color w:val="auto"/>
                <w:highlight w:val="none"/>
              </w:rPr>
              <w:t xml:space="preserve">1.射频范围：500-980MHz </w:t>
            </w:r>
            <w:r/>
          </w:p>
          <w:p>
            <w:pPr>
              <w:spacing w:line="273" w:lineRule="exact"/>
              <w:rPr>
                <w:color w:val="auto"/>
                <w:highlight w:val="none"/>
              </w:rPr>
            </w:pPr>
            <w:r>
              <w:rPr>
                <w:color w:val="auto"/>
                <w:highlight w:val="none"/>
              </w:rPr>
              <w:t xml:space="preserve">2.系统频率响应：40HZ-18KHz(士3dB)</w:t>
            </w:r>
            <w:r/>
          </w:p>
          <w:p>
            <w:pPr>
              <w:spacing w:line="273" w:lineRule="exact"/>
              <w:rPr>
                <w:color w:val="auto"/>
                <w:highlight w:val="none"/>
              </w:rPr>
            </w:pPr>
            <w:r>
              <w:rPr>
                <w:color w:val="auto"/>
                <w:highlight w:val="none"/>
              </w:rPr>
              <w:t xml:space="preserve">3.音频和数据采用32bit加密传输和独立ID码，有效防止串音和干扰</w:t>
            </w:r>
            <w:r/>
          </w:p>
          <w:p>
            <w:pPr>
              <w:spacing w:line="273" w:lineRule="exact"/>
              <w:rPr>
                <w:color w:val="auto"/>
                <w:highlight w:val="none"/>
              </w:rPr>
            </w:pPr>
            <w:r>
              <w:rPr>
                <w:color w:val="auto"/>
                <w:highlight w:val="none"/>
              </w:rPr>
              <w:t xml:space="preserve">4.系统信噪比：≥105dB；</w:t>
            </w:r>
            <w:r/>
          </w:p>
          <w:p>
            <w:pPr>
              <w:spacing w:line="273" w:lineRule="exact"/>
              <w:rPr>
                <w:color w:val="auto"/>
                <w:highlight w:val="none"/>
              </w:rPr>
            </w:pPr>
            <w:r>
              <w:rPr>
                <w:color w:val="auto"/>
                <w:highlight w:val="none"/>
              </w:rPr>
              <w:t xml:space="preserve">5.系统总谐波失真：≤0.5％；</w:t>
            </w:r>
            <w:r/>
          </w:p>
          <w:p>
            <w:pPr>
              <w:spacing w:line="273" w:lineRule="exact"/>
              <w:rPr>
                <w:color w:val="auto"/>
                <w:highlight w:val="none"/>
              </w:rPr>
            </w:pPr>
            <w:r>
              <w:rPr>
                <w:color w:val="auto"/>
                <w:highlight w:val="none"/>
              </w:rPr>
              <w:t xml:space="preserve">6.接收机电压：DC11-16V；</w:t>
            </w:r>
            <w:r/>
          </w:p>
          <w:p>
            <w:pPr>
              <w:spacing w:line="273" w:lineRule="exact"/>
              <w:rPr>
                <w:color w:val="auto"/>
                <w:highlight w:val="none"/>
              </w:rPr>
            </w:pPr>
            <w:r>
              <w:rPr>
                <w:color w:val="auto"/>
                <w:highlight w:val="none"/>
              </w:rPr>
              <w:t xml:space="preserve">7.接收机电流：≤350mA；</w:t>
            </w:r>
            <w:r/>
          </w:p>
          <w:p>
            <w:pPr>
              <w:spacing w:line="273" w:lineRule="exact"/>
              <w:rPr>
                <w:color w:val="auto"/>
                <w:highlight w:val="none"/>
              </w:rPr>
            </w:pPr>
            <w:r>
              <w:rPr>
                <w:color w:val="auto"/>
                <w:highlight w:val="none"/>
              </w:rPr>
              <w:t xml:space="preserve">8.系统频率稳定度：±0.005％；</w:t>
            </w:r>
            <w:r/>
          </w:p>
          <w:p>
            <w:pPr>
              <w:spacing w:line="273" w:lineRule="exact"/>
              <w:rPr>
                <w:color w:val="auto"/>
                <w:highlight w:val="none"/>
              </w:rPr>
            </w:pPr>
            <w:r>
              <w:rPr>
                <w:color w:val="auto"/>
                <w:highlight w:val="none"/>
              </w:rPr>
              <w:t xml:space="preserve">9.动态范围：≥110dB；</w:t>
            </w:r>
            <w:r/>
          </w:p>
          <w:p>
            <w:pPr>
              <w:spacing w:line="273" w:lineRule="exact"/>
              <w:rPr>
                <w:color w:val="auto"/>
                <w:highlight w:val="none"/>
              </w:rPr>
            </w:pPr>
            <w:r>
              <w:rPr>
                <w:color w:val="auto"/>
                <w:highlight w:val="none"/>
              </w:rPr>
              <w:t xml:space="preserve">10.频偏：±45KHz</w:t>
            </w:r>
            <w:r/>
          </w:p>
          <w:p>
            <w:pPr>
              <w:spacing w:line="273" w:lineRule="exact"/>
              <w:rPr>
                <w:color w:val="auto"/>
                <w:highlight w:val="none"/>
              </w:rPr>
            </w:pPr>
            <w:r>
              <w:rPr>
                <w:color w:val="auto"/>
                <w:highlight w:val="none"/>
              </w:rPr>
              <w:t xml:space="preserve">11.噪声锁定静噪控制+音频导航锁定静噪</w:t>
            </w:r>
            <w:r/>
          </w:p>
          <w:p>
            <w:pPr>
              <w:spacing w:line="273" w:lineRule="exact"/>
              <w:rPr>
                <w:color w:val="auto"/>
                <w:highlight w:val="none"/>
              </w:rPr>
            </w:pPr>
            <w:r>
              <w:rPr>
                <w:color w:val="auto"/>
                <w:highlight w:val="none"/>
              </w:rPr>
              <w:t xml:space="preserve">12.自动对频：支持UHF双通道自动选讯,红外线自动对频、导频功能(既方便操作，又可防止串频现象)；</w:t>
            </w:r>
            <w:r/>
          </w:p>
          <w:p>
            <w:pPr>
              <w:spacing w:line="273" w:lineRule="exact"/>
              <w:rPr>
                <w:color w:val="auto"/>
                <w:highlight w:val="none"/>
              </w:rPr>
            </w:pPr>
            <w:r>
              <w:rPr>
                <w:color w:val="auto"/>
                <w:highlight w:val="none"/>
              </w:rPr>
              <w:t xml:space="preserve">13.距离可调：使用距离可人工调节，接收机和发射机都有距离控制键，可根据使用场所调整接收距离；</w:t>
            </w:r>
            <w:r/>
          </w:p>
          <w:p>
            <w:pPr>
              <w:spacing w:line="273" w:lineRule="exact"/>
              <w:rPr>
                <w:color w:val="auto"/>
                <w:highlight w:val="none"/>
              </w:rPr>
            </w:pPr>
            <w:r>
              <w:rPr>
                <w:color w:val="auto"/>
                <w:highlight w:val="none"/>
              </w:rPr>
              <w:t xml:space="preserve">14.同时使用数量：支持300个信道，根据不同地域环境自动选讯，最多可在同一场合同时使用100套；</w:t>
            </w:r>
            <w:r/>
          </w:p>
          <w:p>
            <w:pPr>
              <w:spacing w:line="273" w:lineRule="exact"/>
              <w:rPr>
                <w:color w:val="auto"/>
                <w:highlight w:val="none"/>
              </w:rPr>
            </w:pPr>
            <w:r>
              <w:rPr>
                <w:color w:val="auto"/>
                <w:highlight w:val="none"/>
              </w:rPr>
              <w:t xml:space="preserve">15.采用真分集远距离四天线技术，使用距离:300米(无障碍物)</w:t>
            </w:r>
            <w:r/>
          </w:p>
          <w:p>
            <w:pPr>
              <w:spacing w:line="273" w:lineRule="exact"/>
              <w:rPr>
                <w:color w:val="auto"/>
                <w:highlight w:val="none"/>
              </w:rPr>
            </w:pPr>
            <w:r>
              <w:rPr>
                <w:color w:val="auto"/>
                <w:highlight w:val="none"/>
              </w:rPr>
              <w:t xml:space="preserve">发射器技术参数</w:t>
            </w:r>
            <w:r/>
          </w:p>
          <w:p>
            <w:pPr>
              <w:spacing w:line="273" w:lineRule="exact"/>
              <w:rPr>
                <w:color w:val="auto"/>
                <w:highlight w:val="none"/>
              </w:rPr>
            </w:pPr>
            <w:r>
              <w:rPr>
                <w:color w:val="auto"/>
                <w:highlight w:val="none"/>
              </w:rPr>
              <w:t xml:space="preserve">1.频道:支持红外线自动对频 200~300信道</w:t>
            </w:r>
            <w:r/>
          </w:p>
          <w:p>
            <w:pPr>
              <w:spacing w:line="273" w:lineRule="exact"/>
              <w:rPr>
                <w:color w:val="auto"/>
                <w:highlight w:val="none"/>
              </w:rPr>
            </w:pPr>
            <w:r>
              <w:rPr>
                <w:color w:val="auto"/>
                <w:highlight w:val="none"/>
              </w:rPr>
              <w:t xml:space="preserve">2.频带宽度:30MHz</w:t>
            </w:r>
            <w:r/>
          </w:p>
          <w:p>
            <w:pPr>
              <w:spacing w:line="273" w:lineRule="exact"/>
              <w:rPr>
                <w:color w:val="auto"/>
                <w:highlight w:val="none"/>
              </w:rPr>
            </w:pPr>
            <w:r>
              <w:rPr>
                <w:color w:val="auto"/>
                <w:highlight w:val="none"/>
              </w:rPr>
              <w:t xml:space="preserve">3.频道间隔:250KHz</w:t>
            </w:r>
            <w:r/>
          </w:p>
          <w:p>
            <w:pPr>
              <w:spacing w:line="273" w:lineRule="exact"/>
              <w:rPr>
                <w:color w:val="auto"/>
                <w:highlight w:val="none"/>
              </w:rPr>
            </w:pPr>
            <w:r>
              <w:rPr>
                <w:color w:val="auto"/>
                <w:highlight w:val="none"/>
              </w:rPr>
              <w:t xml:space="preserve">4.频率稳定度:±0.005％</w:t>
            </w:r>
            <w:r/>
          </w:p>
          <w:p>
            <w:pPr>
              <w:spacing w:line="273" w:lineRule="exact"/>
              <w:rPr>
                <w:color w:val="auto"/>
                <w:highlight w:val="none"/>
              </w:rPr>
            </w:pPr>
            <w:r>
              <w:rPr>
                <w:color w:val="auto"/>
                <w:highlight w:val="none"/>
              </w:rPr>
              <w:t xml:space="preserve">5.含双无线话筒支架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移动式一拖四无线话筒</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1.带USB录音模块，可实现录制会议内容，自动生成格式文件保存；</w:t>
            </w:r>
            <w:r/>
          </w:p>
          <w:p>
            <w:pPr>
              <w:spacing w:line="273" w:lineRule="exact"/>
              <w:rPr>
                <w:color w:val="auto"/>
                <w:highlight w:val="none"/>
              </w:rPr>
            </w:pPr>
            <w:r>
              <w:rPr>
                <w:color w:val="auto"/>
                <w:highlight w:val="none"/>
              </w:rPr>
              <w:t xml:space="preserve">2、系统配置：一拖四无线手持话筒系统，含1台接收机+4支手持发射器，整体为黑色，适配会议、演讲等专业扩声场景。采用真分集接收技术+PLL相位锁定频率合成技术，内置宽频天线分配器，支持音码+杂讯双重静音控制。</w:t>
            </w:r>
            <w:r/>
          </w:p>
          <w:p>
            <w:pPr>
              <w:spacing w:line="273" w:lineRule="exact"/>
              <w:rPr>
                <w:color w:val="auto"/>
                <w:highlight w:val="none"/>
              </w:rPr>
            </w:pPr>
            <w:r>
              <w:rPr>
                <w:color w:val="auto"/>
                <w:highlight w:val="none"/>
              </w:rPr>
              <w:t xml:space="preserve">3.频率参数：载波频段470-900MHz，接收机信道数≥200个，信道步进250KHz，射频稳定度±0.005％（-10℃-50℃）。</w:t>
            </w:r>
            <w:r/>
          </w:p>
          <w:p>
            <w:pPr>
              <w:spacing w:line="273" w:lineRule="exact"/>
              <w:rPr>
                <w:color w:val="auto"/>
                <w:highlight w:val="none"/>
              </w:rPr>
            </w:pPr>
            <w:r>
              <w:rPr>
                <w:color w:val="auto"/>
                <w:highlight w:val="none"/>
              </w:rPr>
              <w:t xml:space="preserve">4.接收性能：支持双通道独立AFS自动搜频，电子SQ可调（接收距离对应-65~-100dBm，实际传输距离30-200米），配备2组天线输入/输出，可共享一对天线。</w:t>
            </w:r>
            <w:r/>
          </w:p>
          <w:p>
            <w:pPr>
              <w:spacing w:line="273" w:lineRule="exact"/>
              <w:rPr>
                <w:color w:val="auto"/>
                <w:highlight w:val="none"/>
              </w:rPr>
            </w:pPr>
            <w:r>
              <w:rPr>
                <w:color w:val="auto"/>
                <w:highlight w:val="none"/>
              </w:rPr>
              <w:t xml:space="preserve">5.发射器规格：全铝金属管身，动圈式音头；输出功率分15mW（高）/10mW（低）两档，杂散辐射＜55dBc，频率响应60Hz-15kHz；2节AA电池供电，连续工作时长≥13小时，内置螺旋天线。</w:t>
            </w:r>
            <w:r/>
          </w:p>
          <w:p>
            <w:pPr>
              <w:spacing w:line="273" w:lineRule="exact"/>
              <w:rPr>
                <w:color w:val="auto"/>
                <w:highlight w:val="none"/>
              </w:rPr>
            </w:pPr>
            <w:r>
              <w:rPr>
                <w:color w:val="auto"/>
                <w:highlight w:val="none"/>
              </w:rPr>
              <w:t xml:space="preserve">6.音频指标：综合信噪比＞102dB，综合失真＜0.5％@1kHz，保障人声拾音清晰无失真。</w:t>
            </w:r>
            <w:r/>
          </w:p>
          <w:p>
            <w:pPr>
              <w:spacing w:line="273" w:lineRule="exact"/>
              <w:rPr>
                <w:color w:val="auto"/>
                <w:highlight w:val="none"/>
              </w:rPr>
            </w:pPr>
            <w:r>
              <w:rPr>
                <w:color w:val="auto"/>
                <w:highlight w:val="none"/>
              </w:rPr>
              <w:t xml:space="preserve">7.控制功能：配备飞梭旋钮操作，支持红外对频；菜单内置≥6组编组叠机频率，带操作锁键防误触；接收机显示屏可显示RF/AF信号强度、电池状态、分集通道（A/B）、频率等参数。</w:t>
            </w:r>
            <w:r/>
          </w:p>
          <w:p>
            <w:pPr>
              <w:spacing w:line="273" w:lineRule="exact"/>
              <w:rPr>
                <w:color w:val="auto"/>
                <w:highlight w:val="none"/>
              </w:rPr>
            </w:pPr>
            <w:r>
              <w:rPr>
                <w:color w:val="auto"/>
                <w:highlight w:val="none"/>
              </w:rPr>
              <w:t xml:space="preserve">8.接口配置：接收机配备XLR平衡式输出插座、6.3mm不平衡式输出插座，满足不同设备连接需求。</w:t>
            </w:r>
            <w:r/>
          </w:p>
          <w:p>
            <w:pPr>
              <w:spacing w:line="273" w:lineRule="exact"/>
              <w:rPr>
                <w:color w:val="auto"/>
                <w:highlight w:val="none"/>
              </w:rPr>
            </w:pPr>
            <w:r>
              <w:rPr>
                <w:color w:val="auto"/>
                <w:highlight w:val="none"/>
              </w:rPr>
              <w:t xml:space="preserve">9.供电参数：接收机电源供应为DC 12-15V/450-1000mA，适配常规商用供电环境。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导播台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1.设备类型：便携式一体化导播台，适配中小型直播、多媒体教学、活动录制等场景，支持多机位信号切换与一体化直播录制。</w:t>
            </w:r>
            <w:r/>
          </w:p>
          <w:p>
            <w:pPr>
              <w:spacing w:line="273" w:lineRule="exact"/>
              <w:rPr>
                <w:color w:val="auto"/>
                <w:highlight w:val="none"/>
              </w:rPr>
            </w:pPr>
            <w:r>
              <w:rPr>
                <w:color w:val="auto"/>
                <w:highlight w:val="none"/>
              </w:rPr>
              <w:t xml:space="preserve">2.结构与屏幕：一体化翻盖全金属机身，内置≥11.6英寸全高清IPS液晶监看屏。</w:t>
            </w:r>
            <w:r/>
          </w:p>
          <w:p>
            <w:pPr>
              <w:spacing w:line="273" w:lineRule="exact"/>
              <w:rPr>
                <w:color w:val="auto"/>
                <w:highlight w:val="none"/>
              </w:rPr>
            </w:pPr>
            <w:r>
              <w:rPr>
                <w:color w:val="auto"/>
                <w:highlight w:val="none"/>
              </w:rPr>
              <w:t xml:space="preserve">3.视频输入：≥4路高清输入，配置4路HDMI，兼容1080P/4K信号自适应识别。</w:t>
            </w:r>
            <w:r/>
          </w:p>
          <w:p>
            <w:pPr>
              <w:spacing w:line="273" w:lineRule="exact"/>
              <w:rPr>
                <w:color w:val="auto"/>
                <w:highlight w:val="none"/>
              </w:rPr>
            </w:pPr>
            <w:r>
              <w:rPr>
                <w:color w:val="auto"/>
                <w:highlight w:val="none"/>
              </w:rPr>
              <w:t xml:space="preserve">4.视频输出：双路HDMI输出，1路PGM节目输出、1路多画面分割预监输出；支持自定义多分屏布局。</w:t>
            </w:r>
            <w:r/>
          </w:p>
          <w:p>
            <w:pPr>
              <w:spacing w:line="273" w:lineRule="exact"/>
              <w:rPr>
                <w:color w:val="auto"/>
                <w:highlight w:val="none"/>
              </w:rPr>
            </w:pPr>
            <w:r>
              <w:rPr>
                <w:color w:val="auto"/>
                <w:highlight w:val="none"/>
              </w:rPr>
              <w:t xml:space="preserve">5.直播录制：标配USB3.0免驱UVC流媒体推流；机身自带TF卡插槽本地音视频存储录制。</w:t>
            </w:r>
            <w:r/>
          </w:p>
          <w:p>
            <w:pPr>
              <w:spacing w:line="273" w:lineRule="exact"/>
              <w:rPr>
                <w:color w:val="auto"/>
                <w:highlight w:val="none"/>
              </w:rPr>
            </w:pPr>
            <w:r>
              <w:rPr>
                <w:color w:val="auto"/>
                <w:highlight w:val="none"/>
              </w:rPr>
              <w:t xml:space="preserve">6.画面处理：内置硬件色度抠像、画中画、台标叠加、横竖屏一键切换、多路转场特效、黑场/画面冻结功能。</w:t>
            </w:r>
            <w:r/>
          </w:p>
          <w:p>
            <w:pPr>
              <w:spacing w:line="273" w:lineRule="exact"/>
              <w:rPr>
                <w:color w:val="auto"/>
                <w:highlight w:val="none"/>
              </w:rPr>
            </w:pPr>
            <w:r>
              <w:rPr>
                <w:color w:val="auto"/>
                <w:highlight w:val="none"/>
              </w:rPr>
              <w:t xml:space="preserve">7.音频配置：2路MIC话筒输入+1路线性输入、独立线路输出、耳机监听口，整机内置数字混音处理。</w:t>
            </w:r>
            <w:r/>
          </w:p>
          <w:p>
            <w:pPr>
              <w:spacing w:line="273" w:lineRule="exact"/>
              <w:rPr>
                <w:color w:val="auto"/>
                <w:highlight w:val="none"/>
              </w:rPr>
            </w:pPr>
            <w:r>
              <w:rPr>
                <w:color w:val="auto"/>
                <w:highlight w:val="none"/>
              </w:rPr>
              <w:t xml:space="preserve">8.配套功能：带Tally灯控输出、固件升级、按键锁定，满足会议、户外现场导播使用。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话筒充电箱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1.电压：AC 220V或110V</w:t>
            </w:r>
            <w:r/>
          </w:p>
          <w:p>
            <w:pPr>
              <w:spacing w:line="273" w:lineRule="exact"/>
              <w:rPr>
                <w:color w:val="auto"/>
                <w:highlight w:val="none"/>
              </w:rPr>
            </w:pPr>
            <w:r>
              <w:rPr>
                <w:color w:val="auto"/>
                <w:highlight w:val="none"/>
              </w:rPr>
              <w:t xml:space="preserve">2.总功率：5V40A/200W(足功率)</w:t>
            </w:r>
            <w:r/>
          </w:p>
          <w:p>
            <w:pPr>
              <w:spacing w:line="273" w:lineRule="exact"/>
              <w:rPr>
                <w:color w:val="auto"/>
                <w:highlight w:val="none"/>
              </w:rPr>
            </w:pPr>
            <w:r>
              <w:rPr>
                <w:color w:val="auto"/>
                <w:highlight w:val="none"/>
              </w:rPr>
              <w:t xml:space="preserve">3.接口路数：22路</w:t>
            </w:r>
            <w:r/>
          </w:p>
          <w:p>
            <w:pPr>
              <w:spacing w:line="273" w:lineRule="exact"/>
              <w:rPr>
                <w:color w:val="auto"/>
                <w:highlight w:val="none"/>
              </w:rPr>
            </w:pPr>
            <w:r>
              <w:rPr>
                <w:color w:val="auto"/>
                <w:highlight w:val="none"/>
              </w:rPr>
              <w:t xml:space="preserve">4.USB单口输出：2.5A</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机柜（1.5米）</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1.名称:标准机柜；规格:600*600*1500mm；</w:t>
            </w:r>
            <w:r/>
          </w:p>
          <w:p>
            <w:pPr>
              <w:spacing w:line="273" w:lineRule="exact"/>
              <w:rPr>
                <w:color w:val="auto"/>
                <w:highlight w:val="none"/>
              </w:rPr>
            </w:pPr>
            <w:r>
              <w:rPr>
                <w:color w:val="auto"/>
                <w:highlight w:val="none"/>
              </w:rPr>
              <w:t xml:space="preserve">2.选用冷扎钢板，表面喷涂塑粉；</w:t>
            </w:r>
            <w:r/>
          </w:p>
          <w:p>
            <w:pPr>
              <w:spacing w:line="273" w:lineRule="exact"/>
              <w:rPr>
                <w:color w:val="auto"/>
                <w:highlight w:val="none"/>
              </w:rPr>
            </w:pPr>
            <w:r>
              <w:rPr>
                <w:color w:val="auto"/>
                <w:highlight w:val="none"/>
              </w:rPr>
              <w:t xml:space="preserve">3.四面开放式，机柜侧门、前后门方便拆卸，方便调试安装；</w:t>
            </w:r>
            <w:r/>
          </w:p>
          <w:p>
            <w:pPr>
              <w:spacing w:line="273" w:lineRule="exact"/>
              <w:rPr>
                <w:color w:val="auto"/>
                <w:highlight w:val="none"/>
              </w:rPr>
            </w:pPr>
            <w:r>
              <w:rPr>
                <w:color w:val="auto"/>
                <w:highlight w:val="none"/>
              </w:rPr>
              <w:t xml:space="preserve">4.自然通风散热性能良好；</w:t>
            </w:r>
            <w:r/>
          </w:p>
          <w:p>
            <w:pPr>
              <w:spacing w:line="273" w:lineRule="exact"/>
              <w:rPr>
                <w:color w:val="auto"/>
                <w:highlight w:val="none"/>
              </w:rPr>
            </w:pPr>
            <w:r>
              <w:rPr>
                <w:color w:val="auto"/>
                <w:highlight w:val="none"/>
              </w:rPr>
              <w:t xml:space="preserve">5.结构坚固，结实耐用；</w:t>
            </w:r>
            <w:r/>
          </w:p>
          <w:p>
            <w:pPr>
              <w:spacing w:line="273" w:lineRule="exact"/>
              <w:rPr>
                <w:color w:val="auto"/>
                <w:highlight w:val="none"/>
              </w:rPr>
            </w:pPr>
            <w:r>
              <w:rPr>
                <w:color w:val="auto"/>
                <w:highlight w:val="none"/>
              </w:rPr>
              <w:t xml:space="preserve">6.配PDU。</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U段控制天线增益器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1.频率范围:400-450MHz</w:t>
            </w:r>
            <w:r/>
          </w:p>
          <w:p>
            <w:pPr>
              <w:spacing w:line="273" w:lineRule="exact"/>
              <w:rPr>
                <w:color w:val="auto"/>
                <w:highlight w:val="none"/>
              </w:rPr>
            </w:pPr>
            <w:r>
              <w:rPr>
                <w:color w:val="auto"/>
                <w:highlight w:val="none"/>
              </w:rPr>
              <w:t xml:space="preserve">2.增益:5dBi</w:t>
            </w:r>
            <w:r/>
          </w:p>
          <w:p>
            <w:pPr>
              <w:spacing w:line="273" w:lineRule="exact"/>
              <w:rPr>
                <w:color w:val="auto"/>
                <w:highlight w:val="none"/>
              </w:rPr>
            </w:pPr>
            <w:r>
              <w:rPr>
                <w:color w:val="auto"/>
                <w:highlight w:val="none"/>
              </w:rPr>
              <w:t xml:space="preserve">3.驻波比:＜1.5</w:t>
            </w:r>
            <w:r/>
          </w:p>
          <w:p>
            <w:pPr>
              <w:spacing w:line="273" w:lineRule="exact"/>
              <w:rPr>
                <w:color w:val="auto"/>
                <w:highlight w:val="none"/>
              </w:rPr>
            </w:pPr>
            <w:r>
              <w:rPr>
                <w:color w:val="auto"/>
                <w:highlight w:val="none"/>
              </w:rPr>
              <w:t xml:space="preserve">4.阻抗:50Ω</w:t>
            </w:r>
            <w:r/>
          </w:p>
          <w:p>
            <w:pPr>
              <w:spacing w:line="273" w:lineRule="exact"/>
              <w:rPr>
                <w:color w:val="auto"/>
                <w:highlight w:val="none"/>
              </w:rPr>
            </w:pPr>
            <w:r>
              <w:rPr>
                <w:color w:val="auto"/>
                <w:highlight w:val="none"/>
              </w:rPr>
              <w:t xml:space="preserve">5.极化方式:垂直</w:t>
            </w:r>
            <w:r/>
          </w:p>
          <w:p>
            <w:pPr>
              <w:spacing w:line="273" w:lineRule="exact"/>
              <w:rPr>
                <w:color w:val="auto"/>
                <w:highlight w:val="none"/>
              </w:rPr>
            </w:pPr>
            <w:r>
              <w:rPr>
                <w:color w:val="auto"/>
                <w:highlight w:val="none"/>
              </w:rPr>
              <w:t xml:space="preserve">6.最大功率:50W</w:t>
            </w:r>
            <w:r/>
          </w:p>
          <w:p>
            <w:pPr>
              <w:spacing w:line="273" w:lineRule="exact"/>
              <w:rPr>
                <w:color w:val="auto"/>
                <w:highlight w:val="none"/>
              </w:rPr>
            </w:pPr>
            <w:r>
              <w:rPr>
                <w:color w:val="auto"/>
                <w:highlight w:val="none"/>
              </w:rPr>
              <w:t xml:space="preserve">7.接头型号: N-K头</w:t>
            </w:r>
            <w:r/>
          </w:p>
          <w:p>
            <w:pPr>
              <w:spacing w:line="273" w:lineRule="exact"/>
              <w:rPr>
                <w:color w:val="auto"/>
                <w:highlight w:val="none"/>
              </w:rPr>
            </w:pPr>
            <w:r>
              <w:rPr>
                <w:color w:val="auto"/>
                <w:highlight w:val="none"/>
              </w:rPr>
              <w:t xml:space="preserve">8.线材:RG58U</w:t>
            </w:r>
            <w:r/>
          </w:p>
          <w:p>
            <w:pPr>
              <w:spacing w:line="273" w:lineRule="exact"/>
              <w:rPr>
                <w:color w:val="auto"/>
                <w:highlight w:val="none"/>
              </w:rPr>
            </w:pPr>
            <w:r>
              <w:rPr>
                <w:color w:val="auto"/>
                <w:highlight w:val="none"/>
              </w:rPr>
              <w:t xml:space="preserve">9.线长:≥10米</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模拟信号调音台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1.不少于12通道线路/麦克风输入，支持每一路独立幻象供电，两路主输出，两路编组输出，两路AUX辅助输出；</w:t>
            </w:r>
            <w:r/>
          </w:p>
          <w:p>
            <w:pPr>
              <w:spacing w:line="273" w:lineRule="exact"/>
              <w:rPr>
                <w:color w:val="auto"/>
                <w:highlight w:val="none"/>
              </w:rPr>
            </w:pPr>
            <w:r>
              <w:rPr>
                <w:color w:val="auto"/>
                <w:highlight w:val="none"/>
              </w:rPr>
              <w:t xml:space="preserve">2.内置不低于100种DSP数字效果；</w:t>
            </w:r>
            <w:r/>
          </w:p>
          <w:p>
            <w:pPr>
              <w:spacing w:line="273" w:lineRule="exact"/>
              <w:rPr>
                <w:color w:val="auto"/>
                <w:highlight w:val="none"/>
              </w:rPr>
            </w:pPr>
            <w:r>
              <w:rPr>
                <w:color w:val="auto"/>
                <w:highlight w:val="none"/>
              </w:rPr>
              <w:t xml:space="preserve">3.两路AUX发送全部可切换到推子前或推子后；</w:t>
            </w:r>
            <w:r/>
          </w:p>
          <w:p>
            <w:pPr>
              <w:spacing w:line="273" w:lineRule="exact"/>
              <w:rPr>
                <w:color w:val="auto"/>
                <w:highlight w:val="none"/>
              </w:rPr>
            </w:pPr>
            <w:r>
              <w:rPr>
                <w:color w:val="auto"/>
                <w:highlight w:val="none"/>
              </w:rPr>
              <w:t xml:space="preserve">4.一路FX发送；</w:t>
            </w:r>
            <w:r/>
          </w:p>
          <w:p>
            <w:pPr>
              <w:spacing w:line="273" w:lineRule="exact"/>
              <w:rPr>
                <w:color w:val="auto"/>
                <w:highlight w:val="none"/>
              </w:rPr>
            </w:pPr>
            <w:r>
              <w:rPr>
                <w:color w:val="auto"/>
                <w:highlight w:val="none"/>
              </w:rPr>
              <w:t xml:space="preserve">5.标配USB音频播放接口；</w:t>
            </w:r>
            <w:r/>
          </w:p>
          <w:p>
            <w:pPr>
              <w:spacing w:line="273" w:lineRule="exact"/>
              <w:rPr>
                <w:color w:val="auto"/>
                <w:highlight w:val="none"/>
              </w:rPr>
            </w:pPr>
            <w:r>
              <w:rPr>
                <w:color w:val="auto"/>
                <w:highlight w:val="none"/>
              </w:rPr>
              <w:t xml:space="preserve">6.频率响应：≥20Hz－20KHz ；</w:t>
            </w:r>
            <w:r/>
          </w:p>
          <w:p>
            <w:pPr>
              <w:spacing w:line="273" w:lineRule="exact"/>
              <w:rPr>
                <w:color w:val="auto"/>
                <w:highlight w:val="none"/>
              </w:rPr>
            </w:pPr>
            <w:r>
              <w:rPr>
                <w:color w:val="auto"/>
                <w:highlight w:val="none"/>
              </w:rPr>
              <w:t xml:space="preserve">7.总谐波失真和噪声：-30dBu input to mix, mic gain30dB，＜0.007％；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16路数字信号调音台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1.采用桌面紧凑型设计，金属机身结构，本机配备≥16路XLR平衡模拟输入；模拟输出≥8路XLR平衡输出。每路输入通道独立配置48V幻象电源开关，可直接驱动电容会议话筒。</w:t>
            </w:r>
            <w:r/>
          </w:p>
          <w:p>
            <w:pPr>
              <w:spacing w:line="273" w:lineRule="exact"/>
              <w:rPr>
                <w:color w:val="auto"/>
                <w:highlight w:val="none"/>
              </w:rPr>
            </w:pPr>
            <w:r>
              <w:rPr>
                <w:color w:val="auto"/>
                <w:highlight w:val="none"/>
              </w:rPr>
              <w:t xml:space="preserve">2.内置AES50网络接口，支持扩展接口箱、多轨录音与远程设备连接。配备16个专业电动推子，推子寿命≥100万次，适配长期高强度使用。核心参数：采用40位浮点DSP处理引擎，支持48kHz/96kHz采样率，系统动态范围≥114dB，保证会议音频高清无失真。输入性能：话放等效输入噪声≤-125dBu，话放增益范围≥+60dB，捕捉微弱声音信号无杂音。</w:t>
            </w:r>
            <w:r/>
          </w:p>
          <w:p>
            <w:pPr>
              <w:spacing w:line="273" w:lineRule="exact"/>
              <w:rPr>
                <w:color w:val="auto"/>
                <w:highlight w:val="none"/>
              </w:rPr>
            </w:pPr>
            <w:r>
              <w:rPr>
                <w:color w:val="auto"/>
                <w:highlight w:val="none"/>
              </w:rPr>
              <w:t xml:space="preserve">3.内置功能：配备≥8个立体声专业效果器（含混响、延迟、均衡等），满足会议场景音频处理需求。工业级设计，支持7×24小时连续稳定运行，适配会议室、报告厅等固定安装场景。配备彩色液晶显示屏，支持通道参数、电平、效果等信息实时可视化显示，操作便捷</w:t>
            </w:r>
            <w:r/>
          </w:p>
          <w:p>
            <w:pPr>
              <w:spacing w:line="273" w:lineRule="exact"/>
              <w:rPr>
                <w:color w:val="auto"/>
                <w:highlight w:val="none"/>
              </w:rPr>
            </w:pPr>
            <w:r>
              <w:rPr>
                <w:color w:val="auto"/>
                <w:highlight w:val="none"/>
              </w:rPr>
              <w:t xml:space="preserve">4、配置独立对讲接口、耳机输出接口，满足会议沟通与个人监听需求。搭载USB音频接口，支持电脑播放、录音及系统固件在线升级。具备自定义按键、场景保存/加载、DCA编组控制等功能，适配多场景快速切换。采用宽电压交流供电，散热性能良好，支持桌面或机柜安装，安装方式灵活。配套中文操作手册，支持平板/电脑远程控制，提升系统使用便捷性。</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反馈抑制器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1.全自动检测现成啸叫点功能，通过DSP系统对声音进行过滤，高速有效的抑制啸叫，有效提升本地扩音声压和清晰度；</w:t>
            </w:r>
            <w:r/>
          </w:p>
          <w:p>
            <w:pPr>
              <w:spacing w:line="273" w:lineRule="exact"/>
              <w:rPr>
                <w:color w:val="auto"/>
                <w:highlight w:val="none"/>
              </w:rPr>
            </w:pPr>
            <w:r>
              <w:rPr>
                <w:color w:val="auto"/>
                <w:highlight w:val="none"/>
              </w:rPr>
              <w:t xml:space="preserve">2.≥2路XLR卡侬母座输入，独立+48V幻像电源开关及增益调节旋钮，≥2路XLR公卡侬座输出，≥1路数字光纤输出；</w:t>
            </w:r>
            <w:r/>
          </w:p>
          <w:p>
            <w:pPr>
              <w:spacing w:line="273" w:lineRule="exact"/>
              <w:rPr>
                <w:color w:val="auto"/>
                <w:highlight w:val="none"/>
              </w:rPr>
            </w:pPr>
            <w:r>
              <w:rPr>
                <w:color w:val="auto"/>
                <w:highlight w:val="none"/>
              </w:rPr>
              <w:t xml:space="preserve">3.≥1.9英寸TFT彩屏显示屏；</w:t>
            </w:r>
            <w:r/>
          </w:p>
          <w:p>
            <w:pPr>
              <w:spacing w:line="273" w:lineRule="exact"/>
              <w:rPr>
                <w:color w:val="auto"/>
                <w:highlight w:val="none"/>
              </w:rPr>
            </w:pPr>
            <w:r>
              <w:rPr>
                <w:color w:val="auto"/>
                <w:highlight w:val="none"/>
              </w:rPr>
              <w:t xml:space="preserve">4.≥两通道独立处理，每个通道提供≥24个滤波器；</w:t>
            </w:r>
            <w:r/>
          </w:p>
          <w:p>
            <w:pPr>
              <w:spacing w:line="273" w:lineRule="exact"/>
              <w:rPr>
                <w:color w:val="auto"/>
                <w:highlight w:val="none"/>
              </w:rPr>
            </w:pPr>
            <w:r>
              <w:rPr>
                <w:color w:val="auto"/>
                <w:highlight w:val="none"/>
              </w:rPr>
              <w:t xml:space="preserve">5.每个通道提供独立的移频，哑音，增益调节，压缩，噪声门，分频设置；</w:t>
            </w:r>
            <w:r/>
          </w:p>
          <w:p>
            <w:pPr>
              <w:spacing w:line="273" w:lineRule="exact"/>
              <w:rPr>
                <w:color w:val="auto"/>
                <w:highlight w:val="none"/>
              </w:rPr>
            </w:pPr>
            <w:r>
              <w:rPr>
                <w:color w:val="auto"/>
                <w:highlight w:val="none"/>
              </w:rPr>
              <w:t xml:space="preserve">6.具有USB2.0, USB3.0，RS485以及TCP/IP等接口连接电脑或中控设备</w:t>
            </w:r>
            <w:r/>
          </w:p>
          <w:p>
            <w:pPr>
              <w:spacing w:line="273" w:lineRule="exact"/>
              <w:rPr>
                <w:color w:val="auto"/>
                <w:highlight w:val="none"/>
              </w:rPr>
            </w:pPr>
            <w:r>
              <w:rPr>
                <w:color w:val="auto"/>
                <w:highlight w:val="none"/>
              </w:rPr>
              <w:t xml:space="preserve">7.每个通道均有≥9段独立的全参量均衡，增益范围达-20dB~+15dB，同时还可选择参量，高调，低调3种均衡模式，另各段均衡可进行直通及非直通独立及整体操作</w:t>
            </w:r>
            <w:r/>
          </w:p>
          <w:p>
            <w:pPr>
              <w:spacing w:line="273" w:lineRule="exact"/>
              <w:rPr>
                <w:color w:val="auto"/>
                <w:highlight w:val="none"/>
              </w:rPr>
            </w:pPr>
            <w:r>
              <w:rPr>
                <w:color w:val="auto"/>
                <w:highlight w:val="none"/>
              </w:rPr>
              <w:t xml:space="preserve">8.可提升传声增益6-10dB,具体取决于声学环境和所选的操作模式；</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数字音频处理器（会议）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1.本地通道数不少于8路输入、8路输出；</w:t>
            </w:r>
            <w:r/>
          </w:p>
          <w:p>
            <w:pPr>
              <w:spacing w:line="273" w:lineRule="exact"/>
              <w:rPr>
                <w:color w:val="auto"/>
                <w:highlight w:val="none"/>
              </w:rPr>
            </w:pPr>
            <w:r>
              <w:rPr>
                <w:color w:val="auto"/>
                <w:highlight w:val="none"/>
              </w:rPr>
              <w:t xml:space="preserve">2.▲支持设备工程文件保存至本地，支持多机复制工程，支持设备离线配置等；（提供CMA认证的检测机构出具的检测报告复印件并加盖公章）</w:t>
            </w:r>
            <w:r/>
          </w:p>
          <w:p>
            <w:pPr>
              <w:spacing w:line="273" w:lineRule="exact"/>
              <w:rPr>
                <w:color w:val="auto"/>
                <w:highlight w:val="none"/>
              </w:rPr>
            </w:pPr>
            <w:r>
              <w:rPr>
                <w:color w:val="auto"/>
                <w:highlight w:val="none"/>
              </w:rPr>
              <w:t xml:space="preserve">3.支持分组式自动混音，可对多只话筒分组管理；可根据声场环境设定的每组的开启麦克风数量，算法自动控制允许输出的话筒数量，提升系统传声增益；</w:t>
            </w:r>
            <w:r/>
          </w:p>
          <w:p>
            <w:pPr>
              <w:spacing w:line="273" w:lineRule="exact"/>
              <w:rPr>
                <w:color w:val="auto"/>
                <w:highlight w:val="none"/>
              </w:rPr>
            </w:pPr>
            <w:r>
              <w:rPr>
                <w:color w:val="auto"/>
                <w:highlight w:val="none"/>
              </w:rPr>
              <w:t xml:space="preserve">4. 输入通道处理功能不少于：扩展器、压缩器、动态均衡器，自动增益等；输出通道处理功能不少于：动态均衡器、高低通滤波器、限幅器等；</w:t>
            </w:r>
            <w:r/>
          </w:p>
          <w:p>
            <w:pPr>
              <w:spacing w:line="273" w:lineRule="exact"/>
              <w:rPr>
                <w:color w:val="auto"/>
                <w:highlight w:val="none"/>
              </w:rPr>
            </w:pPr>
            <w:r>
              <w:rPr>
                <w:color w:val="auto"/>
                <w:highlight w:val="none"/>
              </w:rPr>
              <w:t xml:space="preserve">5.不少于四组自适应反馈消除AFC（每组内可设置所有通道AFC，包含模拟通道、RTP 网络音频通道、混音通道等，支持任意通道组合AFC设置），抑制点不少于15个，抑制幅度不少于15dB；</w:t>
            </w:r>
            <w:r/>
          </w:p>
          <w:p>
            <w:pPr>
              <w:spacing w:line="273" w:lineRule="exact"/>
              <w:rPr>
                <w:color w:val="auto"/>
                <w:highlight w:val="none"/>
              </w:rPr>
            </w:pPr>
            <w:r>
              <w:rPr>
                <w:color w:val="auto"/>
                <w:highlight w:val="none"/>
              </w:rPr>
              <w:t xml:space="preserve">6.▲不少于两组自适应回声消除AEC(每组内可设置所有通道AEC，包含模拟</w:t>
            </w:r>
            <w:r>
              <w:rPr>
                <w:color w:val="auto"/>
                <w:highlight w:val="none"/>
              </w:rPr>
              <w:t xml:space="preserve">通道、RTP网络音频通道、混音通道等，支持任意通道组合AEC设置)，回声消除量不低于80dB，噪声消除量不低于4个等级可调；每个输入、输出通道可设定电平控制范围，即设定推子的最大值和最小值；支持不少于50个参数预设，可设置调用预设静音(淡入淡出)，调用预设模式时声音不中断。支持局部预设和全局预设，具有模块化预设功能；支持与分布式系统数字对接，网络通讯，分布式系统UI界面上可实时查看输入、输出通道动态电平值，可视化管理，一键模式切换、一键视音频联动等。（提供CMA认证的检测机构出具的检测报告复印件并加盖公章）</w:t>
            </w:r>
            <w:r/>
          </w:p>
          <w:p>
            <w:pPr>
              <w:spacing w:line="273" w:lineRule="exact"/>
              <w:rPr>
                <w:color w:val="auto"/>
                <w:highlight w:val="none"/>
              </w:rPr>
            </w:pPr>
            <w:r>
              <w:rPr>
                <w:color w:val="auto"/>
                <w:highlight w:val="none"/>
              </w:rPr>
              <w:t xml:space="preserve">7.内置WEB服务器，电脑通过网络连接设备后采用浏览器下载设备控制软件、控制对接 协议、操作手册等相关资料；一个软件可同时管理不少于100台设备；</w:t>
            </w:r>
            <w:r/>
          </w:p>
          <w:p>
            <w:pPr>
              <w:spacing w:line="273" w:lineRule="exact"/>
              <w:rPr>
                <w:color w:val="auto"/>
                <w:highlight w:val="none"/>
              </w:rPr>
            </w:pPr>
            <w:r>
              <w:rPr>
                <w:color w:val="auto"/>
                <w:highlight w:val="none"/>
              </w:rPr>
              <w:t xml:space="preserve">8.内置智能闪避器Ducker；</w:t>
            </w:r>
            <w:r/>
          </w:p>
          <w:p>
            <w:pPr>
              <w:spacing w:line="273" w:lineRule="exact"/>
              <w:rPr>
                <w:color w:val="auto"/>
                <w:highlight w:val="none"/>
              </w:rPr>
            </w:pPr>
            <w:r>
              <w:rPr>
                <w:color w:val="auto"/>
                <w:highlight w:val="none"/>
              </w:rPr>
              <w:t xml:space="preserve">9.带RS-485控制接口，内置语音跟踪功能，可控制不少于30台摄像机；</w:t>
            </w:r>
            <w:r/>
          </w:p>
          <w:p>
            <w:pPr>
              <w:spacing w:line="273" w:lineRule="exact"/>
              <w:rPr>
                <w:color w:val="auto"/>
                <w:highlight w:val="none"/>
              </w:rPr>
            </w:pPr>
            <w:r>
              <w:rPr>
                <w:color w:val="auto"/>
                <w:highlight w:val="none"/>
              </w:rPr>
              <w:t xml:space="preserve">10.支持GPIO，不少于8路GPI，8路GPO；</w:t>
            </w:r>
            <w:r/>
          </w:p>
          <w:p>
            <w:pPr>
              <w:spacing w:line="273" w:lineRule="exact"/>
              <w:rPr>
                <w:color w:val="auto"/>
                <w:highlight w:val="none"/>
              </w:rPr>
            </w:pPr>
            <w:r>
              <w:rPr>
                <w:color w:val="auto"/>
                <w:highlight w:val="none"/>
              </w:rPr>
              <w:t xml:space="preserve">11.不少于2路RTP网络音频流发送和接收，支持模拟通道、混音通道通过RTP通道发送，传输到远端，支持不少于10方远程语音讨论会议；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数字功放</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1.采用Class D技术，转换效率可达90％以上；</w:t>
            </w:r>
            <w:r/>
          </w:p>
          <w:p>
            <w:pPr>
              <w:spacing w:line="273" w:lineRule="exact"/>
              <w:rPr>
                <w:color w:val="auto"/>
                <w:highlight w:val="none"/>
              </w:rPr>
            </w:pPr>
            <w:r>
              <w:rPr>
                <w:color w:val="auto"/>
                <w:highlight w:val="none"/>
              </w:rPr>
              <w:t xml:space="preserve">2.机身轻、方便携带和安装，高度≤1U；</w:t>
            </w:r>
            <w:r/>
          </w:p>
          <w:p>
            <w:pPr>
              <w:spacing w:line="273" w:lineRule="exact"/>
              <w:rPr>
                <w:color w:val="auto"/>
                <w:highlight w:val="none"/>
              </w:rPr>
            </w:pPr>
            <w:r>
              <w:rPr>
                <w:color w:val="auto"/>
                <w:highlight w:val="none"/>
              </w:rPr>
              <w:t xml:space="preserve">3.自动限幅输出、短路、过载、过温、开机延时等保护功能；</w:t>
            </w:r>
            <w:r/>
          </w:p>
          <w:p>
            <w:pPr>
              <w:spacing w:line="273" w:lineRule="exact"/>
              <w:rPr>
                <w:color w:val="auto"/>
                <w:highlight w:val="none"/>
              </w:rPr>
            </w:pPr>
            <w:r>
              <w:rPr>
                <w:color w:val="auto"/>
                <w:highlight w:val="none"/>
              </w:rPr>
              <w:t xml:space="preserve">4.功放开关电源带有单独的冷却系统；</w:t>
            </w:r>
            <w:r/>
          </w:p>
          <w:p>
            <w:pPr>
              <w:spacing w:line="273" w:lineRule="exact"/>
              <w:rPr>
                <w:color w:val="auto"/>
                <w:highlight w:val="none"/>
              </w:rPr>
            </w:pPr>
            <w:r>
              <w:rPr>
                <w:color w:val="auto"/>
                <w:highlight w:val="none"/>
              </w:rPr>
              <w:t xml:space="preserve">5.散热风扇采用先进的无级变速电路控制；</w:t>
            </w:r>
            <w:r/>
          </w:p>
          <w:p>
            <w:pPr>
              <w:spacing w:line="273" w:lineRule="exact"/>
              <w:rPr>
                <w:color w:val="auto"/>
                <w:highlight w:val="none"/>
              </w:rPr>
            </w:pPr>
            <w:r>
              <w:rPr>
                <w:color w:val="auto"/>
                <w:highlight w:val="none"/>
              </w:rPr>
              <w:t xml:space="preserve">6.额定功率不低于：2×650W/8欧，2×1050W/4欧；</w:t>
            </w:r>
            <w:r/>
          </w:p>
          <w:p>
            <w:pPr>
              <w:spacing w:line="273" w:lineRule="exact"/>
              <w:rPr>
                <w:color w:val="auto"/>
                <w:highlight w:val="none"/>
              </w:rPr>
            </w:pPr>
            <w:r>
              <w:rPr>
                <w:color w:val="auto"/>
                <w:highlight w:val="none"/>
              </w:rPr>
              <w:t xml:space="preserve">7.频率响应不低于：20Hz-20kHz（±3dB）；</w:t>
            </w:r>
            <w:r/>
          </w:p>
          <w:p>
            <w:pPr>
              <w:spacing w:line="273" w:lineRule="exact"/>
              <w:rPr>
                <w:color w:val="auto"/>
                <w:highlight w:val="none"/>
              </w:rPr>
            </w:pPr>
            <w:r>
              <w:rPr>
                <w:color w:val="auto"/>
                <w:highlight w:val="none"/>
              </w:rPr>
              <w:t xml:space="preserve">8.总谐波失真(THD)：≤0.01％；</w:t>
            </w:r>
            <w:r/>
          </w:p>
          <w:p>
            <w:pPr>
              <w:spacing w:line="273" w:lineRule="exact"/>
              <w:rPr>
                <w:color w:val="auto"/>
                <w:highlight w:val="none"/>
              </w:rPr>
            </w:pPr>
            <w:r>
              <w:rPr>
                <w:color w:val="auto"/>
                <w:highlight w:val="none"/>
              </w:rPr>
              <w:t xml:space="preserve">1.不小于15"两分频全频音箱；</w:t>
            </w:r>
            <w:r/>
          </w:p>
          <w:p>
            <w:pPr>
              <w:spacing w:line="273" w:lineRule="exact"/>
              <w:rPr>
                <w:color w:val="auto"/>
                <w:highlight w:val="none"/>
              </w:rPr>
            </w:pPr>
            <w:r>
              <w:rPr>
                <w:color w:val="auto"/>
                <w:highlight w:val="none"/>
              </w:rPr>
              <w:t xml:space="preserve">2.频率范围：≥65Hz-20kHz；</w:t>
            </w:r>
            <w:r/>
          </w:p>
          <w:p>
            <w:pPr>
              <w:spacing w:line="273" w:lineRule="exact"/>
              <w:rPr>
                <w:color w:val="auto"/>
                <w:highlight w:val="none"/>
              </w:rPr>
            </w:pPr>
            <w:r>
              <w:rPr>
                <w:color w:val="auto"/>
                <w:highlight w:val="none"/>
              </w:rPr>
              <w:t xml:space="preserve">3.特性灵敏度：≥95dB/1W/1m；</w:t>
            </w:r>
            <w:r/>
          </w:p>
          <w:p>
            <w:pPr>
              <w:spacing w:line="273" w:lineRule="exact"/>
              <w:rPr>
                <w:color w:val="auto"/>
                <w:highlight w:val="none"/>
              </w:rPr>
            </w:pPr>
            <w:r>
              <w:rPr>
                <w:color w:val="auto"/>
                <w:highlight w:val="none"/>
              </w:rPr>
              <w:t xml:space="preserve">4.阻抗:8Ω；</w:t>
            </w:r>
            <w:r/>
          </w:p>
          <w:p>
            <w:pPr>
              <w:spacing w:line="273" w:lineRule="exact"/>
              <w:rPr>
                <w:color w:val="auto"/>
                <w:highlight w:val="none"/>
              </w:rPr>
            </w:pPr>
            <w:r>
              <w:rPr>
                <w:color w:val="auto"/>
                <w:highlight w:val="none"/>
              </w:rPr>
              <w:t xml:space="preserve">5.最大声压级：≥120dB；</w:t>
            </w:r>
            <w:r/>
          </w:p>
          <w:p>
            <w:pPr>
              <w:spacing w:line="273" w:lineRule="exact"/>
              <w:rPr>
                <w:color w:val="auto"/>
                <w:highlight w:val="none"/>
              </w:rPr>
            </w:pPr>
            <w:r>
              <w:rPr>
                <w:color w:val="auto"/>
                <w:highlight w:val="none"/>
              </w:rPr>
              <w:t xml:space="preserve">6.额定功率：≥350W；</w:t>
            </w:r>
            <w:r/>
          </w:p>
          <w:p>
            <w:pPr>
              <w:spacing w:line="273" w:lineRule="exact"/>
              <w:rPr>
                <w:color w:val="auto"/>
                <w:highlight w:val="none"/>
              </w:rPr>
            </w:pPr>
            <w:r>
              <w:rPr>
                <w:color w:val="auto"/>
                <w:highlight w:val="none"/>
              </w:rPr>
              <w:t xml:space="preserve">7.覆盖角度：≥H78°×V50°；</w:t>
            </w:r>
            <w:r/>
          </w:p>
          <w:p>
            <w:pPr>
              <w:spacing w:line="273" w:lineRule="exact"/>
              <w:rPr>
                <w:color w:val="auto"/>
                <w:highlight w:val="none"/>
              </w:rPr>
            </w:pPr>
            <w:r>
              <w:rPr>
                <w:color w:val="auto"/>
                <w:highlight w:val="none"/>
              </w:rPr>
              <w:t xml:space="preserve">8.总谐波失真：＜2％（5000Hz）；</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全频音箱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1.不小于15"两分频全频音箱；</w:t>
            </w:r>
            <w:r/>
          </w:p>
          <w:p>
            <w:pPr>
              <w:spacing w:line="273" w:lineRule="exact"/>
              <w:rPr>
                <w:color w:val="auto"/>
                <w:highlight w:val="none"/>
              </w:rPr>
            </w:pPr>
            <w:r>
              <w:rPr>
                <w:color w:val="auto"/>
                <w:highlight w:val="none"/>
              </w:rPr>
              <w:t xml:space="preserve">2.频率范围：≥65Hz-20kHz；</w:t>
            </w:r>
            <w:r/>
          </w:p>
          <w:p>
            <w:pPr>
              <w:spacing w:line="273" w:lineRule="exact"/>
              <w:rPr>
                <w:color w:val="auto"/>
                <w:highlight w:val="none"/>
              </w:rPr>
            </w:pPr>
            <w:r>
              <w:rPr>
                <w:color w:val="auto"/>
                <w:highlight w:val="none"/>
              </w:rPr>
              <w:t xml:space="preserve">3.特性灵敏度：≥95dB/1W/1m；</w:t>
            </w:r>
            <w:r/>
          </w:p>
          <w:p>
            <w:pPr>
              <w:spacing w:line="273" w:lineRule="exact"/>
              <w:rPr>
                <w:color w:val="auto"/>
                <w:highlight w:val="none"/>
              </w:rPr>
            </w:pPr>
            <w:r>
              <w:rPr>
                <w:color w:val="auto"/>
                <w:highlight w:val="none"/>
              </w:rPr>
              <w:t xml:space="preserve">4.阻抗:8Ω；</w:t>
            </w:r>
            <w:r/>
          </w:p>
          <w:p>
            <w:pPr>
              <w:spacing w:line="273" w:lineRule="exact"/>
              <w:rPr>
                <w:color w:val="auto"/>
                <w:highlight w:val="none"/>
              </w:rPr>
            </w:pPr>
            <w:r>
              <w:rPr>
                <w:color w:val="auto"/>
                <w:highlight w:val="none"/>
              </w:rPr>
              <w:t xml:space="preserve">5.最大声压级：≥120dB；</w:t>
            </w:r>
            <w:r/>
          </w:p>
          <w:p>
            <w:pPr>
              <w:spacing w:line="273" w:lineRule="exact"/>
              <w:rPr>
                <w:color w:val="auto"/>
                <w:highlight w:val="none"/>
              </w:rPr>
            </w:pPr>
            <w:r>
              <w:rPr>
                <w:color w:val="auto"/>
                <w:highlight w:val="none"/>
              </w:rPr>
              <w:t xml:space="preserve">6.额定功率：≥350W；</w:t>
            </w:r>
            <w:r/>
          </w:p>
          <w:p>
            <w:pPr>
              <w:spacing w:line="273" w:lineRule="exact"/>
              <w:rPr>
                <w:color w:val="auto"/>
                <w:highlight w:val="none"/>
              </w:rPr>
            </w:pPr>
            <w:r>
              <w:rPr>
                <w:color w:val="auto"/>
                <w:highlight w:val="none"/>
              </w:rPr>
              <w:t xml:space="preserve">7.覆盖角度：≥H78°×V50°；</w:t>
            </w:r>
            <w:r/>
          </w:p>
          <w:p>
            <w:pPr>
              <w:spacing w:line="273" w:lineRule="exact"/>
              <w:rPr>
                <w:color w:val="auto"/>
                <w:highlight w:val="none"/>
              </w:rPr>
            </w:pPr>
            <w:r>
              <w:rPr>
                <w:color w:val="auto"/>
                <w:highlight w:val="none"/>
              </w:rPr>
              <w:t xml:space="preserve">8.总谐波失真：＜2％（5000Hz）；</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汇聚交换机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1、交换容量≥4.8Tbps，包转发率≥1600Mpps，以官网最小值为准</w:t>
            </w:r>
            <w:r/>
          </w:p>
          <w:p>
            <w:pPr>
              <w:spacing w:line="273" w:lineRule="exact"/>
              <w:rPr>
                <w:color w:val="auto"/>
                <w:highlight w:val="none"/>
              </w:rPr>
            </w:pPr>
            <w:r>
              <w:rPr>
                <w:color w:val="auto"/>
                <w:highlight w:val="none"/>
              </w:rPr>
              <w:t xml:space="preserve">2、CPU等核心部件为国产芯片。</w:t>
            </w:r>
            <w:r/>
          </w:p>
          <w:p>
            <w:pPr>
              <w:spacing w:line="273" w:lineRule="exact"/>
              <w:rPr>
                <w:color w:val="auto"/>
                <w:highlight w:val="none"/>
              </w:rPr>
            </w:pPr>
            <w:r>
              <w:rPr>
                <w:color w:val="auto"/>
                <w:highlight w:val="none"/>
              </w:rPr>
              <w:t xml:space="preserve">3、支持M-LAG，将两台设备进行跨设备链路聚合，把链路可靠性从单板级提高到了设备级；</w:t>
            </w:r>
            <w:r/>
          </w:p>
          <w:p>
            <w:pPr>
              <w:spacing w:line="273" w:lineRule="exact"/>
              <w:rPr>
                <w:color w:val="auto"/>
                <w:highlight w:val="none"/>
              </w:rPr>
            </w:pPr>
            <w:r>
              <w:rPr>
                <w:color w:val="auto"/>
                <w:highlight w:val="none"/>
              </w:rPr>
              <w:t xml:space="preserve">4、支持静态路由、RIP、RIPng、OSPF、OSPFv3、BGP、BGP4+、ISIS、ISISv6；</w:t>
            </w:r>
            <w:r/>
          </w:p>
          <w:p>
            <w:pPr>
              <w:spacing w:line="273" w:lineRule="exact"/>
              <w:rPr>
                <w:color w:val="auto"/>
                <w:highlight w:val="none"/>
              </w:rPr>
            </w:pPr>
            <w:r>
              <w:rPr>
                <w:color w:val="auto"/>
                <w:highlight w:val="none"/>
              </w:rPr>
              <w:t xml:space="preserve">5、配置10G光接口≥24，40G光接口≥6，电源≥2，风扇≥2，配齐所有光模块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六类网线</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1.名称:六类四对非屏蔽双绞线</w:t>
            </w:r>
            <w:r/>
          </w:p>
          <w:p>
            <w:pPr>
              <w:spacing w:line="273" w:lineRule="exact"/>
              <w:rPr>
                <w:color w:val="auto"/>
                <w:highlight w:val="none"/>
              </w:rPr>
            </w:pPr>
            <w:r>
              <w:rPr>
                <w:color w:val="auto"/>
                <w:highlight w:val="none"/>
              </w:rPr>
              <w:t xml:space="preserve">2.规格:1.导体规格：23AWG优质无氧铜，线径≥0.57mm；2.线对隔离：中心绝缘十字骨架3.传输性能：最大可支持频率达到300MHz，满足并超过对六类标准的要求。</w:t>
            </w:r>
            <w:r/>
          </w:p>
          <w:p>
            <w:pPr>
              <w:spacing w:line="273" w:lineRule="exact"/>
              <w:rPr>
                <w:color w:val="auto"/>
                <w:highlight w:val="none"/>
              </w:rPr>
            </w:pPr>
            <w:r>
              <w:rPr>
                <w:color w:val="auto"/>
                <w:highlight w:val="none"/>
              </w:rPr>
              <w:t xml:space="preserve">4.工作温度：-20℃To + 75℃；5.芯数：4对，每芯应带有色条区别，便于端接；</w:t>
            </w:r>
            <w:r/>
          </w:p>
          <w:p>
            <w:pPr>
              <w:spacing w:line="273" w:lineRule="exact"/>
              <w:rPr>
                <w:color w:val="auto"/>
                <w:highlight w:val="none"/>
              </w:rPr>
            </w:pPr>
            <w:r>
              <w:rPr>
                <w:color w:val="auto"/>
                <w:highlight w:val="none"/>
              </w:rPr>
              <w:t xml:space="preserve">5.护套特征：护套表面应有唯一可追溯批次的标识，带有撕裂绳，方便施工；</w:t>
            </w:r>
            <w:r/>
          </w:p>
          <w:p>
            <w:pPr>
              <w:spacing w:line="273" w:lineRule="exact"/>
              <w:rPr>
                <w:color w:val="auto"/>
                <w:highlight w:val="none"/>
              </w:rPr>
            </w:pPr>
            <w:r>
              <w:rPr>
                <w:color w:val="auto"/>
                <w:highlight w:val="none"/>
              </w:rPr>
              <w:t xml:space="preserve">6.外皮采用阻燃材料</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46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机柜（2米）</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1.名称:标准机柜；规格:600*600*2000mm；</w:t>
            </w:r>
            <w:r/>
          </w:p>
          <w:p>
            <w:pPr>
              <w:spacing w:line="273" w:lineRule="exact"/>
              <w:rPr>
                <w:color w:val="auto"/>
                <w:highlight w:val="none"/>
              </w:rPr>
            </w:pPr>
            <w:r>
              <w:rPr>
                <w:color w:val="auto"/>
                <w:highlight w:val="none"/>
              </w:rPr>
              <w:t xml:space="preserve">2.选用冷扎钢板，表面喷涂塑粉；</w:t>
            </w:r>
            <w:r/>
          </w:p>
          <w:p>
            <w:pPr>
              <w:spacing w:line="273" w:lineRule="exact"/>
              <w:rPr>
                <w:color w:val="auto"/>
                <w:highlight w:val="none"/>
              </w:rPr>
            </w:pPr>
            <w:r>
              <w:rPr>
                <w:color w:val="auto"/>
                <w:highlight w:val="none"/>
              </w:rPr>
              <w:t xml:space="preserve">3.四面开放式，机柜侧门、前后门方便拆卸，方便调试安装；</w:t>
            </w:r>
            <w:r/>
          </w:p>
          <w:p>
            <w:pPr>
              <w:spacing w:line="273" w:lineRule="exact"/>
              <w:rPr>
                <w:color w:val="auto"/>
                <w:highlight w:val="none"/>
              </w:rPr>
            </w:pPr>
            <w:r>
              <w:rPr>
                <w:color w:val="auto"/>
                <w:highlight w:val="none"/>
              </w:rPr>
              <w:t xml:space="preserve">4.自然通风散热性能良好；</w:t>
            </w:r>
            <w:r/>
          </w:p>
          <w:p>
            <w:pPr>
              <w:spacing w:line="273" w:lineRule="exact"/>
              <w:rPr>
                <w:color w:val="auto"/>
                <w:highlight w:val="none"/>
              </w:rPr>
            </w:pPr>
            <w:r>
              <w:rPr>
                <w:color w:val="auto"/>
                <w:highlight w:val="none"/>
              </w:rPr>
              <w:t xml:space="preserve">5.结构坚固，结实耐用；</w:t>
            </w:r>
            <w:r/>
          </w:p>
          <w:p>
            <w:pPr>
              <w:spacing w:line="273" w:lineRule="exact"/>
              <w:rPr>
                <w:color w:val="auto"/>
                <w:highlight w:val="none"/>
              </w:rPr>
            </w:pPr>
            <w:r>
              <w:rPr>
                <w:color w:val="auto"/>
                <w:highlight w:val="none"/>
              </w:rPr>
              <w:t xml:space="preserve">6.19”标准机柜提供 17U-42U 全系列高度，满足不同场合的需求。配 PDU。</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双网口信息面板（含模块）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1.信息面板:</w:t>
            </w:r>
            <w:r/>
          </w:p>
          <w:p>
            <w:pPr>
              <w:spacing w:line="273" w:lineRule="exact"/>
              <w:rPr>
                <w:color w:val="auto"/>
                <w:highlight w:val="none"/>
              </w:rPr>
            </w:pPr>
            <w:r>
              <w:rPr>
                <w:color w:val="auto"/>
                <w:highlight w:val="none"/>
              </w:rPr>
              <w:t xml:space="preserve">（1）产品规格：86 型面板，与 RJ45 模块插座配套，可支持 Cat6、Cat6A 模块安装；</w:t>
            </w:r>
            <w:r/>
          </w:p>
          <w:p>
            <w:pPr>
              <w:spacing w:line="273" w:lineRule="exact"/>
              <w:rPr>
                <w:color w:val="auto"/>
                <w:highlight w:val="none"/>
              </w:rPr>
            </w:pPr>
            <w:r>
              <w:rPr>
                <w:color w:val="auto"/>
                <w:highlight w:val="none"/>
              </w:rPr>
              <w:t xml:space="preserve">（2）应能提供单孔、双孔供选择，带防尘盖，方便识别模块颜色；</w:t>
            </w:r>
            <w:r/>
          </w:p>
          <w:p>
            <w:pPr>
              <w:spacing w:line="273" w:lineRule="exact"/>
              <w:rPr>
                <w:color w:val="auto"/>
                <w:highlight w:val="none"/>
              </w:rPr>
            </w:pPr>
            <w:r>
              <w:rPr>
                <w:color w:val="auto"/>
                <w:highlight w:val="none"/>
              </w:rPr>
              <w:t xml:space="preserve">（3） 匹配要求：兼容数据/语音视频模块；</w:t>
            </w:r>
            <w:r/>
          </w:p>
          <w:p>
            <w:pPr>
              <w:spacing w:line="273" w:lineRule="exact"/>
              <w:rPr>
                <w:color w:val="auto"/>
                <w:highlight w:val="none"/>
              </w:rPr>
            </w:pPr>
            <w:r>
              <w:rPr>
                <w:color w:val="auto"/>
                <w:highlight w:val="none"/>
              </w:rPr>
              <w:t xml:space="preserve">（4）材料与阻燃级别：所有塑料材料应采用耐腐塑料</w:t>
            </w:r>
            <w:r/>
          </w:p>
          <w:p>
            <w:pPr>
              <w:spacing w:line="273" w:lineRule="exact"/>
              <w:rPr>
                <w:color w:val="auto"/>
                <w:highlight w:val="none"/>
              </w:rPr>
            </w:pPr>
            <w:r>
              <w:rPr>
                <w:color w:val="auto"/>
                <w:highlight w:val="none"/>
              </w:rPr>
              <w:t xml:space="preserve">（5）标签要求：面板带有透明标签标识，自带可更换式标签；</w:t>
            </w:r>
            <w:r/>
          </w:p>
          <w:p>
            <w:pPr>
              <w:spacing w:line="273" w:lineRule="exact"/>
              <w:rPr>
                <w:color w:val="auto"/>
                <w:highlight w:val="none"/>
              </w:rPr>
            </w:pPr>
            <w:r>
              <w:rPr>
                <w:color w:val="auto"/>
                <w:highlight w:val="none"/>
              </w:rPr>
              <w:t xml:space="preserve">2.六类非屏蔽模块:</w:t>
            </w:r>
            <w:r/>
          </w:p>
          <w:p>
            <w:pPr>
              <w:spacing w:line="273" w:lineRule="exact"/>
              <w:rPr>
                <w:color w:val="auto"/>
                <w:highlight w:val="none"/>
              </w:rPr>
            </w:pPr>
            <w:r>
              <w:rPr>
                <w:color w:val="auto"/>
                <w:highlight w:val="none"/>
              </w:rPr>
              <w:t xml:space="preserve">（1）符合国内最新标准对于 6 类非屏蔽模块的要求；</w:t>
            </w:r>
            <w:r/>
          </w:p>
          <w:p>
            <w:pPr>
              <w:spacing w:line="273" w:lineRule="exact"/>
              <w:rPr>
                <w:color w:val="auto"/>
                <w:highlight w:val="none"/>
              </w:rPr>
            </w:pPr>
            <w:r>
              <w:rPr>
                <w:color w:val="auto"/>
                <w:highlight w:val="none"/>
              </w:rPr>
              <w:t xml:space="preserve">（2）匹配线规：22－24AWG；</w:t>
            </w:r>
            <w:r/>
          </w:p>
          <w:p>
            <w:pPr>
              <w:spacing w:line="273" w:lineRule="exact"/>
              <w:rPr>
                <w:color w:val="auto"/>
                <w:highlight w:val="none"/>
              </w:rPr>
            </w:pPr>
            <w:r>
              <w:rPr>
                <w:color w:val="auto"/>
                <w:highlight w:val="none"/>
              </w:rPr>
              <w:t xml:space="preserve">（3）插头兼容：RJ45、RJ11；</w:t>
            </w:r>
            <w:r/>
          </w:p>
          <w:p>
            <w:pPr>
              <w:spacing w:line="273" w:lineRule="exact"/>
              <w:rPr>
                <w:color w:val="auto"/>
                <w:highlight w:val="none"/>
              </w:rPr>
            </w:pPr>
            <w:r>
              <w:rPr>
                <w:color w:val="auto"/>
                <w:highlight w:val="none"/>
              </w:rPr>
              <w:t xml:space="preserve">（4）卡接</w:t>
            </w:r>
            <w:r/>
          </w:p>
          <w:p>
            <w:pPr>
              <w:spacing w:line="273" w:lineRule="exact"/>
              <w:rPr>
                <w:color w:val="auto"/>
                <w:highlight w:val="none"/>
              </w:rPr>
            </w:pPr>
            <w:r>
              <w:rPr>
                <w:color w:val="auto"/>
                <w:highlight w:val="none"/>
              </w:rPr>
              <w:t xml:space="preserve">次数：RJ45 端口接插次数≧750 次，IDC 端接次数≥200 次，保证连接性能；</w:t>
            </w:r>
            <w:r/>
          </w:p>
          <w:p>
            <w:pPr>
              <w:spacing w:line="273" w:lineRule="exact"/>
              <w:rPr>
                <w:color w:val="auto"/>
                <w:highlight w:val="none"/>
              </w:rPr>
            </w:pPr>
            <w:r>
              <w:rPr>
                <w:color w:val="auto"/>
                <w:highlight w:val="none"/>
              </w:rPr>
              <w:t xml:space="preserve">（5）材料与阻燃要求：耐高冲击及阻燃型；</w:t>
            </w:r>
            <w:r/>
          </w:p>
          <w:p>
            <w:pPr>
              <w:spacing w:line="273" w:lineRule="exact"/>
              <w:rPr>
                <w:color w:val="auto"/>
                <w:highlight w:val="none"/>
              </w:rPr>
            </w:pPr>
            <w:r>
              <w:rPr>
                <w:color w:val="auto"/>
                <w:highlight w:val="none"/>
              </w:rPr>
              <w:t xml:space="preserve">（6）安装方式：模块具有任选安装方式，即可安装在模块式配线架上又可以安装于工作区域的面板内；</w:t>
            </w:r>
            <w:r/>
          </w:p>
          <w:p>
            <w:pPr>
              <w:spacing w:line="273" w:lineRule="exact"/>
              <w:rPr>
                <w:color w:val="auto"/>
                <w:highlight w:val="none"/>
              </w:rPr>
            </w:pPr>
            <w:r>
              <w:rPr>
                <w:color w:val="auto"/>
                <w:highlight w:val="none"/>
              </w:rPr>
              <w:t xml:space="preserve">（7）性能要求：满足六类标准的要求。</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100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单网口信息面板（含模块）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1.名称:校园网信息点</w:t>
            </w:r>
            <w:r/>
          </w:p>
          <w:p>
            <w:pPr>
              <w:spacing w:line="273" w:lineRule="exact"/>
              <w:rPr>
                <w:color w:val="auto"/>
                <w:highlight w:val="none"/>
              </w:rPr>
            </w:pPr>
            <w:r>
              <w:rPr>
                <w:color w:val="auto"/>
                <w:highlight w:val="none"/>
              </w:rPr>
              <w:t xml:space="preserve">2.信息面板:</w:t>
            </w:r>
            <w:r/>
          </w:p>
          <w:p>
            <w:pPr>
              <w:spacing w:line="273" w:lineRule="exact"/>
              <w:rPr>
                <w:color w:val="auto"/>
                <w:highlight w:val="none"/>
              </w:rPr>
            </w:pPr>
            <w:r>
              <w:rPr>
                <w:color w:val="auto"/>
                <w:highlight w:val="none"/>
              </w:rPr>
              <w:t xml:space="preserve">（1）产品规格：86 型面板，与 RJ45 模块插座配套，可支持 Cat6、Cat6A 模块安装；</w:t>
            </w:r>
            <w:r/>
          </w:p>
          <w:p>
            <w:pPr>
              <w:spacing w:line="273" w:lineRule="exact"/>
              <w:rPr>
                <w:color w:val="auto"/>
                <w:highlight w:val="none"/>
              </w:rPr>
            </w:pPr>
            <w:r>
              <w:rPr>
                <w:color w:val="auto"/>
                <w:highlight w:val="none"/>
              </w:rPr>
              <w:t xml:space="preserve">（2）应能提供单孔、双孔供选择，带防尘盖，方便识别模块颜色；</w:t>
            </w:r>
            <w:r/>
          </w:p>
          <w:p>
            <w:pPr>
              <w:spacing w:line="273" w:lineRule="exact"/>
              <w:rPr>
                <w:color w:val="auto"/>
                <w:highlight w:val="none"/>
              </w:rPr>
            </w:pPr>
            <w:r>
              <w:rPr>
                <w:color w:val="auto"/>
                <w:highlight w:val="none"/>
              </w:rPr>
              <w:t xml:space="preserve">（3） 匹配要求：兼容数据/语音视频模块；</w:t>
            </w:r>
            <w:r/>
          </w:p>
          <w:p>
            <w:pPr>
              <w:spacing w:line="273" w:lineRule="exact"/>
              <w:rPr>
                <w:color w:val="auto"/>
                <w:highlight w:val="none"/>
              </w:rPr>
            </w:pPr>
            <w:r>
              <w:rPr>
                <w:color w:val="auto"/>
                <w:highlight w:val="none"/>
              </w:rPr>
              <w:t xml:space="preserve">（4）材料与阻燃级别：所有塑料材料应采用耐腐塑料</w:t>
            </w:r>
            <w:r/>
          </w:p>
          <w:p>
            <w:pPr>
              <w:spacing w:line="273" w:lineRule="exact"/>
              <w:rPr>
                <w:color w:val="auto"/>
                <w:highlight w:val="none"/>
              </w:rPr>
            </w:pPr>
            <w:r>
              <w:rPr>
                <w:color w:val="auto"/>
                <w:highlight w:val="none"/>
              </w:rPr>
              <w:t xml:space="preserve">（5）标签要求：面板带有透明标签标识，自带可更换式标签；</w:t>
            </w:r>
            <w:r/>
          </w:p>
          <w:p>
            <w:pPr>
              <w:spacing w:line="273" w:lineRule="exact"/>
              <w:rPr>
                <w:color w:val="auto"/>
                <w:highlight w:val="none"/>
              </w:rPr>
            </w:pPr>
            <w:r>
              <w:rPr>
                <w:color w:val="auto"/>
                <w:highlight w:val="none"/>
              </w:rPr>
              <w:t xml:space="preserve">3.六类非屏蔽模块:</w:t>
            </w:r>
            <w:r/>
          </w:p>
          <w:p>
            <w:pPr>
              <w:spacing w:line="273" w:lineRule="exact"/>
              <w:rPr>
                <w:color w:val="auto"/>
                <w:highlight w:val="none"/>
              </w:rPr>
            </w:pPr>
            <w:r>
              <w:rPr>
                <w:color w:val="auto"/>
                <w:highlight w:val="none"/>
              </w:rPr>
              <w:t xml:space="preserve">（1）符合国内最新标准对于 6 类非屏蔽模块的要求；</w:t>
            </w:r>
            <w:r/>
          </w:p>
          <w:p>
            <w:pPr>
              <w:spacing w:line="273" w:lineRule="exact"/>
              <w:rPr>
                <w:color w:val="auto"/>
                <w:highlight w:val="none"/>
              </w:rPr>
            </w:pPr>
            <w:r>
              <w:rPr>
                <w:color w:val="auto"/>
                <w:highlight w:val="none"/>
              </w:rPr>
              <w:t xml:space="preserve">（2）匹配线规：22－24AWG；</w:t>
            </w:r>
            <w:r/>
          </w:p>
          <w:p>
            <w:pPr>
              <w:spacing w:line="273" w:lineRule="exact"/>
              <w:rPr>
                <w:color w:val="auto"/>
                <w:highlight w:val="none"/>
              </w:rPr>
            </w:pPr>
            <w:r>
              <w:rPr>
                <w:color w:val="auto"/>
                <w:highlight w:val="none"/>
              </w:rPr>
              <w:t xml:space="preserve">（3）插头兼容：RJ45、RJ11；</w:t>
            </w:r>
            <w:r/>
          </w:p>
          <w:p>
            <w:pPr>
              <w:spacing w:line="273" w:lineRule="exact"/>
              <w:rPr>
                <w:color w:val="auto"/>
                <w:highlight w:val="none"/>
              </w:rPr>
            </w:pPr>
            <w:r>
              <w:rPr>
                <w:color w:val="auto"/>
                <w:highlight w:val="none"/>
              </w:rPr>
              <w:t xml:space="preserve">（4）卡接次数：RJ45 端口接插次数≧750 次，IDC 端接次数≥200 次，保证连接性能；</w:t>
            </w:r>
            <w:r/>
          </w:p>
          <w:p>
            <w:pPr>
              <w:spacing w:line="273" w:lineRule="exact"/>
              <w:rPr>
                <w:color w:val="auto"/>
                <w:highlight w:val="none"/>
              </w:rPr>
            </w:pPr>
            <w:r>
              <w:rPr>
                <w:color w:val="auto"/>
                <w:highlight w:val="none"/>
              </w:rPr>
              <w:t xml:space="preserve">（5）材料与阻燃要求：耐高冲击及阻燃型；</w:t>
            </w:r>
            <w:r/>
          </w:p>
          <w:p>
            <w:pPr>
              <w:spacing w:line="273" w:lineRule="exact"/>
              <w:rPr>
                <w:color w:val="auto"/>
                <w:highlight w:val="none"/>
              </w:rPr>
            </w:pPr>
            <w:r>
              <w:rPr>
                <w:color w:val="auto"/>
                <w:highlight w:val="none"/>
              </w:rPr>
              <w:t xml:space="preserve">（6）安装方式：模块具有任选安装方式，即可安装在模块式配线架上又可以安装于工作区域的面板内；</w:t>
            </w:r>
            <w:r/>
          </w:p>
          <w:p>
            <w:pPr>
              <w:spacing w:line="273" w:lineRule="exact"/>
              <w:rPr>
                <w:color w:val="auto"/>
                <w:highlight w:val="none"/>
              </w:rPr>
            </w:pPr>
            <w:r>
              <w:rPr>
                <w:color w:val="auto"/>
                <w:highlight w:val="none"/>
              </w:rPr>
              <w:t xml:space="preserve">（7）性能要求：满足六类标准的要求。</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120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ODF光纤配线架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144芯满配</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ODF光纤配线架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48芯满配</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网线配线架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1.名称:六类 24 口非屏蔽配线架（含模块）</w:t>
            </w:r>
            <w:r/>
          </w:p>
          <w:p>
            <w:pPr>
              <w:spacing w:line="273" w:lineRule="exact"/>
              <w:rPr>
                <w:color w:val="auto"/>
                <w:highlight w:val="none"/>
              </w:rPr>
            </w:pPr>
            <w:r>
              <w:rPr>
                <w:color w:val="auto"/>
                <w:highlight w:val="none"/>
              </w:rPr>
              <w:t xml:space="preserve">2.产品结构：机架式 RJ45 接口标准的模块化配线架，采用优质冷轧钢板，表面经过特殊处理，坚固、美观、不易划伤，集成式模块化设计技术，要求自带理线器，方便管理，保证弯曲半径；</w:t>
            </w:r>
            <w:r/>
          </w:p>
          <w:p>
            <w:pPr>
              <w:spacing w:line="273" w:lineRule="exact"/>
              <w:rPr>
                <w:color w:val="auto"/>
                <w:highlight w:val="none"/>
              </w:rPr>
            </w:pPr>
            <w:r>
              <w:rPr>
                <w:color w:val="auto"/>
                <w:highlight w:val="none"/>
              </w:rPr>
              <w:t xml:space="preserve">3.安装方式：标准 19 英寸机柜机架安装，单模块式安装，直接卡扣式安装，无需任何工具，方便安装拆卸拆；</w:t>
            </w:r>
            <w:r/>
          </w:p>
          <w:p>
            <w:pPr>
              <w:spacing w:line="273" w:lineRule="exact"/>
              <w:rPr>
                <w:color w:val="auto"/>
                <w:highlight w:val="none"/>
              </w:rPr>
            </w:pPr>
            <w:r>
              <w:rPr>
                <w:color w:val="auto"/>
                <w:highlight w:val="none"/>
              </w:rPr>
              <w:t xml:space="preserve">4.通用性设计，每个端口模块可单独安装屏蔽和非屏蔽模块；</w:t>
            </w:r>
            <w:r/>
          </w:p>
          <w:p>
            <w:pPr>
              <w:spacing w:line="273" w:lineRule="exact"/>
              <w:rPr>
                <w:color w:val="auto"/>
                <w:highlight w:val="none"/>
              </w:rPr>
            </w:pPr>
            <w:r>
              <w:rPr>
                <w:color w:val="auto"/>
                <w:highlight w:val="none"/>
              </w:rPr>
              <w:t xml:space="preserve">5．插拔次数：大于 750 次，支持 T568A 或 B 端接；</w:t>
            </w:r>
            <w:r/>
          </w:p>
          <w:p>
            <w:pPr>
              <w:spacing w:line="273" w:lineRule="exact"/>
              <w:rPr>
                <w:color w:val="auto"/>
                <w:highlight w:val="none"/>
              </w:rPr>
            </w:pPr>
            <w:r>
              <w:rPr>
                <w:color w:val="auto"/>
                <w:highlight w:val="none"/>
              </w:rPr>
              <w:t xml:space="preserve">6.分组标签区及可更换标签。卡扣式快速安装，适配通用机柜或机架，整体接地；</w:t>
            </w:r>
            <w:r/>
          </w:p>
          <w:p>
            <w:pPr>
              <w:spacing w:line="273" w:lineRule="exact"/>
              <w:rPr>
                <w:color w:val="auto"/>
                <w:highlight w:val="none"/>
              </w:rPr>
            </w:pPr>
            <w:r>
              <w:rPr>
                <w:color w:val="auto"/>
                <w:highlight w:val="none"/>
              </w:rPr>
              <w:t xml:space="preserve">7.工作温度：-10°C To + 60°C。</w:t>
            </w:r>
            <w:r/>
          </w:p>
          <w:p>
            <w:pPr>
              <w:spacing w:line="273" w:lineRule="exact"/>
              <w:rPr>
                <w:color w:val="auto"/>
                <w:highlight w:val="none"/>
              </w:rPr>
            </w:pPr>
            <w:r>
              <w:rPr>
                <w:color w:val="auto"/>
                <w:highlight w:val="none"/>
              </w:rPr>
              <w:t xml:space="preserve">8.模块:</w:t>
            </w:r>
            <w:r/>
          </w:p>
          <w:p>
            <w:pPr>
              <w:spacing w:line="273" w:lineRule="exact"/>
              <w:rPr>
                <w:color w:val="auto"/>
                <w:highlight w:val="none"/>
              </w:rPr>
            </w:pPr>
            <w:r>
              <w:rPr>
                <w:color w:val="auto"/>
                <w:highlight w:val="none"/>
              </w:rPr>
              <w:t xml:space="preserve">（1）匹配线规：22－24AWG；</w:t>
            </w:r>
            <w:r/>
          </w:p>
          <w:p>
            <w:pPr>
              <w:spacing w:line="273" w:lineRule="exact"/>
              <w:rPr>
                <w:color w:val="auto"/>
                <w:highlight w:val="none"/>
              </w:rPr>
            </w:pPr>
            <w:r>
              <w:rPr>
                <w:color w:val="auto"/>
                <w:highlight w:val="none"/>
              </w:rPr>
              <w:t xml:space="preserve">（2）插头兼容：RJ45、RJ11；</w:t>
            </w:r>
            <w:r/>
          </w:p>
          <w:p>
            <w:pPr>
              <w:spacing w:line="273" w:lineRule="exact"/>
              <w:rPr>
                <w:color w:val="auto"/>
                <w:highlight w:val="none"/>
              </w:rPr>
            </w:pPr>
            <w:r>
              <w:rPr>
                <w:color w:val="auto"/>
                <w:highlight w:val="none"/>
              </w:rPr>
              <w:t xml:space="preserve">（3）卡接次数：RJ45 端口接插次数≧750 次，IDC 端接次数≥200 次，保证连接性能；</w:t>
            </w:r>
            <w:r/>
          </w:p>
          <w:p>
            <w:pPr>
              <w:spacing w:line="273" w:lineRule="exact"/>
              <w:rPr>
                <w:color w:val="auto"/>
                <w:highlight w:val="none"/>
              </w:rPr>
            </w:pPr>
            <w:r>
              <w:rPr>
                <w:color w:val="auto"/>
                <w:highlight w:val="none"/>
              </w:rPr>
              <w:t xml:space="preserve">（4）工作温度：-10°C To +60°C；</w:t>
            </w:r>
            <w:r/>
          </w:p>
          <w:p>
            <w:pPr>
              <w:spacing w:line="273" w:lineRule="exact"/>
              <w:rPr>
                <w:color w:val="auto"/>
                <w:highlight w:val="none"/>
              </w:rPr>
            </w:pPr>
            <w:r>
              <w:rPr>
                <w:color w:val="auto"/>
                <w:highlight w:val="none"/>
              </w:rPr>
              <w:t xml:space="preserve">（5）材料与阻燃要求：耐高冲击及阻燃型</w:t>
            </w:r>
            <w:r/>
          </w:p>
          <w:p>
            <w:pPr>
              <w:spacing w:line="273" w:lineRule="exact"/>
              <w:rPr>
                <w:color w:val="auto"/>
                <w:highlight w:val="none"/>
              </w:rPr>
            </w:pPr>
            <w:r>
              <w:rPr>
                <w:color w:val="auto"/>
                <w:highlight w:val="none"/>
              </w:rPr>
              <w:t xml:space="preserve">（6）安装方式：模块具有任选安装方式，即可安装在模块式配线架上又可以安装于工作区域的面板内；</w:t>
            </w:r>
            <w:r/>
          </w:p>
          <w:p>
            <w:pPr>
              <w:spacing w:line="273" w:lineRule="exact"/>
              <w:rPr>
                <w:color w:val="auto"/>
                <w:highlight w:val="none"/>
              </w:rPr>
            </w:pPr>
            <w:r>
              <w:rPr>
                <w:color w:val="auto"/>
                <w:highlight w:val="none"/>
              </w:rPr>
              <w:t xml:space="preserve">（7）性能要求：满足六类标准的要求，传输性能测试频率：≥250MHz@Cat6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48口千兆交换机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1、核心性能：</w:t>
            </w:r>
            <w:r/>
          </w:p>
          <w:p>
            <w:pPr>
              <w:spacing w:line="273" w:lineRule="exact"/>
              <w:rPr>
                <w:color w:val="auto"/>
                <w:highlight w:val="none"/>
              </w:rPr>
            </w:pPr>
            <w:r>
              <w:rPr>
                <w:color w:val="auto"/>
                <w:highlight w:val="none"/>
              </w:rPr>
              <w:t xml:space="preserve">(1)交换容量：672Gbps（官网最小值，满足要求）</w:t>
            </w:r>
            <w:r/>
          </w:p>
          <w:p>
            <w:pPr>
              <w:spacing w:line="273" w:lineRule="exact"/>
              <w:rPr>
                <w:color w:val="auto"/>
                <w:highlight w:val="none"/>
              </w:rPr>
            </w:pPr>
            <w:r>
              <w:rPr>
                <w:color w:val="auto"/>
                <w:highlight w:val="none"/>
              </w:rPr>
              <w:t xml:space="preserve">(2)包转发率：252Mpps（远超 171Mpps）</w:t>
            </w:r>
            <w:r/>
          </w:p>
          <w:p>
            <w:pPr>
              <w:spacing w:line="273" w:lineRule="exact"/>
              <w:rPr>
                <w:color w:val="auto"/>
                <w:highlight w:val="none"/>
              </w:rPr>
            </w:pPr>
            <w:r>
              <w:rPr>
                <w:color w:val="auto"/>
                <w:highlight w:val="none"/>
              </w:rPr>
              <w:t xml:space="preserve">2、端口配置：</w:t>
            </w:r>
            <w:r/>
          </w:p>
          <w:p>
            <w:pPr>
              <w:spacing w:line="273" w:lineRule="exact"/>
              <w:rPr>
                <w:color w:val="auto"/>
                <w:highlight w:val="none"/>
              </w:rPr>
            </w:pPr>
            <w:r>
              <w:rPr>
                <w:color w:val="auto"/>
                <w:highlight w:val="none"/>
              </w:rPr>
              <w:t xml:space="preserve">(1)48 个千兆电口（10/100/1000BASE-T）</w:t>
            </w:r>
            <w:r/>
          </w:p>
          <w:p>
            <w:pPr>
              <w:spacing w:line="273" w:lineRule="exact"/>
              <w:rPr>
                <w:color w:val="auto"/>
                <w:highlight w:val="none"/>
              </w:rPr>
            </w:pPr>
            <w:r>
              <w:rPr>
                <w:color w:val="auto"/>
                <w:highlight w:val="none"/>
              </w:rPr>
              <w:t xml:space="preserve">(2)4 个万兆 SFP + 光口（用于上联或级联）</w:t>
            </w:r>
            <w:r/>
          </w:p>
          <w:p>
            <w:pPr>
              <w:spacing w:line="273" w:lineRule="exact"/>
              <w:rPr>
                <w:color w:val="auto"/>
                <w:highlight w:val="none"/>
              </w:rPr>
            </w:pPr>
            <w:r>
              <w:rPr>
                <w:color w:val="auto"/>
                <w:highlight w:val="none"/>
              </w:rPr>
              <w:t xml:space="preserve">3、功能支持：</w:t>
            </w:r>
            <w:r/>
          </w:p>
          <w:p>
            <w:pPr>
              <w:spacing w:line="273" w:lineRule="exact"/>
              <w:rPr>
                <w:color w:val="auto"/>
                <w:highlight w:val="none"/>
              </w:rPr>
            </w:pPr>
            <w:r>
              <w:rPr>
                <w:color w:val="auto"/>
                <w:highlight w:val="none"/>
              </w:rPr>
              <w:t xml:space="preserve">(1)VLAN：支持基于 MAC / 协议 / 端口的 VLAN、基本 QinQ、灵活 QinQ</w:t>
            </w:r>
            <w:r/>
          </w:p>
          <w:p>
            <w:pPr>
              <w:spacing w:line="273" w:lineRule="exact"/>
              <w:rPr>
                <w:color w:val="auto"/>
                <w:highlight w:val="none"/>
              </w:rPr>
            </w:pPr>
            <w:r>
              <w:rPr>
                <w:color w:val="auto"/>
                <w:highlight w:val="none"/>
              </w:rPr>
              <w:t xml:space="preserve">(2)路由：IPv4/IPv6 双栈，支持 RIP、OSPFv2/v3 等动态路由</w:t>
            </w:r>
            <w:r/>
          </w:p>
          <w:p>
            <w:pPr>
              <w:spacing w:line="273" w:lineRule="exact"/>
              <w:rPr>
                <w:color w:val="auto"/>
                <w:highlight w:val="none"/>
              </w:rPr>
            </w:pPr>
            <w:r>
              <w:rPr>
                <w:color w:val="auto"/>
                <w:highlight w:val="none"/>
              </w:rPr>
              <w:t xml:space="preserve">(3)管理：SNMPv3、CLI、SSH、Web 网管，含光模块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single" w:color="auto"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68</w:t>
            </w:r>
            <w:r/>
          </w:p>
        </w:tc>
        <w:tc>
          <w:tcPr>
            <w:tcBorders>
              <w:top w:val="single" w:color="auto" w:sz="6" w:space="0"/>
              <w:left w:val="single" w:color="auto" w:sz="6" w:space="0"/>
              <w:bottom w:val="single" w:color="auto"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24口POE交换机（含光模块）</w:t>
            </w:r>
            <w:r/>
          </w:p>
        </w:tc>
        <w:tc>
          <w:tcPr>
            <w:tcBorders>
              <w:top w:val="single" w:color="auto" w:sz="6" w:space="0"/>
              <w:left w:val="single" w:color="auto" w:sz="6" w:space="0"/>
              <w:bottom w:val="single" w:color="auto"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1.配置：可用千兆PoE电口数量≥24，千兆光口数量≥2；支持自适应802.3af/at供电标准，整机最大输出功率≥370W，支持POE 过载保护/过压保护功能，支持POE上电/下电功率管理功能，支持POE看门狗功能</w:t>
            </w:r>
            <w:r/>
          </w:p>
          <w:p>
            <w:pPr>
              <w:spacing w:line="273" w:lineRule="exact"/>
              <w:rPr>
                <w:color w:val="auto"/>
                <w:highlight w:val="none"/>
              </w:rPr>
            </w:pPr>
            <w:r>
              <w:rPr>
                <w:color w:val="auto"/>
                <w:highlight w:val="none"/>
              </w:rPr>
              <w:t xml:space="preserve">2.提供24个千兆PoE电口、2个千兆光口</w:t>
            </w:r>
            <w:r/>
          </w:p>
          <w:p>
            <w:pPr>
              <w:spacing w:line="273" w:lineRule="exact"/>
              <w:rPr>
                <w:color w:val="auto"/>
                <w:highlight w:val="none"/>
              </w:rPr>
            </w:pPr>
            <w:r>
              <w:rPr>
                <w:color w:val="auto"/>
                <w:highlight w:val="none"/>
              </w:rPr>
              <w:t xml:space="preserve">3.交换容量：56 Gbps</w:t>
            </w:r>
            <w:r/>
          </w:p>
          <w:p>
            <w:pPr>
              <w:spacing w:line="273" w:lineRule="exact"/>
              <w:rPr>
                <w:color w:val="auto"/>
                <w:highlight w:val="none"/>
              </w:rPr>
            </w:pPr>
            <w:r>
              <w:rPr>
                <w:color w:val="auto"/>
                <w:highlight w:val="none"/>
              </w:rPr>
              <w:t xml:space="preserve">4.包转发率：41.67Mpps</w:t>
            </w:r>
            <w:r/>
          </w:p>
          <w:p>
            <w:pPr>
              <w:spacing w:line="273" w:lineRule="exact"/>
              <w:rPr>
                <w:color w:val="auto"/>
                <w:highlight w:val="none"/>
              </w:rPr>
            </w:pPr>
            <w:r>
              <w:rPr>
                <w:color w:val="auto"/>
                <w:highlight w:val="none"/>
              </w:rPr>
              <w:t xml:space="preserve">5.支持IEEE 802.3at/af标准</w:t>
            </w:r>
            <w:r/>
          </w:p>
          <w:p>
            <w:pPr>
              <w:spacing w:line="273" w:lineRule="exact"/>
              <w:rPr>
                <w:color w:val="auto"/>
                <w:highlight w:val="none"/>
              </w:rPr>
            </w:pPr>
            <w:r>
              <w:rPr>
                <w:color w:val="auto"/>
                <w:highlight w:val="none"/>
              </w:rPr>
              <w:t xml:space="preserve">6.端口最大供电功率：30 W</w:t>
            </w:r>
            <w:r/>
          </w:p>
          <w:p>
            <w:pPr>
              <w:spacing w:line="273" w:lineRule="exact"/>
              <w:rPr>
                <w:color w:val="auto"/>
                <w:highlight w:val="none"/>
              </w:rPr>
            </w:pPr>
            <w:r>
              <w:rPr>
                <w:color w:val="auto"/>
                <w:highlight w:val="none"/>
              </w:rPr>
              <w:t xml:space="preserve">7.整机最大供电功率：370 W</w:t>
            </w:r>
            <w:r/>
          </w:p>
          <w:p>
            <w:pPr>
              <w:spacing w:line="273" w:lineRule="exact"/>
              <w:rPr>
                <w:color w:val="auto"/>
                <w:highlight w:val="none"/>
              </w:rPr>
            </w:pPr>
            <w:r>
              <w:rPr>
                <w:color w:val="auto"/>
                <w:highlight w:val="none"/>
              </w:rPr>
              <w:t xml:space="preserve">8.支持PoE看门狗</w:t>
            </w:r>
            <w:r/>
          </w:p>
          <w:p>
            <w:pPr>
              <w:spacing w:line="273" w:lineRule="exact"/>
              <w:rPr>
                <w:color w:val="auto"/>
                <w:highlight w:val="none"/>
              </w:rPr>
            </w:pPr>
            <w:r>
              <w:rPr>
                <w:color w:val="auto"/>
                <w:highlight w:val="none"/>
              </w:rPr>
              <w:t xml:space="preserve">9.支持6 KV防浪涌（PoE口）</w:t>
            </w:r>
            <w:r/>
          </w:p>
          <w:p>
            <w:pPr>
              <w:spacing w:line="273" w:lineRule="exact"/>
              <w:rPr>
                <w:color w:val="auto"/>
                <w:highlight w:val="none"/>
              </w:rPr>
            </w:pPr>
            <w:r>
              <w:rPr>
                <w:color w:val="auto"/>
                <w:highlight w:val="none"/>
              </w:rPr>
              <w:t xml:space="preserve">10.支持IEEE 802.3、IEEE 802.3u、IEEE 802.3x、IEEE 802.3ab、IEEE 802.3z标准</w:t>
            </w:r>
            <w:r/>
          </w:p>
          <w:p>
            <w:pPr>
              <w:spacing w:line="273" w:lineRule="exact"/>
              <w:rPr>
                <w:color w:val="auto"/>
                <w:highlight w:val="none"/>
              </w:rPr>
            </w:pPr>
            <w:r>
              <w:rPr>
                <w:color w:val="auto"/>
                <w:highlight w:val="none"/>
              </w:rPr>
              <w:t xml:space="preserve">11.支持管理平台管理</w:t>
            </w:r>
            <w:r/>
          </w:p>
          <w:p>
            <w:pPr>
              <w:spacing w:line="273" w:lineRule="exact"/>
              <w:rPr>
                <w:color w:val="auto"/>
                <w:highlight w:val="none"/>
              </w:rPr>
            </w:pPr>
            <w:r>
              <w:rPr>
                <w:color w:val="auto"/>
                <w:highlight w:val="none"/>
              </w:rPr>
              <w:t xml:space="preserve">12.支持手机APP管理</w:t>
            </w:r>
            <w:r/>
          </w:p>
          <w:p>
            <w:pPr>
              <w:spacing w:line="273" w:lineRule="exact"/>
              <w:rPr>
                <w:color w:val="auto"/>
                <w:highlight w:val="none"/>
              </w:rPr>
            </w:pPr>
            <w:r>
              <w:rPr>
                <w:color w:val="auto"/>
                <w:highlight w:val="none"/>
              </w:rPr>
              <w:t xml:space="preserve">13.支持安防网络拓扑管理、链路聚合、端口管理</w:t>
            </w:r>
            <w:r/>
          </w:p>
          <w:p>
            <w:pPr>
              <w:spacing w:line="273" w:lineRule="exact"/>
              <w:rPr>
                <w:color w:val="auto"/>
                <w:highlight w:val="none"/>
              </w:rPr>
            </w:pPr>
            <w:r>
              <w:rPr>
                <w:color w:val="auto"/>
                <w:highlight w:val="none"/>
              </w:rPr>
              <w:t xml:space="preserve">14.支持远程升级</w:t>
            </w:r>
            <w:r/>
          </w:p>
          <w:p>
            <w:pPr>
              <w:spacing w:line="273" w:lineRule="exact"/>
              <w:rPr>
                <w:color w:val="auto"/>
                <w:highlight w:val="none"/>
              </w:rPr>
            </w:pPr>
            <w:r>
              <w:rPr>
                <w:color w:val="auto"/>
                <w:highlight w:val="none"/>
              </w:rPr>
              <w:t xml:space="preserve">15.支持PoE输出功率管理</w:t>
            </w:r>
            <w:r/>
          </w:p>
          <w:p>
            <w:pPr>
              <w:spacing w:line="273" w:lineRule="exact"/>
              <w:rPr>
                <w:color w:val="auto"/>
                <w:highlight w:val="none"/>
              </w:rPr>
            </w:pPr>
            <w:r>
              <w:rPr>
                <w:color w:val="auto"/>
                <w:highlight w:val="none"/>
              </w:rPr>
              <w:t xml:space="preserve">16.支持VLAN</w:t>
            </w:r>
            <w:r/>
          </w:p>
          <w:p>
            <w:pPr>
              <w:spacing w:line="273" w:lineRule="exact"/>
              <w:rPr>
                <w:color w:val="auto"/>
                <w:highlight w:val="none"/>
              </w:rPr>
            </w:pPr>
            <w:r>
              <w:rPr>
                <w:color w:val="auto"/>
                <w:highlight w:val="none"/>
              </w:rPr>
              <w:t xml:space="preserve">17.支持SNMPv1/v2c协议</w:t>
            </w:r>
            <w:r/>
          </w:p>
          <w:p>
            <w:pPr>
              <w:spacing w:line="273" w:lineRule="exact"/>
              <w:rPr>
                <w:color w:val="auto"/>
                <w:highlight w:val="none"/>
              </w:rPr>
            </w:pPr>
            <w:r>
              <w:rPr>
                <w:color w:val="auto"/>
                <w:highlight w:val="none"/>
              </w:rPr>
              <w:t xml:space="preserve">18.支持DHCP Snooping</w:t>
            </w:r>
            <w:r/>
          </w:p>
          <w:p>
            <w:pPr>
              <w:spacing w:line="273" w:lineRule="exact"/>
              <w:rPr>
                <w:color w:val="auto"/>
                <w:highlight w:val="none"/>
              </w:rPr>
            </w:pPr>
            <w:r>
              <w:rPr>
                <w:color w:val="auto"/>
                <w:highlight w:val="none"/>
              </w:rPr>
              <w:t xml:space="preserve">19.支持终端安全防护</w:t>
            </w:r>
            <w:r/>
          </w:p>
          <w:p>
            <w:pPr>
              <w:spacing w:line="273" w:lineRule="exact"/>
              <w:rPr>
                <w:color w:val="auto"/>
                <w:highlight w:val="none"/>
              </w:rPr>
            </w:pPr>
            <w:r>
              <w:rPr>
                <w:color w:val="auto"/>
                <w:highlight w:val="none"/>
              </w:rPr>
              <w:t xml:space="preserve">20.坚固式高强度金属外壳</w:t>
            </w:r>
            <w:r/>
          </w:p>
          <w:p>
            <w:pPr>
              <w:spacing w:line="273" w:lineRule="exact"/>
              <w:rPr>
                <w:color w:val="auto"/>
                <w:highlight w:val="none"/>
              </w:rPr>
            </w:pPr>
            <w:r>
              <w:rPr>
                <w:color w:val="auto"/>
                <w:highlight w:val="none"/>
              </w:rPr>
              <w:t xml:space="preserve">21.安装方式：机架式</w:t>
            </w:r>
            <w:r/>
          </w:p>
        </w:tc>
        <w:tc>
          <w:tcPr>
            <w:tcBorders>
              <w:top w:val="single" w:color="auto" w:sz="6" w:space="0"/>
              <w:left w:val="single" w:color="auto" w:sz="6" w:space="0"/>
              <w:bottom w:val="single" w:color="auto"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single" w:color="auto"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w:t>
            </w:r>
            <w:r/>
          </w:p>
        </w:tc>
        <w:tc>
          <w:tcPr>
            <w:tcBorders>
              <w:top w:val="single" w:color="auto" w:sz="6" w:space="0"/>
              <w:left w:val="single" w:color="auto" w:sz="6" w:space="0"/>
              <w:bottom w:val="single" w:color="auto"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69</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门禁系统</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含刷卡一体机、发卡器、磁力锁和配套电源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8</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70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系统集成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交钥匙工程（含安装调试及所有耗材和配件，确保项目中所有设备连通正常使用）</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项</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bookmarkEnd w:id="22"/>
            <w:r/>
            <w:bookmarkEnd w:id="23"/>
            <w:r/>
            <w:bookmarkEnd w:id="24"/>
            <w:r/>
            <w:r/>
          </w:p>
        </w:tc>
      </w:tr>
    </w:tbl>
    <w:p>
      <w:pPr>
        <w:spacing w:before="187" w:after="187"/>
        <w:rPr>
          <w:color w:val="auto"/>
          <w:highlight w:val="none"/>
        </w:rPr>
      </w:pPr>
      <w:r>
        <w:rPr>
          <w:rFonts w:hint="eastAsia"/>
          <w:b/>
          <w:color w:val="auto"/>
          <w:sz w:val="28"/>
          <w:highlight w:val="none"/>
          <w:lang w:val="en-US"/>
        </w:rPr>
        <w:t xml:space="preserve">七、</w:t>
      </w:r>
      <w:r>
        <w:rPr>
          <w:b/>
          <w:color w:val="auto"/>
          <w:sz w:val="28"/>
          <w:highlight w:val="none"/>
        </w:rPr>
        <w:t xml:space="preserve"> 服务要求</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1.报价要求</w:t>
      </w:r>
      <w:r/>
    </w:p>
    <w:p>
      <w:pPr>
        <w:contextualSpacing/>
        <w:ind w:firstLine="480"/>
        <w:spacing w:line="360" w:lineRule="auto"/>
        <w:rPr>
          <w:color w:val="auto"/>
          <w:sz w:val="24"/>
          <w:szCs w:val="36"/>
          <w:highlight w:val="none"/>
        </w:rPr>
      </w:pPr>
      <w:r>
        <w:rPr>
          <w:rFonts w:hint="eastAsia"/>
          <w:color w:val="auto"/>
          <w:sz w:val="24"/>
          <w:szCs w:val="36"/>
          <w:highlight w:val="none"/>
        </w:rPr>
        <w:t xml:space="preserve">本项目为交钥匙工程，各潜在投标人踏勘现场（教学楼教室、办公室和石湫校区三间教室）时要注意现场的施工条件和复杂程度，评估工作量</w:t>
      </w:r>
      <w:r>
        <w:rPr>
          <w:color w:val="auto"/>
          <w:sz w:val="24"/>
          <w:szCs w:val="36"/>
          <w:highlight w:val="none"/>
        </w:rPr>
        <w:t xml:space="preserve">,各系统报价需包含配管配线</w:t>
      </w:r>
      <w:r>
        <w:rPr>
          <w:rFonts w:hint="eastAsia"/>
          <w:color w:val="auto"/>
          <w:sz w:val="24"/>
          <w:szCs w:val="36"/>
          <w:highlight w:val="none"/>
        </w:rPr>
        <w:t xml:space="preserve">（</w:t>
      </w:r>
      <w:r>
        <w:rPr>
          <w:color w:val="auto"/>
          <w:sz w:val="24"/>
          <w:szCs w:val="36"/>
          <w:highlight w:val="none"/>
        </w:rPr>
        <w:t xml:space="preserve">包含开槽及恢复工作的费用</w:t>
      </w:r>
      <w:r>
        <w:rPr>
          <w:rFonts w:hint="eastAsia"/>
          <w:color w:val="auto"/>
          <w:sz w:val="24"/>
          <w:szCs w:val="36"/>
          <w:highlight w:val="none"/>
        </w:rPr>
        <w:t xml:space="preserve">）、一间多媒体教室的拆除迁移安装调试的费用、</w:t>
      </w:r>
      <w:r>
        <w:rPr>
          <w:color w:val="auto"/>
          <w:sz w:val="24"/>
          <w:szCs w:val="36"/>
          <w:highlight w:val="none"/>
        </w:rPr>
        <w:t xml:space="preserve">对接产生的一切费用已包含在投标总价中。</w:t>
      </w:r>
      <w:r/>
    </w:p>
    <w:p>
      <w:pPr>
        <w:contextualSpacing/>
        <w:ind w:firstLine="480"/>
        <w:spacing w:line="360" w:lineRule="auto"/>
        <w:rPr>
          <w:color w:val="auto"/>
          <w:sz w:val="24"/>
          <w:szCs w:val="36"/>
          <w:highlight w:val="none"/>
        </w:rPr>
      </w:pPr>
      <w:r>
        <w:rPr>
          <w:color w:val="auto"/>
          <w:sz w:val="24"/>
          <w:szCs w:val="36"/>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contextualSpacing/>
        <w:ind w:firstLine="480"/>
        <w:spacing w:line="360" w:lineRule="auto"/>
        <w:rPr>
          <w:color w:val="auto"/>
          <w:sz w:val="24"/>
          <w:szCs w:val="36"/>
          <w:highlight w:val="none"/>
        </w:rPr>
      </w:pPr>
      <w:r>
        <w:rPr>
          <w:color w:val="auto"/>
          <w:sz w:val="24"/>
          <w:szCs w:val="36"/>
          <w:highlight w:val="none"/>
        </w:rPr>
        <w:t xml:space="preserve">2）供应商的任何错漏、优惠、竞争性报价不得作为减轻责任、减少服务、增加收费、降低服务质量的理由。</w:t>
      </w:r>
      <w:r/>
    </w:p>
    <w:p>
      <w:pPr>
        <w:contextualSpacing/>
        <w:ind w:firstLine="480"/>
        <w:spacing w:line="360" w:lineRule="auto"/>
        <w:rPr>
          <w:color w:val="auto"/>
          <w:sz w:val="24"/>
          <w:szCs w:val="36"/>
          <w:highlight w:val="none"/>
        </w:rPr>
      </w:pPr>
      <w:r>
        <w:rPr>
          <w:color w:val="auto"/>
          <w:sz w:val="24"/>
          <w:szCs w:val="36"/>
          <w:highlight w:val="none"/>
        </w:rPr>
        <w:t xml:space="preserve">3）供应商报价除包含招标文件中列明的项目外，还应包括保障服务正常运行应当具有的线材、管材、物资和服务，对服务正常运行应当具有的线材、管材、物资和服务理解不一致的以采购单位解释为准。</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2.部署实施要求</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1）智能控制统</w:t>
      </w:r>
      <w:r/>
    </w:p>
    <w:p>
      <w:pPr>
        <w:contextualSpacing/>
        <w:ind w:firstLine="480"/>
        <w:spacing w:line="360" w:lineRule="auto"/>
        <w:rPr>
          <w:color w:val="auto"/>
          <w:sz w:val="24"/>
          <w:szCs w:val="36"/>
          <w:highlight w:val="none"/>
        </w:rPr>
      </w:pPr>
      <w:r>
        <w:rPr>
          <w:rFonts w:hint="eastAsia"/>
          <w:color w:val="auto"/>
          <w:sz w:val="24"/>
          <w:szCs w:val="36"/>
          <w:highlight w:val="none"/>
        </w:rPr>
        <w:t xml:space="preserve">系统对接：</w:t>
      </w:r>
      <w:r/>
    </w:p>
    <w:p>
      <w:pPr>
        <w:contextualSpacing/>
        <w:ind w:firstLine="480"/>
        <w:spacing w:line="360" w:lineRule="auto"/>
        <w:rPr>
          <w:color w:val="auto"/>
          <w:sz w:val="24"/>
          <w:szCs w:val="36"/>
          <w:highlight w:val="none"/>
        </w:rPr>
      </w:pPr>
      <w:r>
        <w:rPr>
          <w:color w:val="auto"/>
          <w:sz w:val="24"/>
          <w:szCs w:val="36"/>
          <w:highlight w:val="none"/>
        </w:rPr>
        <w:t xml:space="preserve">1）</w:t>
      </w:r>
      <w:r>
        <w:rPr>
          <w:b/>
          <w:color w:val="auto"/>
          <w:sz w:val="24"/>
          <w:szCs w:val="36"/>
          <w:highlight w:val="none"/>
        </w:rPr>
        <w:t xml:space="preserve">投标人提供书面承诺书</w:t>
      </w:r>
      <w:r>
        <w:rPr>
          <w:color w:val="auto"/>
          <w:sz w:val="24"/>
          <w:szCs w:val="36"/>
          <w:highlight w:val="none"/>
        </w:rPr>
        <w:t xml:space="preserve">，保证控制主机与原有的智能控制中心平台（广州控智远程多媒体控制系统）实现无缝对接，承诺中标后2日内提供实物到学校进行对接测试，实现平台对新建控制主机统一管控，如无法按招标文件要求对接成功，愿接受按虚假应标处理；投标人提供书面承诺书，保证在原有的智能控制中心平台的基础上对新建的控制主机进行授权，承诺中标后2日内提供授权点和智能控制系统到学校进行授权测试，如无法按招标文件要求授权成功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2）</w:t>
      </w:r>
      <w:r>
        <w:rPr>
          <w:b/>
          <w:color w:val="auto"/>
          <w:sz w:val="24"/>
          <w:szCs w:val="36"/>
          <w:highlight w:val="none"/>
        </w:rPr>
        <w:t xml:space="preserve">投标人提供书面承诺书，对接产生的一切费用已包含在投标总价中。</w:t>
      </w:r>
      <w:r/>
    </w:p>
    <w:p>
      <w:pPr>
        <w:contextualSpacing/>
        <w:ind w:firstLine="480"/>
        <w:spacing w:line="360" w:lineRule="auto"/>
        <w:rPr>
          <w:color w:val="auto"/>
          <w:sz w:val="24"/>
          <w:szCs w:val="36"/>
          <w:highlight w:val="none"/>
        </w:rPr>
      </w:pPr>
      <w:r>
        <w:rPr>
          <w:color w:val="auto"/>
          <w:sz w:val="24"/>
          <w:szCs w:val="36"/>
          <w:highlight w:val="none"/>
        </w:rPr>
        <w:t xml:space="preserve">(2)控制终端</w:t>
      </w:r>
      <w:r/>
    </w:p>
    <w:p>
      <w:pPr>
        <w:contextualSpacing/>
        <w:ind w:firstLine="480"/>
        <w:spacing w:line="360" w:lineRule="auto"/>
        <w:rPr>
          <w:color w:val="auto"/>
          <w:sz w:val="24"/>
          <w:szCs w:val="36"/>
          <w:highlight w:val="none"/>
        </w:rPr>
      </w:pPr>
      <w:r>
        <w:rPr>
          <w:rFonts w:hint="eastAsia"/>
          <w:color w:val="auto"/>
          <w:sz w:val="24"/>
          <w:szCs w:val="36"/>
          <w:highlight w:val="none"/>
        </w:rPr>
        <w:t xml:space="preserve">系统对接：</w:t>
      </w:r>
      <w:r/>
    </w:p>
    <w:p>
      <w:pPr>
        <w:contextualSpacing/>
        <w:ind w:firstLine="480"/>
        <w:spacing w:line="360" w:lineRule="auto"/>
        <w:rPr>
          <w:color w:val="auto"/>
          <w:sz w:val="24"/>
          <w:szCs w:val="36"/>
          <w:highlight w:val="none"/>
        </w:rPr>
      </w:pPr>
      <w:r>
        <w:rPr>
          <w:color w:val="auto"/>
          <w:sz w:val="24"/>
          <w:szCs w:val="36"/>
          <w:highlight w:val="none"/>
        </w:rPr>
        <w:t xml:space="preserve">1）IP总机对接：IP对讲模块与学校原有控制总机（广州控智CPH622B）（石湫校区）和控制分机（草场门校区）无缝对接，在接听报控修电话时，系统实时弹出教室监控画面，如分机无人接听时系统会自动切换到总机；</w:t>
      </w:r>
      <w:r>
        <w:rPr>
          <w:b/>
          <w:color w:val="auto"/>
          <w:sz w:val="24"/>
          <w:szCs w:val="36"/>
          <w:highlight w:val="none"/>
        </w:rPr>
        <w:t xml:space="preserve">投标人提供书面承诺书</w:t>
      </w:r>
      <w:r>
        <w:rPr>
          <w:color w:val="auto"/>
          <w:sz w:val="24"/>
          <w:szCs w:val="36"/>
          <w:highlight w:val="none"/>
        </w:rPr>
        <w:t xml:space="preserve">，保证与原有的IP总机实现无缝对接并保证新建IP对讲和原系统功能一致，承诺中标后2日内提供实物到学校进行对接测试，如无法按招标文件要求对接成功，愿接受按虚假应标处理；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2）</w:t>
      </w:r>
      <w:r>
        <w:rPr>
          <w:b/>
          <w:color w:val="auto"/>
          <w:sz w:val="24"/>
          <w:szCs w:val="36"/>
          <w:highlight w:val="none"/>
        </w:rPr>
        <w:t xml:space="preserve">投标人提供书面承诺书</w:t>
      </w:r>
      <w:r>
        <w:rPr>
          <w:color w:val="auto"/>
          <w:sz w:val="24"/>
          <w:szCs w:val="36"/>
          <w:highlight w:val="none"/>
        </w:rPr>
        <w:t xml:space="preserve">，保证IP对讲与学校原有语音网关服务平台（广州控智MYCALL）无缝对接，承诺中标后2日内提供实物到学校进行对接测试，实现平台对新建IP对讲统一管控，如无法按招标文件要求对接成功，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3）</w:t>
      </w:r>
      <w:r>
        <w:rPr>
          <w:b/>
          <w:color w:val="auto"/>
          <w:sz w:val="24"/>
          <w:szCs w:val="36"/>
          <w:highlight w:val="none"/>
        </w:rPr>
        <w:t xml:space="preserve">投标人提供书面承诺书</w:t>
      </w:r>
      <w:r>
        <w:rPr>
          <w:color w:val="auto"/>
          <w:sz w:val="24"/>
          <w:szCs w:val="36"/>
          <w:highlight w:val="none"/>
        </w:rPr>
        <w:t xml:space="preserve">，对接产生的一切费用已包含在投标总价中。</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3）云桌面服务器</w:t>
      </w:r>
      <w:r/>
    </w:p>
    <w:p>
      <w:pPr>
        <w:contextualSpacing/>
        <w:ind w:firstLine="480"/>
        <w:spacing w:line="360" w:lineRule="auto"/>
        <w:rPr>
          <w:color w:val="auto"/>
          <w:sz w:val="24"/>
          <w:szCs w:val="36"/>
          <w:highlight w:val="none"/>
        </w:rPr>
      </w:pPr>
      <w:r>
        <w:rPr>
          <w:rFonts w:hint="eastAsia"/>
          <w:color w:val="auto"/>
          <w:sz w:val="24"/>
          <w:szCs w:val="36"/>
          <w:highlight w:val="none"/>
        </w:rPr>
        <w:t xml:space="preserve">平台对接</w:t>
      </w:r>
      <w:r/>
    </w:p>
    <w:p>
      <w:pPr>
        <w:contextualSpacing/>
        <w:ind w:firstLine="480"/>
        <w:spacing w:line="360" w:lineRule="auto"/>
        <w:rPr>
          <w:color w:val="auto"/>
          <w:sz w:val="24"/>
          <w:szCs w:val="36"/>
          <w:highlight w:val="none"/>
        </w:rPr>
      </w:pPr>
      <w:r>
        <w:rPr>
          <w:color w:val="auto"/>
          <w:sz w:val="24"/>
          <w:szCs w:val="36"/>
          <w:highlight w:val="none"/>
        </w:rPr>
        <w:t xml:space="preserve">1)</w:t>
      </w:r>
      <w:r>
        <w:rPr>
          <w:b/>
          <w:color w:val="auto"/>
          <w:sz w:val="24"/>
          <w:szCs w:val="36"/>
          <w:highlight w:val="none"/>
        </w:rPr>
        <w:t xml:space="preserve">投标人提供书面承诺书</w:t>
      </w:r>
      <w:r>
        <w:rPr>
          <w:color w:val="auto"/>
          <w:sz w:val="24"/>
          <w:szCs w:val="36"/>
          <w:highlight w:val="none"/>
        </w:rPr>
        <w:t xml:space="preserve">，保证新建服务器能管控原有的云终端（锐捷RG-Rain310(256)），承诺中标后2日内提供服务器到学校进行对接测试，如无法按招标文件要求对接成功，愿接受按虚假应标处理。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2）</w:t>
      </w:r>
      <w:r>
        <w:rPr>
          <w:b/>
          <w:color w:val="auto"/>
          <w:sz w:val="24"/>
          <w:szCs w:val="36"/>
          <w:highlight w:val="none"/>
        </w:rPr>
        <w:t xml:space="preserve">投标人提供书面承诺书</w:t>
      </w:r>
      <w:r>
        <w:rPr>
          <w:color w:val="auto"/>
          <w:sz w:val="24"/>
          <w:szCs w:val="36"/>
          <w:highlight w:val="none"/>
        </w:rPr>
        <w:t xml:space="preserve">，对接产生的一切费用已包含在投标总价中。</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4）云桌面虚拟化</w:t>
      </w:r>
      <w:r/>
    </w:p>
    <w:p>
      <w:pPr>
        <w:contextualSpacing/>
        <w:ind w:firstLine="480"/>
        <w:spacing w:line="360" w:lineRule="auto"/>
        <w:rPr>
          <w:color w:val="auto"/>
          <w:sz w:val="24"/>
          <w:szCs w:val="36"/>
          <w:highlight w:val="none"/>
        </w:rPr>
      </w:pPr>
      <w:r>
        <w:rPr>
          <w:rFonts w:hint="eastAsia"/>
          <w:color w:val="auto"/>
          <w:sz w:val="24"/>
          <w:szCs w:val="36"/>
          <w:highlight w:val="none"/>
        </w:rPr>
        <w:t xml:space="preserve">平台对接</w:t>
      </w:r>
      <w:r/>
    </w:p>
    <w:p>
      <w:pPr>
        <w:contextualSpacing/>
        <w:ind w:firstLine="480"/>
        <w:spacing w:line="360" w:lineRule="auto"/>
        <w:rPr>
          <w:color w:val="auto"/>
          <w:sz w:val="24"/>
          <w:szCs w:val="36"/>
          <w:highlight w:val="none"/>
        </w:rPr>
      </w:pPr>
      <w:r>
        <w:rPr>
          <w:color w:val="auto"/>
          <w:sz w:val="24"/>
          <w:szCs w:val="36"/>
          <w:highlight w:val="none"/>
        </w:rPr>
        <w:t xml:space="preserve">1)</w:t>
      </w:r>
      <w:r>
        <w:rPr>
          <w:b/>
          <w:color w:val="auto"/>
          <w:sz w:val="24"/>
          <w:szCs w:val="36"/>
          <w:highlight w:val="none"/>
        </w:rPr>
        <w:t xml:space="preserve">投标人提供书面承诺书</w:t>
      </w:r>
      <w:r>
        <w:rPr>
          <w:color w:val="auto"/>
          <w:sz w:val="24"/>
          <w:szCs w:val="36"/>
          <w:highlight w:val="none"/>
        </w:rPr>
        <w:t xml:space="preserve">，保证与云桌面管理软件（锐捷）实现无缝对接现有150间教室和本次新建的36间云终端或OPS电脑授权数量，承诺中标后2日内提供云桌面管理软件到学校进行对接测试，实现平台对原有终端和新建云终端及OPS电脑统一管控，如无法按招标文件要求对接成功，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2）</w:t>
      </w:r>
      <w:r>
        <w:rPr>
          <w:b/>
          <w:color w:val="auto"/>
          <w:sz w:val="24"/>
          <w:szCs w:val="36"/>
          <w:highlight w:val="none"/>
        </w:rPr>
        <w:t xml:space="preserve">投标人提供书面承诺书</w:t>
      </w:r>
      <w:r>
        <w:rPr>
          <w:rFonts w:hint="eastAsia"/>
          <w:b/>
          <w:color w:val="auto"/>
          <w:sz w:val="24"/>
          <w:szCs w:val="36"/>
          <w:highlight w:val="none"/>
        </w:rPr>
        <w:t xml:space="preserve">,</w:t>
      </w:r>
      <w:r>
        <w:rPr>
          <w:color w:val="auto"/>
          <w:sz w:val="24"/>
          <w:szCs w:val="36"/>
          <w:highlight w:val="none"/>
        </w:rPr>
        <w:t xml:space="preserve">完成对现有150间教室的终端系统升级工作，确保终端设备正常运行，如无法按招标文件要求升级，愿接受按虚假应标处理。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3）</w:t>
      </w:r>
      <w:bookmarkStart w:id="25" w:name="OLE_LINK20"/>
      <w:r/>
      <w:bookmarkStart w:id="26" w:name="OLE_LINK19"/>
      <w:r>
        <w:rPr>
          <w:b/>
          <w:color w:val="auto"/>
          <w:sz w:val="24"/>
          <w:szCs w:val="36"/>
          <w:highlight w:val="none"/>
        </w:rPr>
        <w:t xml:space="preserve">投标人提供书面承诺书</w:t>
      </w:r>
      <w:bookmarkEnd w:id="25"/>
      <w:r/>
      <w:bookmarkEnd w:id="26"/>
      <w:r>
        <w:rPr>
          <w:color w:val="auto"/>
          <w:sz w:val="24"/>
          <w:szCs w:val="36"/>
          <w:highlight w:val="none"/>
        </w:rPr>
        <w:t xml:space="preserve">，对接产生的一切费用已包含在投标总价中。</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5）安防门禁系统</w:t>
      </w:r>
      <w:r/>
    </w:p>
    <w:p>
      <w:pPr>
        <w:contextualSpacing/>
        <w:ind w:firstLine="480"/>
        <w:spacing w:line="360" w:lineRule="auto"/>
        <w:rPr>
          <w:color w:val="auto"/>
          <w:sz w:val="24"/>
          <w:szCs w:val="36"/>
          <w:highlight w:val="none"/>
        </w:rPr>
      </w:pPr>
      <w:r>
        <w:rPr>
          <w:color w:val="auto"/>
          <w:sz w:val="24"/>
          <w:szCs w:val="36"/>
          <w:highlight w:val="none"/>
        </w:rPr>
        <w:t xml:space="preserve">1)</w:t>
      </w:r>
      <w:r>
        <w:rPr>
          <w:b/>
          <w:color w:val="auto"/>
          <w:sz w:val="24"/>
          <w:szCs w:val="36"/>
          <w:highlight w:val="none"/>
        </w:rPr>
        <w:t xml:space="preserve">投标人提供书面承诺书</w:t>
      </w:r>
      <w:r>
        <w:rPr>
          <w:color w:val="auto"/>
          <w:sz w:val="24"/>
          <w:szCs w:val="36"/>
          <w:highlight w:val="none"/>
        </w:rPr>
        <w:t xml:space="preserve">，需与现有安防门禁系统对接，对接产生的一切费用已包含在投标总价中</w:t>
      </w:r>
      <w:r>
        <w:rPr>
          <w:rFonts w:hint="eastAsia"/>
          <w:color w:val="auto"/>
          <w:sz w:val="24"/>
          <w:szCs w:val="36"/>
          <w:highlight w:val="none"/>
        </w:rPr>
        <w:t xml:space="preserve">。</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6)</w:t>
      </w:r>
      <w:r>
        <w:rPr>
          <w:rFonts w:hint="eastAsia"/>
          <w:color w:val="auto"/>
          <w:sz w:val="24"/>
          <w:szCs w:val="36"/>
          <w:highlight w:val="none"/>
        </w:rPr>
        <w:t xml:space="preserve">维保要求：</w:t>
      </w:r>
      <w:r/>
    </w:p>
    <w:p>
      <w:pPr>
        <w:contextualSpacing/>
        <w:ind w:firstLine="480"/>
        <w:spacing w:line="360" w:lineRule="auto"/>
        <w:rPr>
          <w:color w:val="auto"/>
          <w:sz w:val="24"/>
          <w:szCs w:val="36"/>
          <w:highlight w:val="none"/>
        </w:rPr>
      </w:pPr>
      <w:r>
        <w:rPr>
          <w:rFonts w:hint="eastAsia"/>
          <w:color w:val="auto"/>
          <w:sz w:val="24"/>
          <w:szCs w:val="36"/>
          <w:highlight w:val="none"/>
        </w:rPr>
        <w:t xml:space="preserve">本次采购的所有设备在质保期内发生故障，中标方必须及时响应并免费上门服务，要求提供</w:t>
      </w:r>
      <w:r>
        <w:rPr>
          <w:color w:val="auto"/>
          <w:sz w:val="24"/>
          <w:szCs w:val="36"/>
          <w:highlight w:val="none"/>
        </w:rPr>
        <w:t xml:space="preserve">7*24小时客服响应，接到电话后2小时内到达现场，4小时内排除故障。质保期内每半月对设备巡检一次（发现故障及时维修），每学期开学前一周对设备开机巡检并排除故障，学期结束后一周内对设备进行除尘、保养和维修。</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3.质保期</w:t>
      </w:r>
      <w:r/>
    </w:p>
    <w:p>
      <w:pPr>
        <w:contextualSpacing/>
        <w:ind w:firstLine="480"/>
        <w:spacing w:line="360" w:lineRule="auto"/>
        <w:rPr>
          <w:color w:val="auto"/>
          <w:sz w:val="24"/>
          <w:szCs w:val="36"/>
          <w:highlight w:val="none"/>
        </w:rPr>
      </w:pPr>
      <w:r>
        <w:rPr>
          <w:rFonts w:hint="eastAsia"/>
          <w:color w:val="auto"/>
          <w:sz w:val="24"/>
          <w:szCs w:val="36"/>
          <w:highlight w:val="none"/>
        </w:rPr>
        <w:t xml:space="preserve">本项目免费质保期为自项目验收合格之日起至少</w:t>
      </w:r>
      <w:r>
        <w:rPr>
          <w:color w:val="auto"/>
          <w:sz w:val="24"/>
          <w:szCs w:val="36"/>
          <w:highlight w:val="none"/>
        </w:rPr>
        <w:t xml:space="preserve">48个月。（投标人提供书面承诺书）</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4.合同履行期限</w:t>
      </w:r>
      <w:r>
        <w:rPr>
          <w:color w:val="auto"/>
          <w:sz w:val="24"/>
          <w:szCs w:val="36"/>
          <w:highlight w:val="none"/>
        </w:rPr>
        <w:tab/>
      </w:r>
      <w:r/>
    </w:p>
    <w:p>
      <w:pPr>
        <w:contextualSpacing/>
        <w:ind w:firstLine="480"/>
        <w:spacing w:line="360" w:lineRule="auto"/>
        <w:rPr>
          <w:color w:val="auto"/>
          <w:sz w:val="24"/>
          <w:szCs w:val="36"/>
          <w:highlight w:val="none"/>
        </w:rPr>
      </w:pPr>
      <w:r>
        <w:rPr>
          <w:rFonts w:hint="eastAsia"/>
          <w:color w:val="auto"/>
          <w:sz w:val="24"/>
          <w:szCs w:val="36"/>
          <w:highlight w:val="none"/>
        </w:rPr>
        <w:t xml:space="preserve">自合同签订之日起，</w:t>
      </w:r>
      <w:r>
        <w:rPr>
          <w:color w:val="auto"/>
          <w:sz w:val="24"/>
          <w:szCs w:val="36"/>
          <w:highlight w:val="none"/>
        </w:rPr>
        <w:t xml:space="preserve">30个日历日内供货到位。</w:t>
      </w:r>
      <w:r/>
    </w:p>
    <w:p>
      <w:pPr>
        <w:spacing w:before="187" w:after="187"/>
        <w:rPr>
          <w:color w:val="auto"/>
          <w:highlight w:val="none"/>
        </w:rPr>
      </w:pPr>
      <w:r>
        <w:rPr>
          <w:rFonts w:hint="eastAsia"/>
          <w:b/>
          <w:color w:val="auto"/>
          <w:sz w:val="28"/>
          <w:highlight w:val="none"/>
          <w:lang w:val="en-US"/>
        </w:rPr>
        <w:t xml:space="preserve">八、</w:t>
      </w:r>
      <w:r>
        <w:rPr>
          <w:b/>
          <w:color w:val="auto"/>
          <w:sz w:val="28"/>
          <w:highlight w:val="none"/>
        </w:rPr>
        <w:t xml:space="preserve"> 验收标准</w:t>
      </w:r>
      <w:r/>
    </w:p>
    <w:p>
      <w:pPr>
        <w:contextualSpacing/>
        <w:ind w:firstLine="480"/>
        <w:spacing w:line="360" w:lineRule="auto"/>
        <w:rPr>
          <w:color w:val="auto"/>
          <w:sz w:val="24"/>
          <w:szCs w:val="36"/>
          <w:highlight w:val="none"/>
        </w:rPr>
      </w:pPr>
      <w:r>
        <w:rPr>
          <w:color w:val="auto"/>
          <w:sz w:val="24"/>
          <w:szCs w:val="36"/>
          <w:highlight w:val="none"/>
        </w:rPr>
        <w:t xml:space="preserve">(1)货物监制：</w:t>
      </w:r>
      <w:r/>
    </w:p>
    <w:p>
      <w:pPr>
        <w:contextualSpacing/>
        <w:ind w:firstLine="480"/>
        <w:spacing w:line="360" w:lineRule="auto"/>
        <w:rPr>
          <w:color w:val="auto"/>
          <w:sz w:val="24"/>
          <w:szCs w:val="36"/>
          <w:highlight w:val="none"/>
        </w:rPr>
      </w:pPr>
      <w:r>
        <w:rPr>
          <w:rFonts w:hint="eastAsia"/>
          <w:color w:val="auto"/>
          <w:sz w:val="24"/>
          <w:szCs w:val="36"/>
          <w:highlight w:val="none"/>
        </w:rPr>
        <w:t xml:space="preserve">①乙方提供的设备、材料等全部货物及其安装调试应当不存在危及人身、财产安全的危险，并具备合同约定的使用性能，符合招标文件、技术协议以及合同约定的质量标准。包装要求：全部货物的外包装必须采用防漏、防潮、防震、防锈、防盗和考虑所可能会发生的野蛮装卸等长途内陆运输及多次装卸之需要。</w:t>
      </w:r>
      <w:r/>
    </w:p>
    <w:p>
      <w:pPr>
        <w:contextualSpacing/>
        <w:ind w:firstLine="480"/>
        <w:spacing w:line="360" w:lineRule="auto"/>
        <w:rPr>
          <w:color w:val="auto"/>
          <w:sz w:val="24"/>
          <w:szCs w:val="36"/>
          <w:highlight w:val="none"/>
        </w:rPr>
      </w:pPr>
      <w:r>
        <w:rPr>
          <w:rFonts w:hint="eastAsia"/>
          <w:color w:val="auto"/>
          <w:sz w:val="24"/>
          <w:szCs w:val="36"/>
          <w:highlight w:val="none"/>
        </w:rPr>
        <w:t xml:space="preserve">②货物在交付后</w:t>
      </w:r>
      <w:r>
        <w:rPr>
          <w:color w:val="auto"/>
          <w:sz w:val="24"/>
          <w:szCs w:val="36"/>
          <w:highlight w:val="none"/>
        </w:rPr>
        <w:t xml:space="preserve">7天须向甲方提供与货物质量相符的技术文件。</w:t>
      </w:r>
      <w:r/>
    </w:p>
    <w:p>
      <w:pPr>
        <w:contextualSpacing/>
        <w:ind w:firstLine="480"/>
        <w:spacing w:line="360" w:lineRule="auto"/>
        <w:rPr>
          <w:color w:val="auto"/>
          <w:sz w:val="24"/>
          <w:szCs w:val="36"/>
          <w:highlight w:val="none"/>
        </w:rPr>
      </w:pPr>
      <w:r>
        <w:rPr>
          <w:rFonts w:hint="eastAsia"/>
          <w:color w:val="auto"/>
          <w:sz w:val="24"/>
          <w:szCs w:val="36"/>
          <w:highlight w:val="none"/>
        </w:rPr>
        <w:t xml:space="preserve">③本合同所有设备、材料的制造及安装，都必须由中标单位承担，不得分包。否则，甲方有权按乙方不履行合同来处理。</w:t>
      </w:r>
      <w:r/>
    </w:p>
    <w:p>
      <w:pPr>
        <w:contextualSpacing/>
        <w:ind w:firstLine="480"/>
        <w:spacing w:line="360" w:lineRule="auto"/>
        <w:rPr>
          <w:color w:val="auto"/>
          <w:sz w:val="24"/>
          <w:szCs w:val="36"/>
          <w:highlight w:val="none"/>
        </w:rPr>
      </w:pPr>
      <w:r>
        <w:rPr>
          <w:rFonts w:hint="eastAsia"/>
          <w:color w:val="auto"/>
          <w:sz w:val="24"/>
          <w:szCs w:val="36"/>
          <w:highlight w:val="none"/>
        </w:rPr>
        <w:t xml:space="preserve">④乙方或制造商须按照国家、行业及企业的相关规定与标准对货物进行出厂检验。</w:t>
      </w:r>
      <w:r/>
    </w:p>
    <w:p>
      <w:pPr>
        <w:contextualSpacing/>
        <w:ind w:firstLine="480"/>
        <w:spacing w:line="360" w:lineRule="auto"/>
        <w:rPr>
          <w:color w:val="auto"/>
          <w:sz w:val="24"/>
          <w:szCs w:val="36"/>
          <w:highlight w:val="none"/>
        </w:rPr>
      </w:pPr>
      <w:r>
        <w:rPr>
          <w:color w:val="auto"/>
          <w:sz w:val="24"/>
          <w:szCs w:val="36"/>
          <w:highlight w:val="none"/>
        </w:rPr>
        <w:t xml:space="preserve">(2)货物验收：</w:t>
      </w:r>
      <w:r/>
    </w:p>
    <w:p>
      <w:pPr>
        <w:contextualSpacing/>
        <w:ind w:firstLine="48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1次验收：两校区全部货物运抵甲方现场后，甲、乙双方、甲方招标办共同验货：如有货物短缺、</w:t>
      </w:r>
      <w:r/>
    </w:p>
    <w:p>
      <w:pPr>
        <w:contextualSpacing/>
        <w:ind w:firstLine="480"/>
        <w:spacing w:line="360" w:lineRule="auto"/>
        <w:rPr>
          <w:color w:val="auto"/>
          <w:sz w:val="24"/>
          <w:szCs w:val="36"/>
          <w:highlight w:val="none"/>
        </w:rPr>
      </w:pPr>
      <w:r>
        <w:rPr>
          <w:rFonts w:hint="eastAsia"/>
          <w:color w:val="auto"/>
          <w:sz w:val="24"/>
          <w:szCs w:val="36"/>
          <w:highlight w:val="none"/>
        </w:rPr>
        <w:t xml:space="preserve">质次、损坏等问题，应作详细纪录，并由乙方先立即、无条件为甲方调换或补齐，然后再检查原因，追究责任人；直至无疑义后进行所有系统的安装、调试。</w:t>
      </w:r>
      <w:r/>
    </w:p>
    <w:p>
      <w:pPr>
        <w:contextualSpacing/>
        <w:ind w:firstLine="48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2次验收：两校区分别试运行正常满一个月后进行验收程序，验收环节需提交货物清单，做到物、</w:t>
      </w:r>
      <w:r>
        <w:rPr>
          <w:rFonts w:hint="eastAsia"/>
          <w:color w:val="auto"/>
          <w:sz w:val="24"/>
          <w:szCs w:val="36"/>
          <w:highlight w:val="none"/>
        </w:rPr>
        <w:t xml:space="preserve">账对应，资料完整，按甲方提供模板填好数据。参与验收人员包括：甲方资产管理员、乙方项目负责人、校方资产管理部门相关人员共同验收，初验合格。</w:t>
      </w:r>
      <w:r/>
    </w:p>
    <w:p>
      <w:pPr>
        <w:contextualSpacing/>
        <w:ind w:firstLine="480"/>
        <w:spacing w:line="360" w:lineRule="auto"/>
        <w:rPr>
          <w:color w:val="auto"/>
          <w:sz w:val="24"/>
          <w:szCs w:val="36"/>
          <w:highlight w:val="none"/>
        </w:rPr>
      </w:pPr>
      <w:r>
        <w:rPr>
          <w:rFonts w:hint="eastAsia"/>
          <w:color w:val="auto"/>
          <w:sz w:val="24"/>
          <w:szCs w:val="36"/>
          <w:highlight w:val="none"/>
        </w:rPr>
        <w:t xml:space="preserve">最终验收：设备正常运行正常三个月后，组织校内外专家进行终验，买、卖双方及有关部门确认验收合格。</w:t>
      </w:r>
      <w:r/>
    </w:p>
    <w:p>
      <w:pPr>
        <w:contextualSpacing/>
        <w:ind w:firstLine="480"/>
        <w:spacing w:line="360" w:lineRule="auto"/>
        <w:rPr>
          <w:color w:val="auto"/>
          <w:sz w:val="24"/>
          <w:szCs w:val="36"/>
          <w:highlight w:val="none"/>
        </w:rPr>
      </w:pPr>
      <w:r>
        <w:rPr>
          <w:color w:val="auto"/>
          <w:sz w:val="24"/>
          <w:szCs w:val="36"/>
          <w:highlight w:val="none"/>
        </w:rPr>
        <w:t xml:space="preserve">2、货物验收应同时符合招标文件和投标文件明确的指标。</w:t>
      </w:r>
      <w:r/>
    </w:p>
    <w:p>
      <w:pPr>
        <w:contextualSpacing/>
        <w:ind w:firstLine="480"/>
        <w:spacing w:line="360" w:lineRule="auto"/>
        <w:rPr>
          <w:color w:val="auto"/>
          <w:sz w:val="24"/>
          <w:szCs w:val="36"/>
          <w:highlight w:val="none"/>
        </w:rPr>
      </w:pPr>
      <w:r>
        <w:rPr>
          <w:rFonts w:hint="eastAsia"/>
          <w:color w:val="auto"/>
          <w:sz w:val="24"/>
          <w:szCs w:val="36"/>
          <w:highlight w:val="none"/>
        </w:rPr>
        <w:t xml:space="preserve">说明：上述各次验收，无论是否通过了甲方的验收，均不能免除合同规定的乙方应承担的责任和义务。</w:t>
      </w:r>
      <w:r/>
    </w:p>
    <w:p>
      <w:pPr>
        <w:contextualSpacing/>
        <w:ind w:firstLine="480"/>
        <w:spacing w:line="360" w:lineRule="auto"/>
        <w:rPr>
          <w:color w:val="auto"/>
          <w:sz w:val="24"/>
          <w:szCs w:val="36"/>
          <w:highlight w:val="none"/>
        </w:rPr>
      </w:pPr>
      <w:r>
        <w:rPr>
          <w:color w:val="auto"/>
          <w:sz w:val="24"/>
          <w:szCs w:val="36"/>
          <w:highlight w:val="none"/>
        </w:rPr>
        <w:t xml:space="preserve">(3)货物验收标准：</w:t>
      </w:r>
      <w:r/>
    </w:p>
    <w:p>
      <w:pPr>
        <w:contextualSpacing/>
        <w:ind w:firstLine="480"/>
        <w:spacing w:line="360" w:lineRule="auto"/>
        <w:rPr>
          <w:color w:val="auto"/>
          <w:sz w:val="24"/>
          <w:szCs w:val="36"/>
          <w:highlight w:val="none"/>
        </w:rPr>
      </w:pPr>
      <w:r>
        <w:rPr>
          <w:color w:val="auto"/>
          <w:sz w:val="24"/>
          <w:szCs w:val="36"/>
          <w:highlight w:val="none"/>
        </w:rPr>
        <w:t xml:space="preserve">1、国家有关的标准和规定及招标文件的技术要求。</w:t>
      </w:r>
      <w:r/>
    </w:p>
    <w:p>
      <w:pPr>
        <w:contextualSpacing/>
        <w:ind w:firstLine="480"/>
        <w:spacing w:line="360" w:lineRule="auto"/>
        <w:rPr>
          <w:color w:val="auto"/>
          <w:sz w:val="24"/>
          <w:szCs w:val="36"/>
          <w:highlight w:val="none"/>
        </w:rPr>
      </w:pPr>
      <w:r>
        <w:rPr>
          <w:color w:val="auto"/>
          <w:sz w:val="24"/>
          <w:szCs w:val="36"/>
          <w:highlight w:val="none"/>
        </w:rPr>
        <w:t xml:space="preserve">2、乙方保证，所提供的货物是一年内全新的、未使用过的，完全符合合同规定的质量、规格和性能要求和技术规范及合同图纸内的一切规定；乙方并保证精心安装和调试所供设备。乙方担保货物在正确使用和保养条件下在其使用寿命内应具有满意的性能。</w:t>
      </w:r>
      <w:r/>
    </w:p>
    <w:p>
      <w:pPr>
        <w:contextualSpacing/>
        <w:ind w:firstLine="480"/>
        <w:spacing w:line="360" w:lineRule="auto"/>
        <w:rPr>
          <w:color w:val="auto"/>
          <w:sz w:val="24"/>
          <w:szCs w:val="36"/>
          <w:highlight w:val="none"/>
        </w:rPr>
      </w:pPr>
      <w:r>
        <w:rPr>
          <w:color w:val="auto"/>
          <w:sz w:val="24"/>
          <w:szCs w:val="36"/>
          <w:highlight w:val="none"/>
        </w:rPr>
        <w:t xml:space="preserve">3、执行招标文件及合同相关规定，当执行验评发生矛盾时，乙方与甲方协商，甲方具有选择权。</w:t>
      </w:r>
      <w:r/>
    </w:p>
    <w:p>
      <w:pPr>
        <w:contextualSpacing/>
        <w:ind w:firstLine="480"/>
        <w:spacing w:line="360" w:lineRule="auto"/>
        <w:rPr>
          <w:color w:val="auto"/>
          <w:sz w:val="24"/>
          <w:szCs w:val="36"/>
          <w:highlight w:val="none"/>
        </w:rPr>
      </w:pPr>
      <w:r>
        <w:rPr>
          <w:color w:val="auto"/>
          <w:sz w:val="24"/>
          <w:szCs w:val="36"/>
          <w:highlight w:val="none"/>
        </w:rPr>
        <w:t xml:space="preserve">4、以项目实施方案、甲方或其代表以书面形式批准的变更通知或施工指导意见、国家颁发的相关施工技术、验收规范、质量检验标准及有关规定为依据进行验收。</w:t>
      </w:r>
      <w:r/>
    </w:p>
    <w:p>
      <w:pPr>
        <w:contextualSpacing/>
        <w:ind w:firstLine="480"/>
        <w:spacing w:line="360" w:lineRule="auto"/>
        <w:rPr>
          <w:color w:val="auto"/>
          <w:sz w:val="24"/>
          <w:szCs w:val="36"/>
          <w:highlight w:val="none"/>
        </w:rPr>
      </w:pPr>
      <w:r>
        <w:rPr>
          <w:color w:val="auto"/>
          <w:sz w:val="24"/>
          <w:szCs w:val="36"/>
          <w:highlight w:val="none"/>
        </w:rPr>
        <w:t xml:space="preserve">(4)货物性能考核指标：</w:t>
      </w:r>
      <w:r/>
    </w:p>
    <w:p>
      <w:pPr>
        <w:contextualSpacing/>
        <w:ind w:firstLine="480"/>
        <w:spacing w:line="360" w:lineRule="auto"/>
        <w:rPr>
          <w:color w:val="auto"/>
          <w:sz w:val="24"/>
          <w:szCs w:val="36"/>
          <w:highlight w:val="none"/>
        </w:rPr>
      </w:pPr>
      <w:r>
        <w:rPr>
          <w:rFonts w:hint="eastAsia"/>
          <w:color w:val="auto"/>
          <w:sz w:val="24"/>
          <w:szCs w:val="36"/>
          <w:highlight w:val="none"/>
        </w:rPr>
        <w:t xml:space="preserve">不得低于上述货物验收标准中的指标，同时应符合招标文件和投标文件明确的指标。</w:t>
      </w:r>
      <w:r/>
    </w:p>
    <w:p>
      <w:pPr>
        <w:spacing w:before="187" w:after="187"/>
        <w:rPr>
          <w:color w:val="auto"/>
          <w:highlight w:val="none"/>
        </w:rPr>
      </w:pPr>
      <w:r>
        <w:rPr>
          <w:rFonts w:hint="eastAsia"/>
          <w:b/>
          <w:color w:val="auto"/>
          <w:sz w:val="28"/>
          <w:highlight w:val="none"/>
          <w:lang w:val="en-US"/>
        </w:rPr>
        <w:t xml:space="preserve">九、</w:t>
      </w:r>
      <w:r>
        <w:rPr>
          <w:b/>
          <w:color w:val="auto"/>
          <w:sz w:val="28"/>
          <w:highlight w:val="none"/>
        </w:rPr>
        <w:t xml:space="preserve"> 付款方式</w:t>
      </w:r>
      <w:r/>
    </w:p>
    <w:p>
      <w:pPr>
        <w:ind w:firstLine="24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1次付款：合同签订后，成交供应商供货产品全部到货满两周(14)天内，甲方按照多媒体建设项目的合同价款的30％支付货物款。</w:t>
      </w:r>
      <w:r/>
    </w:p>
    <w:p>
      <w:pPr>
        <w:ind w:firstLine="24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2次付款：完成多媒体建设项目所有货物的安装、调试，试运行正常，经甲方、乙方初验验收合格后，15日内付至本项目多媒体建设合同价款的60％。</w:t>
      </w:r>
      <w:r/>
    </w:p>
    <w:p>
      <w:pPr>
        <w:ind w:firstLine="24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3次付款：完成多媒体建设项目后，经甲方、乙方验收合格后，成交乙方上报多媒体建设项目完整结算资料至甲方管理部门，经甲方审计单位审计，出具审计报告后,15日内付至本项目多媒体建设审定价的90％。在项目验收完成后无息按比例退还履约保证金。</w:t>
      </w:r>
      <w:r/>
    </w:p>
    <w:p>
      <w:pPr>
        <w:ind w:firstLine="24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4次付款：终验满六个月后，成交供应商提供多媒体建设剩余金额的足额发票，15日内付至本项目多媒体建设审定价的96％。</w:t>
      </w:r>
      <w:r/>
    </w:p>
    <w:p>
      <w:pPr>
        <w:ind w:firstLine="24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5次付款：定期做好设备巡检工作，发现问题并能及时处理，满4年后，无息付清尾款。如果发现质保期内设备故障或其他原因导致多媒体设备问题，没有及时处理，影响学校正常教学秩序，每次扣除尾款的0.5％扣除部分尾款，直到扣完为止。</w:t>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950"/>
        <w:rPr>
          <w:color w:val="auto"/>
          <w:highlight w:val="none"/>
        </w:rPr>
      </w:pPr>
      <w:r>
        <w:rPr>
          <w:color w:val="auto"/>
          <w:highlight w:val="none"/>
        </w:rPr>
      </w:r>
      <w:r/>
    </w:p>
    <w:p>
      <w:pPr>
        <w:ind w:right="40"/>
        <w:jc w:val="center"/>
        <w:spacing w:before="29"/>
        <w:tabs>
          <w:tab w:val="left" w:pos="1439" w:leader="none"/>
        </w:tabs>
        <w:rPr>
          <w:rFonts w:ascii="黑体" w:eastAsia="黑体"/>
          <w:b/>
          <w:bCs/>
          <w:color w:val="auto"/>
          <w:sz w:val="36"/>
          <w:highlight w:val="none"/>
        </w:rPr>
        <w:outlineLvl w:val="0"/>
      </w:pPr>
      <w:r>
        <w:rPr>
          <w:rFonts w:hint="eastAsia" w:ascii="黑体" w:eastAsia="黑体"/>
          <w:b/>
          <w:bCs/>
          <w:color w:val="auto"/>
          <w:sz w:val="36"/>
          <w:highlight w:val="none"/>
        </w:rPr>
        <w:t xml:space="preserve">第五章</w:t>
      </w:r>
      <w:bookmarkEnd w:id="21"/>
      <w:r/>
      <w:bookmarkStart w:id="27" w:name="_Toc11634"/>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合同主要条款及格式</w:t>
      </w:r>
      <w:r/>
    </w:p>
    <w:p>
      <w:pPr>
        <w:ind w:firstLine="2729"/>
        <w:spacing w:before="306" w:line="219" w:lineRule="auto"/>
        <w:rPr>
          <w:color w:val="auto"/>
          <w:sz w:val="94"/>
          <w:szCs w:val="94"/>
          <w:highlight w:val="none"/>
        </w:rPr>
        <w:outlineLvl w:val="0"/>
      </w:pPr>
      <w:r>
        <w:rPr>
          <w:b/>
          <w:bCs/>
          <w:color w:val="auto"/>
          <w:spacing w:val="-17"/>
          <w:sz w:val="94"/>
          <w:szCs w:val="94"/>
          <w:highlight w:val="none"/>
        </w:rPr>
        <w:t xml:space="preserve">采购合同</w:t>
      </w:r>
      <w:r/>
    </w:p>
    <w:p>
      <w:pPr>
        <w:pStyle w:val="88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8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8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8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8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8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8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8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8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8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8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8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8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8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left="1676"/>
        <w:spacing w:before="91" w:line="227" w:lineRule="auto"/>
        <w:rPr>
          <w:rFonts w:ascii="黑体" w:hAnsi="黑体" w:eastAsia="黑体" w:cs="黑体"/>
          <w:color w:val="auto"/>
          <w:sz w:val="28"/>
          <w:szCs w:val="28"/>
          <w:highlight w:val="none"/>
        </w:rPr>
      </w:pPr>
      <w:r>
        <w:rPr>
          <w:rFonts w:ascii="黑体" w:hAnsi="黑体" w:eastAsia="黑体" w:cs="黑体"/>
          <w:color w:val="auto"/>
          <w:spacing w:val="-2"/>
          <w:position w:val="-5"/>
          <w:sz w:val="28"/>
          <w:szCs w:val="28"/>
          <w:highlight w:val="none"/>
        </w:rPr>
        <w:t xml:space="preserve">项目编号：</w:t>
      </w:r>
      <w:r>
        <w:rPr>
          <w:rFonts w:ascii="黑体" w:hAnsi="黑体" w:eastAsia="黑体" w:cs="黑体"/>
          <w:color w:val="auto"/>
          <w:spacing w:val="-83"/>
          <w:position w:val="-5"/>
          <w:sz w:val="28"/>
          <w:szCs w:val="28"/>
          <w:highlight w:val="none"/>
        </w:rPr>
        <w:t xml:space="preserve"> </w:t>
      </w:r>
      <w:r>
        <w:rPr>
          <w:rFonts w:ascii="黑体" w:hAnsi="黑体" w:eastAsia="黑体" w:cs="黑体"/>
          <w:color w:val="auto"/>
          <w:spacing w:val="2"/>
          <w:position w:val="2"/>
          <w:sz w:val="28"/>
          <w:szCs w:val="28"/>
          <w:highlight w:val="none"/>
          <w:u w:val="single"/>
        </w:rPr>
        <w:t xml:space="preserve">                  </w:t>
      </w:r>
      <w:r>
        <w:rPr>
          <w:rFonts w:ascii="黑体" w:hAnsi="黑体" w:eastAsia="黑体" w:cs="黑体"/>
          <w:color w:val="auto"/>
          <w:position w:val="2"/>
          <w:sz w:val="28"/>
          <w:szCs w:val="28"/>
          <w:highlight w:val="none"/>
          <w:u w:val="single"/>
        </w:rPr>
        <w:t xml:space="preserve">                   </w:t>
      </w:r>
      <w:r>
        <w:rPr>
          <w:rFonts w:hint="eastAsia" w:ascii="黑体" w:hAnsi="黑体" w:eastAsia="黑体" w:cs="黑体"/>
          <w:color w:val="auto"/>
          <w:position w:val="2"/>
          <w:sz w:val="28"/>
          <w:szCs w:val="28"/>
          <w:highlight w:val="none"/>
          <w:u w:val="single"/>
          <w:lang w:val="en-US"/>
        </w:rPr>
        <w:t xml:space="preserve">                </w:t>
      </w:r>
      <w:r/>
    </w:p>
    <w:p>
      <w:pPr>
        <w:ind w:left="1676"/>
        <w:spacing w:before="75" w:line="228" w:lineRule="auto"/>
        <w:rPr>
          <w:rFonts w:ascii="黑体" w:hAnsi="黑体" w:eastAsia="黑体" w:cs="黑体"/>
          <w:color w:val="auto"/>
          <w:sz w:val="28"/>
          <w:szCs w:val="28"/>
          <w:highlight w:val="none"/>
        </w:rPr>
      </w:pPr>
      <w:r>
        <w:rPr>
          <w:rFonts w:ascii="黑体" w:hAnsi="黑体" w:eastAsia="黑体" w:cs="黑体"/>
          <w:color w:val="auto"/>
          <w:spacing w:val="-2"/>
          <w:position w:val="-4"/>
          <w:sz w:val="28"/>
          <w:szCs w:val="28"/>
          <w:highlight w:val="none"/>
        </w:rPr>
        <w:t xml:space="preserve">项目名称：</w:t>
      </w:r>
      <w:r>
        <w:rPr>
          <w:rFonts w:ascii="黑体" w:hAnsi="黑体" w:eastAsia="黑体" w:cs="黑体"/>
          <w:color w:val="auto"/>
          <w:spacing w:val="-83"/>
          <w:position w:val="-5"/>
          <w:sz w:val="28"/>
          <w:szCs w:val="28"/>
          <w:highlight w:val="none"/>
        </w:rPr>
        <w:t xml:space="preserve"> </w:t>
      </w:r>
      <w:r>
        <w:rPr>
          <w:rFonts w:ascii="黑体" w:hAnsi="黑体" w:eastAsia="黑体" w:cs="黑体"/>
          <w:color w:val="auto"/>
          <w:spacing w:val="2"/>
          <w:position w:val="2"/>
          <w:sz w:val="28"/>
          <w:szCs w:val="28"/>
          <w:highlight w:val="none"/>
          <w:u w:val="single"/>
        </w:rPr>
        <w:t xml:space="preserve">           </w:t>
      </w:r>
      <w:r>
        <w:rPr>
          <w:rFonts w:hint="eastAsia" w:ascii="黑体" w:hAnsi="黑体" w:eastAsia="黑体" w:cs="黑体"/>
          <w:color w:val="auto"/>
          <w:spacing w:val="2"/>
          <w:position w:val="2"/>
          <w:sz w:val="28"/>
          <w:szCs w:val="28"/>
          <w:highlight w:val="none"/>
          <w:u w:val="single"/>
          <w:lang w:val="en-US"/>
        </w:rPr>
        <w:t xml:space="preserve"> 江苏第二师范学院</w:t>
      </w:r>
      <w:r>
        <w:rPr>
          <w:rFonts w:hint="eastAsia" w:ascii="黑体" w:hAnsi="黑体" w:eastAsia="黑体" w:cs="黑体"/>
          <w:color w:val="auto"/>
          <w:position w:val="2"/>
          <w:sz w:val="28"/>
          <w:szCs w:val="28"/>
          <w:highlight w:val="none"/>
          <w:u w:val="single"/>
        </w:rPr>
        <w:t xml:space="preserve">多媒体建设</w:t>
      </w:r>
      <w:r>
        <w:rPr>
          <w:rFonts w:ascii="黑体" w:hAnsi="黑体" w:eastAsia="黑体" w:cs="黑体"/>
          <w:color w:val="auto"/>
          <w:position w:val="2"/>
          <w:sz w:val="28"/>
          <w:szCs w:val="28"/>
          <w:highlight w:val="none"/>
          <w:u w:val="single"/>
        </w:rPr>
        <w:t xml:space="preserve">           </w:t>
      </w:r>
      <w:r>
        <w:rPr>
          <w:rFonts w:hint="eastAsia" w:ascii="黑体" w:hAnsi="黑体" w:eastAsia="黑体" w:cs="黑体"/>
          <w:color w:val="auto"/>
          <w:position w:val="2"/>
          <w:sz w:val="28"/>
          <w:szCs w:val="28"/>
          <w:highlight w:val="none"/>
          <w:u w:val="single"/>
          <w:lang w:val="en-US"/>
        </w:rPr>
        <w:t xml:space="preserve"> </w:t>
      </w:r>
      <w:r/>
    </w:p>
    <w:p>
      <w:pPr>
        <w:ind w:left="1674"/>
        <w:spacing w:before="74" w:line="229" w:lineRule="auto"/>
        <w:rPr>
          <w:rFonts w:ascii="黑体" w:hAnsi="黑体" w:eastAsia="黑体" w:cs="黑体"/>
          <w:color w:val="auto"/>
          <w:sz w:val="28"/>
          <w:szCs w:val="28"/>
          <w:highlight w:val="none"/>
        </w:rPr>
      </w:pPr>
      <w:r>
        <w:rPr>
          <w:rFonts w:ascii="黑体" w:hAnsi="黑体" w:eastAsia="黑体" w:cs="黑体"/>
          <w:color w:val="auto"/>
          <w:spacing w:val="-2"/>
          <w:position w:val="-4"/>
          <w:sz w:val="28"/>
          <w:szCs w:val="28"/>
          <w:highlight w:val="none"/>
        </w:rPr>
        <w:t xml:space="preserve">采 购 人：</w:t>
      </w:r>
      <w:r>
        <w:rPr>
          <w:rFonts w:ascii="黑体" w:hAnsi="黑体" w:eastAsia="黑体" w:cs="黑体"/>
          <w:color w:val="auto"/>
          <w:spacing w:val="-92"/>
          <w:position w:val="-4"/>
          <w:sz w:val="28"/>
          <w:szCs w:val="28"/>
          <w:highlight w:val="none"/>
        </w:rPr>
        <w:t xml:space="preserve"> </w:t>
      </w:r>
      <w:r>
        <w:rPr>
          <w:rFonts w:ascii="黑体" w:hAnsi="黑体" w:eastAsia="黑体" w:cs="黑体"/>
          <w:color w:val="auto"/>
          <w:spacing w:val="-2"/>
          <w:position w:val="2"/>
          <w:sz w:val="28"/>
          <w:szCs w:val="28"/>
          <w:highlight w:val="none"/>
          <w:u w:val="single"/>
        </w:rPr>
        <w:t xml:space="preserve">                   江苏第二师范学院                   </w:t>
      </w:r>
      <w:r/>
    </w:p>
    <w:p>
      <w:pPr>
        <w:ind w:left="1675"/>
        <w:spacing w:before="72" w:line="228" w:lineRule="auto"/>
        <w:rPr>
          <w:rFonts w:ascii="黑体" w:hAnsi="黑体" w:eastAsia="黑体" w:cs="黑体"/>
          <w:color w:val="auto"/>
          <w:sz w:val="28"/>
          <w:szCs w:val="28"/>
          <w:highlight w:val="none"/>
        </w:rPr>
      </w:pPr>
      <w:r>
        <w:rPr>
          <w:rFonts w:ascii="黑体" w:hAnsi="黑体" w:eastAsia="黑体" w:cs="黑体"/>
          <w:color w:val="auto"/>
          <w:spacing w:val="-2"/>
          <w:position w:val="-4"/>
          <w:sz w:val="28"/>
          <w:szCs w:val="28"/>
          <w:highlight w:val="none"/>
        </w:rPr>
        <w:t xml:space="preserve">供货单位：</w:t>
      </w:r>
      <w:r>
        <w:rPr>
          <w:rFonts w:ascii="黑体" w:hAnsi="黑体" w:eastAsia="黑体" w:cs="黑体"/>
          <w:color w:val="auto"/>
          <w:spacing w:val="-83"/>
          <w:position w:val="-5"/>
          <w:sz w:val="28"/>
          <w:szCs w:val="28"/>
          <w:highlight w:val="none"/>
        </w:rPr>
        <w:t xml:space="preserve"> </w:t>
      </w:r>
      <w:r>
        <w:rPr>
          <w:rFonts w:ascii="黑体" w:hAnsi="黑体" w:eastAsia="黑体" w:cs="黑体"/>
          <w:color w:val="auto"/>
          <w:spacing w:val="2"/>
          <w:position w:val="2"/>
          <w:sz w:val="28"/>
          <w:szCs w:val="28"/>
          <w:highlight w:val="none"/>
          <w:u w:val="single"/>
        </w:rPr>
        <w:t xml:space="preserve">                  </w:t>
      </w:r>
      <w:r>
        <w:rPr>
          <w:rFonts w:ascii="黑体" w:hAnsi="黑体" w:eastAsia="黑体" w:cs="黑体"/>
          <w:color w:val="auto"/>
          <w:position w:val="2"/>
          <w:sz w:val="28"/>
          <w:szCs w:val="28"/>
          <w:highlight w:val="none"/>
          <w:u w:val="single"/>
        </w:rPr>
        <w:t xml:space="preserve">                   </w:t>
      </w:r>
      <w:r>
        <w:rPr>
          <w:rFonts w:hint="eastAsia" w:ascii="黑体" w:hAnsi="黑体" w:eastAsia="黑体" w:cs="黑体"/>
          <w:color w:val="auto"/>
          <w:position w:val="2"/>
          <w:sz w:val="28"/>
          <w:szCs w:val="28"/>
          <w:highlight w:val="none"/>
          <w:u w:val="single"/>
          <w:lang w:val="en-US"/>
        </w:rPr>
        <w:t xml:space="preserve">                </w:t>
      </w:r>
      <w:r/>
    </w:p>
    <w:p>
      <w:pPr>
        <w:pStyle w:val="887"/>
        <w:spacing w:line="360" w:lineRule="auto"/>
        <w:rPr>
          <w:rFonts w:ascii="Times New Roman" w:hAnsi="Times New Roman"/>
          <w:color w:val="auto"/>
          <w:szCs w:val="21"/>
          <w:highlight w:val="none"/>
        </w:rPr>
        <w:sectPr>
          <w:footerReference w:type="default" r:id="rId11"/>
          <w:footnotePr/>
          <w:endnotePr/>
          <w:type w:val="nextPage"/>
          <w:pgSz w:w="11906" w:h="16838" w:orient="portrait"/>
          <w:pgMar w:top="1440" w:right="1080" w:bottom="1440" w:left="1080" w:header="850" w:footer="850" w:gutter="0"/>
          <w:cols w:num="1" w:sep="0" w:space="720" w:equalWidth="1"/>
          <w:docGrid w:linePitch="360"/>
        </w:sectPr>
      </w:pPr>
      <w:r>
        <w:rPr>
          <w:rFonts w:ascii="Times New Roman" w:hAnsi="Times New Roman"/>
          <w:color w:val="auto"/>
          <w:szCs w:val="21"/>
          <w:highlight w:val="none"/>
        </w:rPr>
      </w:r>
      <w:r/>
    </w:p>
    <w:p>
      <w:pPr>
        <w:contextualSpacing/>
        <w:spacing w:line="360" w:lineRule="auto"/>
        <w:widowControl/>
        <w:rPr>
          <w:color w:val="auto"/>
          <w:sz w:val="21"/>
          <w:szCs w:val="21"/>
          <w:highlight w:val="none"/>
          <w:lang w:val="en-US" w:bidi="ar-SA"/>
        </w:rPr>
      </w:pPr>
      <w:r>
        <w:rPr>
          <w:color w:val="auto"/>
          <w:spacing w:val="-1"/>
          <w:sz w:val="21"/>
          <w:szCs w:val="21"/>
          <w:highlight w:val="none"/>
          <w:lang w:val="en-US" w:bidi="ar-SA"/>
        </w:rPr>
        <w:t xml:space="preserve">合同编号：</w:t>
      </w:r>
      <w:r>
        <w:rPr>
          <w:rFonts w:hint="eastAsia"/>
          <w:color w:val="auto"/>
          <w:spacing w:val="-1"/>
          <w:sz w:val="21"/>
          <w:szCs w:val="21"/>
          <w:highlight w:val="none"/>
          <w:u w:val="single"/>
          <w:lang w:val="en-US" w:bidi="ar-SA"/>
        </w:rPr>
        <w:t xml:space="preserve">               </w:t>
      </w:r>
      <w:r/>
    </w:p>
    <w:p>
      <w:pPr>
        <w:contextualSpacing/>
        <w:spacing w:line="360" w:lineRule="auto"/>
        <w:widowControl/>
        <w:rPr>
          <w:color w:val="auto"/>
          <w:sz w:val="21"/>
          <w:szCs w:val="21"/>
          <w:highlight w:val="none"/>
          <w:lang w:val="en-US" w:bidi="ar-SA"/>
        </w:rPr>
      </w:pPr>
      <w:r>
        <w:rPr>
          <w:color w:val="auto"/>
          <w:spacing w:val="-1"/>
          <w:sz w:val="21"/>
          <w:szCs w:val="21"/>
          <w:highlight w:val="none"/>
          <w:lang w:val="en-US" w:bidi="ar-SA"/>
        </w:rPr>
        <w:t xml:space="preserve">项目名称：</w:t>
      </w:r>
      <w:r/>
    </w:p>
    <w:p>
      <w:pPr>
        <w:contextualSpacing/>
        <w:spacing w:line="360" w:lineRule="auto"/>
        <w:widowControl/>
        <w:rPr>
          <w:color w:val="auto"/>
          <w:sz w:val="21"/>
          <w:szCs w:val="21"/>
          <w:highlight w:val="none"/>
          <w:lang w:val="en-US" w:bidi="ar-SA"/>
        </w:rPr>
      </w:pPr>
      <w:r>
        <w:rPr>
          <w:color w:val="auto"/>
          <w:spacing w:val="-1"/>
          <w:sz w:val="21"/>
          <w:szCs w:val="21"/>
          <w:highlight w:val="none"/>
          <w:lang w:val="en-US" w:bidi="ar-SA"/>
        </w:rPr>
        <w:t xml:space="preserve">采购人（以下简称甲方</w:t>
      </w:r>
      <w:r>
        <w:rPr>
          <w:color w:val="auto"/>
          <w:spacing w:val="5"/>
          <w:sz w:val="21"/>
          <w:szCs w:val="21"/>
          <w:highlight w:val="none"/>
          <w:lang w:val="en-US" w:bidi="ar-SA"/>
        </w:rPr>
        <w:t xml:space="preserve">）：</w:t>
      </w:r>
      <w:r>
        <w:rPr>
          <w:color w:val="auto"/>
          <w:spacing w:val="-1"/>
          <w:sz w:val="21"/>
          <w:szCs w:val="21"/>
          <w:highlight w:val="none"/>
          <w:lang w:val="en-US" w:bidi="ar-SA"/>
        </w:rPr>
        <w:t xml:space="preserve">江苏第二师范学院</w:t>
      </w:r>
      <w:r/>
    </w:p>
    <w:p>
      <w:pPr>
        <w:contextualSpacing/>
        <w:spacing w:line="360" w:lineRule="auto"/>
        <w:widowControl/>
        <w:rPr>
          <w:color w:val="auto"/>
          <w:sz w:val="21"/>
          <w:szCs w:val="21"/>
          <w:highlight w:val="none"/>
          <w:lang w:val="en-US" w:bidi="ar-SA"/>
        </w:rPr>
      </w:pPr>
      <w:r>
        <w:rPr>
          <w:color w:val="auto"/>
          <w:spacing w:val="-1"/>
          <w:sz w:val="21"/>
          <w:szCs w:val="21"/>
          <w:highlight w:val="none"/>
          <w:lang w:val="en-US" w:bidi="ar-SA"/>
        </w:rPr>
        <w:t xml:space="preserve">供货单位（以下简称乙方</w:t>
      </w:r>
      <w:r>
        <w:rPr>
          <w:color w:val="auto"/>
          <w:spacing w:val="7"/>
          <w:sz w:val="21"/>
          <w:szCs w:val="21"/>
          <w:highlight w:val="none"/>
          <w:lang w:val="en-US" w:bidi="ar-SA"/>
        </w:rPr>
        <w:t xml:space="preserve">）：</w:t>
      </w:r>
      <w:r>
        <w:rPr>
          <w:rFonts w:hint="eastAsia"/>
          <w:color w:val="auto"/>
          <w:spacing w:val="-1"/>
          <w:sz w:val="21"/>
          <w:szCs w:val="21"/>
          <w:highlight w:val="none"/>
          <w:u w:val="single"/>
          <w:lang w:val="en-US" w:bidi="ar-SA"/>
        </w:rPr>
        <w:t xml:space="preserve">                    </w:t>
      </w:r>
      <w:r/>
    </w:p>
    <w:p>
      <w:pPr>
        <w:contextualSpacing/>
        <w:ind w:firstLine="413"/>
        <w:spacing w:line="360" w:lineRule="auto"/>
        <w:widowControl/>
        <w:rPr>
          <w:color w:val="auto"/>
          <w:sz w:val="21"/>
          <w:szCs w:val="21"/>
          <w:highlight w:val="none"/>
          <w:lang w:val="en-US" w:bidi="ar-SA"/>
        </w:rPr>
      </w:pPr>
      <w:r>
        <w:rPr>
          <w:color w:val="auto"/>
          <w:sz w:val="21"/>
          <w:szCs w:val="21"/>
          <w:highlight w:val="none"/>
          <w:lang w:val="en-US" w:bidi="ar-SA"/>
        </w:rPr>
        <w:t xml:space="preserve">根据《中华人民共和国政府采购法》《中华人民共和国民法典》等法律法规</w:t>
      </w:r>
      <w:r>
        <w:rPr>
          <w:color w:val="auto"/>
          <w:spacing w:val="-1"/>
          <w:sz w:val="21"/>
          <w:szCs w:val="21"/>
          <w:highlight w:val="none"/>
          <w:lang w:val="en-US" w:bidi="ar-SA"/>
        </w:rPr>
        <w:t xml:space="preserve">的规定，甲乙双方按照</w:t>
      </w:r>
      <w:r>
        <w:rPr>
          <w:color w:val="auto"/>
          <w:sz w:val="21"/>
          <w:szCs w:val="21"/>
          <w:highlight w:val="none"/>
          <w:lang w:val="en-US" w:bidi="ar-SA"/>
        </w:rPr>
        <w:t xml:space="preserve"> </w:t>
      </w:r>
      <w:r>
        <w:rPr>
          <w:color w:val="auto"/>
          <w:spacing w:val="-4"/>
          <w:sz w:val="21"/>
          <w:szCs w:val="21"/>
          <w:highlight w:val="none"/>
          <w:lang w:val="en-US" w:bidi="ar-SA"/>
        </w:rPr>
        <w:t xml:space="preserve">公开招标结果签订本合同。</w:t>
      </w:r>
      <w:r/>
    </w:p>
    <w:p>
      <w:pPr>
        <w:contextualSpacing/>
        <w:spacing w:line="360" w:lineRule="auto"/>
        <w:widowControl/>
        <w:rPr>
          <w:color w:val="auto"/>
          <w:sz w:val="24"/>
          <w:szCs w:val="24"/>
          <w:highlight w:val="none"/>
          <w:lang w:val="en-US" w:bidi="ar-SA"/>
        </w:rPr>
        <w:outlineLvl w:val="1"/>
      </w:pPr>
      <w:r>
        <w:rPr>
          <w:b/>
          <w:bCs/>
          <w:color w:val="auto"/>
          <w:spacing w:val="-7"/>
          <w:sz w:val="24"/>
          <w:szCs w:val="24"/>
          <w:highlight w:val="none"/>
          <w:lang w:val="en-US" w:bidi="ar-SA"/>
        </w:rPr>
        <w:t xml:space="preserve">1.合同标的</w:t>
      </w:r>
      <w:r/>
    </w:p>
    <w:p>
      <w:pPr>
        <w:contextualSpacing/>
        <w:spacing w:line="360" w:lineRule="auto"/>
        <w:widowControl/>
        <w:rPr>
          <w:color w:val="auto"/>
          <w:sz w:val="21"/>
          <w:szCs w:val="21"/>
          <w:highlight w:val="none"/>
          <w:lang w:val="en-US" w:bidi="ar-SA"/>
        </w:rPr>
      </w:pPr>
      <w:r>
        <w:rPr>
          <w:color w:val="auto"/>
          <w:spacing w:val="-6"/>
          <w:sz w:val="21"/>
          <w:szCs w:val="21"/>
          <w:highlight w:val="none"/>
          <w:lang w:val="en-US" w:bidi="ar-SA"/>
        </w:rPr>
        <w:t xml:space="preserve">1.1</w:t>
      </w:r>
      <w:r>
        <w:rPr>
          <w:color w:val="auto"/>
          <w:spacing w:val="39"/>
          <w:sz w:val="21"/>
          <w:szCs w:val="21"/>
          <w:highlight w:val="none"/>
          <w:lang w:val="en-US" w:bidi="ar-SA"/>
        </w:rPr>
        <w:t xml:space="preserve"> </w:t>
      </w:r>
      <w:r>
        <w:rPr>
          <w:color w:val="auto"/>
          <w:spacing w:val="-6"/>
          <w:sz w:val="21"/>
          <w:szCs w:val="21"/>
          <w:highlight w:val="none"/>
          <w:lang w:val="en-US" w:bidi="ar-SA"/>
        </w:rPr>
        <w:t xml:space="preserve">乙方根据甲方需求提供下列货物：</w:t>
      </w:r>
      <w:r/>
    </w:p>
    <w:p>
      <w:pPr>
        <w:contextualSpacing/>
        <w:spacing w:line="360" w:lineRule="auto"/>
        <w:widowControl/>
        <w:rPr>
          <w:color w:val="auto"/>
          <w:sz w:val="21"/>
          <w:szCs w:val="21"/>
          <w:highlight w:val="none"/>
          <w:lang w:val="en-US" w:bidi="ar-SA"/>
        </w:rPr>
      </w:pPr>
      <w:r>
        <w:rPr>
          <w:color w:val="auto"/>
          <w:spacing w:val="-3"/>
          <w:sz w:val="21"/>
          <w:szCs w:val="21"/>
          <w:highlight w:val="none"/>
          <w:lang w:val="en-US" w:bidi="ar-SA"/>
        </w:rPr>
        <w:t xml:space="preserve">1.2 货物名称、规格及数量详见乙方投标文件。</w:t>
      </w:r>
      <w:r/>
    </w:p>
    <w:p>
      <w:pPr>
        <w:contextualSpacing/>
        <w:spacing w:line="360" w:lineRule="auto"/>
        <w:widowControl/>
        <w:rPr>
          <w:color w:val="auto"/>
          <w:sz w:val="24"/>
          <w:szCs w:val="24"/>
          <w:highlight w:val="none"/>
          <w:lang w:val="en-US" w:bidi="ar-SA"/>
        </w:rPr>
        <w:outlineLvl w:val="1"/>
      </w:pPr>
      <w:r>
        <w:rPr>
          <w:b/>
          <w:bCs/>
          <w:color w:val="auto"/>
          <w:spacing w:val="-5"/>
          <w:sz w:val="24"/>
          <w:szCs w:val="24"/>
          <w:highlight w:val="none"/>
          <w:lang w:val="en-US" w:bidi="ar-SA"/>
        </w:rPr>
        <w:t xml:space="preserve">2.合同总价款</w:t>
      </w:r>
      <w:r/>
    </w:p>
    <w:p>
      <w:pPr>
        <w:contextualSpacing/>
        <w:ind w:firstLine="430"/>
        <w:spacing w:line="360" w:lineRule="auto"/>
        <w:widowControl/>
        <w:tabs>
          <w:tab w:val="left" w:pos="2833" w:leader="none"/>
        </w:tabs>
        <w:rPr>
          <w:color w:val="auto"/>
          <w:sz w:val="21"/>
          <w:szCs w:val="21"/>
          <w:highlight w:val="none"/>
          <w:lang w:val="en-US" w:bidi="ar-SA"/>
        </w:rPr>
      </w:pPr>
      <w:r>
        <w:rPr>
          <w:color w:val="auto"/>
          <w:spacing w:val="-1"/>
          <w:sz w:val="21"/>
          <w:szCs w:val="21"/>
          <w:highlight w:val="none"/>
          <w:lang w:val="en-US" w:bidi="ar-SA"/>
        </w:rPr>
        <w:t xml:space="preserve">2.1 本合同项下货物总价款为</w:t>
      </w:r>
      <w:r>
        <w:rPr>
          <w:rFonts w:hint="eastAsia" w:ascii="Arial" w:hAnsi="Arial" w:eastAsia="Arial" w:cs="Arial"/>
          <w:color w:val="auto"/>
          <w:spacing w:val="-2"/>
          <w:sz w:val="21"/>
          <w:szCs w:val="21"/>
          <w:highlight w:val="none"/>
          <w:u w:val="single"/>
          <w:lang w:val="en-US" w:bidi="ar-SA"/>
        </w:rPr>
        <w:t xml:space="preserve">  </w:t>
      </w:r>
      <w:r>
        <w:rPr>
          <w:rFonts w:hint="eastAsia" w:ascii="微软雅黑" w:hAnsi="微软雅黑" w:eastAsia="微软雅黑" w:cs="微软雅黑"/>
          <w:color w:val="auto"/>
          <w:spacing w:val="-2"/>
          <w:sz w:val="21"/>
          <w:szCs w:val="21"/>
          <w:highlight w:val="none"/>
          <w:u w:val="single"/>
          <w:lang w:val="en-US" w:bidi="ar-SA"/>
        </w:rPr>
        <w:t xml:space="preserve"> </w:t>
      </w:r>
      <w:r>
        <w:rPr>
          <w:rFonts w:ascii="微软雅黑" w:hAnsi="微软雅黑" w:eastAsia="微软雅黑" w:cs="微软雅黑"/>
          <w:color w:val="auto"/>
          <w:spacing w:val="-2"/>
          <w:sz w:val="21"/>
          <w:szCs w:val="21"/>
          <w:highlight w:val="none"/>
          <w:u w:val="single"/>
          <w:lang w:val="en-US" w:bidi="ar-SA"/>
        </w:rPr>
        <w:t xml:space="preserve">   </w:t>
      </w:r>
      <w:r>
        <w:rPr>
          <w:rFonts w:hint="eastAsia" w:ascii="Arial" w:hAnsi="Arial" w:eastAsia="Arial" w:cs="Arial"/>
          <w:color w:val="auto"/>
          <w:spacing w:val="-2"/>
          <w:sz w:val="21"/>
          <w:szCs w:val="21"/>
          <w:highlight w:val="none"/>
          <w:u w:val="single"/>
          <w:lang w:val="en-US" w:bidi="ar-SA"/>
        </w:rPr>
        <w:t xml:space="preserve"> </w:t>
      </w:r>
      <w:r>
        <w:rPr>
          <w:color w:val="auto"/>
          <w:spacing w:val="-1"/>
          <w:sz w:val="21"/>
          <w:szCs w:val="21"/>
          <w:highlight w:val="none"/>
          <w:lang w:val="en-US" w:bidi="ar-SA"/>
        </w:rPr>
        <w:t xml:space="preserve">（大写）人</w:t>
      </w:r>
      <w:r>
        <w:rPr>
          <w:color w:val="auto"/>
          <w:spacing w:val="-2"/>
          <w:sz w:val="21"/>
          <w:szCs w:val="21"/>
          <w:highlight w:val="none"/>
          <w:lang w:val="en-US" w:bidi="ar-SA"/>
        </w:rPr>
        <w:t xml:space="preserve">民币（</w:t>
      </w:r>
      <w:r>
        <w:rPr>
          <w:color w:val="auto"/>
          <w:spacing w:val="-62"/>
          <w:sz w:val="21"/>
          <w:szCs w:val="21"/>
          <w:highlight w:val="none"/>
          <w:lang w:val="en-US" w:bidi="ar-SA"/>
        </w:rPr>
        <w:t xml:space="preserve"> </w:t>
      </w:r>
      <w:r>
        <w:rPr>
          <w:rFonts w:hint="eastAsia"/>
          <w:color w:val="auto"/>
          <w:spacing w:val="-2"/>
          <w:sz w:val="21"/>
          <w:szCs w:val="21"/>
          <w:highlight w:val="none"/>
          <w:u w:val="single"/>
          <w:lang w:val="en-US" w:bidi="ar-SA"/>
        </w:rPr>
        <w:t xml:space="preserve">  </w:t>
      </w:r>
      <w:r>
        <w:rPr>
          <w:color w:val="auto"/>
          <w:spacing w:val="-2"/>
          <w:sz w:val="21"/>
          <w:szCs w:val="21"/>
          <w:highlight w:val="none"/>
          <w:lang w:val="en-US" w:bidi="ar-SA"/>
        </w:rPr>
        <w:t xml:space="preserve">%遇国家税率调整执行新税率，</w:t>
      </w:r>
      <w:r>
        <w:rPr>
          <w:color w:val="auto"/>
          <w:sz w:val="21"/>
          <w:szCs w:val="21"/>
          <w:highlight w:val="none"/>
          <w:u w:val="single"/>
          <w:lang w:val="en-US" w:bidi="ar-SA"/>
        </w:rPr>
        <w:t xml:space="preserve">  </w:t>
      </w:r>
      <w:r>
        <w:rPr>
          <w:color w:val="auto"/>
          <w:spacing w:val="-82"/>
          <w:sz w:val="21"/>
          <w:szCs w:val="21"/>
          <w:highlight w:val="none"/>
          <w:u w:val="single"/>
          <w:lang w:val="en-US" w:bidi="ar-SA"/>
        </w:rPr>
        <w:t xml:space="preserve"> </w:t>
      </w:r>
      <w:r>
        <w:rPr>
          <w:color w:val="auto"/>
          <w:spacing w:val="2"/>
          <w:sz w:val="21"/>
          <w:szCs w:val="21"/>
          <w:highlight w:val="none"/>
          <w:lang w:val="en-US" w:bidi="ar-SA"/>
        </w:rPr>
        <w:t xml:space="preserve">,差额部分从合同付款总额中作相应调整），分项价款在“投标报价表”中有明</w:t>
      </w:r>
      <w:r>
        <w:rPr>
          <w:color w:val="auto"/>
          <w:spacing w:val="1"/>
          <w:sz w:val="21"/>
          <w:szCs w:val="21"/>
          <w:highlight w:val="none"/>
          <w:lang w:val="en-US" w:bidi="ar-SA"/>
        </w:rPr>
        <w:t xml:space="preserve">确规</w:t>
      </w:r>
      <w:r>
        <w:rPr>
          <w:color w:val="auto"/>
          <w:spacing w:val="-8"/>
          <w:sz w:val="21"/>
          <w:szCs w:val="21"/>
          <w:highlight w:val="none"/>
          <w:lang w:val="en-US" w:bidi="ar-SA"/>
        </w:rPr>
        <w:t xml:space="preserve">定。</w:t>
      </w:r>
      <w:r/>
    </w:p>
    <w:p>
      <w:pPr>
        <w:contextualSpacing/>
        <w:ind w:firstLine="421"/>
        <w:spacing w:line="360" w:lineRule="auto"/>
        <w:widowControl/>
        <w:rPr>
          <w:color w:val="auto"/>
          <w:sz w:val="21"/>
          <w:szCs w:val="21"/>
          <w:highlight w:val="none"/>
          <w:lang w:val="en-US" w:bidi="ar-SA"/>
        </w:rPr>
      </w:pPr>
      <w:r>
        <w:rPr>
          <w:color w:val="auto"/>
          <w:sz w:val="21"/>
          <w:szCs w:val="21"/>
          <w:highlight w:val="none"/>
          <w:lang w:val="en-US" w:bidi="ar-SA"/>
        </w:rPr>
        <w:t xml:space="preserve">2.2 本合同总价款</w:t>
      </w:r>
      <w:r>
        <w:rPr>
          <w:rFonts w:hint="eastAsia"/>
          <w:color w:val="auto"/>
          <w:sz w:val="21"/>
          <w:szCs w:val="21"/>
          <w:highlight w:val="none"/>
          <w:lang w:val="en-US" w:bidi="ar-SA"/>
        </w:rPr>
        <w:t xml:space="preserve">包含与本次采购项目有关的所有费用。包含但不限于人员、设备、安装、调试、验收、配套服务等所有含税费用。同时，还应包含支付给员工的工资和国家强制缴纳的各种社会保障资金，以及供应商认为需要的其他费用等。</w:t>
      </w:r>
      <w:r>
        <w:rPr>
          <w:color w:val="auto"/>
          <w:spacing w:val="-1"/>
          <w:sz w:val="21"/>
          <w:szCs w:val="21"/>
          <w:highlight w:val="none"/>
          <w:lang w:val="en-US" w:bidi="ar-SA"/>
        </w:rPr>
        <w:t xml:space="preserve">。</w:t>
      </w:r>
      <w:r/>
    </w:p>
    <w:p>
      <w:pPr>
        <w:contextualSpacing/>
        <w:ind w:firstLine="420"/>
        <w:spacing w:line="360" w:lineRule="auto"/>
        <w:widowControl/>
        <w:rPr>
          <w:color w:val="auto"/>
          <w:sz w:val="21"/>
          <w:szCs w:val="21"/>
          <w:highlight w:val="none"/>
          <w:lang w:val="en-US" w:bidi="ar-SA"/>
        </w:rPr>
      </w:pPr>
      <w:r>
        <w:rPr>
          <w:color w:val="auto"/>
          <w:sz w:val="21"/>
          <w:szCs w:val="21"/>
          <w:highlight w:val="none"/>
          <w:lang w:val="en-US" w:bidi="ar-SA"/>
        </w:rPr>
        <w:t xml:space="preserve">2.3 本合同总价款还包含乙方应当提供的伴随服务/售后服务费用。项目执</w:t>
      </w:r>
      <w:r>
        <w:rPr>
          <w:color w:val="auto"/>
          <w:spacing w:val="-1"/>
          <w:sz w:val="21"/>
          <w:szCs w:val="21"/>
          <w:highlight w:val="none"/>
          <w:lang w:val="en-US" w:bidi="ar-SA"/>
        </w:rPr>
        <w:t xml:space="preserve">行期间除合同2.1中税率</w:t>
      </w:r>
      <w:r>
        <w:rPr>
          <w:color w:val="auto"/>
          <w:spacing w:val="-4"/>
          <w:sz w:val="21"/>
          <w:szCs w:val="21"/>
          <w:highlight w:val="none"/>
          <w:lang w:val="en-US" w:bidi="ar-SA"/>
        </w:rPr>
        <w:t xml:space="preserve">调整原因外，总价款不变。</w:t>
      </w:r>
      <w:r/>
    </w:p>
    <w:p>
      <w:pPr>
        <w:contextualSpacing/>
        <w:spacing w:line="360" w:lineRule="auto"/>
        <w:widowControl/>
        <w:rPr>
          <w:color w:val="auto"/>
          <w:sz w:val="24"/>
          <w:szCs w:val="24"/>
          <w:highlight w:val="none"/>
          <w:lang w:val="en-US" w:bidi="ar-SA"/>
        </w:rPr>
        <w:outlineLvl w:val="1"/>
      </w:pPr>
      <w:r>
        <w:rPr>
          <w:b/>
          <w:bCs/>
          <w:color w:val="auto"/>
          <w:spacing w:val="-4"/>
          <w:sz w:val="24"/>
          <w:szCs w:val="24"/>
          <w:highlight w:val="none"/>
          <w:lang w:val="en-US" w:bidi="ar-SA"/>
        </w:rPr>
        <w:t xml:space="preserve">3.组成本合同的有关文件</w:t>
      </w:r>
      <w:r/>
    </w:p>
    <w:p>
      <w:pPr>
        <w:contextualSpacing/>
        <w:ind w:firstLine="423"/>
        <w:spacing w:line="360" w:lineRule="auto"/>
        <w:widowControl/>
        <w:rPr>
          <w:color w:val="auto"/>
          <w:sz w:val="21"/>
          <w:szCs w:val="21"/>
          <w:highlight w:val="none"/>
          <w:lang w:val="en-US" w:bidi="ar-SA"/>
        </w:rPr>
      </w:pPr>
      <w:r>
        <w:rPr>
          <w:color w:val="auto"/>
          <w:sz w:val="21"/>
          <w:szCs w:val="21"/>
          <w:highlight w:val="none"/>
          <w:lang w:val="en-US" w:bidi="ar-SA"/>
        </w:rPr>
        <w:t xml:space="preserve">3.1 下列关于</w:t>
      </w:r>
      <w:r>
        <w:rPr>
          <w:rFonts w:hint="eastAsia" w:ascii="Arial" w:hAnsi="Arial" w:eastAsia="Arial" w:cs="Arial"/>
          <w:color w:val="auto"/>
          <w:spacing w:val="-2"/>
          <w:sz w:val="21"/>
          <w:szCs w:val="21"/>
          <w:highlight w:val="none"/>
          <w:u w:val="single"/>
          <w:lang w:val="en-US" w:bidi="ar-SA"/>
        </w:rPr>
        <w:t xml:space="preserve">                    </w:t>
      </w:r>
      <w:r>
        <w:rPr>
          <w:color w:val="auto"/>
          <w:sz w:val="21"/>
          <w:szCs w:val="21"/>
          <w:highlight w:val="none"/>
          <w:lang w:val="en-US" w:bidi="ar-SA"/>
        </w:rPr>
        <w:t xml:space="preserve">号标的招投标文件或与本次采购活动</w:t>
      </w:r>
      <w:r>
        <w:rPr>
          <w:color w:val="auto"/>
          <w:spacing w:val="-1"/>
          <w:sz w:val="21"/>
          <w:szCs w:val="21"/>
          <w:highlight w:val="none"/>
          <w:lang w:val="en-US" w:bidi="ar-SA"/>
        </w:rPr>
        <w:t xml:space="preserve">方式相适应的文件及有关附件是本合同不可分割的组成部分，与本合同具有同等法</w:t>
      </w:r>
      <w:r>
        <w:rPr>
          <w:color w:val="auto"/>
          <w:spacing w:val="-2"/>
          <w:sz w:val="21"/>
          <w:szCs w:val="21"/>
          <w:highlight w:val="none"/>
          <w:lang w:val="en-US" w:bidi="ar-SA"/>
        </w:rPr>
        <w:t xml:space="preserve">律效力， 这些文件包括但不限于：</w:t>
      </w:r>
      <w:r/>
    </w:p>
    <w:p>
      <w:pPr>
        <w:contextualSpacing/>
        <w:spacing w:line="360" w:lineRule="auto"/>
        <w:widowControl/>
        <w:rPr>
          <w:color w:val="auto"/>
          <w:spacing w:val="6"/>
          <w:sz w:val="21"/>
          <w:szCs w:val="21"/>
          <w:highlight w:val="none"/>
          <w:lang w:val="en-US" w:bidi="ar-SA"/>
        </w:rPr>
      </w:pPr>
      <w:r>
        <w:rPr>
          <w:color w:val="auto"/>
          <w:spacing w:val="-2"/>
          <w:sz w:val="21"/>
          <w:szCs w:val="21"/>
          <w:highlight w:val="none"/>
          <w:lang w:val="en-US" w:bidi="ar-SA"/>
        </w:rPr>
        <w:t xml:space="preserve">（1）乙方提供的响应文件和报价表</w:t>
      </w:r>
      <w:r>
        <w:rPr>
          <w:color w:val="auto"/>
          <w:sz w:val="21"/>
          <w:szCs w:val="21"/>
          <w:highlight w:val="none"/>
          <w:lang w:val="en-US" w:bidi="ar-SA"/>
        </w:rPr>
        <w:t xml:space="preserve">；（</w:t>
      </w:r>
      <w:r>
        <w:rPr>
          <w:color w:val="auto"/>
          <w:spacing w:val="-2"/>
          <w:sz w:val="21"/>
          <w:szCs w:val="21"/>
          <w:highlight w:val="none"/>
          <w:lang w:val="en-US" w:bidi="ar-SA"/>
        </w:rPr>
        <w:t xml:space="preserve">2）供货一览表；</w:t>
      </w:r>
      <w:r>
        <w:rPr>
          <w:rFonts w:hint="eastAsia"/>
          <w:color w:val="auto"/>
          <w:spacing w:val="-2"/>
          <w:sz w:val="21"/>
          <w:szCs w:val="21"/>
          <w:highlight w:val="none"/>
          <w:lang w:val="en-US" w:bidi="ar-SA"/>
        </w:rPr>
        <w:t xml:space="preserve">          </w:t>
      </w:r>
      <w:r>
        <w:rPr>
          <w:color w:val="auto"/>
          <w:spacing w:val="-3"/>
          <w:sz w:val="21"/>
          <w:szCs w:val="21"/>
          <w:highlight w:val="none"/>
          <w:lang w:val="en-US" w:bidi="ar-SA"/>
        </w:rPr>
        <w:t xml:space="preserve">（3）交货一览表</w:t>
      </w:r>
      <w:r>
        <w:rPr>
          <w:color w:val="auto"/>
          <w:spacing w:val="-2"/>
          <w:sz w:val="21"/>
          <w:szCs w:val="21"/>
          <w:highlight w:val="none"/>
          <w:lang w:val="en-US" w:bidi="ar-SA"/>
        </w:rPr>
        <w:t xml:space="preserve">；</w:t>
      </w:r>
      <w:r>
        <w:rPr>
          <w:color w:val="auto"/>
          <w:spacing w:val="6"/>
          <w:sz w:val="21"/>
          <w:szCs w:val="21"/>
          <w:highlight w:val="none"/>
          <w:lang w:val="en-US" w:bidi="ar-SA"/>
        </w:rPr>
        <w:t xml:space="preserve">               </w:t>
      </w:r>
      <w:r/>
    </w:p>
    <w:p>
      <w:pPr>
        <w:contextualSpacing/>
        <w:spacing w:line="360" w:lineRule="auto"/>
        <w:widowControl/>
        <w:rPr>
          <w:color w:val="auto"/>
          <w:sz w:val="21"/>
          <w:szCs w:val="21"/>
          <w:highlight w:val="none"/>
          <w:lang w:val="en-US" w:bidi="ar-SA"/>
        </w:rPr>
      </w:pPr>
      <w:r>
        <w:rPr>
          <w:color w:val="auto"/>
          <w:spacing w:val="-2"/>
          <w:sz w:val="21"/>
          <w:szCs w:val="21"/>
          <w:highlight w:val="none"/>
          <w:lang w:val="en-US" w:bidi="ar-SA"/>
        </w:rPr>
        <w:t xml:space="preserve">（</w:t>
      </w:r>
      <w:r>
        <w:rPr>
          <w:color w:val="auto"/>
          <w:spacing w:val="-3"/>
          <w:sz w:val="21"/>
          <w:szCs w:val="21"/>
          <w:highlight w:val="none"/>
          <w:lang w:val="en-US" w:bidi="ar-SA"/>
        </w:rPr>
        <w:t xml:space="preserve">4）技术规格响应表；</w:t>
      </w:r>
      <w:r>
        <w:rPr>
          <w:rFonts w:hint="eastAsia"/>
          <w:color w:val="auto"/>
          <w:spacing w:val="-3"/>
          <w:sz w:val="21"/>
          <w:szCs w:val="21"/>
          <w:highlight w:val="none"/>
          <w:lang w:val="en-US" w:bidi="ar-SA"/>
        </w:rPr>
        <w:t xml:space="preserve">            </w:t>
      </w:r>
      <w:r>
        <w:rPr>
          <w:color w:val="auto"/>
          <w:spacing w:val="-4"/>
          <w:sz w:val="21"/>
          <w:szCs w:val="21"/>
          <w:highlight w:val="none"/>
          <w:lang w:val="en-US" w:bidi="ar-SA"/>
        </w:rPr>
        <w:t xml:space="preserve">（5）乙方承诺</w:t>
      </w:r>
      <w:r>
        <w:rPr>
          <w:color w:val="auto"/>
          <w:sz w:val="21"/>
          <w:szCs w:val="21"/>
          <w:highlight w:val="none"/>
          <w:lang w:val="en-US" w:bidi="ar-SA"/>
        </w:rPr>
        <w:t xml:space="preserve">；</w:t>
      </w:r>
      <w:r>
        <w:rPr>
          <w:color w:val="auto"/>
          <w:spacing w:val="6"/>
          <w:sz w:val="21"/>
          <w:szCs w:val="21"/>
          <w:highlight w:val="none"/>
          <w:lang w:val="en-US" w:bidi="ar-SA"/>
        </w:rPr>
        <w:t xml:space="preserve">           </w:t>
      </w:r>
      <w:r>
        <w:rPr>
          <w:rFonts w:hint="eastAsia"/>
          <w:color w:val="auto"/>
          <w:spacing w:val="6"/>
          <w:sz w:val="21"/>
          <w:szCs w:val="21"/>
          <w:highlight w:val="none"/>
          <w:lang w:val="en-US" w:bidi="ar-SA"/>
        </w:rPr>
        <w:t xml:space="preserve"> </w:t>
      </w:r>
      <w:r>
        <w:rPr>
          <w:color w:val="auto"/>
          <w:sz w:val="21"/>
          <w:szCs w:val="21"/>
          <w:highlight w:val="none"/>
          <w:lang w:val="en-US" w:bidi="ar-SA"/>
        </w:rPr>
        <w:t xml:space="preserve">（</w:t>
      </w:r>
      <w:r>
        <w:rPr>
          <w:color w:val="auto"/>
          <w:spacing w:val="-4"/>
          <w:sz w:val="21"/>
          <w:szCs w:val="21"/>
          <w:highlight w:val="none"/>
          <w:lang w:val="en-US" w:bidi="ar-SA"/>
        </w:rPr>
        <w:t xml:space="preserve">6）服务承诺；</w:t>
      </w:r>
      <w:r/>
    </w:p>
    <w:p>
      <w:pPr>
        <w:contextualSpacing/>
        <w:spacing w:line="360" w:lineRule="auto"/>
        <w:widowControl/>
        <w:rPr>
          <w:color w:val="auto"/>
          <w:sz w:val="21"/>
          <w:szCs w:val="21"/>
          <w:highlight w:val="none"/>
          <w:lang w:val="en-US" w:bidi="ar-SA"/>
        </w:rPr>
      </w:pPr>
      <w:r>
        <w:rPr>
          <w:color w:val="auto"/>
          <w:spacing w:val="-2"/>
          <w:sz w:val="21"/>
          <w:szCs w:val="21"/>
          <w:highlight w:val="none"/>
          <w:lang w:val="en-US" w:bidi="ar-SA"/>
        </w:rPr>
        <w:t xml:space="preserve">（7）成交通知书</w:t>
      </w:r>
      <w:r>
        <w:rPr>
          <w:color w:val="auto"/>
          <w:spacing w:val="2"/>
          <w:sz w:val="21"/>
          <w:szCs w:val="21"/>
          <w:highlight w:val="none"/>
          <w:lang w:val="en-US" w:bidi="ar-SA"/>
        </w:rPr>
        <w:t xml:space="preserve">；</w:t>
      </w:r>
      <w:r>
        <w:rPr>
          <w:color w:val="auto"/>
          <w:spacing w:val="6"/>
          <w:sz w:val="21"/>
          <w:szCs w:val="21"/>
          <w:highlight w:val="none"/>
          <w:lang w:val="en-US" w:bidi="ar-SA"/>
        </w:rPr>
        <w:t xml:space="preserve">             </w:t>
      </w:r>
      <w:r>
        <w:rPr>
          <w:color w:val="auto"/>
          <w:spacing w:val="2"/>
          <w:sz w:val="21"/>
          <w:szCs w:val="21"/>
          <w:highlight w:val="none"/>
          <w:lang w:val="en-US" w:bidi="ar-SA"/>
        </w:rPr>
        <w:t xml:space="preserve">（</w:t>
      </w:r>
      <w:r>
        <w:rPr>
          <w:color w:val="auto"/>
          <w:spacing w:val="-2"/>
          <w:sz w:val="21"/>
          <w:szCs w:val="21"/>
          <w:highlight w:val="none"/>
          <w:lang w:val="en-US" w:bidi="ar-SA"/>
        </w:rPr>
        <w:t xml:space="preserve">8）甲乙双方商定的其他文件等。</w:t>
      </w:r>
      <w:r/>
    </w:p>
    <w:p>
      <w:pPr>
        <w:contextualSpacing/>
        <w:spacing w:line="360" w:lineRule="auto"/>
        <w:widowControl/>
        <w:rPr>
          <w:color w:val="auto"/>
          <w:sz w:val="24"/>
          <w:szCs w:val="24"/>
          <w:highlight w:val="none"/>
          <w:lang w:val="en-US" w:bidi="ar-SA"/>
        </w:rPr>
        <w:outlineLvl w:val="1"/>
      </w:pPr>
      <w:r>
        <w:rPr>
          <w:b/>
          <w:bCs/>
          <w:color w:val="auto"/>
          <w:spacing w:val="-4"/>
          <w:sz w:val="24"/>
          <w:szCs w:val="24"/>
          <w:highlight w:val="none"/>
          <w:lang w:val="en-US" w:bidi="ar-SA"/>
        </w:rPr>
        <w:t xml:space="preserve">4.权利保证</w:t>
      </w:r>
      <w:r/>
    </w:p>
    <w:p>
      <w:pPr>
        <w:contextualSpacing/>
        <w:ind w:firstLine="416"/>
        <w:spacing w:line="360" w:lineRule="auto"/>
        <w:widowControl/>
        <w:rPr>
          <w:color w:val="auto"/>
          <w:sz w:val="21"/>
          <w:szCs w:val="21"/>
          <w:highlight w:val="none"/>
          <w:lang w:val="en-US" w:bidi="ar-SA"/>
        </w:rPr>
      </w:pPr>
      <w:r>
        <w:rPr>
          <w:color w:val="auto"/>
          <w:sz w:val="21"/>
          <w:szCs w:val="21"/>
          <w:highlight w:val="none"/>
          <w:lang w:val="en-US" w:bidi="ar-SA"/>
        </w:rPr>
        <w:t xml:space="preserve">4.1 乙方应保证甲方在使用该货物或其任何一部分时不受第三方提出侵犯其专</w:t>
      </w:r>
      <w:r>
        <w:rPr>
          <w:color w:val="auto"/>
          <w:spacing w:val="-1"/>
          <w:sz w:val="21"/>
          <w:szCs w:val="21"/>
          <w:highlight w:val="none"/>
          <w:lang w:val="en-US" w:bidi="ar-SA"/>
        </w:rPr>
        <w:t xml:space="preserve">利权、版权、商标</w:t>
      </w:r>
      <w:r>
        <w:rPr>
          <w:color w:val="auto"/>
          <w:sz w:val="21"/>
          <w:szCs w:val="21"/>
          <w:highlight w:val="none"/>
          <w:lang w:val="en-US" w:bidi="ar-SA"/>
        </w:rPr>
        <w:t xml:space="preserve"> </w:t>
      </w:r>
      <w:r>
        <w:rPr>
          <w:color w:val="auto"/>
          <w:spacing w:val="-2"/>
          <w:sz w:val="21"/>
          <w:szCs w:val="21"/>
          <w:highlight w:val="none"/>
          <w:lang w:val="en-US" w:bidi="ar-SA"/>
        </w:rPr>
        <w:t xml:space="preserve">或其他权利的起诉。一旦出现侵权，乙方应承担全部责任。</w:t>
      </w:r>
      <w:r/>
    </w:p>
    <w:p>
      <w:pPr>
        <w:contextualSpacing/>
        <w:spacing w:line="360" w:lineRule="auto"/>
        <w:widowControl/>
        <w:rPr>
          <w:color w:val="auto"/>
          <w:sz w:val="24"/>
          <w:szCs w:val="24"/>
          <w:highlight w:val="none"/>
          <w:lang w:val="en-US" w:bidi="ar-SA"/>
        </w:rPr>
        <w:outlineLvl w:val="1"/>
      </w:pPr>
      <w:r>
        <w:rPr>
          <w:b/>
          <w:bCs/>
          <w:color w:val="auto"/>
          <w:spacing w:val="-5"/>
          <w:sz w:val="24"/>
          <w:szCs w:val="24"/>
          <w:highlight w:val="none"/>
          <w:lang w:val="en-US" w:bidi="ar-SA"/>
        </w:rPr>
        <w:t xml:space="preserve">5.质量保证</w:t>
      </w:r>
      <w:r/>
    </w:p>
    <w:p>
      <w:pPr>
        <w:contextualSpacing/>
        <w:ind w:firstLine="424"/>
        <w:spacing w:line="360" w:lineRule="auto"/>
        <w:widowControl/>
        <w:rPr>
          <w:color w:val="auto"/>
          <w:sz w:val="21"/>
          <w:szCs w:val="21"/>
          <w:highlight w:val="none"/>
          <w:lang w:val="en-US" w:bidi="ar-SA"/>
        </w:rPr>
      </w:pPr>
      <w:r>
        <w:rPr>
          <w:color w:val="auto"/>
          <w:sz w:val="21"/>
          <w:szCs w:val="21"/>
          <w:highlight w:val="none"/>
          <w:lang w:val="en-US" w:bidi="ar-SA"/>
        </w:rPr>
        <w:t xml:space="preserve">5.1 乙方所提供的货物的技术规格应与招标文件规定的技术规格及</w:t>
      </w:r>
      <w:r>
        <w:rPr>
          <w:color w:val="auto"/>
          <w:spacing w:val="-1"/>
          <w:sz w:val="21"/>
          <w:szCs w:val="21"/>
          <w:highlight w:val="none"/>
          <w:lang w:val="en-US" w:bidi="ar-SA"/>
        </w:rPr>
        <w:t xml:space="preserve">所附的“技术规格响应表”相一致；若技术性能无特殊说明，则按国家有关部门最新颁布的标准及规</w:t>
      </w:r>
      <w:r>
        <w:rPr>
          <w:color w:val="auto"/>
          <w:spacing w:val="-2"/>
          <w:sz w:val="21"/>
          <w:szCs w:val="21"/>
          <w:highlight w:val="none"/>
          <w:lang w:val="en-US" w:bidi="ar-SA"/>
        </w:rPr>
        <w:t xml:space="preserve">范为准。</w:t>
      </w:r>
      <w:r/>
    </w:p>
    <w:p>
      <w:pPr>
        <w:contextualSpacing/>
        <w:ind w:firstLine="416"/>
        <w:spacing w:line="360" w:lineRule="auto"/>
        <w:widowControl/>
        <w:rPr>
          <w:color w:val="auto"/>
          <w:sz w:val="21"/>
          <w:szCs w:val="21"/>
          <w:highlight w:val="none"/>
          <w:lang w:val="en-US" w:bidi="ar-SA"/>
        </w:rPr>
      </w:pPr>
      <w:r>
        <w:rPr>
          <w:color w:val="auto"/>
          <w:sz w:val="21"/>
          <w:szCs w:val="21"/>
          <w:highlight w:val="none"/>
          <w:lang w:val="en-US" w:bidi="ar-SA"/>
        </w:rPr>
        <w:t xml:space="preserve">5.2 乙方应保证货物是全新、未使用过的原装合格正品，并完全符</w:t>
      </w:r>
      <w:r>
        <w:rPr>
          <w:color w:val="auto"/>
          <w:spacing w:val="-1"/>
          <w:sz w:val="21"/>
          <w:szCs w:val="21"/>
          <w:highlight w:val="none"/>
          <w:lang w:val="en-US" w:bidi="ar-SA"/>
        </w:rPr>
        <w:t xml:space="preserve">合合同规定的质量、规格和性能</w:t>
      </w:r>
      <w:r>
        <w:rPr>
          <w:color w:val="auto"/>
          <w:sz w:val="21"/>
          <w:szCs w:val="21"/>
          <w:highlight w:val="none"/>
          <w:lang w:val="en-US" w:bidi="ar-SA"/>
        </w:rPr>
        <w:t xml:space="preserve">的要求。乙方应保证其提供的货物在正确安装、正常使用和保养</w:t>
      </w:r>
      <w:r>
        <w:rPr>
          <w:color w:val="auto"/>
          <w:spacing w:val="-1"/>
          <w:sz w:val="21"/>
          <w:szCs w:val="21"/>
          <w:highlight w:val="none"/>
          <w:lang w:val="en-US" w:bidi="ar-SA"/>
        </w:rPr>
        <w:t xml:space="preserve">条件下，在其使用寿命内具有良好的性</w:t>
      </w:r>
      <w:r>
        <w:rPr>
          <w:color w:val="auto"/>
          <w:sz w:val="21"/>
          <w:szCs w:val="21"/>
          <w:highlight w:val="none"/>
          <w:lang w:val="en-US" w:bidi="ar-SA"/>
        </w:rPr>
        <w:t xml:space="preserve">能。货物验收后，在质量保证期内，乙方应对由于设计、工艺或</w:t>
      </w:r>
      <w:r>
        <w:rPr>
          <w:color w:val="auto"/>
          <w:spacing w:val="-1"/>
          <w:sz w:val="21"/>
          <w:szCs w:val="21"/>
          <w:highlight w:val="none"/>
          <w:lang w:val="en-US" w:bidi="ar-SA"/>
        </w:rPr>
        <w:t xml:space="preserve">材料的缺陷所发生的任何不足或故障负</w:t>
      </w:r>
      <w:r>
        <w:rPr>
          <w:color w:val="auto"/>
          <w:spacing w:val="-4"/>
          <w:sz w:val="21"/>
          <w:szCs w:val="21"/>
          <w:highlight w:val="none"/>
          <w:lang w:val="en-US" w:bidi="ar-SA"/>
        </w:rPr>
        <w:t xml:space="preserve">责，所需费用由乙方承担。</w:t>
      </w:r>
      <w:r/>
    </w:p>
    <w:p>
      <w:pPr>
        <w:contextualSpacing/>
        <w:spacing w:line="360" w:lineRule="auto"/>
        <w:widowControl/>
        <w:rPr>
          <w:color w:val="auto"/>
          <w:sz w:val="21"/>
          <w:szCs w:val="21"/>
          <w:highlight w:val="none"/>
          <w:lang w:val="en-US" w:bidi="ar-SA"/>
        </w:rPr>
      </w:pPr>
      <w:r>
        <w:rPr>
          <w:color w:val="auto"/>
          <w:spacing w:val="-2"/>
          <w:sz w:val="21"/>
          <w:szCs w:val="21"/>
          <w:highlight w:val="none"/>
          <w:lang w:val="en-US" w:bidi="ar-SA"/>
        </w:rPr>
        <w:t xml:space="preserve">5.3 质量保证期为自</w:t>
      </w:r>
      <w:r>
        <w:rPr>
          <w:rFonts w:hint="eastAsia"/>
          <w:color w:val="auto"/>
          <w:spacing w:val="-2"/>
          <w:sz w:val="21"/>
          <w:szCs w:val="21"/>
          <w:highlight w:val="none"/>
          <w:lang w:val="en-US" w:bidi="ar-SA"/>
        </w:rPr>
        <w:t xml:space="preserve">初验</w:t>
      </w:r>
      <w:r>
        <w:rPr>
          <w:color w:val="auto"/>
          <w:spacing w:val="-2"/>
          <w:sz w:val="21"/>
          <w:szCs w:val="21"/>
          <w:highlight w:val="none"/>
          <w:lang w:val="en-US" w:bidi="ar-SA"/>
        </w:rPr>
        <w:t xml:space="preserve">合格后</w:t>
      </w:r>
      <w:r>
        <w:rPr>
          <w:rFonts w:hint="eastAsia"/>
          <w:color w:val="auto"/>
          <w:spacing w:val="-2"/>
          <w:sz w:val="21"/>
          <w:szCs w:val="21"/>
          <w:highlight w:val="none"/>
          <w:lang w:val="en-US" w:bidi="ar-SA"/>
        </w:rPr>
        <w:t xml:space="preserve">至少</w:t>
      </w:r>
      <w:r>
        <w:rPr>
          <w:rFonts w:hint="eastAsia"/>
          <w:color w:val="auto"/>
          <w:spacing w:val="-2"/>
          <w:sz w:val="21"/>
          <w:szCs w:val="21"/>
          <w:highlight w:val="none"/>
          <w:u w:val="single"/>
          <w:lang w:val="en-US" w:bidi="ar-SA"/>
        </w:rPr>
        <w:t xml:space="preserve">48个</w:t>
      </w:r>
      <w:r>
        <w:rPr>
          <w:color w:val="auto"/>
          <w:spacing w:val="-2"/>
          <w:sz w:val="21"/>
          <w:szCs w:val="21"/>
          <w:highlight w:val="none"/>
          <w:lang w:val="en-US" w:bidi="ar-SA"/>
        </w:rPr>
        <w:t xml:space="preserve">月。</w:t>
      </w:r>
      <w:r/>
    </w:p>
    <w:p>
      <w:pPr>
        <w:contextualSpacing/>
        <w:spacing w:line="360" w:lineRule="auto"/>
        <w:widowControl/>
        <w:rPr>
          <w:color w:val="auto"/>
          <w:sz w:val="24"/>
          <w:szCs w:val="24"/>
          <w:highlight w:val="none"/>
          <w:lang w:val="en-US" w:bidi="ar-SA"/>
        </w:rPr>
        <w:outlineLvl w:val="1"/>
      </w:pPr>
      <w:r>
        <w:rPr>
          <w:b/>
          <w:bCs/>
          <w:color w:val="auto"/>
          <w:spacing w:val="-5"/>
          <w:sz w:val="24"/>
          <w:szCs w:val="24"/>
          <w:highlight w:val="none"/>
          <w:lang w:val="en-US" w:bidi="ar-SA"/>
        </w:rPr>
        <w:t xml:space="preserve">6.包装要求</w:t>
      </w:r>
      <w:r/>
    </w:p>
    <w:p>
      <w:pPr>
        <w:contextualSpacing/>
        <w:ind w:firstLine="418"/>
        <w:spacing w:line="360" w:lineRule="auto"/>
        <w:widowControl/>
        <w:rPr>
          <w:color w:val="auto"/>
          <w:sz w:val="21"/>
          <w:szCs w:val="21"/>
          <w:highlight w:val="none"/>
          <w:lang w:val="en-US" w:bidi="ar-SA"/>
        </w:rPr>
      </w:pPr>
      <w:r>
        <w:rPr>
          <w:color w:val="auto"/>
          <w:sz w:val="21"/>
          <w:szCs w:val="21"/>
          <w:highlight w:val="none"/>
          <w:lang w:val="en-US" w:bidi="ar-SA"/>
        </w:rPr>
        <w:t xml:space="preserve">6.1 除合同另有规定外，乙方提供的全部货物均应按标准保护措施进行包</w:t>
      </w:r>
      <w:r>
        <w:rPr>
          <w:color w:val="auto"/>
          <w:spacing w:val="-1"/>
          <w:sz w:val="21"/>
          <w:szCs w:val="21"/>
          <w:highlight w:val="none"/>
          <w:lang w:val="en-US" w:bidi="ar-SA"/>
        </w:rPr>
        <w:t xml:space="preserve">装。该包装应适应于远距</w:t>
      </w:r>
      <w:r>
        <w:rPr>
          <w:color w:val="auto"/>
          <w:sz w:val="21"/>
          <w:szCs w:val="21"/>
          <w:highlight w:val="none"/>
          <w:lang w:val="en-US" w:bidi="ar-SA"/>
        </w:rPr>
        <w:t xml:space="preserve">离运输、防潮、防震、防锈和防野蛮装卸，以确保货物安全无损运抵指定</w:t>
      </w:r>
      <w:r>
        <w:rPr>
          <w:color w:val="auto"/>
          <w:spacing w:val="-1"/>
          <w:sz w:val="21"/>
          <w:szCs w:val="21"/>
          <w:highlight w:val="none"/>
          <w:lang w:val="en-US" w:bidi="ar-SA"/>
        </w:rPr>
        <w:t xml:space="preserve">地点。由于包装不善所引起的</w:t>
      </w:r>
      <w:r>
        <w:rPr>
          <w:color w:val="auto"/>
          <w:spacing w:val="-4"/>
          <w:sz w:val="21"/>
          <w:szCs w:val="21"/>
          <w:highlight w:val="none"/>
          <w:lang w:val="en-US" w:bidi="ar-SA"/>
        </w:rPr>
        <w:t xml:space="preserve">货物损失均由乙方承担。</w:t>
      </w:r>
      <w:r/>
    </w:p>
    <w:p>
      <w:pPr>
        <w:contextualSpacing/>
        <w:spacing w:line="360" w:lineRule="auto"/>
        <w:widowControl/>
        <w:rPr>
          <w:color w:val="auto"/>
          <w:sz w:val="21"/>
          <w:szCs w:val="21"/>
          <w:highlight w:val="none"/>
          <w:lang w:val="en-US" w:bidi="ar-SA"/>
        </w:rPr>
      </w:pPr>
      <w:r>
        <w:rPr>
          <w:color w:val="auto"/>
          <w:spacing w:val="-2"/>
          <w:sz w:val="21"/>
          <w:szCs w:val="21"/>
          <w:highlight w:val="none"/>
          <w:lang w:val="en-US" w:bidi="ar-SA"/>
        </w:rPr>
        <w:t xml:space="preserve">6.2 每一包装单元内应附详细的装箱单和质量合格凭证。</w:t>
      </w:r>
      <w:r/>
    </w:p>
    <w:p>
      <w:pPr>
        <w:contextualSpacing/>
        <w:spacing w:line="360" w:lineRule="auto"/>
        <w:widowControl/>
        <w:rPr>
          <w:color w:val="auto"/>
          <w:sz w:val="24"/>
          <w:szCs w:val="24"/>
          <w:highlight w:val="none"/>
          <w:lang w:val="en-US" w:bidi="ar-SA"/>
        </w:rPr>
        <w:outlineLvl w:val="1"/>
      </w:pPr>
      <w:r>
        <w:rPr>
          <w:b/>
          <w:bCs/>
          <w:color w:val="auto"/>
          <w:spacing w:val="-5"/>
          <w:sz w:val="24"/>
          <w:szCs w:val="24"/>
          <w:highlight w:val="none"/>
          <w:lang w:val="en-US" w:bidi="ar-SA"/>
        </w:rPr>
        <w:t xml:space="preserve">7.交货和验收</w:t>
      </w:r>
      <w:r/>
    </w:p>
    <w:p>
      <w:pPr>
        <w:contextualSpacing/>
        <w:ind w:firstLine="425"/>
        <w:spacing w:line="360" w:lineRule="auto"/>
        <w:widowControl/>
        <w:rPr>
          <w:color w:val="auto"/>
          <w:sz w:val="21"/>
          <w:szCs w:val="21"/>
          <w:highlight w:val="none"/>
          <w:lang w:val="en-US" w:bidi="ar-SA"/>
        </w:rPr>
      </w:pPr>
      <w:r>
        <w:rPr>
          <w:color w:val="auto"/>
          <w:spacing w:val="-1"/>
          <w:sz w:val="21"/>
          <w:szCs w:val="21"/>
          <w:highlight w:val="none"/>
          <w:lang w:val="en-US" w:bidi="ar-SA"/>
        </w:rPr>
        <w:t xml:space="preserve">7.1 乙方应当在合同签订后约定时间内将货物安装调试完毕交付甲方正常使用，地点由甲方指定。</w:t>
      </w:r>
      <w:r>
        <w:rPr>
          <w:color w:val="auto"/>
          <w:spacing w:val="1"/>
          <w:sz w:val="21"/>
          <w:szCs w:val="21"/>
          <w:highlight w:val="none"/>
          <w:lang w:val="en-US" w:bidi="ar-SA"/>
        </w:rPr>
        <w:t xml:space="preserve"> </w:t>
      </w:r>
      <w:r>
        <w:rPr>
          <w:color w:val="auto"/>
          <w:spacing w:val="-3"/>
          <w:sz w:val="21"/>
          <w:szCs w:val="21"/>
          <w:highlight w:val="none"/>
          <w:lang w:val="en-US" w:bidi="ar-SA"/>
        </w:rPr>
        <w:t xml:space="preserve">采购文件有约定的，从其约定。</w:t>
      </w:r>
      <w:r/>
    </w:p>
    <w:p>
      <w:pPr>
        <w:contextualSpacing/>
        <w:ind w:firstLine="208"/>
        <w:spacing w:line="360" w:lineRule="auto"/>
        <w:widowControl/>
        <w:rPr>
          <w:color w:val="auto"/>
          <w:sz w:val="21"/>
          <w:szCs w:val="21"/>
          <w:highlight w:val="none"/>
          <w:lang w:val="en-US" w:bidi="ar-SA"/>
        </w:rPr>
      </w:pPr>
      <w:r>
        <w:rPr>
          <w:color w:val="auto"/>
          <w:spacing w:val="-1"/>
          <w:sz w:val="21"/>
          <w:szCs w:val="21"/>
          <w:highlight w:val="none"/>
          <w:lang w:val="en-US" w:bidi="ar-SA"/>
        </w:rPr>
        <w:t xml:space="preserve">（一）交付时间：</w:t>
      </w:r>
      <w:r/>
    </w:p>
    <w:p>
      <w:pPr>
        <w:contextualSpacing/>
        <w:ind w:firstLine="208"/>
        <w:spacing w:line="360" w:lineRule="auto"/>
        <w:widowControl/>
        <w:rPr>
          <w:color w:val="auto"/>
          <w:sz w:val="21"/>
          <w:szCs w:val="21"/>
          <w:highlight w:val="none"/>
          <w:lang w:val="en-US" w:bidi="ar-SA"/>
        </w:rPr>
      </w:pPr>
      <w:r>
        <w:rPr>
          <w:color w:val="auto"/>
          <w:spacing w:val="-1"/>
          <w:sz w:val="21"/>
          <w:szCs w:val="21"/>
          <w:highlight w:val="none"/>
          <w:lang w:val="en-US" w:bidi="ar-SA"/>
        </w:rPr>
        <w:t xml:space="preserve">（二）送货地点：</w:t>
      </w:r>
      <w:r>
        <w:rPr>
          <w:rFonts w:hint="eastAsia"/>
          <w:color w:val="auto"/>
          <w:spacing w:val="-1"/>
          <w:sz w:val="21"/>
          <w:szCs w:val="21"/>
          <w:highlight w:val="none"/>
          <w:lang w:val="en-US" w:bidi="ar-SA"/>
        </w:rPr>
        <w:t xml:space="preserve"> </w:t>
      </w:r>
      <w:r/>
    </w:p>
    <w:p>
      <w:pPr>
        <w:contextualSpacing/>
        <w:ind w:firstLine="425"/>
        <w:spacing w:line="360" w:lineRule="auto"/>
        <w:widowControl/>
        <w:rPr>
          <w:color w:val="auto"/>
          <w:sz w:val="21"/>
          <w:szCs w:val="21"/>
          <w:highlight w:val="none"/>
          <w:lang w:val="en-US" w:bidi="ar-SA"/>
        </w:rPr>
      </w:pPr>
      <w:r>
        <w:rPr>
          <w:color w:val="auto"/>
          <w:sz w:val="21"/>
          <w:szCs w:val="21"/>
          <w:highlight w:val="none"/>
          <w:lang w:val="en-US" w:bidi="ar-SA"/>
        </w:rPr>
        <w:t xml:space="preserve">7.2 乙方交付的货物应当完全符合本合同或者招投标文件所规定</w:t>
      </w:r>
      <w:r>
        <w:rPr>
          <w:color w:val="auto"/>
          <w:spacing w:val="-1"/>
          <w:sz w:val="21"/>
          <w:szCs w:val="21"/>
          <w:highlight w:val="none"/>
          <w:lang w:val="en-US" w:bidi="ar-SA"/>
        </w:rPr>
        <w:t xml:space="preserve">的货物、数量和规格要求。乙方提供的货物不符合招投标文件和合同规定的，甲方有权拒收货物，由此引起的风险，由乙方承担。</w:t>
      </w:r>
      <w:r/>
    </w:p>
    <w:p>
      <w:pPr>
        <w:contextualSpacing/>
        <w:ind w:firstLine="208"/>
        <w:spacing w:line="360" w:lineRule="auto"/>
        <w:widowControl/>
        <w:rPr>
          <w:color w:val="auto"/>
          <w:sz w:val="21"/>
          <w:szCs w:val="21"/>
          <w:highlight w:val="none"/>
          <w:lang w:val="en-US" w:bidi="ar-SA"/>
        </w:rPr>
      </w:pPr>
      <w:r>
        <w:rPr>
          <w:color w:val="auto"/>
          <w:spacing w:val="-1"/>
          <w:sz w:val="21"/>
          <w:szCs w:val="21"/>
          <w:highlight w:val="none"/>
          <w:lang w:val="en-US" w:bidi="ar-SA"/>
        </w:rPr>
        <w:t xml:space="preserve">7.3 货物的到货验收包括：型号、规格、数量、外观质量、及货物包装</w:t>
      </w:r>
      <w:r>
        <w:rPr>
          <w:color w:val="auto"/>
          <w:spacing w:val="-2"/>
          <w:sz w:val="21"/>
          <w:szCs w:val="21"/>
          <w:highlight w:val="none"/>
          <w:lang w:val="en-US" w:bidi="ar-SA"/>
        </w:rPr>
        <w:t xml:space="preserve">是否完好。</w:t>
      </w:r>
      <w:r/>
    </w:p>
    <w:p>
      <w:pPr>
        <w:contextualSpacing/>
        <w:ind w:firstLine="210"/>
        <w:spacing w:line="360" w:lineRule="auto"/>
        <w:widowControl/>
        <w:rPr>
          <w:color w:val="auto"/>
          <w:sz w:val="21"/>
          <w:szCs w:val="21"/>
          <w:highlight w:val="none"/>
          <w:lang w:val="en-US" w:bidi="ar-SA"/>
        </w:rPr>
      </w:pPr>
      <w:r>
        <w:rPr>
          <w:color w:val="auto"/>
          <w:sz w:val="21"/>
          <w:szCs w:val="21"/>
          <w:highlight w:val="none"/>
          <w:lang w:val="en-US" w:bidi="ar-SA"/>
        </w:rPr>
        <w:t xml:space="preserve">7.4 乙方应将所提供货物的装箱清单、用户手册、原厂保修卡、</w:t>
      </w:r>
      <w:r>
        <w:rPr>
          <w:color w:val="auto"/>
          <w:spacing w:val="-1"/>
          <w:sz w:val="21"/>
          <w:szCs w:val="21"/>
          <w:highlight w:val="none"/>
          <w:lang w:val="en-US" w:bidi="ar-SA"/>
        </w:rPr>
        <w:t xml:space="preserve">随机资料及配件、随机工具等交付</w:t>
      </w:r>
      <w:r>
        <w:rPr>
          <w:color w:val="auto"/>
          <w:sz w:val="21"/>
          <w:szCs w:val="21"/>
          <w:highlight w:val="none"/>
          <w:lang w:val="en-US" w:bidi="ar-SA"/>
        </w:rPr>
        <w:t xml:space="preserve"> 给甲方；乙方不能完整交付货物及本款规定的单证和工具的，视为未按合同约</w:t>
      </w:r>
      <w:r>
        <w:rPr>
          <w:color w:val="auto"/>
          <w:spacing w:val="-1"/>
          <w:sz w:val="21"/>
          <w:szCs w:val="21"/>
          <w:highlight w:val="none"/>
          <w:lang w:val="en-US" w:bidi="ar-SA"/>
        </w:rPr>
        <w:t xml:space="preserve">定交货，乙方负责补齐</w:t>
      </w:r>
      <w:r/>
    </w:p>
    <w:p>
      <w:pPr>
        <w:contextualSpacing/>
        <w:spacing w:line="360" w:lineRule="auto"/>
        <w:widowControl/>
        <w:rPr>
          <w:color w:val="auto"/>
          <w:sz w:val="21"/>
          <w:szCs w:val="21"/>
          <w:highlight w:val="none"/>
          <w:lang w:val="en-US" w:bidi="ar-SA"/>
        </w:rPr>
      </w:pPr>
      <w:r>
        <w:rPr>
          <w:color w:val="auto"/>
          <w:spacing w:val="2"/>
          <w:sz w:val="21"/>
          <w:szCs w:val="21"/>
          <w:highlight w:val="none"/>
          <w:lang w:val="en-US" w:bidi="ar-SA"/>
        </w:rPr>
        <w:t xml:space="preserve">,因此导致逾期交付的，由乙方承担相关的违约责任。</w:t>
      </w:r>
      <w:r/>
    </w:p>
    <w:p>
      <w:pPr>
        <w:contextualSpacing/>
        <w:ind w:firstLine="404"/>
        <w:spacing w:line="360" w:lineRule="auto"/>
        <w:widowControl/>
        <w:rPr>
          <w:color w:val="auto"/>
          <w:sz w:val="21"/>
          <w:szCs w:val="21"/>
          <w:highlight w:val="none"/>
          <w:lang w:val="en-US" w:bidi="ar-SA"/>
        </w:rPr>
      </w:pPr>
      <w:r>
        <w:rPr>
          <w:color w:val="auto"/>
          <w:sz w:val="21"/>
          <w:szCs w:val="21"/>
          <w:highlight w:val="none"/>
          <w:lang w:val="en-US" w:bidi="ar-SA"/>
        </w:rPr>
        <w:t xml:space="preserve">7.5 货物和系统调试验收的标准：按行业通行标准、厂方出厂标</w:t>
      </w:r>
      <w:r>
        <w:rPr>
          <w:color w:val="auto"/>
          <w:spacing w:val="-1"/>
          <w:sz w:val="21"/>
          <w:szCs w:val="21"/>
          <w:highlight w:val="none"/>
          <w:lang w:val="en-US" w:bidi="ar-SA"/>
        </w:rPr>
        <w:t xml:space="preserve">准和乙方投标文件的承诺（详见合</w:t>
      </w:r>
      <w:r>
        <w:rPr>
          <w:color w:val="auto"/>
          <w:spacing w:val="-3"/>
          <w:sz w:val="21"/>
          <w:szCs w:val="21"/>
          <w:highlight w:val="none"/>
          <w:lang w:val="en-US" w:bidi="ar-SA"/>
        </w:rPr>
        <w:t xml:space="preserve">同附件载明的标准，并不低于国家相关标准）。</w:t>
      </w:r>
      <w:r/>
    </w:p>
    <w:p>
      <w:pPr>
        <w:contextualSpacing/>
        <w:spacing w:line="360" w:lineRule="auto"/>
        <w:widowControl/>
        <w:rPr>
          <w:color w:val="auto"/>
          <w:sz w:val="24"/>
          <w:szCs w:val="24"/>
          <w:highlight w:val="none"/>
          <w:lang w:val="en-US" w:bidi="ar-SA"/>
        </w:rPr>
        <w:outlineLvl w:val="1"/>
      </w:pPr>
      <w:r>
        <w:rPr>
          <w:b/>
          <w:bCs/>
          <w:color w:val="auto"/>
          <w:spacing w:val="-4"/>
          <w:sz w:val="24"/>
          <w:szCs w:val="24"/>
          <w:highlight w:val="none"/>
          <w:lang w:val="en-US" w:bidi="ar-SA"/>
        </w:rPr>
        <w:t xml:space="preserve">8.伴随服务/售后服务</w:t>
      </w:r>
      <w:r/>
    </w:p>
    <w:p>
      <w:pPr>
        <w:contextualSpacing/>
        <w:ind w:firstLine="416"/>
        <w:spacing w:line="360" w:lineRule="auto"/>
        <w:widowControl/>
        <w:rPr>
          <w:color w:val="auto"/>
          <w:sz w:val="21"/>
          <w:szCs w:val="21"/>
          <w:highlight w:val="none"/>
          <w:lang w:val="en-US" w:bidi="ar-SA"/>
        </w:rPr>
      </w:pPr>
      <w:r>
        <w:rPr>
          <w:color w:val="auto"/>
          <w:spacing w:val="-1"/>
          <w:sz w:val="21"/>
          <w:szCs w:val="21"/>
          <w:highlight w:val="none"/>
          <w:lang w:val="en-US" w:bidi="ar-SA"/>
        </w:rPr>
        <w:t xml:space="preserve">8.1 乙方应按照国家有关法律法规规章和“三包”规定以及合同所附的“服务承诺”提供服务。</w:t>
      </w:r>
      <w:r/>
    </w:p>
    <w:p>
      <w:pPr>
        <w:contextualSpacing/>
        <w:ind w:firstLine="408"/>
        <w:spacing w:line="360" w:lineRule="auto"/>
        <w:widowControl/>
        <w:rPr>
          <w:color w:val="auto"/>
          <w:sz w:val="21"/>
          <w:szCs w:val="21"/>
          <w:highlight w:val="none"/>
          <w:lang w:val="en-US" w:bidi="ar-SA"/>
        </w:rPr>
      </w:pPr>
      <w:r>
        <w:rPr>
          <w:color w:val="auto"/>
          <w:spacing w:val="-3"/>
          <w:sz w:val="21"/>
          <w:szCs w:val="21"/>
          <w:highlight w:val="none"/>
          <w:lang w:val="en-US" w:bidi="ar-SA"/>
        </w:rPr>
        <w:t xml:space="preserve">8.2 除前款规定外，乙方还应提供下列服务：</w:t>
      </w:r>
      <w:r/>
    </w:p>
    <w:p>
      <w:pPr>
        <w:contextualSpacing/>
        <w:ind w:firstLine="204"/>
        <w:spacing w:line="360" w:lineRule="auto"/>
        <w:widowControl/>
        <w:rPr>
          <w:color w:val="auto"/>
          <w:sz w:val="21"/>
          <w:szCs w:val="21"/>
          <w:highlight w:val="none"/>
          <w:lang w:val="en-US" w:bidi="ar-SA"/>
        </w:rPr>
      </w:pPr>
      <w:r>
        <w:rPr>
          <w:color w:val="auto"/>
          <w:spacing w:val="-3"/>
          <w:sz w:val="21"/>
          <w:szCs w:val="21"/>
          <w:highlight w:val="none"/>
          <w:lang w:val="en-US" w:bidi="ar-SA"/>
        </w:rPr>
        <w:t xml:space="preserve">（1）货物的现场安装、调试和/或启动监督；</w:t>
      </w:r>
      <w:r/>
    </w:p>
    <w:p>
      <w:pPr>
        <w:contextualSpacing/>
        <w:ind w:firstLine="206"/>
        <w:spacing w:line="360" w:lineRule="auto"/>
        <w:widowControl/>
        <w:rPr>
          <w:color w:val="auto"/>
          <w:sz w:val="21"/>
          <w:szCs w:val="21"/>
          <w:highlight w:val="none"/>
          <w:lang w:val="en-US" w:bidi="ar-SA"/>
        </w:rPr>
      </w:pPr>
      <w:r>
        <w:rPr>
          <w:color w:val="auto"/>
          <w:spacing w:val="-2"/>
          <w:sz w:val="21"/>
          <w:szCs w:val="21"/>
          <w:highlight w:val="none"/>
          <w:lang w:val="en-US" w:bidi="ar-SA"/>
        </w:rPr>
        <w:t xml:space="preserve">（2）就货物的安装、启动、运行及维护等对甲方人员进行免费培训。</w:t>
      </w:r>
      <w:r/>
    </w:p>
    <w:p>
      <w:pPr>
        <w:contextualSpacing/>
        <w:ind w:firstLine="412"/>
        <w:spacing w:line="360" w:lineRule="auto"/>
        <w:widowControl/>
        <w:rPr>
          <w:color w:val="auto"/>
          <w:sz w:val="21"/>
          <w:szCs w:val="21"/>
          <w:highlight w:val="none"/>
          <w:lang w:val="en-US" w:bidi="ar-SA"/>
        </w:rPr>
      </w:pPr>
      <w:r>
        <w:rPr>
          <w:color w:val="auto"/>
          <w:spacing w:val="-2"/>
          <w:sz w:val="21"/>
          <w:szCs w:val="21"/>
          <w:highlight w:val="none"/>
          <w:lang w:val="en-US" w:bidi="ar-SA"/>
        </w:rPr>
        <w:t xml:space="preserve">8.3 若招标文件中不包含有关伴随服务或售后服务的承诺，双方作如下约定：</w:t>
      </w:r>
      <w:r/>
    </w:p>
    <w:p>
      <w:pPr>
        <w:contextualSpacing/>
        <w:ind w:firstLine="418"/>
        <w:spacing w:line="360" w:lineRule="auto"/>
        <w:widowControl/>
        <w:rPr>
          <w:color w:val="auto"/>
          <w:sz w:val="21"/>
          <w:szCs w:val="21"/>
          <w:highlight w:val="none"/>
          <w:lang w:val="en-US" w:bidi="ar-SA"/>
        </w:rPr>
      </w:pPr>
      <w:r>
        <w:rPr>
          <w:color w:val="auto"/>
          <w:sz w:val="21"/>
          <w:szCs w:val="21"/>
          <w:highlight w:val="none"/>
          <w:lang w:val="en-US" w:bidi="ar-SA"/>
        </w:rPr>
        <w:t xml:space="preserve">8.3.1 乙方应为甲方提供免费培训服务，并指派专人负责与甲方联系售后</w:t>
      </w:r>
      <w:r>
        <w:rPr>
          <w:color w:val="auto"/>
          <w:spacing w:val="-1"/>
          <w:sz w:val="21"/>
          <w:szCs w:val="21"/>
          <w:highlight w:val="none"/>
          <w:lang w:val="en-US" w:bidi="ar-SA"/>
        </w:rPr>
        <w:t xml:space="preserve">服务事宜。主要培训内容</w:t>
      </w:r>
      <w:r>
        <w:rPr>
          <w:color w:val="auto"/>
          <w:sz w:val="21"/>
          <w:szCs w:val="21"/>
          <w:highlight w:val="none"/>
          <w:lang w:val="en-US" w:bidi="ar-SA"/>
        </w:rPr>
        <w:t xml:space="preserve">为货物的基本结构、性能、主要部件的构造及处理，日常使用操作、保养与</w:t>
      </w:r>
      <w:r>
        <w:rPr>
          <w:color w:val="auto"/>
          <w:spacing w:val="-1"/>
          <w:sz w:val="21"/>
          <w:szCs w:val="21"/>
          <w:highlight w:val="none"/>
          <w:lang w:val="en-US" w:bidi="ar-SA"/>
        </w:rPr>
        <w:t xml:space="preserve">管理、常见故障的排除、紧</w:t>
      </w:r>
      <w:r>
        <w:rPr>
          <w:color w:val="auto"/>
          <w:sz w:val="21"/>
          <w:szCs w:val="21"/>
          <w:highlight w:val="none"/>
          <w:lang w:val="en-US" w:bidi="ar-SA"/>
        </w:rPr>
        <w:t xml:space="preserve"> 急情况的处理等，如甲方未使用过同类型货物，乙方还需就货物的功能对甲</w:t>
      </w:r>
      <w:r>
        <w:rPr>
          <w:color w:val="auto"/>
          <w:spacing w:val="-1"/>
          <w:sz w:val="21"/>
          <w:szCs w:val="21"/>
          <w:highlight w:val="none"/>
          <w:lang w:val="en-US" w:bidi="ar-SA"/>
        </w:rPr>
        <w:t xml:space="preserve">方人员进行相应的技术培训</w:t>
      </w:r>
      <w:r>
        <w:rPr>
          <w:color w:val="auto"/>
          <w:sz w:val="21"/>
          <w:szCs w:val="21"/>
          <w:highlight w:val="none"/>
          <w:lang w:val="en-US" w:bidi="ar-SA"/>
        </w:rPr>
        <w:t xml:space="preserve"> </w:t>
      </w:r>
      <w:r>
        <w:rPr>
          <w:color w:val="auto"/>
          <w:spacing w:val="3"/>
          <w:sz w:val="21"/>
          <w:szCs w:val="21"/>
          <w:highlight w:val="none"/>
          <w:lang w:val="en-US" w:bidi="ar-SA"/>
        </w:rPr>
        <w:t xml:space="preserve">,培训地点主要在货物安装现场或由甲方安排。</w:t>
      </w:r>
      <w:r/>
    </w:p>
    <w:p>
      <w:pPr>
        <w:contextualSpacing/>
        <w:ind w:firstLine="416"/>
        <w:spacing w:line="360" w:lineRule="auto"/>
        <w:widowControl/>
        <w:rPr>
          <w:color w:val="auto"/>
          <w:sz w:val="21"/>
          <w:szCs w:val="21"/>
          <w:highlight w:val="none"/>
          <w:lang w:val="en-US" w:bidi="ar-SA"/>
        </w:rPr>
      </w:pPr>
      <w:r>
        <w:rPr>
          <w:color w:val="auto"/>
          <w:spacing w:val="-1"/>
          <w:sz w:val="21"/>
          <w:szCs w:val="21"/>
          <w:highlight w:val="none"/>
          <w:lang w:val="en-US" w:bidi="ar-SA"/>
        </w:rPr>
        <w:t xml:space="preserve">8.3.2 所购货物按乙方投标承诺提供免费维护和质量保证，保修费用计入总价。</w:t>
      </w:r>
      <w:r/>
    </w:p>
    <w:p>
      <w:pPr>
        <w:contextualSpacing/>
        <w:ind w:firstLine="420"/>
        <w:spacing w:line="360" w:lineRule="auto"/>
        <w:widowControl/>
        <w:rPr>
          <w:color w:val="auto"/>
          <w:sz w:val="21"/>
          <w:szCs w:val="21"/>
          <w:highlight w:val="none"/>
          <w:lang w:val="en-US" w:bidi="ar-SA"/>
        </w:rPr>
      </w:pPr>
      <w:r>
        <w:rPr>
          <w:color w:val="auto"/>
          <w:sz w:val="21"/>
          <w:szCs w:val="21"/>
          <w:highlight w:val="none"/>
          <w:lang w:val="en-US" w:bidi="ar-SA"/>
        </w:rPr>
        <w:t xml:space="preserve">8.3.3 保修期内，乙方负责对其提供的货物整机进行维修和系统维护，不</w:t>
      </w:r>
      <w:r>
        <w:rPr>
          <w:color w:val="auto"/>
          <w:spacing w:val="-1"/>
          <w:sz w:val="21"/>
          <w:szCs w:val="21"/>
          <w:highlight w:val="none"/>
          <w:lang w:val="en-US" w:bidi="ar-SA"/>
        </w:rPr>
        <w:t xml:space="preserve">再收取任何费用，但不可</w:t>
      </w:r>
      <w:r>
        <w:rPr>
          <w:color w:val="auto"/>
          <w:spacing w:val="-2"/>
          <w:sz w:val="21"/>
          <w:szCs w:val="21"/>
          <w:highlight w:val="none"/>
          <w:lang w:val="en-US" w:bidi="ar-SA"/>
        </w:rPr>
        <w:t xml:space="preserve">抗力（如火灾、雷击等）造成的故障除外。</w:t>
      </w:r>
      <w:r/>
    </w:p>
    <w:p>
      <w:pPr>
        <w:contextualSpacing/>
        <w:ind w:firstLine="412"/>
        <w:spacing w:line="360" w:lineRule="auto"/>
        <w:rPr>
          <w:color w:val="auto"/>
          <w:highlight w:val="none"/>
        </w:rPr>
      </w:pPr>
      <w:r>
        <w:rPr>
          <w:color w:val="auto"/>
          <w:spacing w:val="-2"/>
          <w:sz w:val="21"/>
          <w:szCs w:val="21"/>
          <w:highlight w:val="none"/>
        </w:rPr>
        <w:t xml:space="preserve">8.3.4 货物故障报修的响应时间按乙方投标承诺执行。</w:t>
      </w:r>
      <w:r/>
    </w:p>
    <w:p>
      <w:pPr>
        <w:contextualSpacing/>
        <w:ind w:firstLine="414"/>
        <w:spacing w:line="360" w:lineRule="auto"/>
        <w:rPr>
          <w:color w:val="auto"/>
          <w:highlight w:val="none"/>
        </w:rPr>
      </w:pPr>
      <w:r>
        <w:rPr>
          <w:color w:val="auto"/>
          <w:sz w:val="21"/>
          <w:szCs w:val="21"/>
          <w:highlight w:val="none"/>
        </w:rPr>
        <w:t xml:space="preserve">8.3.5 若货物故障在检修8工作小时后仍无法排除，乙方应在48小时内免费</w:t>
      </w:r>
      <w:r>
        <w:rPr>
          <w:color w:val="auto"/>
          <w:spacing w:val="-1"/>
          <w:sz w:val="21"/>
          <w:szCs w:val="21"/>
          <w:highlight w:val="none"/>
        </w:rPr>
        <w:t xml:space="preserve">提供不低于故障货物规格</w:t>
      </w:r>
      <w:r>
        <w:rPr>
          <w:color w:val="auto"/>
          <w:spacing w:val="-2"/>
          <w:sz w:val="21"/>
          <w:szCs w:val="21"/>
          <w:highlight w:val="none"/>
        </w:rPr>
        <w:t xml:space="preserve">型号档次的备用货物供甲方使用，直至故障货物修复。</w:t>
      </w:r>
      <w:r/>
    </w:p>
    <w:p>
      <w:pPr>
        <w:contextualSpacing/>
        <w:ind w:firstLine="417"/>
        <w:spacing w:line="360" w:lineRule="auto"/>
        <w:rPr>
          <w:color w:val="auto"/>
          <w:highlight w:val="none"/>
        </w:rPr>
      </w:pPr>
      <w:r>
        <w:rPr>
          <w:color w:val="auto"/>
          <w:sz w:val="21"/>
          <w:szCs w:val="21"/>
          <w:highlight w:val="none"/>
        </w:rPr>
        <w:t xml:space="preserve">8.3.6 所有货物保修服务方式均为乙方上门保修，即由乙方派员到货物使</w:t>
      </w:r>
      <w:r>
        <w:rPr>
          <w:color w:val="auto"/>
          <w:spacing w:val="-1"/>
          <w:sz w:val="21"/>
          <w:szCs w:val="21"/>
          <w:highlight w:val="none"/>
        </w:rPr>
        <w:t xml:space="preserve">用现场维修，由此产生的</w:t>
      </w:r>
      <w:r>
        <w:rPr>
          <w:color w:val="auto"/>
          <w:spacing w:val="-4"/>
          <w:sz w:val="21"/>
          <w:szCs w:val="21"/>
          <w:highlight w:val="none"/>
        </w:rPr>
        <w:t xml:space="preserve">一切费用均由乙方承担。</w:t>
      </w:r>
      <w:r/>
    </w:p>
    <w:p>
      <w:pPr>
        <w:contextualSpacing/>
        <w:ind w:firstLine="412"/>
        <w:spacing w:line="360" w:lineRule="auto"/>
        <w:rPr>
          <w:color w:val="auto"/>
          <w:highlight w:val="none"/>
        </w:rPr>
      </w:pPr>
      <w:r>
        <w:rPr>
          <w:color w:val="auto"/>
          <w:spacing w:val="-2"/>
          <w:sz w:val="21"/>
          <w:szCs w:val="21"/>
          <w:highlight w:val="none"/>
        </w:rPr>
        <w:t xml:space="preserve">8.3.7 </w:t>
      </w:r>
      <w:r>
        <w:rPr>
          <w:rFonts w:hint="eastAsia"/>
          <w:color w:val="auto"/>
          <w:sz w:val="21"/>
          <w:szCs w:val="21"/>
          <w:highlight w:val="none"/>
        </w:rPr>
        <w:t xml:space="preserve">本次采购的所有设备在质保期内发生故障，中标方必须及时响应并免费上门服务，要求提供7*24小时客服响应，2小时内到达现场，4小时内排除故障。项目完工后每半月对设备巡检一次（发现故障及时维修），每学期开学前一周对设备开机巡检故障排除，学期结束后一周内对设备进行除尘、保养和维修。</w:t>
      </w:r>
      <w:r/>
    </w:p>
    <w:p>
      <w:pPr>
        <w:contextualSpacing/>
        <w:spacing w:line="360" w:lineRule="auto"/>
        <w:rPr>
          <w:color w:val="auto"/>
          <w:sz w:val="24"/>
          <w:szCs w:val="24"/>
          <w:highlight w:val="none"/>
        </w:rPr>
        <w:outlineLvl w:val="1"/>
      </w:pPr>
      <w:r>
        <w:rPr>
          <w:b/>
          <w:bCs/>
          <w:color w:val="auto"/>
          <w:spacing w:val="-4"/>
          <w:sz w:val="24"/>
          <w:szCs w:val="24"/>
          <w:highlight w:val="none"/>
        </w:rPr>
        <w:t xml:space="preserve">9.履约保证金</w:t>
      </w:r>
      <w:r/>
    </w:p>
    <w:p>
      <w:pPr>
        <w:contextualSpacing/>
        <w:ind w:firstLine="412"/>
        <w:spacing w:line="360" w:lineRule="auto"/>
        <w:rPr>
          <w:color w:val="auto"/>
          <w:spacing w:val="-2"/>
          <w:highlight w:val="none"/>
        </w:rPr>
      </w:pPr>
      <w:r>
        <w:rPr>
          <w:color w:val="auto"/>
          <w:spacing w:val="-2"/>
          <w:sz w:val="21"/>
          <w:szCs w:val="21"/>
          <w:highlight w:val="none"/>
        </w:rPr>
        <w:t xml:space="preserve">9.1 履约保证金采用以下方式缴纳。</w:t>
      </w:r>
      <w:r/>
    </w:p>
    <w:p>
      <w:pPr>
        <w:contextualSpacing/>
        <w:ind w:firstLine="434"/>
        <w:spacing w:line="360" w:lineRule="auto"/>
        <w:rPr>
          <w:color w:val="auto"/>
          <w:highlight w:val="none"/>
        </w:rPr>
      </w:pPr>
      <w:r>
        <w:rPr>
          <w:color w:val="auto"/>
          <w:spacing w:val="-1"/>
          <w:sz w:val="21"/>
          <w:szCs w:val="21"/>
          <w:highlight w:val="none"/>
        </w:rPr>
        <w:t xml:space="preserve">乙方在中标后签订本合同前，向采购人缴纳合同金额的</w:t>
      </w:r>
      <w:r>
        <w:rPr>
          <w:rFonts w:hint="eastAsia"/>
          <w:color w:val="auto"/>
          <w:spacing w:val="-2"/>
          <w:highlight w:val="none"/>
          <w:u w:val="single"/>
          <w:lang w:val="en-US"/>
        </w:rPr>
        <w:t xml:space="preserve">  5</w:t>
      </w:r>
      <w:r>
        <w:rPr>
          <w:rFonts w:hint="eastAsia"/>
          <w:color w:val="auto"/>
          <w:spacing w:val="-1"/>
          <w:sz w:val="21"/>
          <w:szCs w:val="21"/>
          <w:highlight w:val="none"/>
          <w:lang w:val="en-US"/>
        </w:rPr>
        <w:t xml:space="preserve"> %</w:t>
      </w:r>
      <w:r>
        <w:rPr>
          <w:color w:val="auto"/>
          <w:spacing w:val="-1"/>
          <w:sz w:val="21"/>
          <w:szCs w:val="21"/>
          <w:highlight w:val="none"/>
        </w:rPr>
        <w:t xml:space="preserve">作为履约保证金。履约保证金的有效期</w:t>
      </w:r>
      <w:r>
        <w:rPr>
          <w:color w:val="auto"/>
          <w:spacing w:val="17"/>
          <w:sz w:val="21"/>
          <w:szCs w:val="21"/>
          <w:highlight w:val="none"/>
        </w:rPr>
        <w:t xml:space="preserve"> </w:t>
      </w:r>
      <w:r>
        <w:rPr>
          <w:color w:val="auto"/>
          <w:sz w:val="21"/>
          <w:szCs w:val="21"/>
          <w:highlight w:val="none"/>
        </w:rPr>
        <w:t xml:space="preserve">为该项目免费维护期满时为止。如乙方未能履行合同规定的义务，甲方有权</w:t>
      </w:r>
      <w:r>
        <w:rPr>
          <w:color w:val="auto"/>
          <w:spacing w:val="-1"/>
          <w:sz w:val="21"/>
          <w:szCs w:val="21"/>
          <w:highlight w:val="none"/>
        </w:rPr>
        <w:t xml:space="preserve">从履约保证金中取得补偿。</w:t>
      </w:r>
      <w:r>
        <w:rPr>
          <w:color w:val="auto"/>
          <w:sz w:val="21"/>
          <w:szCs w:val="21"/>
          <w:highlight w:val="none"/>
        </w:rPr>
        <w:t xml:space="preserve"> </w:t>
      </w:r>
      <w:r>
        <w:rPr>
          <w:color w:val="auto"/>
          <w:spacing w:val="-1"/>
          <w:sz w:val="21"/>
          <w:szCs w:val="21"/>
          <w:highlight w:val="none"/>
        </w:rPr>
        <w:t xml:space="preserve">履约保证金扣除甲方应得的补偿后的余额在有效期满后七个工作日内无息退还给</w:t>
      </w:r>
      <w:r>
        <w:rPr>
          <w:color w:val="auto"/>
          <w:spacing w:val="-2"/>
          <w:sz w:val="21"/>
          <w:szCs w:val="21"/>
          <w:highlight w:val="none"/>
        </w:rPr>
        <w:t xml:space="preserve">乙方。</w:t>
      </w:r>
      <w:r/>
    </w:p>
    <w:p>
      <w:pPr>
        <w:contextualSpacing/>
        <w:spacing w:line="360" w:lineRule="auto"/>
        <w:rPr>
          <w:color w:val="auto"/>
          <w:sz w:val="24"/>
          <w:szCs w:val="24"/>
          <w:highlight w:val="none"/>
        </w:rPr>
        <w:outlineLvl w:val="1"/>
      </w:pPr>
      <w:r>
        <w:rPr>
          <w:b/>
          <w:bCs/>
          <w:color w:val="auto"/>
          <w:spacing w:val="-6"/>
          <w:sz w:val="24"/>
          <w:szCs w:val="24"/>
          <w:highlight w:val="none"/>
        </w:rPr>
        <w:t xml:space="preserve">10.合同款支付</w:t>
      </w:r>
      <w:r/>
    </w:p>
    <w:p>
      <w:pPr>
        <w:contextualSpacing/>
        <w:ind w:firstLine="408"/>
        <w:spacing w:line="360" w:lineRule="auto"/>
        <w:rPr>
          <w:color w:val="auto"/>
          <w:highlight w:val="none"/>
        </w:rPr>
      </w:pPr>
      <w:r>
        <w:rPr>
          <w:color w:val="auto"/>
          <w:spacing w:val="-3"/>
          <w:sz w:val="21"/>
          <w:szCs w:val="21"/>
          <w:highlight w:val="none"/>
        </w:rPr>
        <w:t xml:space="preserve">10.1 本合同项下所有款项均以人民币支付。</w:t>
      </w:r>
      <w:r/>
    </w:p>
    <w:p>
      <w:pPr>
        <w:contextualSpacing/>
        <w:ind w:firstLine="412"/>
        <w:spacing w:line="360" w:lineRule="auto"/>
        <w:rPr>
          <w:color w:val="auto"/>
          <w:highlight w:val="none"/>
        </w:rPr>
      </w:pPr>
      <w:r>
        <w:rPr>
          <w:color w:val="auto"/>
          <w:spacing w:val="-2"/>
          <w:sz w:val="21"/>
          <w:szCs w:val="21"/>
          <w:highlight w:val="none"/>
        </w:rPr>
        <w:t xml:space="preserve">10.2 本合同项下的采购资金由甲方自行支付，乙方向甲方开具发票。</w:t>
      </w:r>
      <w:r/>
    </w:p>
    <w:p>
      <w:pPr>
        <w:contextualSpacing/>
        <w:ind w:firstLine="392"/>
        <w:spacing w:line="360" w:lineRule="auto"/>
        <w:rPr>
          <w:color w:val="auto"/>
          <w:spacing w:val="-7"/>
          <w:sz w:val="21"/>
          <w:szCs w:val="21"/>
          <w:highlight w:val="none"/>
        </w:rPr>
      </w:pPr>
      <w:r>
        <w:rPr>
          <w:color w:val="auto"/>
          <w:spacing w:val="-7"/>
          <w:sz w:val="21"/>
          <w:szCs w:val="21"/>
          <w:highlight w:val="none"/>
        </w:rPr>
        <w:t xml:space="preserve">10.3 付款条件：</w:t>
      </w:r>
      <w:r/>
    </w:p>
    <w:p>
      <w:pPr>
        <w:contextualSpacing/>
        <w:ind w:firstLine="392"/>
        <w:spacing w:line="360" w:lineRule="auto"/>
        <w:rPr>
          <w:color w:val="auto"/>
          <w:spacing w:val="-7"/>
          <w:sz w:val="21"/>
          <w:szCs w:val="21"/>
          <w:highlight w:val="none"/>
        </w:rPr>
        <w:outlineLvl w:val="1"/>
      </w:pPr>
      <w:r>
        <w:rPr>
          <w:rFonts w:hint="eastAsia"/>
          <w:color w:val="auto"/>
          <w:spacing w:val="-7"/>
          <w:sz w:val="21"/>
          <w:szCs w:val="21"/>
          <w:highlight w:val="none"/>
        </w:rPr>
        <w:t xml:space="preserve">第</w:t>
      </w:r>
      <w:r>
        <w:rPr>
          <w:color w:val="auto"/>
          <w:spacing w:val="-7"/>
          <w:sz w:val="21"/>
          <w:szCs w:val="21"/>
          <w:highlight w:val="none"/>
        </w:rPr>
        <w:t xml:space="preserve">1次付款：合同签订后，成交供应商供货产品全部到货满两周(14)天内，甲方按照多媒体建设项目的合同价款的30％支付货物款。</w:t>
      </w:r>
      <w:r/>
    </w:p>
    <w:p>
      <w:pPr>
        <w:contextualSpacing/>
        <w:ind w:firstLine="392"/>
        <w:spacing w:line="360" w:lineRule="auto"/>
        <w:rPr>
          <w:color w:val="auto"/>
          <w:spacing w:val="-7"/>
          <w:sz w:val="21"/>
          <w:szCs w:val="21"/>
          <w:highlight w:val="none"/>
        </w:rPr>
        <w:outlineLvl w:val="1"/>
      </w:pPr>
      <w:r>
        <w:rPr>
          <w:rFonts w:hint="eastAsia"/>
          <w:color w:val="auto"/>
          <w:spacing w:val="-7"/>
          <w:sz w:val="21"/>
          <w:szCs w:val="21"/>
          <w:highlight w:val="none"/>
        </w:rPr>
        <w:t xml:space="preserve">第</w:t>
      </w:r>
      <w:r>
        <w:rPr>
          <w:color w:val="auto"/>
          <w:spacing w:val="-7"/>
          <w:sz w:val="21"/>
          <w:szCs w:val="21"/>
          <w:highlight w:val="none"/>
        </w:rPr>
        <w:t xml:space="preserve">2次付款：完成多媒体建设项目所有货物的安装、调试，试运行正常，经甲方、乙方初验验收合格后，15日内付至本项目多媒体建设合同价款的60％。</w:t>
      </w:r>
      <w:r/>
    </w:p>
    <w:p>
      <w:pPr>
        <w:contextualSpacing/>
        <w:ind w:firstLine="392"/>
        <w:spacing w:line="360" w:lineRule="auto"/>
        <w:rPr>
          <w:color w:val="auto"/>
          <w:spacing w:val="-7"/>
          <w:sz w:val="21"/>
          <w:szCs w:val="21"/>
          <w:highlight w:val="none"/>
        </w:rPr>
        <w:outlineLvl w:val="1"/>
      </w:pPr>
      <w:r>
        <w:rPr>
          <w:rFonts w:hint="eastAsia"/>
          <w:color w:val="auto"/>
          <w:spacing w:val="-7"/>
          <w:sz w:val="21"/>
          <w:szCs w:val="21"/>
          <w:highlight w:val="none"/>
        </w:rPr>
        <w:t xml:space="preserve">第</w:t>
      </w:r>
      <w:r>
        <w:rPr>
          <w:color w:val="auto"/>
          <w:spacing w:val="-7"/>
          <w:sz w:val="21"/>
          <w:szCs w:val="21"/>
          <w:highlight w:val="none"/>
        </w:rPr>
        <w:t xml:space="preserve">3次付款：完成多媒体建设项目后，经甲方、乙方验收合格后，成交乙方上报多媒体建设项目完整结算资料至甲方管理部门，经甲方审计单位审计，出具审计报告后,15日内付至本项目多媒体建设审定价的90％。在项目验收完成后无息按比例退还履约保证金。</w:t>
      </w:r>
      <w:r/>
    </w:p>
    <w:p>
      <w:pPr>
        <w:contextualSpacing/>
        <w:ind w:firstLine="392"/>
        <w:spacing w:line="360" w:lineRule="auto"/>
        <w:rPr>
          <w:color w:val="auto"/>
          <w:spacing w:val="-7"/>
          <w:sz w:val="21"/>
          <w:szCs w:val="21"/>
          <w:highlight w:val="none"/>
        </w:rPr>
        <w:outlineLvl w:val="1"/>
      </w:pPr>
      <w:r>
        <w:rPr>
          <w:rFonts w:hint="eastAsia"/>
          <w:color w:val="auto"/>
          <w:spacing w:val="-7"/>
          <w:sz w:val="21"/>
          <w:szCs w:val="21"/>
          <w:highlight w:val="none"/>
        </w:rPr>
        <w:t xml:space="preserve">第</w:t>
      </w:r>
      <w:r>
        <w:rPr>
          <w:color w:val="auto"/>
          <w:spacing w:val="-7"/>
          <w:sz w:val="21"/>
          <w:szCs w:val="21"/>
          <w:highlight w:val="none"/>
        </w:rPr>
        <w:t xml:space="preserve">4次付款：终验满六个月后，成交供应商提供多媒体建设剩余金额的足额发票，15日内付至本项目多媒体建设审定价的96％。</w:t>
      </w:r>
      <w:r/>
    </w:p>
    <w:p>
      <w:pPr>
        <w:contextualSpacing/>
        <w:ind w:firstLine="392"/>
        <w:spacing w:line="360" w:lineRule="auto"/>
        <w:rPr>
          <w:color w:val="auto"/>
          <w:spacing w:val="-7"/>
          <w:sz w:val="21"/>
          <w:szCs w:val="21"/>
          <w:highlight w:val="none"/>
        </w:rPr>
        <w:outlineLvl w:val="1"/>
      </w:pPr>
      <w:r>
        <w:rPr>
          <w:rFonts w:hint="eastAsia"/>
          <w:color w:val="auto"/>
          <w:spacing w:val="-7"/>
          <w:sz w:val="21"/>
          <w:szCs w:val="21"/>
          <w:highlight w:val="none"/>
        </w:rPr>
        <w:t xml:space="preserve">第</w:t>
      </w:r>
      <w:r>
        <w:rPr>
          <w:color w:val="auto"/>
          <w:spacing w:val="-7"/>
          <w:sz w:val="21"/>
          <w:szCs w:val="21"/>
          <w:highlight w:val="none"/>
        </w:rPr>
        <w:t xml:space="preserve">5次付款：定期做好设备巡检工作，发现问题并能及时处理，满4年后，无息付清尾款。如果发现质保期内设备故障或其他原因导致多媒体设备问题，没有及时处理，影响学校正常教学秩序，每次扣除尾款的0.5％扣除部分尾款，直到扣完为止。</w:t>
      </w:r>
      <w:r/>
    </w:p>
    <w:p>
      <w:pPr>
        <w:contextualSpacing/>
        <w:spacing w:line="360" w:lineRule="auto"/>
        <w:rPr>
          <w:color w:val="auto"/>
          <w:sz w:val="24"/>
          <w:szCs w:val="24"/>
          <w:highlight w:val="none"/>
        </w:rPr>
        <w:outlineLvl w:val="1"/>
      </w:pPr>
      <w:r>
        <w:rPr>
          <w:b/>
          <w:bCs/>
          <w:color w:val="auto"/>
          <w:spacing w:val="-7"/>
          <w:sz w:val="24"/>
          <w:szCs w:val="24"/>
          <w:highlight w:val="none"/>
        </w:rPr>
        <w:t xml:space="preserve">11.违约责任</w:t>
      </w:r>
      <w:r/>
    </w:p>
    <w:p>
      <w:pPr>
        <w:contextualSpacing/>
        <w:ind w:firstLine="412"/>
        <w:spacing w:line="360" w:lineRule="auto"/>
        <w:rPr>
          <w:color w:val="auto"/>
          <w:highlight w:val="none"/>
        </w:rPr>
      </w:pPr>
      <w:r>
        <w:rPr>
          <w:color w:val="auto"/>
          <w:spacing w:val="-2"/>
          <w:sz w:val="21"/>
          <w:szCs w:val="21"/>
          <w:highlight w:val="none"/>
        </w:rPr>
        <w:t xml:space="preserve">11.1</w:t>
      </w:r>
      <w:r>
        <w:rPr>
          <w:color w:val="auto"/>
          <w:spacing w:val="35"/>
          <w:sz w:val="21"/>
          <w:szCs w:val="21"/>
          <w:highlight w:val="none"/>
        </w:rPr>
        <w:t xml:space="preserve"> </w:t>
      </w:r>
      <w:r>
        <w:rPr>
          <w:color w:val="auto"/>
          <w:spacing w:val="-2"/>
          <w:sz w:val="21"/>
          <w:szCs w:val="21"/>
          <w:highlight w:val="none"/>
        </w:rPr>
        <w:t xml:space="preserve">甲方无正当理由拒收货物、拒付货物款的，由甲方向乙方偿付合同总价的5%</w:t>
      </w:r>
      <w:r>
        <w:rPr>
          <w:color w:val="auto"/>
          <w:spacing w:val="-3"/>
          <w:sz w:val="21"/>
          <w:szCs w:val="21"/>
          <w:highlight w:val="none"/>
        </w:rPr>
        <w:t xml:space="preserve">违约金。</w:t>
      </w:r>
      <w:r/>
    </w:p>
    <w:p>
      <w:pPr>
        <w:contextualSpacing/>
        <w:ind w:firstLine="420"/>
        <w:spacing w:line="360" w:lineRule="auto"/>
        <w:rPr>
          <w:color w:val="auto"/>
          <w:highlight w:val="none"/>
        </w:rPr>
      </w:pPr>
      <w:r>
        <w:rPr>
          <w:color w:val="auto"/>
          <w:spacing w:val="-1"/>
          <w:sz w:val="21"/>
          <w:szCs w:val="21"/>
          <w:highlight w:val="none"/>
        </w:rPr>
        <w:t xml:space="preserve">11.2</w:t>
      </w:r>
      <w:r>
        <w:rPr>
          <w:color w:val="auto"/>
          <w:spacing w:val="36"/>
          <w:sz w:val="21"/>
          <w:szCs w:val="21"/>
          <w:highlight w:val="none"/>
        </w:rPr>
        <w:t xml:space="preserve"> </w:t>
      </w:r>
      <w:r>
        <w:rPr>
          <w:color w:val="auto"/>
          <w:spacing w:val="-1"/>
          <w:sz w:val="21"/>
          <w:szCs w:val="21"/>
          <w:highlight w:val="none"/>
        </w:rPr>
        <w:t xml:space="preserve">甲方未按合同规定的期限向乙方支付货款的，每逾期1天甲方</w:t>
      </w:r>
      <w:r>
        <w:rPr>
          <w:color w:val="auto"/>
          <w:spacing w:val="-2"/>
          <w:sz w:val="21"/>
          <w:szCs w:val="21"/>
          <w:highlight w:val="none"/>
        </w:rPr>
        <w:t xml:space="preserve">向乙方偿付欠款总额的5‰滞纳金</w:t>
      </w:r>
      <w:r>
        <w:rPr>
          <w:color w:val="auto"/>
          <w:sz w:val="21"/>
          <w:szCs w:val="21"/>
          <w:highlight w:val="none"/>
        </w:rPr>
        <w:t xml:space="preserve"> </w:t>
      </w:r>
      <w:r>
        <w:rPr>
          <w:color w:val="auto"/>
          <w:spacing w:val="3"/>
          <w:sz w:val="21"/>
          <w:szCs w:val="21"/>
          <w:highlight w:val="none"/>
        </w:rPr>
        <w:t xml:space="preserve">,但累计滞纳金总额不超过欠款总额的5% 。</w:t>
      </w:r>
      <w:r/>
    </w:p>
    <w:p>
      <w:pPr>
        <w:contextualSpacing/>
        <w:ind w:firstLine="435"/>
        <w:spacing w:line="360" w:lineRule="auto"/>
        <w:rPr>
          <w:color w:val="auto"/>
          <w:highlight w:val="none"/>
        </w:rPr>
      </w:pPr>
      <w:r>
        <w:rPr>
          <w:color w:val="auto"/>
          <w:sz w:val="21"/>
          <w:szCs w:val="21"/>
          <w:highlight w:val="none"/>
        </w:rPr>
        <w:t xml:space="preserve">11.3 如乙方不能交付货物、完成安装调试</w:t>
      </w:r>
      <w:r>
        <w:rPr>
          <w:color w:val="auto"/>
          <w:spacing w:val="-1"/>
          <w:sz w:val="21"/>
          <w:szCs w:val="21"/>
          <w:highlight w:val="none"/>
        </w:rPr>
        <w:t xml:space="preserve">的，甲方有权扣留全部履约保证金；同时乙方应向甲方支</w:t>
      </w:r>
      <w:r>
        <w:rPr>
          <w:color w:val="auto"/>
          <w:sz w:val="21"/>
          <w:szCs w:val="21"/>
          <w:highlight w:val="none"/>
        </w:rPr>
        <w:t xml:space="preserve"> </w:t>
      </w:r>
      <w:r>
        <w:rPr>
          <w:color w:val="auto"/>
          <w:spacing w:val="-3"/>
          <w:sz w:val="21"/>
          <w:szCs w:val="21"/>
          <w:highlight w:val="none"/>
        </w:rPr>
        <w:t xml:space="preserve">付合同总价5%的违约金。</w:t>
      </w:r>
      <w:r/>
    </w:p>
    <w:p>
      <w:pPr>
        <w:contextualSpacing/>
        <w:ind w:firstLine="420"/>
        <w:spacing w:line="360" w:lineRule="auto"/>
        <w:rPr>
          <w:color w:val="auto"/>
          <w:highlight w:val="none"/>
        </w:rPr>
      </w:pPr>
      <w:r>
        <w:rPr>
          <w:color w:val="auto"/>
          <w:sz w:val="21"/>
          <w:szCs w:val="21"/>
          <w:highlight w:val="none"/>
        </w:rPr>
        <w:t xml:space="preserve">11.4 乙方逾期交付的，每逾期1天，乙方</w:t>
      </w:r>
      <w:r>
        <w:rPr>
          <w:color w:val="auto"/>
          <w:spacing w:val="-1"/>
          <w:sz w:val="21"/>
          <w:szCs w:val="21"/>
          <w:highlight w:val="none"/>
        </w:rPr>
        <w:t xml:space="preserve">向甲方偿付合同总额的5‰的滞纳金。如乙方逾期交付达</w:t>
      </w:r>
      <w:r>
        <w:rPr>
          <w:color w:val="auto"/>
          <w:sz w:val="21"/>
          <w:szCs w:val="21"/>
          <w:highlight w:val="none"/>
        </w:rPr>
        <w:t xml:space="preserve"> </w:t>
      </w:r>
      <w:r>
        <w:rPr>
          <w:color w:val="auto"/>
          <w:spacing w:val="-2"/>
          <w:sz w:val="21"/>
          <w:szCs w:val="21"/>
          <w:highlight w:val="none"/>
        </w:rPr>
        <w:t xml:space="preserve">10天，甲方有权解除合同，解除合同的通知自到达乙方时生效。</w:t>
      </w:r>
      <w:r/>
    </w:p>
    <w:p>
      <w:pPr>
        <w:contextualSpacing/>
        <w:ind w:firstLine="436"/>
        <w:spacing w:line="360" w:lineRule="auto"/>
        <w:rPr>
          <w:color w:val="auto"/>
          <w:highlight w:val="none"/>
        </w:rPr>
      </w:pPr>
      <w:r>
        <w:rPr>
          <w:color w:val="auto"/>
          <w:sz w:val="21"/>
          <w:szCs w:val="21"/>
          <w:highlight w:val="none"/>
        </w:rPr>
        <w:t xml:space="preserve">11.5 乙方所交付的货物品种、型号、规格</w:t>
      </w:r>
      <w:r>
        <w:rPr>
          <w:color w:val="auto"/>
          <w:spacing w:val="-1"/>
          <w:sz w:val="21"/>
          <w:szCs w:val="21"/>
          <w:highlight w:val="none"/>
        </w:rPr>
        <w:t xml:space="preserve">不符合合同规定的，甲方有权拒收。甲方拒收的，乙方应</w:t>
      </w:r>
      <w:r>
        <w:rPr>
          <w:color w:val="auto"/>
          <w:sz w:val="21"/>
          <w:szCs w:val="21"/>
          <w:highlight w:val="none"/>
        </w:rPr>
        <w:t xml:space="preserve">向甲方支付货款总额5%的违约金。甲方未拒收的，代理机构发现后将向有关部门反</w:t>
      </w:r>
      <w:r>
        <w:rPr>
          <w:color w:val="auto"/>
          <w:spacing w:val="-1"/>
          <w:sz w:val="21"/>
          <w:szCs w:val="21"/>
          <w:highlight w:val="none"/>
        </w:rPr>
        <w:t xml:space="preserve">映，并责成乙方按照</w:t>
      </w:r>
      <w:r>
        <w:rPr>
          <w:color w:val="auto"/>
          <w:sz w:val="21"/>
          <w:szCs w:val="21"/>
          <w:highlight w:val="none"/>
        </w:rPr>
        <w:t xml:space="preserve">采购结果提供货物和服务，同时视情给予不退还部分或全部履约保证金、暂停一至</w:t>
      </w:r>
      <w:r>
        <w:rPr>
          <w:color w:val="auto"/>
          <w:spacing w:val="-1"/>
          <w:sz w:val="21"/>
          <w:szCs w:val="21"/>
          <w:highlight w:val="none"/>
        </w:rPr>
        <w:t xml:space="preserve">三年参加采购人组织</w:t>
      </w:r>
      <w:r>
        <w:rPr>
          <w:color w:val="auto"/>
          <w:sz w:val="21"/>
          <w:szCs w:val="21"/>
          <w:highlight w:val="none"/>
        </w:rPr>
        <w:t xml:space="preserve">  </w:t>
      </w:r>
      <w:r>
        <w:rPr>
          <w:color w:val="auto"/>
          <w:spacing w:val="-4"/>
          <w:sz w:val="21"/>
          <w:szCs w:val="21"/>
          <w:highlight w:val="none"/>
        </w:rPr>
        <w:t xml:space="preserve">的政府采购活动的处理。</w:t>
      </w:r>
      <w:r/>
    </w:p>
    <w:p>
      <w:pPr>
        <w:contextualSpacing/>
        <w:ind w:firstLine="420"/>
        <w:spacing w:line="360" w:lineRule="auto"/>
        <w:rPr>
          <w:color w:val="auto"/>
          <w:highlight w:val="none"/>
        </w:rPr>
      </w:pPr>
      <w:r>
        <w:rPr>
          <w:color w:val="auto"/>
          <w:sz w:val="21"/>
          <w:szCs w:val="21"/>
          <w:highlight w:val="none"/>
        </w:rPr>
        <w:t xml:space="preserve">11.6 在乙方承诺的或国家规定的质量</w:t>
      </w:r>
      <w:r>
        <w:rPr>
          <w:color w:val="auto"/>
          <w:spacing w:val="-1"/>
          <w:sz w:val="21"/>
          <w:szCs w:val="21"/>
          <w:highlight w:val="none"/>
        </w:rPr>
        <w:t xml:space="preserve">保证期内（取两者中最长的期限</w:t>
      </w:r>
      <w:r>
        <w:rPr>
          <w:color w:val="auto"/>
          <w:sz w:val="21"/>
          <w:szCs w:val="21"/>
          <w:highlight w:val="none"/>
        </w:rPr>
        <w:t xml:space="preserve">），</w:t>
      </w:r>
      <w:r>
        <w:rPr>
          <w:color w:val="auto"/>
          <w:spacing w:val="-1"/>
          <w:sz w:val="21"/>
          <w:szCs w:val="21"/>
          <w:highlight w:val="none"/>
        </w:rPr>
        <w:t xml:space="preserve">如经乙方两次维修或更换</w:t>
      </w:r>
      <w:r>
        <w:rPr>
          <w:color w:val="auto"/>
          <w:sz w:val="21"/>
          <w:szCs w:val="21"/>
          <w:highlight w:val="none"/>
        </w:rPr>
        <w:t xml:space="preserve"> </w:t>
      </w:r>
      <w:r>
        <w:rPr>
          <w:color w:val="auto"/>
          <w:spacing w:val="2"/>
          <w:sz w:val="21"/>
          <w:szCs w:val="21"/>
          <w:highlight w:val="none"/>
        </w:rPr>
        <w:t xml:space="preserve">,货物仍不能达到合同约定的质量标准，甲方有权退</w:t>
      </w:r>
      <w:r>
        <w:rPr>
          <w:color w:val="auto"/>
          <w:spacing w:val="1"/>
          <w:sz w:val="21"/>
          <w:szCs w:val="21"/>
          <w:highlight w:val="none"/>
        </w:rPr>
        <w:t xml:space="preserve">货，乙方应退回全部货款，并按第3款处理，同时</w:t>
      </w:r>
      <w:r>
        <w:rPr>
          <w:color w:val="auto"/>
          <w:spacing w:val="3"/>
          <w:sz w:val="21"/>
          <w:szCs w:val="21"/>
          <w:highlight w:val="none"/>
        </w:rPr>
        <w:t xml:space="preserve">,乙方还须赔偿甲方因此遭受的损失。</w:t>
      </w:r>
      <w:r/>
    </w:p>
    <w:p>
      <w:pPr>
        <w:contextualSpacing/>
        <w:ind w:firstLine="434"/>
        <w:spacing w:line="360" w:lineRule="auto"/>
        <w:rPr>
          <w:color w:val="auto"/>
          <w:highlight w:val="none"/>
        </w:rPr>
      </w:pPr>
      <w:r>
        <w:rPr>
          <w:color w:val="auto"/>
          <w:sz w:val="21"/>
          <w:szCs w:val="21"/>
          <w:highlight w:val="none"/>
        </w:rPr>
        <w:t xml:space="preserve">11.7 乙方未按本合同第九条的规定向甲方交付</w:t>
      </w:r>
      <w:r>
        <w:rPr>
          <w:color w:val="auto"/>
          <w:spacing w:val="-1"/>
          <w:sz w:val="21"/>
          <w:szCs w:val="21"/>
          <w:highlight w:val="none"/>
        </w:rPr>
        <w:t xml:space="preserve">履约保证金的，应按应交付履约保证金的100%向甲方</w:t>
      </w:r>
      <w:r>
        <w:rPr>
          <w:color w:val="auto"/>
          <w:sz w:val="21"/>
          <w:szCs w:val="21"/>
          <w:highlight w:val="none"/>
        </w:rPr>
        <w:t xml:space="preserve"> </w:t>
      </w:r>
      <w:r>
        <w:rPr>
          <w:color w:val="auto"/>
          <w:spacing w:val="-1"/>
          <w:sz w:val="21"/>
          <w:szCs w:val="21"/>
          <w:highlight w:val="none"/>
        </w:rPr>
        <w:t xml:space="preserve">支付违约金，该违约金的支付不影响乙方应</w:t>
      </w:r>
      <w:r>
        <w:rPr>
          <w:color w:val="auto"/>
          <w:spacing w:val="-2"/>
          <w:sz w:val="21"/>
          <w:szCs w:val="21"/>
          <w:highlight w:val="none"/>
        </w:rPr>
        <w:t xml:space="preserve">承担的其他违约责任。</w:t>
      </w:r>
      <w:r/>
    </w:p>
    <w:p>
      <w:pPr>
        <w:contextualSpacing/>
        <w:ind w:firstLine="434"/>
        <w:spacing w:line="360" w:lineRule="auto"/>
        <w:rPr>
          <w:color w:val="auto"/>
          <w:highlight w:val="none"/>
        </w:rPr>
      </w:pPr>
      <w:r>
        <w:rPr>
          <w:color w:val="auto"/>
          <w:sz w:val="21"/>
          <w:szCs w:val="21"/>
          <w:highlight w:val="none"/>
        </w:rPr>
        <w:t xml:space="preserve">11.8 乙方未按本合同的规定和“服务承诺”提</w:t>
      </w:r>
      <w:r>
        <w:rPr>
          <w:color w:val="auto"/>
          <w:spacing w:val="-1"/>
          <w:sz w:val="21"/>
          <w:szCs w:val="21"/>
          <w:highlight w:val="none"/>
        </w:rPr>
        <w:t xml:space="preserve">供伴随服务/售后服务的，应按合同总价款的5 %向甲</w:t>
      </w:r>
      <w:r>
        <w:rPr>
          <w:color w:val="auto"/>
          <w:spacing w:val="-5"/>
          <w:sz w:val="21"/>
          <w:szCs w:val="21"/>
          <w:highlight w:val="none"/>
        </w:rPr>
        <w:t xml:space="preserve">方承担违约责任。</w:t>
      </w:r>
      <w:r/>
    </w:p>
    <w:p>
      <w:pPr>
        <w:contextualSpacing/>
        <w:ind w:firstLine="420"/>
        <w:spacing w:line="360" w:lineRule="auto"/>
        <w:rPr>
          <w:color w:val="auto"/>
          <w:highlight w:val="none"/>
        </w:rPr>
      </w:pPr>
      <w:r>
        <w:rPr>
          <w:color w:val="auto"/>
          <w:sz w:val="21"/>
          <w:szCs w:val="21"/>
          <w:highlight w:val="none"/>
        </w:rPr>
        <w:t xml:space="preserve">11.9 乙方在承担上述4-7款一项或多项违</w:t>
      </w:r>
      <w:r>
        <w:rPr>
          <w:color w:val="auto"/>
          <w:spacing w:val="-1"/>
          <w:sz w:val="21"/>
          <w:szCs w:val="21"/>
          <w:highlight w:val="none"/>
        </w:rPr>
        <w:t xml:space="preserve">约责任后，仍应继续履行合同规定的义务（甲方解除合同的除外）。甲方未能及时追究乙方的任何一项违约责任并不表明甲方放弃追究乙方该项或其他违约责任</w:t>
      </w:r>
      <w:r>
        <w:rPr>
          <w:color w:val="auto"/>
          <w:position w:val="1"/>
          <w:sz w:val="21"/>
          <w:szCs w:val="21"/>
          <w:highlight w:val="none"/>
        </w:rPr>
        <w:t xml:space="preserve">。</w:t>
      </w:r>
      <w:r/>
    </w:p>
    <w:p>
      <w:pPr>
        <w:contextualSpacing/>
        <w:ind w:firstLine="433"/>
        <w:spacing w:line="360" w:lineRule="auto"/>
        <w:rPr>
          <w:color w:val="auto"/>
          <w:highlight w:val="none"/>
        </w:rPr>
      </w:pPr>
      <w:r>
        <w:rPr>
          <w:color w:val="auto"/>
          <w:sz w:val="21"/>
          <w:szCs w:val="21"/>
          <w:highlight w:val="none"/>
        </w:rPr>
        <w:t xml:space="preserve">11.10 乙方投标属虚假承诺，或经权威部</w:t>
      </w:r>
      <w:r>
        <w:rPr>
          <w:color w:val="auto"/>
          <w:spacing w:val="-1"/>
          <w:sz w:val="21"/>
          <w:szCs w:val="21"/>
          <w:highlight w:val="none"/>
        </w:rPr>
        <w:t xml:space="preserve">门监测提供的货物不能满足招标文件要求，或是由于乙方</w:t>
      </w:r>
      <w:r>
        <w:rPr>
          <w:color w:val="auto"/>
          <w:sz w:val="21"/>
          <w:szCs w:val="21"/>
          <w:highlight w:val="none"/>
        </w:rPr>
        <w:t xml:space="preserve">的过错造成合同无法继续履行的，乙方履约保证金不予退还外，还应向甲方支付不</w:t>
      </w:r>
      <w:r>
        <w:rPr>
          <w:color w:val="auto"/>
          <w:spacing w:val="-1"/>
          <w:sz w:val="21"/>
          <w:szCs w:val="21"/>
          <w:highlight w:val="none"/>
        </w:rPr>
        <w:t xml:space="preserve">少于合同总价30%赔偿</w:t>
      </w:r>
      <w:r>
        <w:rPr>
          <w:color w:val="auto"/>
          <w:sz w:val="21"/>
          <w:szCs w:val="21"/>
          <w:highlight w:val="none"/>
        </w:rPr>
        <w:t xml:space="preserve"> </w:t>
      </w:r>
      <w:r>
        <w:rPr>
          <w:color w:val="auto"/>
          <w:spacing w:val="-10"/>
          <w:sz w:val="21"/>
          <w:szCs w:val="21"/>
          <w:highlight w:val="none"/>
        </w:rPr>
        <w:t xml:space="preserve">金。</w:t>
      </w:r>
      <w:r/>
    </w:p>
    <w:p>
      <w:pPr>
        <w:contextualSpacing/>
        <w:ind w:firstLine="412"/>
        <w:spacing w:line="360" w:lineRule="auto"/>
        <w:rPr>
          <w:color w:val="auto"/>
          <w:highlight w:val="none"/>
        </w:rPr>
      </w:pPr>
      <w:r>
        <w:rPr>
          <w:color w:val="auto"/>
          <w:spacing w:val="-2"/>
          <w:sz w:val="21"/>
          <w:szCs w:val="21"/>
          <w:highlight w:val="none"/>
        </w:rPr>
        <w:t xml:space="preserve">11.11 其他违约责任约定:</w:t>
      </w:r>
      <w:r>
        <w:rPr>
          <w:color w:val="auto"/>
          <w:spacing w:val="-2"/>
          <w:sz w:val="21"/>
          <w:szCs w:val="21"/>
          <w:highlight w:val="none"/>
          <w:u w:val="single"/>
        </w:rPr>
        <w:t xml:space="preserve">无</w:t>
      </w:r>
      <w:r/>
    </w:p>
    <w:p>
      <w:pPr>
        <w:contextualSpacing/>
        <w:spacing w:line="360" w:lineRule="auto"/>
        <w:rPr>
          <w:color w:val="auto"/>
          <w:sz w:val="24"/>
          <w:szCs w:val="24"/>
          <w:highlight w:val="none"/>
        </w:rPr>
        <w:outlineLvl w:val="1"/>
      </w:pPr>
      <w:r>
        <w:rPr>
          <w:b/>
          <w:bCs/>
          <w:color w:val="auto"/>
          <w:spacing w:val="-5"/>
          <w:sz w:val="24"/>
          <w:szCs w:val="24"/>
          <w:highlight w:val="none"/>
        </w:rPr>
        <w:t xml:space="preserve">12.合同的变更和终止</w:t>
      </w:r>
      <w:r/>
    </w:p>
    <w:p>
      <w:pPr>
        <w:contextualSpacing/>
        <w:ind w:firstLine="434"/>
        <w:spacing w:line="360" w:lineRule="auto"/>
        <w:rPr>
          <w:color w:val="auto"/>
          <w:highlight w:val="none"/>
        </w:rPr>
      </w:pPr>
      <w:r>
        <w:rPr>
          <w:color w:val="auto"/>
          <w:sz w:val="21"/>
          <w:szCs w:val="21"/>
          <w:highlight w:val="none"/>
        </w:rPr>
        <w:t xml:space="preserve">12.1 除《政府采购法》第50条第二款规定</w:t>
      </w:r>
      <w:r>
        <w:rPr>
          <w:color w:val="auto"/>
          <w:spacing w:val="-1"/>
          <w:sz w:val="21"/>
          <w:szCs w:val="21"/>
          <w:highlight w:val="none"/>
        </w:rPr>
        <w:t xml:space="preserve">的情形外，本合同一经签订，甲乙双方不得擅自变更、中</w:t>
      </w:r>
      <w:r>
        <w:rPr>
          <w:color w:val="auto"/>
          <w:spacing w:val="-5"/>
          <w:sz w:val="21"/>
          <w:szCs w:val="21"/>
          <w:highlight w:val="none"/>
        </w:rPr>
        <w:t xml:space="preserve">止或终止合同</w:t>
      </w:r>
      <w:r>
        <w:rPr>
          <w:rFonts w:hint="eastAsia"/>
          <w:color w:val="auto"/>
          <w:spacing w:val="-5"/>
          <w:sz w:val="21"/>
          <w:szCs w:val="21"/>
          <w:highlight w:val="none"/>
        </w:rPr>
        <w:t xml:space="preserve">。</w:t>
      </w:r>
      <w:r/>
    </w:p>
    <w:p>
      <w:pPr>
        <w:contextualSpacing/>
        <w:ind w:firstLine="432"/>
        <w:spacing w:line="360" w:lineRule="auto"/>
        <w:rPr>
          <w:color w:val="auto"/>
          <w:highlight w:val="none"/>
        </w:rPr>
      </w:pPr>
      <w:r>
        <w:rPr>
          <w:color w:val="auto"/>
          <w:sz w:val="21"/>
          <w:szCs w:val="21"/>
          <w:highlight w:val="none"/>
        </w:rPr>
        <w:t xml:space="preserve">12.2 除发生法律规定的不能预见、不能避</w:t>
      </w:r>
      <w:r>
        <w:rPr>
          <w:color w:val="auto"/>
          <w:spacing w:val="-1"/>
          <w:sz w:val="21"/>
          <w:szCs w:val="21"/>
          <w:highlight w:val="none"/>
        </w:rPr>
        <w:t xml:space="preserve">免并不能克服的客观情况外，甲乙双方不得放弃或拒绝履行合同。乙方放弃或拒绝履行合同，保证金不予退还，在三年内不得参加采购人组织的政府采购活动。</w:t>
      </w:r>
      <w:r/>
    </w:p>
    <w:p>
      <w:pPr>
        <w:contextualSpacing/>
        <w:spacing w:line="360" w:lineRule="auto"/>
        <w:rPr>
          <w:color w:val="auto"/>
          <w:sz w:val="24"/>
          <w:szCs w:val="24"/>
          <w:highlight w:val="none"/>
        </w:rPr>
        <w:outlineLvl w:val="1"/>
      </w:pPr>
      <w:r>
        <w:rPr>
          <w:b/>
          <w:bCs/>
          <w:color w:val="auto"/>
          <w:spacing w:val="-6"/>
          <w:sz w:val="24"/>
          <w:szCs w:val="24"/>
          <w:highlight w:val="none"/>
        </w:rPr>
        <w:t xml:space="preserve">13.合同的转让</w:t>
      </w:r>
      <w:r/>
    </w:p>
    <w:p>
      <w:pPr>
        <w:contextualSpacing/>
        <w:ind w:firstLine="408"/>
        <w:spacing w:line="360" w:lineRule="auto"/>
        <w:rPr>
          <w:color w:val="auto"/>
          <w:highlight w:val="none"/>
        </w:rPr>
      </w:pPr>
      <w:r>
        <w:rPr>
          <w:color w:val="auto"/>
          <w:spacing w:val="-3"/>
          <w:sz w:val="21"/>
          <w:szCs w:val="21"/>
          <w:highlight w:val="none"/>
        </w:rPr>
        <w:t xml:space="preserve">13.1</w:t>
      </w:r>
      <w:r>
        <w:rPr>
          <w:color w:val="auto"/>
          <w:spacing w:val="29"/>
          <w:sz w:val="21"/>
          <w:szCs w:val="21"/>
          <w:highlight w:val="none"/>
        </w:rPr>
        <w:t xml:space="preserve"> </w:t>
      </w:r>
      <w:r>
        <w:rPr>
          <w:color w:val="auto"/>
          <w:spacing w:val="-3"/>
          <w:sz w:val="21"/>
          <w:szCs w:val="21"/>
          <w:highlight w:val="none"/>
        </w:rPr>
        <w:t xml:space="preserve">乙方不得擅自部分或全部转让其应履行的合同义务。</w:t>
      </w:r>
      <w:r/>
    </w:p>
    <w:p>
      <w:pPr>
        <w:contextualSpacing/>
        <w:spacing w:line="360" w:lineRule="auto"/>
        <w:rPr>
          <w:color w:val="auto"/>
          <w:sz w:val="24"/>
          <w:szCs w:val="24"/>
          <w:highlight w:val="none"/>
        </w:rPr>
        <w:outlineLvl w:val="1"/>
      </w:pPr>
      <w:r>
        <w:rPr>
          <w:b/>
          <w:bCs/>
          <w:color w:val="auto"/>
          <w:spacing w:val="-6"/>
          <w:sz w:val="24"/>
          <w:szCs w:val="24"/>
          <w:highlight w:val="none"/>
        </w:rPr>
        <w:t xml:space="preserve">14.争议的解决</w:t>
      </w:r>
      <w:r/>
    </w:p>
    <w:p>
      <w:pPr>
        <w:contextualSpacing/>
        <w:ind w:firstLine="433"/>
        <w:spacing w:line="360" w:lineRule="auto"/>
        <w:rPr>
          <w:color w:val="auto"/>
          <w:highlight w:val="none"/>
        </w:rPr>
      </w:pPr>
      <w:r>
        <w:rPr>
          <w:color w:val="auto"/>
          <w:sz w:val="21"/>
          <w:szCs w:val="21"/>
          <w:highlight w:val="none"/>
        </w:rPr>
        <w:t xml:space="preserve">14.1 因货物的质量问题发生争议的，应当</w:t>
      </w:r>
      <w:r>
        <w:rPr>
          <w:color w:val="auto"/>
          <w:spacing w:val="-1"/>
          <w:sz w:val="21"/>
          <w:szCs w:val="21"/>
          <w:highlight w:val="none"/>
        </w:rPr>
        <w:t xml:space="preserve">邀请国家认可的质量检测机构对货物质量进行鉴定。货物符合标准的，鉴定费由甲方承担；货物不符合质量标准的，鉴定费由</w:t>
      </w:r>
      <w:r>
        <w:rPr>
          <w:color w:val="auto"/>
          <w:spacing w:val="-2"/>
          <w:sz w:val="21"/>
          <w:szCs w:val="21"/>
          <w:highlight w:val="none"/>
        </w:rPr>
        <w:t xml:space="preserve">乙方承担。</w:t>
      </w:r>
      <w:r/>
    </w:p>
    <w:p>
      <w:pPr>
        <w:contextualSpacing/>
        <w:ind w:firstLine="432"/>
        <w:spacing w:line="360" w:lineRule="auto"/>
        <w:rPr>
          <w:color w:val="auto"/>
          <w:highlight w:val="none"/>
        </w:rPr>
      </w:pPr>
      <w:r>
        <w:rPr>
          <w:color w:val="auto"/>
          <w:sz w:val="21"/>
          <w:szCs w:val="21"/>
          <w:highlight w:val="none"/>
        </w:rPr>
        <w:t xml:space="preserve">14.2 因履行本合同引起的或与本合同有关</w:t>
      </w:r>
      <w:r>
        <w:rPr>
          <w:color w:val="auto"/>
          <w:spacing w:val="-1"/>
          <w:sz w:val="21"/>
          <w:szCs w:val="21"/>
          <w:highlight w:val="none"/>
        </w:rPr>
        <w:t xml:space="preserve">的争议，甲、乙双方应首先通过友好协商解决，如果协商</w:t>
      </w:r>
      <w:r>
        <w:rPr>
          <w:color w:val="auto"/>
          <w:spacing w:val="-3"/>
          <w:sz w:val="21"/>
          <w:szCs w:val="21"/>
          <w:highlight w:val="none"/>
        </w:rPr>
        <w:t xml:space="preserve">不能解决争议，则采取以下第（</w:t>
      </w:r>
      <w:r>
        <w:rPr>
          <w:color w:val="auto"/>
          <w:spacing w:val="-3"/>
          <w:sz w:val="21"/>
          <w:szCs w:val="21"/>
          <w:highlight w:val="none"/>
          <w:u w:val="single"/>
        </w:rPr>
        <w:t xml:space="preserve">2</w:t>
      </w:r>
      <w:r>
        <w:rPr>
          <w:color w:val="auto"/>
          <w:spacing w:val="-3"/>
          <w:sz w:val="21"/>
          <w:szCs w:val="21"/>
          <w:highlight w:val="none"/>
        </w:rPr>
        <w:t xml:space="preserve">）种方式解决争议：</w:t>
      </w:r>
      <w:r/>
    </w:p>
    <w:p>
      <w:pPr>
        <w:contextualSpacing/>
        <w:spacing w:line="360" w:lineRule="auto"/>
        <w:rPr>
          <w:color w:val="auto"/>
          <w:highlight w:val="none"/>
        </w:rPr>
      </w:pPr>
      <w:r>
        <w:rPr>
          <w:color w:val="auto"/>
          <w:spacing w:val="-3"/>
          <w:sz w:val="21"/>
          <w:szCs w:val="21"/>
          <w:highlight w:val="none"/>
        </w:rPr>
        <w:t xml:space="preserve">（1）向甲方所在地有管辖权的人民法院提起诉讼；</w:t>
      </w:r>
      <w:r/>
    </w:p>
    <w:p>
      <w:pPr>
        <w:contextualSpacing/>
        <w:spacing w:line="360" w:lineRule="auto"/>
        <w:rPr>
          <w:color w:val="auto"/>
          <w:highlight w:val="none"/>
        </w:rPr>
      </w:pPr>
      <w:r>
        <w:rPr>
          <w:color w:val="auto"/>
          <w:spacing w:val="-2"/>
          <w:sz w:val="21"/>
          <w:szCs w:val="21"/>
          <w:highlight w:val="none"/>
        </w:rPr>
        <w:t xml:space="preserve">（2）向南京仲裁委员会按其仲裁规则申请仲裁。</w:t>
      </w:r>
      <w:r/>
    </w:p>
    <w:p>
      <w:pPr>
        <w:contextualSpacing/>
        <w:ind w:firstLine="408"/>
        <w:spacing w:line="360" w:lineRule="auto"/>
        <w:rPr>
          <w:color w:val="auto"/>
          <w:highlight w:val="none"/>
        </w:rPr>
      </w:pPr>
      <w:r>
        <w:rPr>
          <w:color w:val="auto"/>
          <w:spacing w:val="-3"/>
          <w:sz w:val="21"/>
          <w:szCs w:val="21"/>
          <w:highlight w:val="none"/>
        </w:rPr>
        <w:t xml:space="preserve">14.3 在仲裁期间，本合同应继续履行。</w:t>
      </w:r>
      <w:r/>
    </w:p>
    <w:p>
      <w:pPr>
        <w:contextualSpacing/>
        <w:spacing w:line="360" w:lineRule="auto"/>
        <w:rPr>
          <w:color w:val="auto"/>
          <w:sz w:val="24"/>
          <w:szCs w:val="24"/>
          <w:highlight w:val="none"/>
        </w:rPr>
        <w:outlineLvl w:val="1"/>
      </w:pPr>
      <w:r>
        <w:rPr>
          <w:b/>
          <w:bCs/>
          <w:color w:val="auto"/>
          <w:spacing w:val="-7"/>
          <w:sz w:val="24"/>
          <w:szCs w:val="24"/>
          <w:highlight w:val="none"/>
        </w:rPr>
        <w:t xml:space="preserve">15.诚实信用</w:t>
      </w:r>
      <w:r/>
    </w:p>
    <w:p>
      <w:pPr>
        <w:contextualSpacing/>
        <w:ind w:firstLine="435"/>
        <w:spacing w:line="360" w:lineRule="auto"/>
        <w:rPr>
          <w:color w:val="auto"/>
          <w:highlight w:val="none"/>
        </w:rPr>
      </w:pPr>
      <w:r>
        <w:rPr>
          <w:color w:val="auto"/>
          <w:sz w:val="21"/>
          <w:szCs w:val="21"/>
          <w:highlight w:val="none"/>
        </w:rPr>
        <w:t xml:space="preserve">15.1 乙方应诚实信用，严格按照招标文件</w:t>
      </w:r>
      <w:r>
        <w:rPr>
          <w:color w:val="auto"/>
          <w:spacing w:val="-1"/>
          <w:sz w:val="21"/>
          <w:szCs w:val="21"/>
          <w:highlight w:val="none"/>
        </w:rPr>
        <w:t xml:space="preserve">要求和投标承诺履行合同，不向甲方进行商业贿赂或者提</w:t>
      </w:r>
      <w:r>
        <w:rPr>
          <w:color w:val="auto"/>
          <w:sz w:val="21"/>
          <w:szCs w:val="21"/>
          <w:highlight w:val="none"/>
        </w:rPr>
        <w:t xml:space="preserve"> </w:t>
      </w:r>
      <w:r>
        <w:rPr>
          <w:color w:val="auto"/>
          <w:spacing w:val="-5"/>
          <w:sz w:val="21"/>
          <w:szCs w:val="21"/>
          <w:highlight w:val="none"/>
        </w:rPr>
        <w:t xml:space="preserve">供不正当利益。</w:t>
      </w:r>
      <w:r/>
    </w:p>
    <w:p>
      <w:pPr>
        <w:contextualSpacing/>
        <w:spacing w:line="360" w:lineRule="auto"/>
        <w:rPr>
          <w:color w:val="auto"/>
          <w:sz w:val="24"/>
          <w:szCs w:val="24"/>
          <w:highlight w:val="none"/>
        </w:rPr>
        <w:outlineLvl w:val="1"/>
      </w:pPr>
      <w:r>
        <w:rPr>
          <w:b/>
          <w:bCs/>
          <w:color w:val="auto"/>
          <w:spacing w:val="-6"/>
          <w:sz w:val="24"/>
          <w:szCs w:val="24"/>
          <w:highlight w:val="none"/>
        </w:rPr>
        <w:t xml:space="preserve">16.合同生效及其他</w:t>
      </w:r>
      <w:r/>
    </w:p>
    <w:p>
      <w:pPr>
        <w:contextualSpacing/>
        <w:ind w:firstLine="408"/>
        <w:spacing w:line="360" w:lineRule="auto"/>
        <w:rPr>
          <w:color w:val="auto"/>
          <w:highlight w:val="none"/>
        </w:rPr>
      </w:pPr>
      <w:r>
        <w:rPr>
          <w:color w:val="auto"/>
          <w:spacing w:val="-3"/>
          <w:sz w:val="21"/>
          <w:szCs w:val="21"/>
          <w:highlight w:val="none"/>
        </w:rPr>
        <w:t xml:space="preserve">16.1 本合同自签订之日起生效。</w:t>
      </w:r>
      <w:r/>
    </w:p>
    <w:p>
      <w:pPr>
        <w:contextualSpacing/>
        <w:ind w:firstLine="412"/>
        <w:spacing w:line="360" w:lineRule="auto"/>
        <w:rPr>
          <w:color w:val="auto"/>
          <w:highlight w:val="none"/>
        </w:rPr>
      </w:pPr>
      <w:r>
        <w:rPr>
          <w:color w:val="auto"/>
          <w:spacing w:val="-2"/>
          <w:sz w:val="21"/>
          <w:szCs w:val="21"/>
          <w:highlight w:val="none"/>
        </w:rPr>
        <w:t xml:space="preserve">16.2 本合同一式</w:t>
      </w:r>
      <w:r>
        <w:rPr>
          <w:color w:val="auto"/>
          <w:spacing w:val="-2"/>
          <w:sz w:val="21"/>
          <w:szCs w:val="21"/>
          <w:highlight w:val="none"/>
          <w:u w:val="single"/>
        </w:rPr>
        <w:t xml:space="preserve">伍</w:t>
      </w:r>
      <w:r>
        <w:rPr>
          <w:color w:val="auto"/>
          <w:spacing w:val="-2"/>
          <w:sz w:val="21"/>
          <w:szCs w:val="21"/>
          <w:highlight w:val="none"/>
        </w:rPr>
        <w:t xml:space="preserve">份，甲方</w:t>
      </w:r>
      <w:r>
        <w:rPr>
          <w:color w:val="auto"/>
          <w:spacing w:val="-2"/>
          <w:sz w:val="21"/>
          <w:szCs w:val="21"/>
          <w:highlight w:val="none"/>
          <w:u w:val="single"/>
        </w:rPr>
        <w:t xml:space="preserve">肆</w:t>
      </w:r>
      <w:r>
        <w:rPr>
          <w:color w:val="auto"/>
          <w:spacing w:val="-2"/>
          <w:sz w:val="21"/>
          <w:szCs w:val="21"/>
          <w:highlight w:val="none"/>
        </w:rPr>
        <w:t xml:space="preserve">份乙方</w:t>
      </w:r>
      <w:r>
        <w:rPr>
          <w:color w:val="auto"/>
          <w:spacing w:val="-2"/>
          <w:sz w:val="21"/>
          <w:szCs w:val="21"/>
          <w:highlight w:val="none"/>
          <w:u w:val="single"/>
        </w:rPr>
        <w:t xml:space="preserve">壹</w:t>
      </w:r>
      <w:r>
        <w:rPr>
          <w:color w:val="auto"/>
          <w:spacing w:val="-2"/>
          <w:sz w:val="21"/>
          <w:szCs w:val="21"/>
          <w:highlight w:val="none"/>
        </w:rPr>
        <w:t xml:space="preserve">份，经双方签字盖章后生效。</w:t>
      </w:r>
      <w:r/>
    </w:p>
    <w:p>
      <w:pPr>
        <w:contextualSpacing/>
        <w:ind w:firstLine="412"/>
        <w:spacing w:line="360" w:lineRule="auto"/>
        <w:rPr>
          <w:color w:val="auto"/>
          <w:highlight w:val="none"/>
        </w:rPr>
      </w:pPr>
      <w:r>
        <w:rPr>
          <w:color w:val="auto"/>
          <w:spacing w:val="-2"/>
          <w:sz w:val="21"/>
          <w:szCs w:val="21"/>
          <w:highlight w:val="none"/>
        </w:rPr>
        <w:t xml:space="preserve">16.3 本合同应按照中华人民共和国的现行法律进行解释。</w:t>
      </w:r>
      <w:r/>
    </w:p>
    <w:p>
      <w:pPr>
        <w:contextualSpacing/>
        <w:spacing w:line="360" w:lineRule="auto"/>
        <w:rPr>
          <w:color w:val="auto"/>
          <w:highlight w:val="none"/>
        </w:rPr>
      </w:pPr>
      <w:r>
        <w:rPr>
          <w:color w:val="auto"/>
          <w:spacing w:val="-4"/>
          <w:sz w:val="21"/>
          <w:szCs w:val="21"/>
          <w:highlight w:val="none"/>
        </w:rPr>
        <w:t xml:space="preserve">（以下无正文）</w:t>
      </w:r>
      <w:r/>
    </w:p>
    <w:p>
      <w:pPr>
        <w:spacing w:line="360" w:lineRule="auto"/>
        <w:rPr>
          <w:rFonts w:ascii="黑体"/>
          <w:color w:val="auto"/>
          <w:sz w:val="36"/>
          <w:szCs w:val="21"/>
          <w:highlight w:val="none"/>
          <w:lang w:val="en-US"/>
        </w:rPr>
      </w:pPr>
      <w:r>
        <w:rPr>
          <w:rFonts w:ascii="黑体"/>
          <w:color w:val="auto"/>
          <w:sz w:val="36"/>
          <w:szCs w:val="21"/>
          <w:highlight w:val="none"/>
          <w:lang w:val="en-US"/>
        </w:rPr>
      </w:r>
      <w:r/>
    </w:p>
    <w:p>
      <w:pPr>
        <w:ind w:right="85"/>
        <w:jc w:val="center"/>
        <w:spacing w:line="360" w:lineRule="auto"/>
        <w:rPr>
          <w:rFonts w:ascii="黑体" w:eastAsia="黑体"/>
          <w:color w:val="auto"/>
          <w:sz w:val="36"/>
          <w:highlight w:val="none"/>
        </w:rPr>
        <w:outlineLvl w:val="0"/>
      </w:pPr>
      <w:r>
        <w:rPr>
          <w:rFonts w:ascii="黑体" w:eastAsia="黑体"/>
          <w:color w:val="auto"/>
          <w:sz w:val="36"/>
          <w:highlight w:val="none"/>
        </w:rPr>
      </w:r>
      <w:r/>
    </w:p>
    <w:p>
      <w:pPr>
        <w:pStyle w:val="880"/>
        <w:rPr>
          <w:color w:val="auto"/>
          <w:highlight w:val="none"/>
          <w:lang w:val="en-US"/>
        </w:rPr>
      </w:pPr>
      <w:r>
        <w:rPr>
          <w:color w:val="auto"/>
          <w:highlight w:val="none"/>
          <w:lang w:val="en-US"/>
        </w:rPr>
      </w:r>
      <w:r/>
    </w:p>
    <w:p>
      <w:pPr>
        <w:pStyle w:val="880"/>
        <w:rPr>
          <w:color w:val="auto"/>
          <w:highlight w:val="none"/>
        </w:rPr>
      </w:pPr>
      <w:r>
        <w:rPr>
          <w:color w:val="auto"/>
          <w:highlight w:val="none"/>
        </w:rPr>
      </w:r>
      <w:r/>
    </w:p>
    <w:p>
      <w:pPr>
        <w:pStyle w:val="880"/>
        <w:rPr>
          <w:color w:val="auto"/>
          <w:highlight w:val="none"/>
        </w:rPr>
      </w:pPr>
      <w:r>
        <w:rPr>
          <w:color w:val="auto"/>
          <w:highlight w:val="none"/>
        </w:rPr>
      </w:r>
      <w:r/>
    </w:p>
    <w:p>
      <w:pPr>
        <w:pStyle w:val="880"/>
        <w:rPr>
          <w:color w:val="auto"/>
          <w:highlight w:val="none"/>
        </w:rPr>
      </w:pPr>
      <w:r>
        <w:rPr>
          <w:color w:val="auto"/>
          <w:highlight w:val="none"/>
        </w:rPr>
      </w:r>
      <w:r/>
    </w:p>
    <w:p>
      <w:pPr>
        <w:pStyle w:val="880"/>
        <w:rPr>
          <w:color w:val="auto"/>
          <w:highlight w:val="none"/>
        </w:rPr>
      </w:pPr>
      <w:r>
        <w:rPr>
          <w:color w:val="auto"/>
          <w:highlight w:val="none"/>
        </w:rPr>
      </w:r>
      <w:r/>
    </w:p>
    <w:p>
      <w:pPr>
        <w:pStyle w:val="880"/>
        <w:rPr>
          <w:color w:val="auto"/>
          <w:highlight w:val="none"/>
        </w:rPr>
      </w:pPr>
      <w:r>
        <w:rPr>
          <w:color w:val="auto"/>
          <w:highlight w:val="none"/>
        </w:rPr>
      </w:r>
      <w:r/>
    </w:p>
    <w:tbl>
      <w:tblPr>
        <w:tblStyle w:val="1079"/>
        <w:tblW w:w="957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795"/>
        <w:gridCol w:w="4780"/>
      </w:tblGrid>
      <w:tr>
        <w:trPr>
          <w:trHeight w:val="1623"/>
        </w:trPr>
        <w:tc>
          <w:tcPr>
            <w:tcW w:w="4795" w:type="dxa"/>
            <w:textDirection w:val="lrTb"/>
            <w:noWrap w:val="false"/>
          </w:tcPr>
          <w:p>
            <w:pPr>
              <w:pStyle w:val="1104"/>
              <w:ind w:left="80"/>
              <w:spacing w:before="70" w:line="219" w:lineRule="auto"/>
              <w:rPr>
                <w:color w:val="auto"/>
                <w:highlight w:val="none"/>
                <w:lang w:eastAsia="zh-CN"/>
              </w:rPr>
            </w:pPr>
            <w:r>
              <w:rPr>
                <w:color w:val="auto"/>
                <w:spacing w:val="-3"/>
                <w:highlight w:val="none"/>
                <w:lang w:eastAsia="zh-CN"/>
              </w:rPr>
              <w:t xml:space="preserve">甲方(公章)：江苏第二师范学院</w:t>
            </w:r>
            <w:r/>
          </w:p>
        </w:tc>
        <w:tc>
          <w:tcPr>
            <w:tcW w:w="4780" w:type="dxa"/>
            <w:textDirection w:val="lrTb"/>
            <w:noWrap w:val="false"/>
          </w:tcPr>
          <w:p>
            <w:pPr>
              <w:pStyle w:val="1104"/>
              <w:ind w:left="70"/>
              <w:spacing w:before="70" w:line="219" w:lineRule="auto"/>
              <w:rPr>
                <w:color w:val="auto"/>
                <w:highlight w:val="none"/>
              </w:rPr>
            </w:pPr>
            <w:r>
              <w:rPr>
                <w:color w:val="auto"/>
                <w:spacing w:val="-2"/>
                <w:highlight w:val="none"/>
              </w:rPr>
              <w:t xml:space="preserve">乙方(公章):</w:t>
            </w:r>
            <w:r/>
          </w:p>
        </w:tc>
      </w:tr>
      <w:tr>
        <w:trPr>
          <w:trHeight w:val="642"/>
        </w:trPr>
        <w:tc>
          <w:tcPr>
            <w:tcW w:w="4795" w:type="dxa"/>
            <w:textDirection w:val="lrTb"/>
            <w:noWrap w:val="false"/>
          </w:tcPr>
          <w:p>
            <w:pPr>
              <w:pStyle w:val="1104"/>
              <w:ind w:left="54"/>
              <w:spacing w:before="231" w:line="220" w:lineRule="auto"/>
              <w:rPr>
                <w:color w:val="auto"/>
                <w:highlight w:val="none"/>
                <w:lang w:eastAsia="zh-CN"/>
              </w:rPr>
            </w:pPr>
            <w:r>
              <w:rPr>
                <w:color w:val="auto"/>
                <w:spacing w:val="-1"/>
                <w:highlight w:val="none"/>
                <w:lang w:eastAsia="zh-CN"/>
              </w:rPr>
              <w:t xml:space="preserve">单位地址：南京市溧水区石湫街道新河西路6号</w:t>
            </w:r>
            <w:r/>
          </w:p>
        </w:tc>
        <w:tc>
          <w:tcPr>
            <w:tcW w:w="4780" w:type="dxa"/>
            <w:textDirection w:val="lrTb"/>
            <w:noWrap w:val="false"/>
          </w:tcPr>
          <w:p>
            <w:pPr>
              <w:pStyle w:val="1104"/>
              <w:ind w:left="55"/>
              <w:spacing w:before="128" w:line="186" w:lineRule="auto"/>
              <w:rPr>
                <w:color w:val="auto"/>
                <w:highlight w:val="none"/>
              </w:rPr>
            </w:pPr>
            <w:r>
              <w:rPr>
                <w:color w:val="auto"/>
                <w:spacing w:val="-1"/>
                <w:highlight w:val="none"/>
              </w:rPr>
              <w:t xml:space="preserve">单位地址：</w:t>
            </w:r>
            <w:r/>
          </w:p>
        </w:tc>
      </w:tr>
      <w:tr>
        <w:trPr>
          <w:trHeight w:val="1511"/>
        </w:trPr>
        <w:tc>
          <w:tcPr>
            <w:tcW w:w="4795" w:type="dxa"/>
            <w:textDirection w:val="lrTb"/>
            <w:noWrap w:val="false"/>
          </w:tcPr>
          <w:p>
            <w:pPr>
              <w:pStyle w:val="1104"/>
              <w:ind w:left="58" w:right="2844" w:hanging="4"/>
              <w:spacing w:before="157" w:line="442" w:lineRule="auto"/>
              <w:rPr>
                <w:color w:val="auto"/>
                <w:highlight w:val="none"/>
                <w:lang w:eastAsia="zh-CN"/>
              </w:rPr>
            </w:pPr>
            <w:r>
              <w:rPr>
                <w:color w:val="auto"/>
                <w:spacing w:val="-2"/>
                <w:highlight w:val="none"/>
                <w:lang w:eastAsia="zh-CN"/>
              </w:rPr>
              <w:t xml:space="preserve">法定（授权）代表人</w:t>
            </w:r>
            <w:r>
              <w:rPr>
                <w:color w:val="auto"/>
                <w:spacing w:val="7"/>
                <w:highlight w:val="none"/>
                <w:lang w:eastAsia="zh-CN"/>
              </w:rPr>
              <w:t xml:space="preserve"> </w:t>
            </w:r>
            <w:r>
              <w:rPr>
                <w:color w:val="auto"/>
                <w:spacing w:val="-13"/>
                <w:highlight w:val="none"/>
                <w:lang w:eastAsia="zh-CN"/>
              </w:rPr>
              <w:t xml:space="preserve">（签字</w:t>
            </w:r>
            <w:r>
              <w:rPr>
                <w:color w:val="auto"/>
                <w:spacing w:val="-6"/>
                <w:highlight w:val="none"/>
                <w:lang w:eastAsia="zh-CN"/>
              </w:rPr>
              <w:t xml:space="preserve">）：</w:t>
            </w:r>
            <w:r/>
          </w:p>
          <w:p>
            <w:pPr>
              <w:pStyle w:val="1104"/>
              <w:jc w:val="right"/>
              <w:spacing w:before="5" w:line="220" w:lineRule="auto"/>
              <w:rPr>
                <w:color w:val="auto"/>
                <w:highlight w:val="none"/>
              </w:rPr>
            </w:pPr>
            <w:r>
              <w:rPr>
                <w:color w:val="auto"/>
                <w:spacing w:val="-23"/>
                <w:highlight w:val="none"/>
              </w:rPr>
              <w:t xml:space="preserve">年</w:t>
            </w:r>
            <w:r>
              <w:rPr>
                <w:color w:val="auto"/>
                <w:spacing w:val="7"/>
                <w:highlight w:val="none"/>
              </w:rPr>
              <w:t xml:space="preserve">  </w:t>
            </w:r>
            <w:r>
              <w:rPr>
                <w:color w:val="auto"/>
                <w:spacing w:val="-23"/>
                <w:highlight w:val="none"/>
              </w:rPr>
              <w:t xml:space="preserve">月</w:t>
            </w:r>
            <w:r>
              <w:rPr>
                <w:color w:val="auto"/>
                <w:spacing w:val="22"/>
                <w:highlight w:val="none"/>
              </w:rPr>
              <w:t xml:space="preserve">  </w:t>
            </w:r>
            <w:r>
              <w:rPr>
                <w:color w:val="auto"/>
                <w:spacing w:val="-23"/>
                <w:highlight w:val="none"/>
              </w:rPr>
              <w:t xml:space="preserve">日</w:t>
            </w:r>
            <w:r/>
          </w:p>
        </w:tc>
        <w:tc>
          <w:tcPr>
            <w:tcW w:w="4780" w:type="dxa"/>
            <w:textDirection w:val="lrTb"/>
            <w:noWrap w:val="false"/>
          </w:tcPr>
          <w:p>
            <w:pPr>
              <w:pStyle w:val="1104"/>
              <w:ind w:left="58" w:right="2829" w:hanging="4"/>
              <w:spacing w:before="157" w:line="442" w:lineRule="auto"/>
              <w:rPr>
                <w:color w:val="auto"/>
                <w:highlight w:val="none"/>
                <w:lang w:eastAsia="zh-CN"/>
              </w:rPr>
            </w:pPr>
            <w:r>
              <w:rPr>
                <w:color w:val="auto"/>
                <w:spacing w:val="-2"/>
                <w:highlight w:val="none"/>
                <w:lang w:eastAsia="zh-CN"/>
              </w:rPr>
              <w:t xml:space="preserve">法定（授权）代表人</w:t>
            </w:r>
            <w:r>
              <w:rPr>
                <w:color w:val="auto"/>
                <w:spacing w:val="7"/>
                <w:highlight w:val="none"/>
                <w:lang w:eastAsia="zh-CN"/>
              </w:rPr>
              <w:t xml:space="preserve"> </w:t>
            </w:r>
            <w:r>
              <w:rPr>
                <w:color w:val="auto"/>
                <w:spacing w:val="-13"/>
                <w:highlight w:val="none"/>
                <w:lang w:eastAsia="zh-CN"/>
              </w:rPr>
              <w:t xml:space="preserve">（签字</w:t>
            </w:r>
            <w:r>
              <w:rPr>
                <w:color w:val="auto"/>
                <w:spacing w:val="-6"/>
                <w:highlight w:val="none"/>
                <w:lang w:eastAsia="zh-CN"/>
              </w:rPr>
              <w:t xml:space="preserve">）：</w:t>
            </w:r>
            <w:r/>
          </w:p>
          <w:p>
            <w:pPr>
              <w:pStyle w:val="1104"/>
              <w:jc w:val="right"/>
              <w:spacing w:before="5" w:line="220" w:lineRule="auto"/>
              <w:rPr>
                <w:color w:val="auto"/>
                <w:highlight w:val="none"/>
              </w:rPr>
            </w:pPr>
            <w:r>
              <w:rPr>
                <w:color w:val="auto"/>
                <w:spacing w:val="-8"/>
                <w:highlight w:val="none"/>
              </w:rPr>
              <w:t xml:space="preserve">年</w:t>
            </w:r>
            <w:r>
              <w:rPr>
                <w:color w:val="auto"/>
                <w:spacing w:val="6"/>
                <w:highlight w:val="none"/>
              </w:rPr>
              <w:t xml:space="preserve">  </w:t>
            </w:r>
            <w:r>
              <w:rPr>
                <w:color w:val="auto"/>
                <w:spacing w:val="-8"/>
                <w:highlight w:val="none"/>
              </w:rPr>
              <w:t xml:space="preserve">月</w:t>
            </w:r>
            <w:r>
              <w:rPr>
                <w:color w:val="auto"/>
                <w:spacing w:val="23"/>
                <w:highlight w:val="none"/>
              </w:rPr>
              <w:t xml:space="preserve">  </w:t>
            </w:r>
            <w:r>
              <w:rPr>
                <w:color w:val="auto"/>
                <w:spacing w:val="-8"/>
                <w:highlight w:val="none"/>
              </w:rPr>
              <w:t xml:space="preserve">日</w:t>
            </w:r>
            <w:r/>
          </w:p>
        </w:tc>
      </w:tr>
      <w:tr>
        <w:trPr>
          <w:trHeight w:val="494"/>
        </w:trPr>
        <w:tc>
          <w:tcPr>
            <w:tcW w:w="4795" w:type="dxa"/>
            <w:textDirection w:val="lrTb"/>
            <w:noWrap w:val="false"/>
          </w:tcPr>
          <w:p>
            <w:pPr>
              <w:pStyle w:val="1104"/>
              <w:ind w:left="77"/>
              <w:spacing w:before="162" w:line="222" w:lineRule="auto"/>
              <w:rPr>
                <w:color w:val="auto"/>
                <w:highlight w:val="none"/>
              </w:rPr>
            </w:pPr>
            <w:r>
              <w:rPr>
                <w:color w:val="auto"/>
                <w:spacing w:val="-3"/>
                <w:highlight w:val="none"/>
              </w:rPr>
              <w:t xml:space="preserve">电话：025-83758157</w:t>
            </w:r>
            <w:r/>
          </w:p>
        </w:tc>
        <w:tc>
          <w:tcPr>
            <w:tcW w:w="4780" w:type="dxa"/>
            <w:textDirection w:val="lrTb"/>
            <w:noWrap w:val="false"/>
          </w:tcPr>
          <w:p>
            <w:pPr>
              <w:pStyle w:val="1104"/>
              <w:ind w:left="77"/>
              <w:spacing w:before="162" w:line="222" w:lineRule="auto"/>
              <w:rPr>
                <w:color w:val="auto"/>
                <w:highlight w:val="none"/>
              </w:rPr>
            </w:pPr>
            <w:r>
              <w:rPr>
                <w:color w:val="auto"/>
                <w:spacing w:val="-3"/>
                <w:highlight w:val="none"/>
              </w:rPr>
              <w:t xml:space="preserve">电话：</w:t>
            </w:r>
            <w:r/>
          </w:p>
        </w:tc>
      </w:tr>
      <w:tr>
        <w:trPr>
          <w:trHeight w:val="641"/>
        </w:trPr>
        <w:tc>
          <w:tcPr>
            <w:tcW w:w="4795" w:type="dxa"/>
            <w:textDirection w:val="lrTb"/>
            <w:noWrap w:val="false"/>
          </w:tcPr>
          <w:p>
            <w:pPr>
              <w:pStyle w:val="1104"/>
              <w:ind w:left="54"/>
              <w:spacing w:before="237" w:line="220" w:lineRule="auto"/>
              <w:rPr>
                <w:color w:val="auto"/>
                <w:highlight w:val="none"/>
                <w:lang w:eastAsia="zh-CN"/>
              </w:rPr>
            </w:pPr>
            <w:r>
              <w:rPr>
                <w:color w:val="auto"/>
                <w:spacing w:val="-1"/>
                <w:highlight w:val="none"/>
                <w:lang w:eastAsia="zh-CN"/>
              </w:rPr>
              <w:t xml:space="preserve">开户银行：工商银行草场门支行</w:t>
            </w:r>
            <w:r/>
          </w:p>
        </w:tc>
        <w:tc>
          <w:tcPr>
            <w:tcW w:w="4780" w:type="dxa"/>
            <w:textDirection w:val="lrTb"/>
            <w:noWrap w:val="false"/>
          </w:tcPr>
          <w:p>
            <w:pPr>
              <w:pStyle w:val="1104"/>
              <w:ind w:left="56" w:right="99" w:hanging="2"/>
              <w:spacing w:before="48" w:line="256" w:lineRule="auto"/>
              <w:rPr>
                <w:color w:val="auto"/>
                <w:highlight w:val="none"/>
              </w:rPr>
            </w:pPr>
            <w:r>
              <w:rPr>
                <w:color w:val="auto"/>
                <w:spacing w:val="-1"/>
                <w:highlight w:val="none"/>
              </w:rPr>
              <w:t xml:space="preserve">开户银行：</w:t>
            </w:r>
            <w:r/>
          </w:p>
        </w:tc>
      </w:tr>
      <w:tr>
        <w:trPr>
          <w:trHeight w:val="381"/>
        </w:trPr>
        <w:tc>
          <w:tcPr>
            <w:tcW w:w="4795" w:type="dxa"/>
            <w:textDirection w:val="lrTb"/>
            <w:noWrap w:val="false"/>
          </w:tcPr>
          <w:p>
            <w:pPr>
              <w:pStyle w:val="1104"/>
              <w:ind w:left="56"/>
              <w:spacing w:before="105" w:line="222" w:lineRule="auto"/>
              <w:rPr>
                <w:color w:val="auto"/>
                <w:highlight w:val="none"/>
              </w:rPr>
            </w:pPr>
            <w:r>
              <w:rPr>
                <w:color w:val="auto"/>
                <w:spacing w:val="-2"/>
                <w:highlight w:val="none"/>
              </w:rPr>
              <w:t xml:space="preserve">账号：4301 0163 0900</w:t>
            </w:r>
            <w:r>
              <w:rPr>
                <w:color w:val="auto"/>
                <w:spacing w:val="24"/>
                <w:highlight w:val="none"/>
              </w:rPr>
              <w:t xml:space="preserve"> </w:t>
            </w:r>
            <w:r>
              <w:rPr>
                <w:color w:val="auto"/>
                <w:spacing w:val="-2"/>
                <w:highlight w:val="none"/>
              </w:rPr>
              <w:t xml:space="preserve">10</w:t>
            </w:r>
            <w:r>
              <w:rPr>
                <w:color w:val="auto"/>
                <w:spacing w:val="-3"/>
                <w:highlight w:val="none"/>
              </w:rPr>
              <w:t xml:space="preserve">11</w:t>
            </w:r>
            <w:r>
              <w:rPr>
                <w:color w:val="auto"/>
                <w:spacing w:val="24"/>
                <w:highlight w:val="none"/>
              </w:rPr>
              <w:t xml:space="preserve"> </w:t>
            </w:r>
            <w:r>
              <w:rPr>
                <w:color w:val="auto"/>
                <w:spacing w:val="-3"/>
                <w:highlight w:val="none"/>
              </w:rPr>
              <w:t xml:space="preserve">179</w:t>
            </w:r>
            <w:r/>
          </w:p>
        </w:tc>
        <w:tc>
          <w:tcPr>
            <w:tcW w:w="4780" w:type="dxa"/>
            <w:textDirection w:val="lrTb"/>
            <w:noWrap w:val="false"/>
          </w:tcPr>
          <w:p>
            <w:pPr>
              <w:pStyle w:val="1104"/>
              <w:ind w:left="56"/>
              <w:spacing w:before="105" w:line="222" w:lineRule="auto"/>
              <w:rPr>
                <w:color w:val="auto"/>
                <w:highlight w:val="none"/>
              </w:rPr>
            </w:pPr>
            <w:r>
              <w:rPr>
                <w:color w:val="auto"/>
                <w:spacing w:val="-1"/>
                <w:highlight w:val="none"/>
              </w:rPr>
              <w:t xml:space="preserve">账号：</w:t>
            </w:r>
            <w:r/>
          </w:p>
        </w:tc>
      </w:tr>
    </w:tbl>
    <w:p>
      <w:pPr>
        <w:ind w:right="87"/>
        <w:jc w:val="center"/>
        <w:spacing w:line="360" w:lineRule="auto"/>
        <w:rPr>
          <w:b/>
          <w:color w:val="auto"/>
          <w:sz w:val="72"/>
          <w:highlight w:val="none"/>
        </w:rPr>
      </w:pPr>
      <w:r>
        <w:rPr>
          <w:b/>
          <w:color w:val="auto"/>
          <w:sz w:val="72"/>
          <w:highlight w:val="none"/>
        </w:rPr>
      </w:r>
      <w:r/>
    </w:p>
    <w:p>
      <w:pPr>
        <w:pStyle w:val="887"/>
        <w:spacing w:line="360" w:lineRule="auto"/>
        <w:rPr>
          <w:rFonts w:ascii="Times New Roman" w:hAnsi="Times New Roman"/>
          <w:color w:val="auto"/>
          <w:szCs w:val="21"/>
          <w:highlight w:val="none"/>
        </w:rPr>
        <w:sectPr>
          <w:footerReference w:type="default" r:id="rId12"/>
          <w:footnotePr/>
          <w:endnotePr/>
          <w:type w:val="nextPage"/>
          <w:pgSz w:w="11906" w:h="16838" w:orient="portrait"/>
          <w:pgMar w:top="1440" w:right="1080" w:bottom="1440" w:left="1080" w:header="850" w:footer="850" w:gutter="0"/>
          <w:cols w:num="1" w:sep="0" w:space="720" w:equalWidth="1"/>
          <w:docGrid w:linePitch="360"/>
        </w:sectPr>
      </w:pPr>
      <w:r>
        <w:rPr>
          <w:rFonts w:ascii="Times New Roman" w:hAnsi="Times New Roman"/>
          <w:color w:val="auto"/>
          <w:szCs w:val="21"/>
          <w:highlight w:val="none"/>
        </w:rPr>
      </w:r>
      <w:r/>
    </w:p>
    <w:p>
      <w:pPr>
        <w:ind w:right="85"/>
        <w:jc w:val="center"/>
        <w:spacing w:line="360" w:lineRule="auto"/>
        <w:rPr>
          <w:rFonts w:ascii="黑体" w:eastAsia="黑体"/>
          <w:b/>
          <w:bCs/>
          <w:color w:val="auto"/>
          <w:sz w:val="36"/>
          <w:highlight w:val="none"/>
        </w:rPr>
        <w:outlineLvl w:val="0"/>
      </w:pPr>
      <w:r>
        <w:rPr>
          <w:rFonts w:hint="eastAsia" w:ascii="黑体" w:eastAsia="黑体"/>
          <w:b/>
          <w:bCs/>
          <w:color w:val="auto"/>
          <w:sz w:val="36"/>
          <w:highlight w:val="none"/>
        </w:rPr>
        <w:t xml:space="preserve">第六章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投标文件格式及附件</w:t>
      </w:r>
      <w:bookmarkEnd w:id="27"/>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ind w:right="87"/>
        <w:jc w:val="center"/>
        <w:spacing w:line="360" w:lineRule="auto"/>
        <w:rPr>
          <w:b/>
          <w:color w:val="auto"/>
          <w:sz w:val="72"/>
          <w:highlight w:val="none"/>
        </w:rPr>
      </w:pPr>
      <w:r>
        <w:rPr>
          <w:b/>
          <w:color w:val="auto"/>
          <w:sz w:val="72"/>
          <w:highlight w:val="none"/>
        </w:rPr>
        <w:t xml:space="preserve">投标文件</w:t>
      </w:r>
      <w:r/>
    </w:p>
    <w:p>
      <w:pPr>
        <w:spacing w:line="360" w:lineRule="auto"/>
        <w:rPr>
          <w:b/>
          <w:color w:val="auto"/>
          <w:sz w:val="72"/>
          <w:szCs w:val="21"/>
          <w:highlight w:val="none"/>
        </w:rPr>
      </w:pPr>
      <w:r>
        <w:rPr>
          <w:b/>
          <w:color w:val="auto"/>
          <w:sz w:val="72"/>
          <w:szCs w:val="21"/>
          <w:highlight w:val="none"/>
        </w:rPr>
      </w:r>
      <w:r/>
    </w:p>
    <w:p>
      <w:pPr>
        <w:spacing w:line="360" w:lineRule="auto"/>
        <w:rPr>
          <w:b/>
          <w:color w:val="auto"/>
          <w:sz w:val="72"/>
          <w:szCs w:val="21"/>
          <w:highlight w:val="none"/>
        </w:rPr>
      </w:pPr>
      <w:r>
        <w:rPr>
          <w:b/>
          <w:color w:val="auto"/>
          <w:sz w:val="72"/>
          <w:szCs w:val="21"/>
          <w:highlight w:val="none"/>
        </w:rPr>
      </w:r>
      <w:r/>
    </w:p>
    <w:p>
      <w:pPr>
        <w:ind w:left="1308" w:right="52"/>
        <w:spacing w:line="360" w:lineRule="auto"/>
        <w:rPr>
          <w:b/>
          <w:color w:val="auto"/>
          <w:sz w:val="36"/>
          <w:highlight w:val="none"/>
        </w:rPr>
      </w:pPr>
      <w:r>
        <w:rPr>
          <w:b/>
          <w:color w:val="auto"/>
          <w:sz w:val="36"/>
          <w:highlight w:val="none"/>
        </w:rPr>
        <w:t xml:space="preserve">项目编号： </w:t>
      </w:r>
      <w:r/>
    </w:p>
    <w:p>
      <w:pPr>
        <w:ind w:left="1308" w:right="52"/>
        <w:spacing w:line="360" w:lineRule="auto"/>
        <w:rPr>
          <w:b/>
          <w:color w:val="auto"/>
          <w:sz w:val="36"/>
          <w:highlight w:val="none"/>
        </w:rPr>
      </w:pPr>
      <w:r>
        <w:rPr>
          <w:b/>
          <w:color w:val="auto"/>
          <w:sz w:val="36"/>
          <w:highlight w:val="none"/>
        </w:rPr>
        <w:t xml:space="preserve">项目名称：</w:t>
      </w:r>
      <w:r/>
    </w:p>
    <w:p>
      <w:pPr>
        <w:ind w:left="223" w:right="52" w:firstLine="1084"/>
        <w:spacing w:line="360" w:lineRule="auto"/>
        <w:rPr>
          <w:b/>
          <w:color w:val="auto"/>
          <w:sz w:val="36"/>
          <w:highlight w:val="none"/>
        </w:rPr>
      </w:pPr>
      <w:r>
        <w:rPr>
          <w:rFonts w:hint="eastAsia"/>
          <w:b/>
          <w:color w:val="auto"/>
          <w:sz w:val="36"/>
          <w:highlight w:val="none"/>
        </w:rPr>
        <w:t xml:space="preserve">投标人</w:t>
      </w:r>
      <w:r>
        <w:rPr>
          <w:b/>
          <w:color w:val="auto"/>
          <w:sz w:val="36"/>
          <w:highlight w:val="none"/>
        </w:rPr>
        <w:t xml:space="preserve">名称： </w:t>
      </w:r>
      <w:r/>
    </w:p>
    <w:p>
      <w:pPr>
        <w:ind w:left="223" w:right="52" w:firstLine="1084"/>
        <w:spacing w:line="360" w:lineRule="auto"/>
        <w:rPr>
          <w:b/>
          <w:color w:val="auto"/>
          <w:sz w:val="36"/>
          <w:highlight w:val="none"/>
        </w:rPr>
      </w:pPr>
      <w:r>
        <w:rPr>
          <w:b/>
          <w:color w:val="auto"/>
          <w:sz w:val="36"/>
          <w:highlight w:val="none"/>
        </w:rPr>
        <w:t xml:space="preserve">日期：</w:t>
      </w:r>
      <w:r/>
    </w:p>
    <w:p>
      <w:pPr>
        <w:spacing w:line="360" w:lineRule="auto"/>
        <w:rPr>
          <w:color w:val="auto"/>
          <w:sz w:val="36"/>
          <w:highlight w:val="none"/>
        </w:rPr>
        <w:sectPr>
          <w:headerReference w:type="default" r:id="rId9"/>
          <w:footerReference w:type="default" r:id="rId13"/>
          <w:footnotePr/>
          <w:endnotePr/>
          <w:type w:val="nextPage"/>
          <w:pgSz w:w="11910" w:h="16840" w:orient="portrait"/>
          <w:pgMar w:top="1134" w:right="1134" w:bottom="1134" w:left="1134" w:header="567" w:footer="567" w:gutter="0"/>
          <w:cols w:num="1" w:sep="0" w:space="720" w:equalWidth="1"/>
          <w:docGrid w:linePitch="360"/>
        </w:sectPr>
      </w:pPr>
      <w:r>
        <w:rPr>
          <w:color w:val="auto"/>
          <w:sz w:val="36"/>
          <w:highlight w:val="none"/>
        </w:rPr>
      </w:r>
      <w:r/>
    </w:p>
    <w:p>
      <w:pPr>
        <w:spacing w:line="360" w:lineRule="auto"/>
        <w:rPr>
          <w:b/>
          <w:color w:val="auto"/>
          <w:sz w:val="17"/>
          <w:szCs w:val="21"/>
          <w:highlight w:val="none"/>
        </w:rPr>
      </w:pPr>
      <w:r>
        <w:rPr>
          <w:b/>
          <w:color w:val="auto"/>
          <w:sz w:val="17"/>
          <w:szCs w:val="21"/>
          <w:highlight w:val="none"/>
        </w:rPr>
      </w:r>
      <w:r/>
    </w:p>
    <w:p>
      <w:pPr>
        <w:jc w:val="center"/>
        <w:rPr>
          <w:b/>
          <w:bCs/>
          <w:color w:val="auto"/>
          <w:sz w:val="28"/>
          <w:szCs w:val="28"/>
          <w:highlight w:val="none"/>
        </w:rPr>
        <w:outlineLvl w:val="1"/>
      </w:pPr>
      <w:r/>
      <w:bookmarkStart w:id="28" w:name="_Toc489655320"/>
      <w:r>
        <w:rPr>
          <w:rFonts w:hint="eastAsia"/>
          <w:b/>
          <w:bCs/>
          <w:color w:val="auto"/>
          <w:sz w:val="28"/>
          <w:szCs w:val="28"/>
          <w:highlight w:val="none"/>
        </w:rPr>
        <w:t xml:space="preserve">投标文件主要目录</w:t>
      </w:r>
      <w:bookmarkEnd w:id="28"/>
      <w:r>
        <w:rPr>
          <w:rFonts w:hint="eastAsia"/>
          <w:b/>
          <w:bCs/>
          <w:color w:val="auto"/>
          <w:sz w:val="28"/>
          <w:szCs w:val="28"/>
          <w:highlight w:val="none"/>
        </w:rPr>
        <w:t xml:space="preserve">及相关证明材料格式、附件</w:t>
      </w:r>
      <w:r/>
    </w:p>
    <w:p>
      <w:pPr>
        <w:rPr>
          <w:color w:val="auto"/>
          <w:sz w:val="28"/>
          <w:szCs w:val="28"/>
          <w:highlight w:val="none"/>
        </w:rPr>
      </w:pPr>
      <w:r>
        <w:rPr>
          <w:color w:val="auto"/>
          <w:sz w:val="28"/>
          <w:szCs w:val="28"/>
          <w:highlight w:val="none"/>
        </w:rPr>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一、</w:t>
      </w:r>
      <w:r>
        <w:rPr>
          <w:rFonts w:hint="eastAsia"/>
          <w:color w:val="auto"/>
          <w:sz w:val="28"/>
          <w:szCs w:val="28"/>
          <w:highlight w:val="none"/>
        </w:rPr>
        <w:t xml:space="preserve">投标申请及声明</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二、</w:t>
      </w:r>
      <w:r>
        <w:rPr>
          <w:rFonts w:hint="eastAsia"/>
          <w:color w:val="auto"/>
          <w:sz w:val="28"/>
          <w:szCs w:val="28"/>
          <w:highlight w:val="none"/>
        </w:rPr>
        <w:t xml:space="preserve">法定代表人授权书</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三、</w:t>
      </w:r>
      <w:r>
        <w:rPr>
          <w:rFonts w:hint="eastAsia"/>
          <w:color w:val="auto"/>
          <w:sz w:val="28"/>
          <w:szCs w:val="28"/>
          <w:highlight w:val="none"/>
        </w:rPr>
        <w:t xml:space="preserve">开标一览表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四、</w:t>
      </w:r>
      <w:r>
        <w:rPr>
          <w:rFonts w:hint="eastAsia"/>
          <w:color w:val="auto"/>
          <w:sz w:val="28"/>
          <w:szCs w:val="28"/>
          <w:highlight w:val="none"/>
        </w:rPr>
        <w:t xml:space="preserve">分项报价表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五、</w:t>
      </w:r>
      <w:r>
        <w:rPr>
          <w:rFonts w:hint="eastAsia"/>
          <w:color w:val="auto"/>
          <w:sz w:val="28"/>
          <w:szCs w:val="28"/>
          <w:highlight w:val="none"/>
        </w:rPr>
        <w:t xml:space="preserve">技术条款偏离表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六、</w:t>
      </w:r>
      <w:r>
        <w:rPr>
          <w:rFonts w:hint="eastAsia"/>
          <w:color w:val="auto"/>
          <w:sz w:val="28"/>
          <w:szCs w:val="28"/>
          <w:highlight w:val="none"/>
        </w:rPr>
        <w:t xml:space="preserve">商务条款偏离表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七、</w:t>
      </w:r>
      <w:r>
        <w:rPr>
          <w:rFonts w:hint="eastAsia"/>
          <w:color w:val="auto"/>
          <w:sz w:val="28"/>
          <w:szCs w:val="28"/>
          <w:highlight w:val="none"/>
        </w:rPr>
        <w:t xml:space="preserve">技术说明或服务方案</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八、</w:t>
      </w:r>
      <w:r>
        <w:rPr>
          <w:rFonts w:hint="eastAsia"/>
          <w:color w:val="auto"/>
          <w:sz w:val="28"/>
          <w:szCs w:val="28"/>
          <w:highlight w:val="none"/>
        </w:rPr>
        <w:t xml:space="preserve">拟参与本项目服务人员一览表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九、</w:t>
      </w:r>
      <w:r>
        <w:rPr>
          <w:rFonts w:hint="eastAsia"/>
          <w:color w:val="auto"/>
          <w:sz w:val="28"/>
          <w:szCs w:val="28"/>
          <w:highlight w:val="none"/>
        </w:rPr>
        <w:t xml:space="preserve">投标人类似业绩情况</w:t>
      </w:r>
      <w:r/>
    </w:p>
    <w:p>
      <w:pPr>
        <w:ind w:left="425"/>
        <w:spacing w:line="360" w:lineRule="auto"/>
        <w:tabs>
          <w:tab w:val="left" w:pos="1145" w:leader="none"/>
        </w:tabs>
        <w:rPr>
          <w:color w:val="auto"/>
          <w:sz w:val="28"/>
          <w:szCs w:val="28"/>
          <w:highlight w:val="none"/>
        </w:rPr>
      </w:pPr>
      <w:r>
        <w:rPr>
          <w:rFonts w:hint="eastAsia"/>
          <w:color w:val="auto"/>
          <w:sz w:val="28"/>
          <w:szCs w:val="28"/>
          <w:highlight w:val="none"/>
        </w:rPr>
        <w:t xml:space="preserve">十、投标需要的其他证明文件及材料（若有）</w:t>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rFonts w:hint="eastAsia"/>
          <w:color w:val="auto"/>
          <w:sz w:val="28"/>
          <w:szCs w:val="28"/>
          <w:highlight w:val="none"/>
        </w:rPr>
        <w:t xml:space="preserve">附件一、中小企业声明函格式</w:t>
      </w:r>
      <w:r/>
    </w:p>
    <w:p>
      <w:pPr>
        <w:spacing w:line="360" w:lineRule="auto"/>
        <w:rPr>
          <w:color w:val="auto"/>
          <w:sz w:val="28"/>
          <w:szCs w:val="28"/>
          <w:highlight w:val="none"/>
        </w:rPr>
      </w:pPr>
      <w:r>
        <w:rPr>
          <w:rFonts w:hint="eastAsia"/>
          <w:color w:val="auto"/>
          <w:sz w:val="28"/>
          <w:szCs w:val="28"/>
          <w:highlight w:val="none"/>
        </w:rPr>
        <w:t xml:space="preserve">附件二、无重大违法记录声明格式</w:t>
      </w:r>
      <w:r/>
    </w:p>
    <w:p>
      <w:pPr>
        <w:spacing w:line="360" w:lineRule="auto"/>
        <w:rPr>
          <w:color w:val="auto"/>
          <w:sz w:val="28"/>
          <w:szCs w:val="28"/>
          <w:highlight w:val="none"/>
        </w:rPr>
      </w:pPr>
      <w:r>
        <w:rPr>
          <w:rFonts w:hint="eastAsia"/>
          <w:color w:val="auto"/>
          <w:sz w:val="28"/>
          <w:szCs w:val="28"/>
          <w:highlight w:val="none"/>
        </w:rPr>
        <w:t xml:space="preserve">附件三、具备履行合同所必需的设备和专业技术能力的声明格式及证明材料</w:t>
      </w:r>
      <w:r/>
    </w:p>
    <w:p>
      <w:pPr>
        <w:pStyle w:val="1114"/>
        <w:spacing w:after="0" w:line="360" w:lineRule="auto"/>
        <w:rPr>
          <w:color w:val="auto"/>
          <w:sz w:val="28"/>
          <w:szCs w:val="28"/>
          <w:highlight w:val="none"/>
        </w:rPr>
      </w:pPr>
      <w:r>
        <w:rPr>
          <w:rFonts w:hint="eastAsia"/>
          <w:color w:val="auto"/>
          <w:sz w:val="28"/>
          <w:szCs w:val="28"/>
          <w:highlight w:val="none"/>
        </w:rPr>
        <w:t xml:space="preserve">附件四、残疾人福利性单位声明函格式</w:t>
      </w:r>
      <w:r/>
    </w:p>
    <w:p>
      <w:pPr>
        <w:spacing w:line="360" w:lineRule="auto"/>
        <w:rPr>
          <w:color w:val="auto"/>
          <w:sz w:val="28"/>
          <w:szCs w:val="28"/>
          <w:highlight w:val="none"/>
        </w:rPr>
      </w:pPr>
      <w:r>
        <w:rPr>
          <w:rFonts w:hint="eastAsia"/>
          <w:color w:val="auto"/>
          <w:sz w:val="28"/>
          <w:szCs w:val="28"/>
          <w:highlight w:val="none"/>
        </w:rPr>
        <w:t xml:space="preserve">附件五、属于监狱企业的证明文件</w:t>
      </w:r>
      <w:r/>
    </w:p>
    <w:p>
      <w:pPr>
        <w:spacing w:line="360" w:lineRule="auto"/>
        <w:rPr>
          <w:rFonts w:ascii="Times New Roman"/>
          <w:color w:val="auto"/>
          <w:sz w:val="20"/>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auto"/>
          <w:sz w:val="28"/>
          <w:szCs w:val="28"/>
          <w:highlight w:val="none"/>
        </w:rPr>
        <w:t xml:space="preserve">附件六、关于符合本国产品标准的声明函</w:t>
      </w:r>
      <w:r/>
    </w:p>
    <w:p>
      <w:pPr>
        <w:spacing w:line="360" w:lineRule="auto"/>
        <w:rPr>
          <w:b/>
          <w:color w:val="auto"/>
          <w:sz w:val="39"/>
          <w:highlight w:val="none"/>
        </w:rPr>
      </w:pPr>
      <w:r>
        <w:rPr>
          <w:b/>
          <w:color w:val="auto"/>
          <w:sz w:val="21"/>
          <w:highlight w:val="none"/>
        </w:rPr>
        <w:t xml:space="preserve">目录一、投标申请及声明格式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投标申请及声明</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rFonts w:ascii="黑体"/>
          <w:color w:val="auto"/>
          <w:sz w:val="8"/>
          <w:szCs w:val="21"/>
          <w:highlight w:val="none"/>
        </w:rPr>
      </w:pPr>
      <w:r>
        <w:rPr>
          <w:rFonts w:ascii="黑体"/>
          <w:color w:val="auto"/>
          <w:sz w:val="8"/>
          <w:szCs w:val="21"/>
          <w:highlight w:val="none"/>
        </w:rPr>
      </w:r>
      <w:r/>
    </w:p>
    <w:p>
      <w:pPr>
        <w:spacing w:line="360" w:lineRule="auto"/>
        <w:rPr>
          <w:color w:val="auto"/>
          <w:sz w:val="21"/>
          <w:szCs w:val="21"/>
          <w:highlight w:val="none"/>
        </w:rPr>
      </w:pPr>
      <w:r>
        <w:rPr>
          <w:color w:val="auto"/>
          <w:sz w:val="21"/>
          <w:szCs w:val="21"/>
          <w:highlight w:val="none"/>
        </w:rPr>
        <w:t xml:space="preserve">致：</w:t>
      </w:r>
      <w:r>
        <w:rPr>
          <w:rFonts w:hint="eastAsia"/>
          <w:color w:val="auto"/>
          <w:sz w:val="21"/>
          <w:szCs w:val="21"/>
          <w:highlight w:val="none"/>
        </w:rPr>
        <w:t xml:space="preserve">江苏第二师范学院</w:t>
      </w:r>
      <w:r/>
    </w:p>
    <w:p>
      <w:pPr>
        <w:ind w:firstLine="420"/>
        <w:spacing w:line="360" w:lineRule="auto"/>
        <w:rPr>
          <w:color w:val="auto"/>
          <w:sz w:val="21"/>
          <w:szCs w:val="21"/>
          <w:highlight w:val="none"/>
        </w:rPr>
      </w:pPr>
      <w:r>
        <w:rPr>
          <w:rFonts w:hint="eastAsia"/>
          <w:color w:val="auto"/>
          <w:sz w:val="21"/>
          <w:szCs w:val="21"/>
          <w:highlight w:val="none"/>
        </w:rPr>
        <w:t xml:space="preserve">根据贵方（项目名称）（项目编号）投标邀请，正式授权下述签字人（姓名和职务）代表投标人（投标人名称），提交投标文件。</w:t>
      </w:r>
      <w:r/>
    </w:p>
    <w:p>
      <w:pPr>
        <w:ind w:firstLine="420"/>
        <w:spacing w:line="360" w:lineRule="auto"/>
        <w:rPr>
          <w:color w:val="auto"/>
          <w:sz w:val="21"/>
          <w:szCs w:val="21"/>
          <w:highlight w:val="none"/>
        </w:rPr>
      </w:pPr>
      <w:r>
        <w:rPr>
          <w:rFonts w:hint="eastAsia"/>
          <w:color w:val="auto"/>
          <w:sz w:val="21"/>
          <w:szCs w:val="21"/>
          <w:highlight w:val="none"/>
        </w:rPr>
        <w:t xml:space="preserve">据此函，签字人兹宣布声明和承诺如下：</w:t>
      </w:r>
      <w:r/>
    </w:p>
    <w:p>
      <w:pPr>
        <w:ind w:firstLine="420"/>
        <w:spacing w:line="360" w:lineRule="auto"/>
        <w:rPr>
          <w:color w:val="auto"/>
          <w:sz w:val="21"/>
          <w:szCs w:val="21"/>
          <w:highlight w:val="none"/>
        </w:rPr>
      </w:pPr>
      <w:r>
        <w:rPr>
          <w:rFonts w:hint="eastAsia"/>
          <w:color w:val="auto"/>
          <w:sz w:val="21"/>
          <w:szCs w:val="21"/>
          <w:highlight w:val="none"/>
        </w:rPr>
        <w:t xml:space="preserve">1.我方的资格条件符合政府采购法和本次招标要求，我方同意并向贵方提供了与投标有关的所有证据和资料。</w:t>
      </w:r>
      <w:r/>
    </w:p>
    <w:p>
      <w:pPr>
        <w:ind w:firstLine="420"/>
        <w:spacing w:line="360" w:lineRule="auto"/>
        <w:rPr>
          <w:color w:val="auto"/>
          <w:sz w:val="21"/>
          <w:szCs w:val="21"/>
          <w:highlight w:val="none"/>
        </w:rPr>
      </w:pPr>
      <w:r>
        <w:rPr>
          <w:rFonts w:hint="eastAsia"/>
          <w:color w:val="auto"/>
          <w:sz w:val="21"/>
          <w:szCs w:val="21"/>
          <w:highlight w:val="none"/>
        </w:rPr>
        <w:t xml:space="preserve">2.按招标要求，我方投标的报价总价为人民币（小写）</w:t>
      </w:r>
      <w:r>
        <w:rPr>
          <w:rFonts w:hint="eastAsia"/>
          <w:color w:val="auto"/>
          <w:sz w:val="21"/>
          <w:szCs w:val="21"/>
          <w:highlight w:val="none"/>
          <w:u w:val="single"/>
        </w:rPr>
        <w:t xml:space="preserve">      </w:t>
      </w:r>
      <w:r>
        <w:rPr>
          <w:rFonts w:hint="eastAsia"/>
          <w:color w:val="auto"/>
          <w:sz w:val="21"/>
          <w:szCs w:val="21"/>
          <w:highlight w:val="none"/>
        </w:rPr>
        <w:t xml:space="preserve">元，（大写）</w:t>
      </w:r>
      <w:r>
        <w:rPr>
          <w:rFonts w:hint="eastAsia"/>
          <w:color w:val="auto"/>
          <w:sz w:val="21"/>
          <w:szCs w:val="21"/>
          <w:highlight w:val="none"/>
          <w:u w:val="single"/>
        </w:rPr>
        <w:t xml:space="preserve">      </w:t>
      </w:r>
      <w:r>
        <w:rPr>
          <w:rFonts w:hint="eastAsia"/>
          <w:color w:val="auto"/>
          <w:sz w:val="21"/>
          <w:szCs w:val="21"/>
          <w:highlight w:val="none"/>
        </w:rPr>
        <w:t xml:space="preserve">元。</w:t>
      </w:r>
      <w:r/>
    </w:p>
    <w:p>
      <w:pPr>
        <w:ind w:firstLine="420"/>
        <w:spacing w:line="360" w:lineRule="auto"/>
        <w:rPr>
          <w:color w:val="auto"/>
          <w:sz w:val="21"/>
          <w:szCs w:val="21"/>
          <w:highlight w:val="none"/>
        </w:rPr>
      </w:pPr>
      <w:r>
        <w:rPr>
          <w:rFonts w:hint="eastAsia"/>
          <w:color w:val="auto"/>
          <w:sz w:val="21"/>
          <w:szCs w:val="21"/>
          <w:highlight w:val="none"/>
        </w:rPr>
        <w:t xml:space="preserve">3.合同履行期限：自合同签订之日起，</w:t>
      </w:r>
      <w:r>
        <w:rPr>
          <w:color w:val="auto"/>
          <w:sz w:val="21"/>
          <w:szCs w:val="21"/>
          <w:highlight w:val="none"/>
          <w:u w:val="single"/>
        </w:rPr>
        <w:t xml:space="preserve">    </w:t>
      </w:r>
      <w:r>
        <w:rPr>
          <w:color w:val="auto"/>
          <w:sz w:val="21"/>
          <w:szCs w:val="21"/>
          <w:highlight w:val="none"/>
        </w:rPr>
        <w:t xml:space="preserve">个日历日内供货到位。</w:t>
      </w:r>
      <w:r/>
    </w:p>
    <w:p>
      <w:pPr>
        <w:ind w:firstLine="420"/>
        <w:spacing w:line="360" w:lineRule="auto"/>
        <w:rPr>
          <w:color w:val="auto"/>
          <w:sz w:val="21"/>
          <w:szCs w:val="21"/>
          <w:highlight w:val="none"/>
        </w:rPr>
      </w:pPr>
      <w:r>
        <w:rPr>
          <w:rFonts w:hint="eastAsia"/>
          <w:color w:val="auto"/>
          <w:sz w:val="21"/>
          <w:szCs w:val="21"/>
          <w:highlight w:val="none"/>
        </w:rPr>
        <w:t xml:space="preserve">4.我方参加本次采购活动前三年内，在经营活动中没有重大违法记录。</w:t>
      </w:r>
      <w:r/>
    </w:p>
    <w:p>
      <w:pPr>
        <w:ind w:firstLine="420"/>
        <w:spacing w:line="360" w:lineRule="auto"/>
        <w:rPr>
          <w:color w:val="auto"/>
          <w:sz w:val="21"/>
          <w:szCs w:val="21"/>
          <w:highlight w:val="none"/>
        </w:rPr>
      </w:pPr>
      <w:r>
        <w:rPr>
          <w:rFonts w:hint="eastAsia"/>
          <w:color w:val="auto"/>
          <w:sz w:val="21"/>
          <w:szCs w:val="21"/>
          <w:highlight w:val="none"/>
        </w:rPr>
        <w:t xml:space="preserve">5.我方参加本次采购活动前，没有被信用中国网站、中国政府采购网站列入失信被执行人名单、重大税收违法案件当事人名单、政府采购严重违法失信行为记录名单。</w:t>
      </w:r>
      <w:r/>
    </w:p>
    <w:p>
      <w:pPr>
        <w:ind w:firstLine="420"/>
        <w:spacing w:line="360" w:lineRule="auto"/>
        <w:rPr>
          <w:color w:val="auto"/>
          <w:sz w:val="21"/>
          <w:szCs w:val="21"/>
          <w:highlight w:val="none"/>
        </w:rPr>
      </w:pPr>
      <w:r>
        <w:rPr>
          <w:rFonts w:hint="eastAsia"/>
          <w:color w:val="auto"/>
          <w:sz w:val="21"/>
          <w:szCs w:val="21"/>
          <w:highlight w:val="none"/>
        </w:rPr>
        <w:t xml:space="preserve">6.我方在全国范围内未受过财政部门禁止参加政府采购活动的处罚，或禁止参加政府采购活动的处罚期限已满。</w:t>
      </w:r>
      <w:r/>
    </w:p>
    <w:p>
      <w:pPr>
        <w:ind w:firstLine="420"/>
        <w:spacing w:line="360" w:lineRule="auto"/>
        <w:rPr>
          <w:color w:val="auto"/>
          <w:sz w:val="21"/>
          <w:szCs w:val="21"/>
          <w:highlight w:val="none"/>
        </w:rPr>
      </w:pPr>
      <w:r>
        <w:rPr>
          <w:rFonts w:hint="eastAsia"/>
          <w:color w:val="auto"/>
          <w:sz w:val="21"/>
          <w:szCs w:val="21"/>
          <w:highlight w:val="none"/>
        </w:rPr>
        <w:t xml:space="preserve">7.我方没有为本采购项目提供整体设计、规范编制，以及项目管理、监理、检测等服务。</w:t>
      </w:r>
      <w:r/>
    </w:p>
    <w:p>
      <w:pPr>
        <w:ind w:firstLine="420"/>
        <w:spacing w:line="360" w:lineRule="auto"/>
        <w:rPr>
          <w:color w:val="auto"/>
          <w:sz w:val="21"/>
          <w:szCs w:val="21"/>
          <w:highlight w:val="none"/>
        </w:rPr>
      </w:pPr>
      <w:r>
        <w:rPr>
          <w:rFonts w:hint="eastAsia"/>
          <w:color w:val="auto"/>
          <w:sz w:val="21"/>
          <w:szCs w:val="21"/>
          <w:highlight w:val="none"/>
        </w:rPr>
        <w:t xml:space="preserve">8.我方与参与本次采购活动的其他供应商的委托代理人（或法定代表人、项目经理、项目总监、项目负责人等），在招标文件发布日上月至投标截止日当月未在同一单位缴纳社会保险。</w:t>
      </w:r>
      <w:r/>
    </w:p>
    <w:p>
      <w:pPr>
        <w:ind w:firstLine="420"/>
        <w:spacing w:line="360" w:lineRule="auto"/>
        <w:rPr>
          <w:color w:val="auto"/>
          <w:sz w:val="21"/>
          <w:szCs w:val="21"/>
          <w:highlight w:val="none"/>
        </w:rPr>
      </w:pPr>
      <w:r>
        <w:rPr>
          <w:rFonts w:hint="eastAsia"/>
          <w:color w:val="auto"/>
          <w:sz w:val="21"/>
          <w:szCs w:val="21"/>
          <w:highlight w:val="none"/>
        </w:rPr>
        <w:t xml:space="preserve">9.我方与参与本次采购活动的其他供应商的法定代表人或委托代理人无夫妻、直系血亲关系。</w:t>
      </w:r>
      <w:r/>
    </w:p>
    <w:p>
      <w:pPr>
        <w:ind w:firstLine="420"/>
        <w:spacing w:line="360" w:lineRule="auto"/>
        <w:rPr>
          <w:color w:val="auto"/>
          <w:sz w:val="21"/>
          <w:szCs w:val="21"/>
          <w:highlight w:val="none"/>
        </w:rPr>
      </w:pPr>
      <w:r>
        <w:rPr>
          <w:rFonts w:hint="eastAsia"/>
          <w:color w:val="auto"/>
          <w:sz w:val="21"/>
          <w:szCs w:val="21"/>
          <w:highlight w:val="none"/>
        </w:rPr>
        <w:t xml:space="preserve">10.我方与参与本次采购活动的其他供应商的负责人不是同一人，也不存在直接控股、管理关系。</w:t>
      </w:r>
      <w:r/>
    </w:p>
    <w:p>
      <w:pPr>
        <w:ind w:firstLine="420"/>
        <w:spacing w:line="360" w:lineRule="auto"/>
        <w:rPr>
          <w:color w:val="auto"/>
          <w:sz w:val="21"/>
          <w:szCs w:val="21"/>
          <w:highlight w:val="none"/>
        </w:rPr>
      </w:pPr>
      <w:r>
        <w:rPr>
          <w:rFonts w:hint="eastAsia"/>
          <w:color w:val="auto"/>
          <w:sz w:val="21"/>
          <w:szCs w:val="21"/>
          <w:highlight w:val="none"/>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auto"/>
          <w:sz w:val="21"/>
          <w:szCs w:val="21"/>
          <w:highlight w:val="none"/>
        </w:rPr>
      </w:pPr>
      <w:r>
        <w:rPr>
          <w:rFonts w:hint="eastAsia"/>
          <w:color w:val="auto"/>
          <w:sz w:val="21"/>
          <w:szCs w:val="21"/>
          <w:highlight w:val="none"/>
        </w:rPr>
        <w:t xml:space="preserve">12.我方同意从规定的开标日期起遵循本投标文件，并在规定的投标有效期期满之前均具有约束力。</w:t>
      </w:r>
      <w:r/>
    </w:p>
    <w:p>
      <w:pPr>
        <w:ind w:firstLine="420"/>
        <w:spacing w:line="360" w:lineRule="auto"/>
        <w:rPr>
          <w:color w:val="auto"/>
          <w:sz w:val="21"/>
          <w:szCs w:val="21"/>
          <w:highlight w:val="none"/>
        </w:rPr>
      </w:pPr>
      <w:r>
        <w:rPr>
          <w:rFonts w:hint="eastAsia"/>
          <w:color w:val="auto"/>
          <w:sz w:val="21"/>
          <w:szCs w:val="21"/>
          <w:highlight w:val="none"/>
        </w:rPr>
        <w:t xml:space="preserve">13.一旦我方中标，将根据招标文件的规定严格履行合同，并保证按承诺的时间完成服务的启动/集成、调试等服务，交付采购人验收、使用。</w:t>
      </w:r>
      <w:r/>
    </w:p>
    <w:p>
      <w:pPr>
        <w:ind w:firstLine="420"/>
        <w:spacing w:line="360" w:lineRule="auto"/>
        <w:rPr>
          <w:color w:val="auto"/>
          <w:sz w:val="21"/>
          <w:szCs w:val="21"/>
          <w:highlight w:val="none"/>
        </w:rPr>
      </w:pPr>
      <w:r>
        <w:rPr>
          <w:rFonts w:hint="eastAsia"/>
          <w:color w:val="auto"/>
          <w:sz w:val="21"/>
          <w:szCs w:val="21"/>
          <w:highlight w:val="none"/>
        </w:rPr>
        <w:t xml:space="preserve">14.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auto"/>
          <w:sz w:val="21"/>
          <w:szCs w:val="21"/>
          <w:highlight w:val="none"/>
        </w:rPr>
      </w:pPr>
      <w:r>
        <w:rPr>
          <w:rFonts w:hint="eastAsia"/>
          <w:color w:val="auto"/>
          <w:sz w:val="21"/>
          <w:szCs w:val="21"/>
          <w:highlight w:val="none"/>
          <w:lang w:val="en-US"/>
        </w:rPr>
        <w:t xml:space="preserve">15</w:t>
      </w:r>
      <w:r>
        <w:rPr>
          <w:color w:val="auto"/>
          <w:sz w:val="21"/>
          <w:szCs w:val="21"/>
          <w:highlight w:val="none"/>
        </w:rPr>
        <w:t xml:space="preserve">、与本投标有关的正式联系方式为： </w:t>
      </w:r>
      <w:r/>
    </w:p>
    <w:p>
      <w:pPr>
        <w:ind w:firstLine="420"/>
        <w:spacing w:line="360" w:lineRule="auto"/>
        <w:rPr>
          <w:color w:val="auto"/>
          <w:sz w:val="21"/>
          <w:szCs w:val="21"/>
          <w:highlight w:val="none"/>
        </w:rPr>
      </w:pPr>
      <w:r>
        <w:rPr>
          <w:color w:val="auto"/>
          <w:sz w:val="21"/>
          <w:szCs w:val="21"/>
          <w:highlight w:val="none"/>
        </w:rPr>
        <w:t xml:space="preserve">地址：</w:t>
      </w:r>
      <w:r/>
    </w:p>
    <w:p>
      <w:pPr>
        <w:ind w:firstLine="420"/>
        <w:spacing w:line="360" w:lineRule="auto"/>
        <w:rPr>
          <w:color w:val="auto"/>
          <w:sz w:val="21"/>
          <w:szCs w:val="21"/>
          <w:highlight w:val="none"/>
        </w:rPr>
      </w:pPr>
      <w:r>
        <w:rPr>
          <w:color w:val="auto"/>
          <w:sz w:val="21"/>
          <w:szCs w:val="21"/>
          <w:highlight w:val="none"/>
        </w:rPr>
        <w:t xml:space="preserve">电话： </w:t>
      </w:r>
      <w:r/>
    </w:p>
    <w:p>
      <w:pPr>
        <w:ind w:firstLine="420"/>
        <w:spacing w:line="360" w:lineRule="auto"/>
        <w:rPr>
          <w:color w:val="auto"/>
          <w:sz w:val="21"/>
          <w:szCs w:val="21"/>
          <w:highlight w:val="none"/>
        </w:rPr>
      </w:pPr>
      <w:r>
        <w:rPr>
          <w:color w:val="auto"/>
          <w:sz w:val="21"/>
          <w:szCs w:val="21"/>
          <w:highlight w:val="none"/>
        </w:rPr>
        <w:t xml:space="preserve">传真：</w:t>
      </w:r>
      <w:r/>
    </w:p>
    <w:p>
      <w:pPr>
        <w:ind w:firstLine="420"/>
        <w:spacing w:line="360" w:lineRule="auto"/>
        <w:rPr>
          <w:color w:val="auto"/>
          <w:sz w:val="21"/>
          <w:szCs w:val="21"/>
          <w:highlight w:val="none"/>
        </w:rPr>
      </w:pPr>
      <w:r>
        <w:rPr>
          <w:color w:val="auto"/>
          <w:sz w:val="21"/>
          <w:szCs w:val="21"/>
          <w:highlight w:val="none"/>
        </w:rPr>
        <w:t xml:space="preserve">开户银行： </w:t>
      </w:r>
      <w:r/>
    </w:p>
    <w:p>
      <w:pPr>
        <w:ind w:firstLine="420"/>
        <w:spacing w:line="360" w:lineRule="auto"/>
        <w:rPr>
          <w:color w:val="auto"/>
          <w:sz w:val="21"/>
          <w:szCs w:val="21"/>
          <w:highlight w:val="none"/>
        </w:rPr>
      </w:pPr>
      <w:r>
        <w:rPr>
          <w:color w:val="auto"/>
          <w:sz w:val="21"/>
          <w:szCs w:val="21"/>
          <w:highlight w:val="none"/>
        </w:rPr>
        <w:t xml:space="preserve">银行账号：</w:t>
      </w:r>
      <w:r/>
    </w:p>
    <w:p>
      <w:pPr>
        <w:ind w:firstLine="420"/>
        <w:spacing w:line="360" w:lineRule="auto"/>
        <w:tabs>
          <w:tab w:val="left" w:pos="9680" w:leader="none"/>
        </w:tabs>
        <w:rPr>
          <w:color w:val="auto"/>
          <w:sz w:val="21"/>
          <w:szCs w:val="21"/>
          <w:highlight w:val="none"/>
        </w:rPr>
      </w:pPr>
      <w:r>
        <w:rPr>
          <w:color w:val="auto"/>
          <w:sz w:val="21"/>
          <w:szCs w:val="21"/>
          <w:highlight w:val="none"/>
        </w:rPr>
        <w:t xml:space="preserve">供应商授权代表姓名（签</w:t>
      </w:r>
      <w:r>
        <w:rPr>
          <w:rFonts w:hint="eastAsia"/>
          <w:color w:val="auto"/>
          <w:sz w:val="21"/>
          <w:szCs w:val="21"/>
          <w:highlight w:val="none"/>
        </w:rPr>
        <w:t xml:space="preserve">字</w:t>
      </w:r>
      <w:r>
        <w:rPr>
          <w:color w:val="auto"/>
          <w:sz w:val="21"/>
          <w:szCs w:val="21"/>
          <w:highlight w:val="none"/>
        </w:rPr>
        <w:t xml:space="preserve">）：</w:t>
      </w:r>
      <w:r/>
    </w:p>
    <w:p>
      <w:pPr>
        <w:ind w:firstLine="420"/>
        <w:spacing w:line="360" w:lineRule="auto"/>
        <w:tabs>
          <w:tab w:val="left" w:pos="3520" w:leader="none"/>
        </w:tabs>
        <w:rPr>
          <w:color w:val="auto"/>
          <w:sz w:val="21"/>
          <w:szCs w:val="21"/>
          <w:highlight w:val="none"/>
        </w:rPr>
      </w:pPr>
      <w:r>
        <w:rPr>
          <w:color w:val="auto"/>
          <w:sz w:val="21"/>
          <w:szCs w:val="21"/>
          <w:highlight w:val="none"/>
        </w:rPr>
        <w:t xml:space="preserve">供应商名称（盖章）：</w:t>
      </w:r>
      <w:r/>
    </w:p>
    <w:p>
      <w:pPr>
        <w:ind w:firstLine="420"/>
        <w:spacing w:line="360" w:lineRule="auto"/>
        <w:rPr>
          <w:color w:val="auto"/>
          <w:sz w:val="21"/>
          <w:szCs w:val="21"/>
          <w:highlight w:val="none"/>
        </w:rPr>
      </w:pPr>
      <w:r>
        <w:rPr>
          <w:color w:val="auto"/>
          <w:sz w:val="21"/>
          <w:szCs w:val="21"/>
          <w:highlight w:val="none"/>
        </w:rPr>
        <w:t xml:space="preserve">日期：年月日</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rPr>
          <w:b/>
          <w:color w:val="auto"/>
          <w:sz w:val="21"/>
          <w:highlight w:val="none"/>
        </w:rPr>
      </w:pPr>
      <w:r>
        <w:rPr>
          <w:b/>
          <w:color w:val="auto"/>
          <w:sz w:val="21"/>
          <w:highlight w:val="none"/>
        </w:rPr>
        <w:t xml:space="preserve">目录二、法定代表人授权书</w:t>
      </w:r>
      <w:r>
        <w:rPr>
          <w:rFonts w:hint="eastAsia"/>
          <w:b/>
          <w:color w:val="auto"/>
          <w:sz w:val="21"/>
          <w:highlight w:val="none"/>
          <w:lang w:val="en-US"/>
        </w:rPr>
        <w:t xml:space="preserve">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法定代表人授权委托书</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color w:val="auto"/>
          <w:sz w:val="21"/>
          <w:szCs w:val="21"/>
          <w:highlight w:val="none"/>
        </w:rPr>
      </w:pPr>
      <w:r>
        <w:rPr>
          <w:rFonts w:hint="eastAsia"/>
          <w:color w:val="auto"/>
          <w:sz w:val="21"/>
          <w:szCs w:val="21"/>
          <w:highlight w:val="none"/>
        </w:rPr>
        <w:t xml:space="preserve">江苏第二师范学院</w:t>
      </w:r>
      <w:r>
        <w:rPr>
          <w:color w:val="auto"/>
          <w:sz w:val="21"/>
          <w:szCs w:val="21"/>
          <w:highlight w:val="none"/>
        </w:rPr>
        <w:t xml:space="preserve">：</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本授权书于年月 日签字生效，特此声明。</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法定代表人签字：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授权委托人签字：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投标人：（盖章）</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日期：年月 日</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20"/>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被授权人身份证正反面：</w:t>
      </w:r>
      <w:r/>
    </w:p>
    <w:p>
      <w:pPr>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br w:type="page" w:clear="all"/>
      </w:r>
      <w:r/>
    </w:p>
    <w:p>
      <w:pPr>
        <w:ind w:firstLine="420"/>
        <w:spacing w:line="360" w:lineRule="auto"/>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widowControl/>
        <w:rPr>
          <w:b/>
          <w:color w:val="auto"/>
          <w:sz w:val="21"/>
          <w:szCs w:val="21"/>
          <w:highlight w:val="none"/>
        </w:rPr>
        <w:outlineLvl w:val="1"/>
      </w:pPr>
      <w:r>
        <w:rPr>
          <w:rFonts w:hint="eastAsia"/>
          <w:b/>
          <w:color w:val="auto"/>
          <w:sz w:val="21"/>
          <w:szCs w:val="21"/>
          <w:highlight w:val="none"/>
          <w:lang w:val="en-US"/>
        </w:rPr>
        <w:t xml:space="preserve">目录</w:t>
      </w:r>
      <w:r>
        <w:rPr>
          <w:rFonts w:hint="eastAsia"/>
          <w:b/>
          <w:color w:val="auto"/>
          <w:sz w:val="21"/>
          <w:szCs w:val="21"/>
          <w:highlight w:val="none"/>
        </w:rPr>
        <w:t xml:space="preserve">三、开标一览表</w:t>
      </w:r>
      <w:r/>
    </w:p>
    <w:p>
      <w:pPr>
        <w:pStyle w:val="1115"/>
        <w:jc w:val="center"/>
        <w:keepLines w:val="0"/>
        <w:keepNext w:val="0"/>
        <w:widowControl/>
        <w:rPr>
          <w:color w:val="auto"/>
          <w:highlight w:val="none"/>
        </w:rPr>
      </w:pPr>
      <w:r>
        <w:rPr>
          <w:rStyle w:val="1116"/>
          <w:rFonts w:hint="eastAsia" w:cs="宋体"/>
          <w:b/>
          <w:bCs w:val="0"/>
          <w:color w:val="auto"/>
          <w:sz w:val="36"/>
          <w:szCs w:val="36"/>
          <w:highlight w:val="none"/>
        </w:rPr>
        <w:t xml:space="preserve">开标一览表（总价）</w:t>
      </w:r>
      <w:r/>
    </w:p>
    <w:p>
      <w:pPr>
        <w:pStyle w:val="1118"/>
        <w:rPr>
          <w:color w:val="auto"/>
          <w:sz w:val="21"/>
          <w:szCs w:val="20"/>
          <w:highlight w:val="none"/>
        </w:rPr>
      </w:pPr>
      <w:r>
        <w:rPr>
          <w:rFonts w:hint="eastAsia"/>
          <w:color w:val="auto"/>
          <w:sz w:val="21"/>
          <w:szCs w:val="20"/>
          <w:highlight w:val="none"/>
        </w:rPr>
        <w:t xml:space="preserve">投标人全称（CA公章）：供应商名称 </w:t>
      </w:r>
      <w:r/>
    </w:p>
    <w:p>
      <w:pPr>
        <w:pStyle w:val="1118"/>
        <w:rPr>
          <w:color w:val="auto"/>
          <w:sz w:val="21"/>
          <w:szCs w:val="20"/>
          <w:highlight w:val="none"/>
        </w:rPr>
      </w:pPr>
      <w:r>
        <w:rPr>
          <w:rFonts w:hint="eastAsia"/>
          <w:color w:val="auto"/>
          <w:sz w:val="21"/>
          <w:szCs w:val="20"/>
          <w:highlight w:val="none"/>
        </w:rPr>
        <w:t xml:space="preserve">项目名称：</w:t>
      </w:r>
      <w:r/>
    </w:p>
    <w:p>
      <w:pPr>
        <w:pStyle w:val="1118"/>
        <w:rPr>
          <w:color w:val="auto"/>
          <w:sz w:val="21"/>
          <w:szCs w:val="20"/>
          <w:highlight w:val="none"/>
        </w:rPr>
      </w:pPr>
      <w:r>
        <w:rPr>
          <w:rFonts w:hint="eastAsia"/>
          <w:color w:val="auto"/>
          <w:sz w:val="21"/>
          <w:szCs w:val="20"/>
          <w:highlight w:val="none"/>
        </w:rPr>
        <w:t xml:space="preserve">项目编号：</w:t>
      </w:r>
      <w:r/>
    </w:p>
    <w:p>
      <w:pPr>
        <w:pStyle w:val="1118"/>
        <w:rPr>
          <w:color w:val="auto"/>
          <w:highlight w:val="none"/>
        </w:rPr>
      </w:pPr>
      <w:r>
        <w:rPr>
          <w:rFonts w:hint="eastAsia"/>
          <w:color w:val="auto"/>
          <w:sz w:val="21"/>
          <w:szCs w:val="20"/>
          <w:highlight w:val="none"/>
        </w:rPr>
        <w:t xml:space="preserve">分包号：</w:t>
      </w:r>
      <w:r/>
    </w:p>
    <w:tbl>
      <w:tblPr>
        <w:tblStyle w:val="875"/>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118"/>
              <w:jc w:val="center"/>
              <w:rPr>
                <w:color w:val="auto"/>
                <w:sz w:val="21"/>
                <w:szCs w:val="21"/>
                <w:highlight w:val="none"/>
              </w:rPr>
            </w:pPr>
            <w:r>
              <w:rPr>
                <w:rFonts w:hint="eastAsia"/>
                <w:color w:val="auto"/>
                <w:sz w:val="21"/>
                <w:szCs w:val="21"/>
                <w:highlight w:val="none"/>
              </w:rPr>
              <w:t xml:space="preserve">投标项目名称</w:t>
            </w:r>
            <w:r/>
          </w:p>
        </w:tc>
        <w:tc>
          <w:tcPr>
            <w:tcW w:w="2416" w:type="dxa"/>
            <w:vAlign w:val="center"/>
            <w:textDirection w:val="lrTb"/>
            <w:noWrap w:val="false"/>
          </w:tcPr>
          <w:p>
            <w:pPr>
              <w:pStyle w:val="1118"/>
              <w:jc w:val="center"/>
              <w:rPr>
                <w:color w:val="auto"/>
                <w:sz w:val="21"/>
                <w:szCs w:val="21"/>
                <w:highlight w:val="none"/>
              </w:rPr>
            </w:pPr>
            <w:r>
              <w:rPr>
                <w:rFonts w:hint="eastAsia"/>
                <w:color w:val="auto"/>
                <w:sz w:val="21"/>
                <w:szCs w:val="21"/>
                <w:highlight w:val="none"/>
              </w:rPr>
              <w:t xml:space="preserve">总价（小写）</w:t>
            </w:r>
            <w:r/>
          </w:p>
        </w:tc>
      </w:tr>
      <w:tr>
        <w:trPr>
          <w:tblCellSpacing w:w="15" w:type="dxa"/>
          <w:trHeight w:val="825"/>
        </w:trPr>
        <w:tc>
          <w:tcPr>
            <w:tcW w:w="898" w:type="dxa"/>
            <w:vAlign w:val="center"/>
            <w:textDirection w:val="lrTb"/>
            <w:noWrap w:val="false"/>
          </w:tcPr>
          <w:p>
            <w:pPr>
              <w:jc w:val="center"/>
              <w:widowControl/>
              <w:rPr>
                <w:color w:val="auto"/>
                <w:sz w:val="21"/>
                <w:szCs w:val="21"/>
                <w:highlight w:val="none"/>
              </w:rPr>
            </w:pPr>
            <w:r>
              <w:rPr>
                <w:rFonts w:hint="eastAsia"/>
                <w:color w:val="auto"/>
                <w:sz w:val="21"/>
                <w:szCs w:val="21"/>
                <w:highlight w:val="none"/>
                <w:lang w:bidi="ar"/>
              </w:rPr>
              <w:t xml:space="preserve"> 投标项目名称 </w:t>
            </w:r>
            <w:r/>
          </w:p>
        </w:tc>
        <w:tc>
          <w:tcPr>
            <w:tcW w:w="2416" w:type="dxa"/>
            <w:vAlign w:val="center"/>
            <w:textDirection w:val="lrTb"/>
            <w:noWrap w:val="false"/>
          </w:tcPr>
          <w:p>
            <w:pPr>
              <w:pStyle w:val="1118"/>
              <w:rPr>
                <w:color w:val="auto"/>
                <w:sz w:val="21"/>
                <w:szCs w:val="21"/>
                <w:highlight w:val="none"/>
              </w:rPr>
            </w:pPr>
            <w:r>
              <w:rPr>
                <w:rFonts w:hint="eastAsia"/>
                <w:color w:val="auto"/>
                <w:sz w:val="21"/>
                <w:szCs w:val="21"/>
                <w:highlight w:val="none"/>
              </w:rPr>
              <w:t xml:space="preserve"> </w:t>
            </w:r>
            <w:r>
              <w:rPr>
                <w:rFonts w:hint="eastAsia"/>
                <w:color w:val="auto"/>
                <w:sz w:val="21"/>
                <w:szCs w:val="21"/>
                <w:highlight w:val="none"/>
              </w:rPr>
              <w:fldChar w:fldCharType="begin"/>
            </w:r>
            <w:r>
              <w:rPr>
                <w:rFonts w:hint="eastAsia"/>
                <w:color w:val="auto"/>
                <w:sz w:val="21"/>
                <w:szCs w:val="21"/>
                <w:highlight w:val="none"/>
              </w:rPr>
              <w:instrText xml:space="preserve"> CONTROL Forms.HTML:Text.1 \s </w:instrText>
            </w:r>
            <w:r>
              <w:rPr>
                <w:rFonts w:hint="eastAsia"/>
                <w:color w:val="auto"/>
                <w:sz w:val="21"/>
                <w:szCs w:val="21"/>
                <w:highlight w:val="none"/>
              </w:rPr>
              <w:fldChar w:fldCharType="separate"/>
            </w:r>
            <w:r>
              <w:rPr>
                <w:rFonts w:hint="eastAsia"/>
                <w:color w:val="auto"/>
                <w:sz w:val="21"/>
                <w:szCs w:val="21"/>
                <w:highlight w:val="none"/>
                <w:lang w:val="en-US" w:bidi="ar-SA"/>
              </w:rPr>
              <mc:AlternateContent>
                <mc:Choice Requires="wpg">
                  <w:drawing>
                    <wp:inline xmlns:wp="http://schemas.openxmlformats.org/drawingml/2006/wordprocessingDrawing" distT="0" distB="0" distL="0" distR="0">
                      <wp:extent cx="723900" cy="22860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7" o:title=""/>
                    </v:shape>
                  </w:pict>
                </mc:Fallback>
              </mc:AlternateContent>
            </w:r>
            <w:r>
              <w:rPr>
                <w:rFonts w:hint="eastAsia"/>
                <w:color w:val="auto"/>
                <w:sz w:val="21"/>
                <w:szCs w:val="21"/>
                <w:highlight w:val="none"/>
              </w:rPr>
              <w:fldChar w:fldCharType="end"/>
            </w:r>
            <w:r>
              <w:rPr>
                <w:rFonts w:hint="eastAsia"/>
                <w:color w:val="auto"/>
                <w:sz w:val="21"/>
                <w:szCs w:val="21"/>
                <w:highlight w:val="none"/>
              </w:rPr>
              <w:t xml:space="preserve"> 元</w:t>
            </w:r>
            <w:r/>
          </w:p>
        </w:tc>
      </w:tr>
    </w:tbl>
    <w:p>
      <w:pPr>
        <w:ind w:firstLine="420"/>
        <w:spacing w:line="360" w:lineRule="auto"/>
        <w:rPr>
          <w:color w:val="auto"/>
          <w:sz w:val="21"/>
          <w:szCs w:val="21"/>
          <w:highlight w:val="none"/>
        </w:rPr>
      </w:pPr>
      <w:r>
        <w:rPr>
          <w:rFonts w:hint="eastAsia"/>
          <w:color w:val="auto"/>
          <w:highlight w:val="none"/>
        </w:rPr>
        <w:t xml:space="preserve">          </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8" name="图片 3"/>
                <wp:cNvGraphicFramePr/>
                <a:graphic xmlns:a="http://schemas.openxmlformats.org/drawingml/2006/main">
                  <a:graphicData uri="http://schemas.openxmlformats.org/drawingml/2006/picture">
                    <pic:pic xmlns:pic="http://schemas.openxmlformats.org/drawingml/2006/picture">
                      <pic:nvPicPr>
                        <pic:cNvPr id="7" name="图片 3"/>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7" o:title=""/>
              </v:shape>
            </w:pict>
          </mc:Fallback>
        </mc:AlternateContent>
      </w:r>
      <w:r>
        <w:rPr>
          <w:rFonts w:hint="eastAsia"/>
          <w:color w:val="auto"/>
          <w:highlight w:val="none"/>
        </w:rPr>
        <w:fldChar w:fldCharType="end"/>
      </w:r>
      <w:r>
        <w:rPr>
          <w:rFonts w:hint="eastAsia"/>
          <w:color w:val="auto"/>
          <w:highlight w:val="none"/>
        </w:rPr>
        <w:t xml:space="preserve"> 年</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9" name="图片 4"/>
                <wp:cNvGraphicFramePr/>
                <a:graphic xmlns:a="http://schemas.openxmlformats.org/drawingml/2006/main">
                  <a:graphicData uri="http://schemas.openxmlformats.org/drawingml/2006/picture">
                    <pic:pic xmlns:pic="http://schemas.openxmlformats.org/drawingml/2006/picture">
                      <pic:nvPicPr>
                        <pic:cNvPr id="8" name="图片 4"/>
                        <pic:cNvPicPr/>
                        <pic:nvPr/>
                      </pic:nvPicPr>
                      <pic:blipFill>
                        <a:blip r:embed="rId17"/>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7" o:title=""/>
              </v:shape>
            </w:pict>
          </mc:Fallback>
        </mc:AlternateContent>
      </w:r>
      <w:r>
        <w:rPr>
          <w:rFonts w:hint="eastAsia"/>
          <w:color w:val="auto"/>
          <w:highlight w:val="none"/>
        </w:rPr>
        <w:fldChar w:fldCharType="end"/>
      </w:r>
      <w:r>
        <w:rPr>
          <w:rFonts w:hint="eastAsia"/>
          <w:color w:val="auto"/>
          <w:highlight w:val="none"/>
        </w:rPr>
        <w:t xml:space="preserve"> 月</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10" name="图片 5"/>
                <wp:cNvGraphicFramePr/>
                <a:graphic xmlns:a="http://schemas.openxmlformats.org/drawingml/2006/main">
                  <a:graphicData uri="http://schemas.openxmlformats.org/drawingml/2006/picture">
                    <pic:pic xmlns:pic="http://schemas.openxmlformats.org/drawingml/2006/picture">
                      <pic:nvPicPr>
                        <pic:cNvPr id="9" name="图片 5"/>
                        <pic:cNvPicPr/>
                        <pic:nvPr/>
                      </pic:nvPicPr>
                      <pic:blipFill>
                        <a:blip r:embed="rId17"/>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7" o:title=""/>
              </v:shape>
            </w:pict>
          </mc:Fallback>
        </mc:AlternateContent>
      </w:r>
      <w:r>
        <w:rPr>
          <w:rFonts w:hint="eastAsia"/>
          <w:color w:val="auto"/>
          <w:highlight w:val="none"/>
        </w:rPr>
        <w:fldChar w:fldCharType="end"/>
      </w:r>
      <w:r>
        <w:rPr>
          <w:rFonts w:hint="eastAsia"/>
          <w:color w:val="auto"/>
          <w:highlight w:val="none"/>
        </w:rPr>
        <w:t xml:space="preserve"> 日</w:t>
      </w:r>
      <w:r/>
    </w:p>
    <w:p>
      <w:pPr>
        <w:ind w:firstLine="440"/>
        <w:spacing w:line="360" w:lineRule="auto"/>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ind w:firstLine="422"/>
        <w:spacing w:line="360" w:lineRule="auto"/>
        <w:rPr>
          <w:b/>
          <w:color w:val="auto"/>
          <w:sz w:val="21"/>
          <w:highlight w:val="none"/>
        </w:rPr>
        <w:sectPr>
          <w:footnotePr/>
          <w:endnotePr/>
          <w:type w:val="continuous"/>
          <w:pgSz w:w="11910" w:h="16840" w:orient="portrait"/>
          <w:pgMar w:top="1134" w:right="1134" w:bottom="1134" w:left="1134" w:header="567" w:footer="567" w:gutter="0"/>
          <w:cols w:num="1" w:sep="0" w:space="720" w:equalWidth="1"/>
          <w:docGrid w:linePitch="360"/>
        </w:sect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目录四、分项报价表格式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分项报价表</w:t>
      </w:r>
      <w:r/>
    </w:p>
    <w:p>
      <w:pPr>
        <w:ind w:firstLine="420"/>
        <w:spacing w:line="360" w:lineRule="auto"/>
        <w:tabs>
          <w:tab w:val="left" w:pos="6952"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p>
      <w:pPr>
        <w:jc w:val="center"/>
        <w:spacing w:line="360" w:lineRule="auto"/>
        <w:widowControl/>
        <w:rPr>
          <w:rFonts w:hAnsi="Times New Roman"/>
          <w:bCs/>
          <w:color w:val="auto"/>
          <w:sz w:val="21"/>
          <w:szCs w:val="21"/>
          <w:highlight w:val="none"/>
          <w:lang w:bidi="ar-SA"/>
        </w:rPr>
        <w:sectPr>
          <w:footnotePr/>
          <w:endnotePr/>
          <w:type w:val="continuous"/>
          <w:pgSz w:w="11910" w:h="16840" w:orient="portrait"/>
          <w:pgMar w:top="1134" w:right="1134" w:bottom="1134" w:left="1134" w:header="567" w:footer="567" w:gutter="0"/>
          <w:cols w:num="1" w:sep="0" w:space="720" w:equalWidth="1"/>
          <w:docGrid w:linePitch="360"/>
        </w:sectPr>
      </w:pPr>
      <w:r>
        <w:rPr>
          <w:rFonts w:hAnsi="Times New Roman"/>
          <w:bCs/>
          <w:color w:val="auto"/>
          <w:sz w:val="21"/>
          <w:szCs w:val="21"/>
          <w:highlight w:val="none"/>
          <w:lang w:bidi="ar-SA"/>
        </w:rPr>
      </w:r>
      <w:r/>
    </w:p>
    <w:tbl>
      <w:tblPr>
        <w:tblStyle w:val="875"/>
        <w:tblW w:w="10632"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956"/>
        <w:gridCol w:w="879"/>
        <w:gridCol w:w="851"/>
        <w:gridCol w:w="851"/>
        <w:gridCol w:w="850"/>
        <w:gridCol w:w="1701"/>
        <w:gridCol w:w="1560"/>
        <w:gridCol w:w="708"/>
      </w:tblGrid>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color w:val="auto"/>
                <w:sz w:val="24"/>
                <w:highlight w:val="none"/>
              </w:rPr>
            </w:pPr>
            <w:r>
              <w:rPr>
                <w:rFonts w:hint="eastAsia"/>
                <w:color w:val="auto"/>
                <w:sz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jc w:val="center"/>
              <w:spacing w:line="360" w:lineRule="auto"/>
              <w:rPr>
                <w:color w:val="auto"/>
                <w:sz w:val="24"/>
                <w:highlight w:val="none"/>
              </w:rPr>
            </w:pPr>
            <w:r>
              <w:rPr>
                <w:rFonts w:hint="eastAsia"/>
                <w:color w:val="auto"/>
                <w:sz w:val="24"/>
                <w:highlight w:val="none"/>
              </w:rPr>
              <w:t xml:space="preserve">品牌、规格、型号、产地 </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spacing w:line="360" w:lineRule="auto"/>
              <w:rPr>
                <w:color w:val="auto"/>
                <w:sz w:val="24"/>
                <w:highlight w:val="none"/>
              </w:rPr>
            </w:pPr>
            <w:r>
              <w:rPr>
                <w:rFonts w:hint="eastAsia"/>
                <w:color w:val="auto"/>
                <w:sz w:val="24"/>
                <w:highlight w:val="none"/>
              </w:rPr>
              <w:t xml:space="preserve">数量 </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color w:val="auto"/>
                <w:sz w:val="24"/>
                <w:highlight w:val="none"/>
              </w:rPr>
            </w:pPr>
            <w:r>
              <w:rPr>
                <w:rFonts w:hint="eastAsia"/>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color w:val="auto"/>
                <w:sz w:val="24"/>
                <w:highlight w:val="none"/>
              </w:rPr>
            </w:pPr>
            <w:r>
              <w:rPr>
                <w:rFonts w:hint="eastAsia"/>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60" w:lineRule="auto"/>
              <w:rPr>
                <w:color w:val="auto"/>
                <w:sz w:val="24"/>
                <w:highlight w:val="none"/>
              </w:rPr>
            </w:pPr>
            <w:r>
              <w:rPr>
                <w:rFonts w:hint="eastAsia"/>
                <w:color w:val="auto"/>
                <w:sz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360" w:lineRule="auto"/>
              <w:rPr>
                <w:color w:val="auto"/>
                <w:sz w:val="24"/>
                <w:highlight w:val="none"/>
              </w:rPr>
            </w:pPr>
            <w:r>
              <w:rPr>
                <w:rFonts w:hint="eastAsia"/>
                <w:color w:val="auto"/>
                <w:sz w:val="24"/>
                <w:highlight w:val="none"/>
              </w:rPr>
              <w:t xml:space="preserve">交付时间</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jc w:val="center"/>
              <w:spacing w:line="360" w:lineRule="auto"/>
              <w:rPr>
                <w:color w:val="auto"/>
                <w:sz w:val="24"/>
                <w:highlight w:val="none"/>
              </w:rPr>
            </w:pPr>
            <w:r>
              <w:rPr>
                <w:rFonts w:hint="eastAsia"/>
                <w:color w:val="auto"/>
                <w:sz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jc w:val="center"/>
              <w:spacing w:line="360" w:lineRule="auto"/>
              <w:rPr>
                <w:color w:val="auto"/>
                <w:sz w:val="24"/>
                <w:highlight w:val="none"/>
              </w:rPr>
            </w:pPr>
            <w:r>
              <w:rPr>
                <w:rFonts w:hint="eastAsia"/>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spacing w:line="360" w:lineRule="auto"/>
              <w:rPr>
                <w:color w:val="auto"/>
                <w:sz w:val="24"/>
                <w:highlight w:val="none"/>
              </w:rPr>
            </w:pPr>
            <w:r>
              <w:rPr>
                <w:color w:val="auto"/>
                <w:sz w:val="24"/>
                <w:highlight w:val="none"/>
              </w:rPr>
            </w:r>
            <w:r/>
          </w:p>
        </w:tc>
      </w:tr>
    </w:tbl>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ind w:firstLine="420"/>
        <w:spacing w:line="360" w:lineRule="auto"/>
        <w:rPr>
          <w:color w:val="auto"/>
          <w:sz w:val="21"/>
          <w:szCs w:val="21"/>
          <w:highlight w:val="none"/>
        </w:rPr>
      </w:pPr>
      <w:r>
        <w:rPr>
          <w:color w:val="auto"/>
          <w:sz w:val="21"/>
          <w:szCs w:val="21"/>
          <w:highlight w:val="none"/>
        </w:rPr>
        <w:t xml:space="preserve">说明：</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本表仅供参考，</w:t>
      </w:r>
      <w:r>
        <w:rPr>
          <w:color w:val="auto"/>
          <w:sz w:val="21"/>
          <w:szCs w:val="21"/>
          <w:highlight w:val="none"/>
        </w:rPr>
        <w:t xml:space="preserve">供应商可以根据实际情况自行罗列相关子项目，并将相关报价罗列于上述“分项报价表”中；行数不够，自行添加。</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lang w:val="en-US"/>
        </w:rPr>
        <w:sectPr>
          <w:footnotePr/>
          <w:endnotePr/>
          <w:type w:val="continuous"/>
          <w:pgSz w:w="11910" w:h="16840" w:orient="portrait"/>
          <w:pgMar w:top="1134" w:right="1134" w:bottom="1134" w:left="1134" w:header="567" w:footer="567" w:gutter="0"/>
          <w:cols w:num="1" w:sep="0" w:space="720" w:equalWidth="1"/>
          <w:docGrid w:linePitch="360"/>
        </w:sectPr>
      </w:pPr>
      <w:r>
        <w:rPr>
          <w:color w:val="auto"/>
          <w:sz w:val="21"/>
          <w:szCs w:val="21"/>
          <w:highlight w:val="none"/>
          <w:lang w:val="en-US"/>
        </w:rPr>
      </w:r>
      <w:r/>
    </w:p>
    <w:p>
      <w:pPr>
        <w:spacing w:line="360" w:lineRule="auto"/>
        <w:rPr>
          <w:color w:val="auto"/>
          <w:sz w:val="19"/>
          <w:szCs w:val="21"/>
          <w:highlight w:val="none"/>
        </w:rPr>
      </w:pPr>
      <w:r>
        <w:rPr>
          <w:color w:val="auto"/>
          <w:sz w:val="19"/>
          <w:szCs w:val="21"/>
          <w:highlight w:val="none"/>
        </w:rPr>
      </w:r>
      <w:r/>
    </w:p>
    <w:p>
      <w:pPr>
        <w:spacing w:line="360" w:lineRule="auto"/>
        <w:rPr>
          <w:b/>
          <w:color w:val="auto"/>
          <w:sz w:val="21"/>
          <w:highlight w:val="none"/>
        </w:rPr>
      </w:pPr>
      <w:r>
        <w:rPr>
          <w:b/>
          <w:color w:val="auto"/>
          <w:sz w:val="21"/>
          <w:highlight w:val="none"/>
        </w:rPr>
        <w:br w:type="page" w:clear="all"/>
      </w:r>
      <w:r>
        <w:rPr>
          <w:b/>
          <w:color w:val="auto"/>
          <w:sz w:val="21"/>
          <w:highlight w:val="none"/>
        </w:rPr>
        <w:t xml:space="preserve">目录</w:t>
      </w:r>
      <w:r>
        <w:rPr>
          <w:rFonts w:hint="eastAsia"/>
          <w:b/>
          <w:color w:val="auto"/>
          <w:sz w:val="21"/>
          <w:highlight w:val="none"/>
        </w:rPr>
        <w:t xml:space="preserve">五</w:t>
      </w:r>
      <w:r>
        <w:rPr>
          <w:b/>
          <w:color w:val="auto"/>
          <w:sz w:val="21"/>
          <w:highlight w:val="none"/>
        </w:rPr>
        <w:t xml:space="preserve">、技术条款偏离表格式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技术条款偏离表</w:t>
      </w:r>
      <w:r/>
    </w:p>
    <w:p>
      <w:pPr>
        <w:jc w:val="center"/>
        <w:spacing w:line="360" w:lineRule="auto"/>
        <w:rPr>
          <w:rFonts w:asciiTheme="minorEastAsia" w:hAnsiTheme="minorEastAsia" w:eastAsiaTheme="minorEastAsia"/>
          <w:b/>
          <w:color w:val="auto"/>
          <w:sz w:val="36"/>
          <w:highlight w:val="none"/>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color w:val="auto"/>
          <w:sz w:val="36"/>
          <w:highlight w:val="none"/>
        </w:rPr>
      </w:r>
      <w:r/>
    </w:p>
    <w:p>
      <w:pPr>
        <w:ind w:left="240"/>
        <w:spacing w:line="360" w:lineRule="auto"/>
        <w:tabs>
          <w:tab w:val="left" w:pos="6736"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tbl>
      <w:tblPr>
        <w:tblStyle w:val="87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rPr>
                <w:color w:val="auto"/>
                <w:sz w:val="21"/>
                <w:highlight w:val="none"/>
              </w:rPr>
            </w:pPr>
            <w:r>
              <w:rPr>
                <w:rFonts w:hint="eastAsia"/>
                <w:color w:val="auto"/>
                <w:sz w:val="21"/>
                <w:highlight w:val="none"/>
              </w:rPr>
              <w:t xml:space="preserve">招标要求条款</w:t>
            </w:r>
            <w:r/>
          </w:p>
        </w:tc>
        <w:tc>
          <w:tcPr>
            <w:tcW w:w="3240" w:type="dxa"/>
            <w:vAlign w:val="center"/>
            <w:textDirection w:val="lrTb"/>
            <w:noWrap w:val="false"/>
          </w:tcPr>
          <w:p>
            <w:pPr>
              <w:jc w:val="center"/>
              <w:rPr>
                <w:color w:val="auto"/>
                <w:sz w:val="21"/>
                <w:highlight w:val="none"/>
              </w:rPr>
            </w:pPr>
            <w:r>
              <w:rPr>
                <w:color w:val="auto"/>
                <w:sz w:val="21"/>
                <w:highlight w:val="none"/>
              </w:rPr>
              <w:t xml:space="preserve">投标响应</w:t>
            </w:r>
            <w:r/>
          </w:p>
        </w:tc>
        <w:tc>
          <w:tcPr>
            <w:tcW w:w="1110" w:type="dxa"/>
            <w:vAlign w:val="center"/>
            <w:textDirection w:val="lrTb"/>
            <w:noWrap w:val="false"/>
          </w:tcPr>
          <w:p>
            <w:pPr>
              <w:jc w:val="center"/>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110" w:type="dxa"/>
            <w:textDirection w:val="lrTb"/>
            <w:noWrap w:val="false"/>
          </w:tcPr>
          <w:p>
            <w:pPr>
              <w:jc w:val="center"/>
              <w:rPr>
                <w:color w:val="auto"/>
                <w:sz w:val="21"/>
                <w:highlight w:val="none"/>
              </w:rPr>
            </w:pPr>
            <w:r>
              <w:rPr>
                <w:rFonts w:hint="eastAsia"/>
                <w:color w:val="auto"/>
                <w:sz w:val="21"/>
                <w:highlight w:val="none"/>
              </w:rPr>
              <w:t xml:space="preserve">页码</w:t>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8"/>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bl>
    <w:p>
      <w:pPr>
        <w:spacing w:line="360" w:lineRule="auto"/>
        <w:rPr>
          <w:color w:val="auto"/>
          <w:sz w:val="10"/>
          <w:szCs w:val="21"/>
          <w:highlight w:val="none"/>
        </w:rPr>
      </w:pPr>
      <w:r>
        <w:rPr>
          <w:color w:val="auto"/>
          <w:sz w:val="10"/>
          <w:szCs w:val="21"/>
          <w:highlight w:val="none"/>
        </w:rPr>
      </w:r>
      <w:r/>
    </w:p>
    <w:p>
      <w:pPr>
        <w:ind w:left="223"/>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spacing w:line="360" w:lineRule="auto"/>
        <w:rPr>
          <w:color w:val="auto"/>
          <w:sz w:val="15"/>
          <w:szCs w:val="21"/>
          <w:highlight w:val="none"/>
        </w:rPr>
      </w:pPr>
      <w:r>
        <w:rPr>
          <w:color w:val="auto"/>
          <w:sz w:val="15"/>
          <w:szCs w:val="21"/>
          <w:highlight w:val="none"/>
        </w:rPr>
      </w:r>
      <w:r/>
    </w:p>
    <w:p>
      <w:pPr>
        <w:ind w:left="223"/>
        <w:spacing w:line="360" w:lineRule="auto"/>
        <w:rPr>
          <w:color w:val="auto"/>
          <w:sz w:val="21"/>
          <w:szCs w:val="21"/>
          <w:highlight w:val="none"/>
        </w:rPr>
      </w:pPr>
      <w:r>
        <w:rPr>
          <w:color w:val="auto"/>
          <w:sz w:val="21"/>
          <w:szCs w:val="21"/>
          <w:highlight w:val="none"/>
        </w:rPr>
        <w:t xml:space="preserve">说明：1、如果行数不够，请自行增加</w:t>
      </w:r>
      <w:r>
        <w:rPr>
          <w:rFonts w:hint="eastAsia"/>
          <w:color w:val="auto"/>
          <w:sz w:val="21"/>
          <w:szCs w:val="21"/>
          <w:highlight w:val="none"/>
        </w:rPr>
        <w:t xml:space="preserve">。</w:t>
      </w:r>
      <w:r/>
    </w:p>
    <w:p>
      <w:pPr>
        <w:ind w:left="223"/>
        <w:spacing w:line="360" w:lineRule="auto"/>
        <w:rPr>
          <w:color w:val="auto"/>
          <w:sz w:val="21"/>
          <w:szCs w:val="21"/>
          <w:highlight w:val="none"/>
        </w:rPr>
      </w:pPr>
      <w:r>
        <w:rPr>
          <w:color w:val="auto"/>
          <w:sz w:val="21"/>
          <w:szCs w:val="21"/>
          <w:highlight w:val="none"/>
        </w:rPr>
      </w:r>
      <w:r/>
    </w:p>
    <w:p>
      <w:pPr>
        <w:ind w:left="223"/>
        <w:spacing w:line="360" w:lineRule="auto"/>
        <w:rPr>
          <w:b/>
          <w:color w:val="auto"/>
          <w:sz w:val="21"/>
          <w:highlight w:val="none"/>
        </w:rPr>
      </w:pPr>
      <w:r>
        <w:rPr>
          <w:b/>
          <w:color w:val="auto"/>
          <w:sz w:val="21"/>
          <w:highlight w:val="none"/>
        </w:rPr>
      </w:r>
      <w:r/>
    </w:p>
    <w:p>
      <w:pPr>
        <w:spacing w:line="360" w:lineRule="auto"/>
        <w:rPr>
          <w:color w:val="auto"/>
          <w:sz w:val="21"/>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sz w:val="21"/>
          <w:highlight w:val="none"/>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六</w:t>
      </w:r>
      <w:r>
        <w:rPr>
          <w:b/>
          <w:color w:val="auto"/>
          <w:sz w:val="21"/>
          <w:highlight w:val="none"/>
        </w:rPr>
        <w:t xml:space="preserve">、商务条款偏离表</w:t>
      </w:r>
      <w:r>
        <w:rPr>
          <w:rFonts w:hint="eastAsia"/>
          <w:b/>
          <w:color w:val="auto"/>
          <w:sz w:val="21"/>
          <w:highlight w:val="none"/>
        </w:rPr>
        <w:t xml:space="preserve">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商务条款偏离表</w:t>
      </w:r>
      <w:r/>
    </w:p>
    <w:p>
      <w:pP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ind w:firstLine="420"/>
        <w:spacing w:line="360" w:lineRule="auto"/>
        <w:rPr>
          <w:color w:val="auto"/>
          <w:sz w:val="6"/>
          <w:szCs w:val="21"/>
          <w:highlight w:val="none"/>
        </w:rPr>
      </w:pPr>
      <w:r>
        <w:rPr>
          <w:color w:val="auto"/>
          <w:sz w:val="21"/>
          <w:szCs w:val="21"/>
          <w:highlight w:val="none"/>
        </w:rPr>
        <w:t xml:space="preserve">项目名称：项目编号：</w:t>
      </w:r>
      <w:r/>
    </w:p>
    <w:tbl>
      <w:tblPr>
        <w:tblStyle w:val="8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招标文件要求的商务条款</w:t>
            </w:r>
            <w:r/>
          </w:p>
        </w:tc>
        <w:tc>
          <w:tcPr>
            <w:tcW w:w="2873" w:type="dxa"/>
            <w:vAlign w:val="center"/>
            <w:textDirection w:val="lrTb"/>
            <w:noWrap w:val="false"/>
          </w:tcPr>
          <w:p>
            <w:pPr>
              <w:jc w:val="center"/>
              <w:spacing w:line="360" w:lineRule="auto"/>
              <w:rPr>
                <w:color w:val="auto"/>
                <w:sz w:val="21"/>
                <w:highlight w:val="none"/>
              </w:rPr>
            </w:pPr>
            <w:r>
              <w:rPr>
                <w:color w:val="auto"/>
                <w:sz w:val="21"/>
                <w:highlight w:val="none"/>
              </w:rPr>
              <w:t xml:space="preserve">投标响应</w:t>
            </w:r>
            <w:r/>
          </w:p>
        </w:tc>
        <w:tc>
          <w:tcPr>
            <w:tcW w:w="1519" w:type="dxa"/>
            <w:vAlign w:val="center"/>
            <w:textDirection w:val="lrTb"/>
            <w:noWrap w:val="false"/>
          </w:tcPr>
          <w:p>
            <w:pPr>
              <w:jc w:val="center"/>
              <w:spacing w:line="360" w:lineRule="auto"/>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519" w:type="dxa"/>
            <w:textDirection w:val="lrTb"/>
            <w:noWrap w:val="false"/>
          </w:tcPr>
          <w:p>
            <w:pPr>
              <w:jc w:val="center"/>
              <w:spacing w:line="360" w:lineRule="auto"/>
              <w:rPr>
                <w:color w:val="auto"/>
                <w:sz w:val="21"/>
                <w:highlight w:val="none"/>
              </w:rPr>
            </w:pPr>
            <w:r>
              <w:rPr>
                <w:rFonts w:hint="eastAsia"/>
                <w:color w:val="auto"/>
                <w:sz w:val="21"/>
                <w:highlight w:val="none"/>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bl>
    <w:p>
      <w:pPr>
        <w:ind w:firstLine="420"/>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ind w:firstLine="300"/>
        <w:spacing w:line="360" w:lineRule="auto"/>
        <w:rPr>
          <w:color w:val="auto"/>
          <w:sz w:val="15"/>
          <w:szCs w:val="21"/>
          <w:highlight w:val="none"/>
        </w:rPr>
      </w:pPr>
      <w:r>
        <w:rPr>
          <w:color w:val="auto"/>
          <w:sz w:val="15"/>
          <w:szCs w:val="21"/>
          <w:highlight w:val="none"/>
        </w:rPr>
      </w:r>
      <w:r/>
    </w:p>
    <w:p>
      <w:pPr>
        <w:ind w:firstLine="420"/>
        <w:spacing w:line="360" w:lineRule="auto"/>
        <w:rPr>
          <w:color w:val="auto"/>
          <w:sz w:val="21"/>
          <w:szCs w:val="21"/>
          <w:highlight w:val="none"/>
        </w:rPr>
      </w:pPr>
      <w:r>
        <w:rPr>
          <w:color w:val="auto"/>
          <w:sz w:val="21"/>
          <w:szCs w:val="21"/>
          <w:highlight w:val="none"/>
        </w:rPr>
        <w:t xml:space="preserve">说明：如果行数不够，请自行增加。</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七</w:t>
      </w:r>
      <w:r>
        <w:rPr>
          <w:b/>
          <w:color w:val="auto"/>
          <w:sz w:val="21"/>
          <w:highlight w:val="none"/>
        </w:rPr>
        <w:t xml:space="preserve">、</w:t>
      </w:r>
      <w:r>
        <w:rPr>
          <w:rFonts w:hint="eastAsia"/>
          <w:b/>
          <w:color w:val="auto"/>
          <w:sz w:val="21"/>
          <w:highlight w:val="none"/>
        </w:rPr>
        <w:t xml:space="preserve">技术</w:t>
      </w:r>
      <w:r>
        <w:rPr>
          <w:b/>
          <w:color w:val="auto"/>
          <w:sz w:val="21"/>
          <w:highlight w:val="none"/>
        </w:rPr>
        <w:t xml:space="preserve">方案</w:t>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技术</w:t>
      </w:r>
      <w:r>
        <w:rPr>
          <w:rFonts w:asciiTheme="minorEastAsia" w:hAnsiTheme="minorEastAsia" w:eastAsiaTheme="minorEastAsia"/>
          <w:b/>
          <w:color w:val="auto"/>
          <w:sz w:val="36"/>
          <w:highlight w:val="none"/>
        </w:rPr>
        <w:t xml:space="preserve">方案（</w:t>
      </w:r>
      <w:r>
        <w:rPr>
          <w:rFonts w:hint="eastAsia" w:asciiTheme="minorEastAsia" w:hAnsiTheme="minorEastAsia" w:eastAsiaTheme="minorEastAsia"/>
          <w:b/>
          <w:color w:val="auto"/>
          <w:sz w:val="36"/>
          <w:highlight w:val="none"/>
        </w:rPr>
        <w:t xml:space="preserve">内容自拟</w:t>
      </w:r>
      <w:r>
        <w:rPr>
          <w:rFonts w:asciiTheme="minorEastAsia" w:hAnsiTheme="minorEastAsia" w:eastAsiaTheme="minorEastAsia"/>
          <w:b/>
          <w:color w:val="auto"/>
          <w:sz w:val="36"/>
          <w:highlight w:val="none"/>
        </w:rPr>
        <w:t xml:space="preserve">）</w:t>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八</w:t>
      </w:r>
      <w:r>
        <w:rPr>
          <w:b/>
          <w:color w:val="auto"/>
          <w:sz w:val="21"/>
          <w:highlight w:val="none"/>
        </w:rPr>
        <w:t xml:space="preserve">、</w:t>
      </w:r>
      <w:r>
        <w:rPr>
          <w:rFonts w:hint="eastAsia"/>
          <w:b/>
          <w:color w:val="auto"/>
          <w:sz w:val="21"/>
          <w:highlight w:val="none"/>
        </w:rPr>
        <w:t xml:space="preserve">拟参与本项目供货人员一览表</w:t>
      </w:r>
      <w:r/>
    </w:p>
    <w:p>
      <w:pPr>
        <w:contextualSpacing/>
        <w:ind w:firstLine="360"/>
        <w:jc w:val="cente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拟参与本项目供货人员一览表</w:t>
      </w:r>
      <w:r/>
    </w:p>
    <w:p>
      <w:pPr>
        <w:spacing w:line="360" w:lineRule="auto"/>
        <w:rPr>
          <w:color w:val="auto"/>
          <w:sz w:val="21"/>
          <w:szCs w:val="21"/>
          <w:highlight w:val="none"/>
        </w:rPr>
        <w:sectPr>
          <w:footnotePr/>
          <w:endnotePr/>
          <w:type w:val="continuous"/>
          <w:pgSz w:w="11910" w:h="16840" w:orient="portrait"/>
          <w:pgMar w:top="1134" w:right="1134" w:bottom="1134" w:left="1134" w:header="567" w:footer="720" w:gutter="0"/>
          <w:cols w:num="1" w:sep="0" w:space="720" w:equalWidth="1"/>
          <w:docGrid w:linePitch="360"/>
        </w:sectPr>
      </w:pPr>
      <w:r>
        <w:rPr>
          <w:color w:val="auto"/>
          <w:sz w:val="21"/>
          <w:szCs w:val="21"/>
          <w:highlight w:val="none"/>
        </w:rPr>
      </w:r>
      <w:r/>
    </w:p>
    <w:tbl>
      <w:tblPr>
        <w:tblStyle w:val="875"/>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岗位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bl>
    <w:p>
      <w:pPr>
        <w:ind w:firstLine="210"/>
        <w:spacing w:line="360" w:lineRule="auto"/>
        <w:rPr>
          <w:bCs/>
          <w:color w:val="auto"/>
          <w:sz w:val="21"/>
          <w:highlight w:val="none"/>
        </w:rPr>
      </w:pPr>
      <w:r>
        <w:rPr>
          <w:rFonts w:hint="eastAsia"/>
          <w:bCs/>
          <w:color w:val="auto"/>
          <w:sz w:val="21"/>
          <w:highlight w:val="none"/>
        </w:rPr>
        <w:t xml:space="preserve">供应商名称：（盖章）</w:t>
      </w:r>
      <w:r/>
    </w:p>
    <w:p>
      <w:pPr>
        <w:ind w:firstLine="210"/>
        <w:spacing w:line="360" w:lineRule="auto"/>
        <w:rPr>
          <w:bCs/>
          <w:color w:val="auto"/>
          <w:sz w:val="21"/>
          <w:highlight w:val="none"/>
        </w:rPr>
      </w:pPr>
      <w:r>
        <w:rPr>
          <w:bCs/>
          <w:color w:val="auto"/>
          <w:sz w:val="21"/>
          <w:highlight w:val="none"/>
        </w:rPr>
      </w:r>
      <w:r/>
    </w:p>
    <w:p>
      <w:pPr>
        <w:ind w:firstLine="420"/>
        <w:spacing w:line="360" w:lineRule="auto"/>
        <w:rPr>
          <w:bCs/>
          <w:color w:val="auto"/>
          <w:sz w:val="21"/>
          <w:highlight w:val="none"/>
        </w:rPr>
      </w:pPr>
      <w:r>
        <w:rPr>
          <w:rFonts w:hint="eastAsia"/>
          <w:bCs/>
          <w:color w:val="auto"/>
          <w:sz w:val="21"/>
          <w:highlight w:val="none"/>
        </w:rPr>
        <w:t xml:space="preserve">说明：</w:t>
      </w:r>
      <w:r/>
    </w:p>
    <w:p>
      <w:pPr>
        <w:ind w:firstLine="420"/>
        <w:spacing w:line="360" w:lineRule="auto"/>
        <w:rPr>
          <w:bCs/>
          <w:color w:val="auto"/>
          <w:sz w:val="21"/>
          <w:highlight w:val="none"/>
        </w:rPr>
      </w:pPr>
      <w:r>
        <w:rPr>
          <w:rFonts w:hint="eastAsia"/>
          <w:bCs/>
          <w:color w:val="auto"/>
          <w:sz w:val="21"/>
          <w:highlight w:val="none"/>
          <w:lang w:val="en-US"/>
        </w:rPr>
        <w:t xml:space="preserve">1、</w:t>
      </w:r>
      <w:r>
        <w:rPr>
          <w:rFonts w:hint="eastAsia"/>
          <w:bCs/>
          <w:color w:val="auto"/>
          <w:sz w:val="21"/>
          <w:highlight w:val="none"/>
        </w:rPr>
        <w:t xml:space="preserve">如果行数不够，请自行增加。</w:t>
      </w:r>
      <w:r/>
    </w:p>
    <w:p>
      <w:pPr>
        <w:spacing w:line="360" w:lineRule="auto"/>
        <w:rPr>
          <w:bCs/>
          <w:color w:val="auto"/>
          <w:sz w:val="21"/>
          <w:highlight w:val="none"/>
          <w:lang w:val="en-US"/>
        </w:rPr>
      </w:pPr>
      <w:r>
        <w:rPr>
          <w:bCs/>
          <w:color w:val="auto"/>
          <w:sz w:val="21"/>
          <w:highlight w:val="none"/>
          <w:lang w:val="en-US"/>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九</w:t>
      </w:r>
      <w:r>
        <w:rPr>
          <w:b/>
          <w:color w:val="auto"/>
          <w:sz w:val="21"/>
          <w:highlight w:val="none"/>
        </w:rPr>
        <w:t xml:space="preserve">、</w:t>
      </w:r>
      <w:r>
        <w:rPr>
          <w:rFonts w:hint="eastAsia"/>
          <w:b/>
          <w:color w:val="auto"/>
          <w:sz w:val="21"/>
          <w:highlight w:val="none"/>
        </w:rPr>
        <w:t xml:space="preserve">相关承诺</w:t>
      </w:r>
      <w:r/>
    </w:p>
    <w:p>
      <w:pPr>
        <w:jc w:val="center"/>
        <w:spacing w:line="360" w:lineRule="auto"/>
        <w:rPr>
          <w:color w:val="auto"/>
          <w:sz w:val="36"/>
          <w:highlight w:val="none"/>
        </w:rPr>
      </w:pPr>
      <w:r>
        <w:rPr>
          <w:rFonts w:hint="eastAsia" w:asciiTheme="minorEastAsia" w:hAnsiTheme="minorEastAsia" w:eastAsiaTheme="minorEastAsia"/>
          <w:b/>
          <w:color w:val="auto"/>
          <w:sz w:val="36"/>
          <w:highlight w:val="none"/>
        </w:rPr>
        <w:t xml:space="preserve">相关承诺</w:t>
      </w:r>
      <w:r>
        <w:rPr>
          <w:rFonts w:asciiTheme="minorEastAsia" w:hAnsiTheme="minorEastAsia" w:eastAsiaTheme="minorEastAsia"/>
          <w:b/>
          <w:color w:val="auto"/>
          <w:sz w:val="36"/>
          <w:highlight w:val="none"/>
        </w:rPr>
        <w:t xml:space="preserve">（若有</w:t>
      </w:r>
      <w:r>
        <w:rPr>
          <w:color w:val="auto"/>
          <w:sz w:val="36"/>
          <w:highlight w:val="none"/>
        </w:rPr>
        <w:t xml:space="preserve">）</w:t>
      </w:r>
      <w:r/>
    </w:p>
    <w:p>
      <w:pPr>
        <w:pStyle w:val="880"/>
        <w:rPr>
          <w:color w:val="auto"/>
          <w:highlight w:val="none"/>
        </w:rPr>
      </w:pPr>
      <w:r>
        <w:rPr>
          <w:color w:val="auto"/>
          <w:highlight w:val="none"/>
        </w:rPr>
      </w:r>
      <w:r/>
    </w:p>
    <w:p>
      <w:pPr>
        <w:contextualSpacing/>
        <w:spacing w:line="360" w:lineRule="auto"/>
        <w:rPr>
          <w:b/>
          <w:color w:val="auto"/>
          <w:sz w:val="21"/>
          <w:highlight w:val="none"/>
        </w:rPr>
      </w:pPr>
      <w:r>
        <w:rPr>
          <w:b/>
          <w:color w:val="auto"/>
          <w:sz w:val="21"/>
          <w:highlight w:val="none"/>
        </w:rPr>
        <w:t xml:space="preserve">目录十、投标需要的其他证明文件及材料</w:t>
      </w:r>
      <w:r/>
    </w:p>
    <w:p>
      <w:pPr>
        <w:contextualSpacing/>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投标需要的其他证明文件及材料（若有）</w:t>
      </w:r>
      <w:r/>
    </w:p>
    <w:p>
      <w:pPr>
        <w:pStyle w:val="880"/>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spacing w:line="360" w:lineRule="auto"/>
        <w:rPr>
          <w:b/>
          <w:color w:val="auto"/>
          <w:sz w:val="21"/>
          <w:highlight w:val="none"/>
        </w:rPr>
      </w:pPr>
      <w:r>
        <w:rPr>
          <w:b/>
          <w:color w:val="auto"/>
          <w:sz w:val="21"/>
          <w:highlight w:val="none"/>
        </w:rPr>
        <w:t xml:space="preserve">附件一、中小企业声明函格式</w:t>
      </w:r>
      <w:r/>
    </w:p>
    <w:p>
      <w:pPr>
        <w:ind w:firstLine="482"/>
        <w:jc w:val="center"/>
        <w:spacing w:line="360" w:lineRule="auto"/>
        <w:rPr>
          <w:rFonts w:asciiTheme="majorEastAsia" w:hAnsiTheme="majorEastAsia" w:eastAsiaTheme="majorEastAsia" w:cstheme="minorBidi"/>
          <w:b/>
          <w:color w:val="auto"/>
          <w:sz w:val="24"/>
          <w:szCs w:val="24"/>
          <w:highlight w:val="none"/>
        </w:rPr>
      </w:pPr>
      <w:r>
        <w:rPr>
          <w:rFonts w:hint="eastAsia" w:asciiTheme="majorEastAsia" w:hAnsiTheme="majorEastAsia" w:eastAsiaTheme="majorEastAsia" w:cstheme="minorBidi"/>
          <w:b/>
          <w:color w:val="auto"/>
          <w:sz w:val="24"/>
          <w:szCs w:val="24"/>
          <w:highlight w:val="none"/>
        </w:rPr>
        <w:t xml:space="preserve">中小企业声明函（货物）</w:t>
      </w:r>
      <w:r/>
    </w:p>
    <w:p>
      <w:pPr>
        <w:ind w:firstLine="420"/>
        <w:spacing w:line="360" w:lineRule="auto"/>
        <w:rPr>
          <w:color w:val="auto"/>
          <w:sz w:val="21"/>
          <w:szCs w:val="21"/>
          <w:highlight w:val="none"/>
        </w:rPr>
      </w:pPr>
      <w:r>
        <w:rPr>
          <w:rFonts w:hint="eastAsia"/>
          <w:color w:val="auto"/>
          <w:sz w:val="21"/>
          <w:szCs w:val="21"/>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p>
    <w:p>
      <w:pPr>
        <w:ind w:firstLine="420"/>
        <w:spacing w:line="360" w:lineRule="auto"/>
        <w:rPr>
          <w:color w:val="auto"/>
          <w:sz w:val="21"/>
          <w:szCs w:val="21"/>
          <w:highlight w:val="none"/>
        </w:rPr>
      </w:pPr>
      <w:r>
        <w:rPr>
          <w:rFonts w:hint="eastAsia"/>
          <w:color w:val="auto"/>
          <w:sz w:val="21"/>
          <w:szCs w:val="21"/>
          <w:highlight w:val="none"/>
        </w:rPr>
        <w:t xml:space="preserve">1、（标的名称），属于（工业）行业；制造商为（企业名称），从业人员人，营业收入为万元，资产总额为万元，属于（中型企业、小型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2、（标的名称），属于（工业）行业；制造商为（企业名称），从业人员人，营业收入为万元，资产总额为万元，属于（中型企业、小型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w:t>
      </w:r>
      <w:r/>
    </w:p>
    <w:p>
      <w:pPr>
        <w:ind w:firstLine="420"/>
        <w:spacing w:line="360" w:lineRule="auto"/>
        <w:rPr>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ind w:firstLine="420"/>
        <w:spacing w:line="360" w:lineRule="auto"/>
        <w:rPr>
          <w:color w:val="auto"/>
          <w:sz w:val="21"/>
          <w:szCs w:val="21"/>
          <w:highlight w:val="none"/>
        </w:rPr>
      </w:pPr>
      <w:r>
        <w:rPr>
          <w:rFonts w:hint="eastAsia"/>
          <w:color w:val="auto"/>
          <w:sz w:val="21"/>
          <w:szCs w:val="21"/>
          <w:highlight w:val="none"/>
        </w:rPr>
        <w:t xml:space="preserve">企业名称（盖章）：</w:t>
      </w:r>
      <w:r/>
    </w:p>
    <w:p>
      <w:pPr>
        <w:ind w:firstLine="420"/>
        <w:spacing w:line="360" w:lineRule="auto"/>
        <w:rPr>
          <w:color w:val="auto"/>
          <w:sz w:val="21"/>
          <w:szCs w:val="21"/>
          <w:highlight w:val="none"/>
        </w:rPr>
      </w:pPr>
      <w:r>
        <w:rPr>
          <w:rFonts w:hint="eastAsia"/>
          <w:color w:val="auto"/>
          <w:sz w:val="21"/>
          <w:szCs w:val="21"/>
          <w:highlight w:val="none"/>
        </w:rPr>
        <w:t xml:space="preserve">日期：</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b/>
          <w:bCs/>
          <w:color w:val="auto"/>
          <w:sz w:val="21"/>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0"/>
        <w:spacing w:line="360" w:lineRule="auto"/>
        <w:rPr>
          <w:color w:val="auto"/>
          <w:sz w:val="21"/>
          <w:szCs w:val="21"/>
          <w:highlight w:val="none"/>
        </w:rPr>
      </w:pPr>
      <w:r>
        <w:rPr>
          <w:rFonts w:hint="eastAsia"/>
          <w:color w:val="auto"/>
          <w:sz w:val="21"/>
          <w:szCs w:val="21"/>
          <w:highlight w:val="none"/>
        </w:rPr>
        <w:t xml:space="preserve">注2：从业人员、营业收入、资产总额填报上一年度数据，无上一年度数据的新成立企业可不填报。</w:t>
      </w:r>
      <w:r/>
    </w:p>
    <w:p>
      <w:pPr>
        <w:ind w:firstLine="420"/>
        <w:spacing w:line="360" w:lineRule="auto"/>
        <w:rPr>
          <w:color w:val="auto"/>
          <w:sz w:val="21"/>
          <w:szCs w:val="21"/>
          <w:highlight w:val="none"/>
        </w:rPr>
      </w:pPr>
      <w:r>
        <w:rPr>
          <w:rFonts w:hint="eastAsia"/>
          <w:color w:val="auto"/>
          <w:sz w:val="21"/>
          <w:szCs w:val="21"/>
          <w:highlight w:val="none"/>
        </w:rPr>
        <w:t xml:space="preserve">注3：供应商如不提供此声明函，价格将不做相应扣除。</w:t>
      </w:r>
      <w:r/>
    </w:p>
    <w:p>
      <w:pPr>
        <w:ind w:firstLine="420"/>
        <w:spacing w:line="480" w:lineRule="auto"/>
        <w:tabs>
          <w:tab w:val="left" w:pos="6103" w:leader="none"/>
        </w:tabs>
        <w:rPr>
          <w:color w:val="auto"/>
          <w:sz w:val="21"/>
          <w:szCs w:val="21"/>
          <w:highlight w:val="none"/>
        </w:rPr>
      </w:pPr>
      <w:r>
        <w:rPr>
          <w:color w:val="auto"/>
          <w:sz w:val="21"/>
          <w:szCs w:val="21"/>
          <w:highlight w:val="none"/>
        </w:rPr>
      </w:r>
      <w:r/>
    </w:p>
    <w:p>
      <w:pPr>
        <w:ind w:firstLine="400"/>
        <w:spacing w:line="480" w:lineRule="auto"/>
        <w:rPr>
          <w:color w:val="auto"/>
          <w:sz w:val="20"/>
          <w:szCs w:val="21"/>
          <w:highlight w:val="none"/>
        </w:rPr>
      </w:pPr>
      <w:r>
        <w:rPr>
          <w:color w:val="auto"/>
          <w:sz w:val="20"/>
          <w:szCs w:val="21"/>
          <w:highlight w:val="none"/>
        </w:rPr>
      </w:r>
      <w:r/>
    </w:p>
    <w:p>
      <w:pPr>
        <w:ind w:firstLine="400"/>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附件二、无重大违法记录声明格式</w:t>
      </w:r>
      <w:r/>
    </w:p>
    <w:p>
      <w:pPr>
        <w:ind w:right="87"/>
        <w:jc w:val="center"/>
        <w:spacing w:line="360" w:lineRule="auto"/>
        <w:rPr>
          <w:b/>
          <w:bCs/>
          <w:color w:val="auto"/>
          <w:sz w:val="36"/>
          <w:highlight w:val="none"/>
        </w:rPr>
      </w:pPr>
      <w:r>
        <w:rPr>
          <w:b/>
          <w:bCs/>
          <w:color w:val="auto"/>
          <w:sz w:val="36"/>
          <w:highlight w:val="none"/>
        </w:rPr>
        <w:t xml:space="preserve">无重大违法记录声明</w:t>
      </w:r>
      <w:r/>
    </w:p>
    <w:p>
      <w:pPr>
        <w:ind w:left="223"/>
        <w:spacing w:line="360" w:lineRule="auto"/>
        <w:rPr>
          <w:color w:val="auto"/>
          <w:sz w:val="21"/>
          <w:szCs w:val="21"/>
          <w:highlight w:val="none"/>
        </w:rPr>
      </w:pPr>
      <w:r>
        <w:rPr>
          <w:rFonts w:hint="eastAsia"/>
          <w:color w:val="auto"/>
          <w:sz w:val="21"/>
          <w:szCs w:val="21"/>
          <w:highlight w:val="none"/>
        </w:rPr>
        <w:t xml:space="preserve">江苏第二师范学院</w:t>
      </w:r>
      <w:r>
        <w:rPr>
          <w:color w:val="auto"/>
          <w:sz w:val="21"/>
          <w:szCs w:val="21"/>
          <w:highlight w:val="none"/>
        </w:rPr>
        <w:t xml:space="preserve">：</w:t>
      </w:r>
      <w:r/>
    </w:p>
    <w:p>
      <w:pPr>
        <w:ind w:firstLine="420"/>
        <w:spacing w:line="360" w:lineRule="auto"/>
        <w:rPr>
          <w:color w:val="auto"/>
          <w:sz w:val="21"/>
          <w:szCs w:val="21"/>
          <w:highlight w:val="none"/>
        </w:rPr>
      </w:pPr>
      <w:r>
        <w:rPr>
          <w:color w:val="auto"/>
          <w:sz w:val="21"/>
          <w:szCs w:val="21"/>
          <w:highlight w:val="none"/>
        </w:rPr>
        <w:t xml:space="preserve">我单位（供应商名称）郑重声明：</w:t>
      </w:r>
      <w:r/>
    </w:p>
    <w:p>
      <w:pPr>
        <w:ind w:firstLine="420"/>
        <w:spacing w:line="360" w:lineRule="auto"/>
        <w:rPr>
          <w:color w:val="auto"/>
          <w:sz w:val="21"/>
          <w:szCs w:val="21"/>
          <w:highlight w:val="none"/>
        </w:rPr>
      </w:pPr>
      <w:r>
        <w:rPr>
          <w:color w:val="auto"/>
          <w:sz w:val="21"/>
          <w:szCs w:val="21"/>
          <w:highlight w:val="none"/>
        </w:rPr>
        <w:t xml:space="preserve">参加政府采购活动前 3 年内在经营活动中（在下划线上如实填写：有或没有）重大违法记录。</w:t>
      </w:r>
      <w:r/>
    </w:p>
    <w:p>
      <w:pPr>
        <w:ind w:firstLine="420"/>
        <w:spacing w:line="360" w:lineRule="auto"/>
        <w:rPr>
          <w:color w:val="auto"/>
          <w:sz w:val="21"/>
          <w:szCs w:val="21"/>
          <w:highlight w:val="none"/>
        </w:rPr>
      </w:pPr>
      <w:r>
        <w:rPr>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tabs>
          <w:tab w:val="left" w:pos="5894" w:leader="none"/>
        </w:tabs>
        <w:rPr>
          <w:color w:val="auto"/>
          <w:sz w:val="21"/>
          <w:szCs w:val="21"/>
          <w:highlight w:val="none"/>
        </w:rPr>
      </w:pPr>
      <w:r>
        <w:rPr>
          <w:color w:val="auto"/>
          <w:sz w:val="21"/>
          <w:szCs w:val="21"/>
          <w:highlight w:val="none"/>
        </w:rPr>
        <w:t xml:space="preserve">日期：年月日</w:t>
      </w:r>
      <w:r/>
    </w:p>
    <w:p>
      <w:pPr>
        <w:spacing w:line="360" w:lineRule="auto"/>
        <w:rPr>
          <w:color w:val="auto"/>
          <w:highlight w:val="none"/>
        </w:rPr>
      </w:pPr>
      <w:r>
        <w:rPr>
          <w:color w:val="auto"/>
          <w:highlight w:val="none"/>
        </w:rPr>
      </w:r>
      <w:r/>
    </w:p>
    <w:p>
      <w:pPr>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三</w:t>
      </w:r>
      <w:r>
        <w:rPr>
          <w:b/>
          <w:color w:val="auto"/>
          <w:sz w:val="21"/>
          <w:highlight w:val="none"/>
        </w:rPr>
        <w:t xml:space="preserve">、具备履行合同所必需的设备和专业技术能力的声明格式及证明材料</w:t>
      </w:r>
      <w:r/>
    </w:p>
    <w:p>
      <w:pPr>
        <w:jc w:val="center"/>
        <w:spacing w:line="360" w:lineRule="auto"/>
        <w:rPr>
          <w:b/>
          <w:bCs/>
          <w:color w:val="auto"/>
          <w:sz w:val="36"/>
          <w:highlight w:val="none"/>
        </w:rPr>
      </w:pPr>
      <w:r>
        <w:rPr>
          <w:b/>
          <w:bCs/>
          <w:color w:val="auto"/>
          <w:sz w:val="36"/>
          <w:highlight w:val="none"/>
        </w:rPr>
        <w:t xml:space="preserve">具备履行合同所必需的设备和专业技术能力的声明</w:t>
      </w:r>
      <w:r/>
    </w:p>
    <w:p>
      <w:pPr>
        <w:ind w:left="223"/>
        <w:spacing w:line="360" w:lineRule="auto"/>
        <w:rPr>
          <w:color w:val="auto"/>
          <w:sz w:val="21"/>
          <w:szCs w:val="21"/>
          <w:highlight w:val="none"/>
        </w:rPr>
      </w:pPr>
      <w:r>
        <w:rPr>
          <w:rFonts w:hint="eastAsia"/>
          <w:color w:val="auto"/>
          <w:sz w:val="21"/>
          <w:szCs w:val="21"/>
          <w:highlight w:val="none"/>
        </w:rPr>
        <w:t xml:space="preserve">江苏第二师范学院</w:t>
      </w:r>
      <w:r>
        <w:rPr>
          <w:color w:val="auto"/>
          <w:sz w:val="21"/>
          <w:szCs w:val="21"/>
          <w:highlight w:val="none"/>
        </w:rPr>
        <w:t xml:space="preserve">：</w:t>
      </w:r>
      <w:r/>
    </w:p>
    <w:p>
      <w:pPr>
        <w:ind w:left="223" w:right="315" w:firstLine="492"/>
        <w:spacing w:line="360" w:lineRule="auto"/>
        <w:rPr>
          <w:color w:val="auto"/>
          <w:sz w:val="21"/>
          <w:szCs w:val="21"/>
          <w:highlight w:val="none"/>
        </w:rPr>
      </w:pPr>
      <w:r>
        <w:rPr>
          <w:color w:val="auto"/>
          <w:sz w:val="21"/>
          <w:szCs w:val="21"/>
          <w:highlight w:val="none"/>
        </w:rPr>
        <w:t xml:space="preserve">我单位（供应商名称）郑重声明：</w:t>
      </w:r>
      <w:r/>
    </w:p>
    <w:p>
      <w:pPr>
        <w:ind w:left="223" w:right="315" w:firstLine="492"/>
        <w:spacing w:line="360" w:lineRule="auto"/>
        <w:rPr>
          <w:color w:val="auto"/>
          <w:sz w:val="21"/>
          <w:szCs w:val="21"/>
          <w:highlight w:val="none"/>
        </w:rPr>
      </w:pPr>
      <w:r>
        <w:rPr>
          <w:color w:val="auto"/>
          <w:sz w:val="21"/>
          <w:szCs w:val="21"/>
          <w:highlight w:val="none"/>
        </w:rPr>
        <w:t xml:space="preserve">我公司具备履行本项采购合同所必需的设备和专业技术能力，为履行本项采购合同我单位具备如下主要设备和主要专业技术能力：</w:t>
      </w:r>
      <w:r/>
    </w:p>
    <w:p>
      <w:pPr>
        <w:ind w:left="715"/>
        <w:spacing w:line="360" w:lineRule="auto"/>
        <w:rPr>
          <w:color w:val="auto"/>
          <w:sz w:val="21"/>
          <w:szCs w:val="21"/>
          <w:highlight w:val="none"/>
        </w:rPr>
      </w:pPr>
      <w:r>
        <w:rPr>
          <w:color w:val="auto"/>
          <w:sz w:val="21"/>
          <w:szCs w:val="21"/>
          <w:highlight w:val="none"/>
        </w:rPr>
        <w:t xml:space="preserve">主要设备有：。(若有)</w:t>
      </w:r>
      <w:r/>
    </w:p>
    <w:p>
      <w:pPr>
        <w:ind w:left="715"/>
        <w:spacing w:line="360" w:lineRule="auto"/>
        <w:rPr>
          <w:color w:val="auto"/>
          <w:sz w:val="21"/>
          <w:szCs w:val="21"/>
          <w:highlight w:val="none"/>
        </w:rPr>
      </w:pPr>
      <w:r>
        <w:rPr>
          <w:color w:val="auto"/>
          <w:sz w:val="21"/>
          <w:szCs w:val="21"/>
          <w:highlight w:val="none"/>
        </w:rPr>
        <w:t xml:space="preserve">主要专业技术能力有：。(若有)</w:t>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rPr>
          <w:color w:val="auto"/>
          <w:sz w:val="21"/>
          <w:szCs w:val="21"/>
          <w:highlight w:val="none"/>
        </w:rPr>
      </w:pPr>
      <w:r>
        <w:rPr>
          <w:color w:val="auto"/>
          <w:sz w:val="21"/>
          <w:szCs w:val="21"/>
          <w:highlight w:val="none"/>
        </w:rPr>
        <w:t xml:space="preserve">日期：年月日</w:t>
      </w:r>
      <w:r/>
    </w:p>
    <w:p>
      <w:pPr>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ind w:right="330"/>
        <w:spacing w:line="360" w:lineRule="auto"/>
        <w:tabs>
          <w:tab w:val="left" w:pos="5940" w:leader="none"/>
        </w:tabs>
        <w:rPr>
          <w:b/>
          <w:color w:val="auto"/>
          <w:sz w:val="21"/>
          <w:highlight w:val="none"/>
        </w:rPr>
      </w:pPr>
      <w:r>
        <w:rPr>
          <w:b/>
          <w:color w:val="auto"/>
          <w:sz w:val="21"/>
          <w:highlight w:val="none"/>
        </w:rPr>
        <w:t xml:space="preserve">附件</w:t>
      </w:r>
      <w:r>
        <w:rPr>
          <w:rFonts w:hint="eastAsia"/>
          <w:b/>
          <w:color w:val="auto"/>
          <w:sz w:val="21"/>
          <w:highlight w:val="none"/>
        </w:rPr>
        <w:t xml:space="preserve">四</w:t>
      </w:r>
      <w:r>
        <w:rPr>
          <w:b/>
          <w:color w:val="auto"/>
          <w:sz w:val="21"/>
          <w:highlight w:val="none"/>
        </w:rPr>
        <w:t xml:space="preserve">、残疾人福利性单位声明函格式</w:t>
      </w:r>
      <w:r/>
    </w:p>
    <w:p>
      <w:pPr>
        <w:spacing w:line="360" w:lineRule="auto"/>
        <w:rPr>
          <w:b/>
          <w:color w:val="auto"/>
          <w:sz w:val="20"/>
          <w:szCs w:val="21"/>
          <w:highlight w:val="none"/>
        </w:rPr>
      </w:pPr>
      <w:r>
        <w:rPr>
          <w:b/>
          <w:color w:val="auto"/>
          <w:sz w:val="20"/>
          <w:szCs w:val="21"/>
          <w:highlight w:val="none"/>
        </w:rPr>
      </w:r>
      <w:r/>
    </w:p>
    <w:p>
      <w:pPr>
        <w:jc w:val="center"/>
        <w:spacing w:line="360" w:lineRule="auto"/>
        <w:rPr>
          <w:b/>
          <w:color w:val="auto"/>
          <w:sz w:val="24"/>
          <w:highlight w:val="none"/>
        </w:rPr>
      </w:pPr>
      <w:r/>
      <w:bookmarkStart w:id="29" w:name="残疾人福利性单位声明函"/>
      <w:r/>
      <w:bookmarkEnd w:id="29"/>
      <w:r>
        <w:rPr>
          <w:b/>
          <w:color w:val="auto"/>
          <w:sz w:val="24"/>
          <w:highlight w:val="none"/>
        </w:rPr>
        <w:t xml:space="preserve">残疾人福利性单位声明函</w:t>
      </w:r>
      <w:r/>
    </w:p>
    <w:p>
      <w:pPr>
        <w:spacing w:line="360" w:lineRule="auto"/>
        <w:rPr>
          <w:b/>
          <w:color w:val="auto"/>
          <w:sz w:val="24"/>
          <w:szCs w:val="21"/>
          <w:highlight w:val="none"/>
        </w:rPr>
      </w:pPr>
      <w:r>
        <w:rPr>
          <w:b/>
          <w:color w:val="auto"/>
          <w:sz w:val="24"/>
          <w:szCs w:val="21"/>
          <w:highlight w:val="none"/>
        </w:rPr>
      </w:r>
      <w:r/>
    </w:p>
    <w:p>
      <w:pPr>
        <w:spacing w:line="360" w:lineRule="auto"/>
        <w:rPr>
          <w:b/>
          <w:color w:val="auto"/>
          <w:szCs w:val="21"/>
          <w:highlight w:val="none"/>
        </w:rPr>
      </w:pPr>
      <w:r>
        <w:rPr>
          <w:b/>
          <w:color w:val="auto"/>
          <w:szCs w:val="21"/>
          <w:highlight w:val="none"/>
        </w:rPr>
      </w:r>
      <w:r/>
    </w:p>
    <w:p>
      <w:pPr>
        <w:ind w:firstLine="420"/>
        <w:spacing w:line="360" w:lineRule="auto"/>
        <w:rPr>
          <w:color w:val="auto"/>
          <w:sz w:val="21"/>
          <w:szCs w:val="21"/>
          <w:highlight w:val="none"/>
        </w:rPr>
      </w:pPr>
      <w:r>
        <w:rPr>
          <w:color w:val="auto"/>
          <w:sz w:val="21"/>
          <w:szCs w:val="21"/>
          <w:highlight w:val="none"/>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auto"/>
          <w:sz w:val="21"/>
          <w:szCs w:val="21"/>
          <w:highlight w:val="none"/>
        </w:rPr>
      </w:pPr>
      <w:r>
        <w:rPr>
          <w:color w:val="auto"/>
          <w:sz w:val="21"/>
          <w:szCs w:val="21"/>
          <w:highlight w:val="none"/>
        </w:rPr>
        <w:t xml:space="preserve">本单位对上述声明的真实性负责。如有虚假，将依法承担相应责任。</w:t>
      </w:r>
      <w:r/>
    </w:p>
    <w:p>
      <w:pPr>
        <w:ind w:left="223" w:right="315" w:firstLine="492"/>
        <w:spacing w:line="360" w:lineRule="auto"/>
        <w:rPr>
          <w:color w:val="auto"/>
          <w:sz w:val="21"/>
          <w:szCs w:val="21"/>
          <w:highlight w:val="none"/>
        </w:rPr>
      </w:pPr>
      <w:r>
        <w:rPr>
          <w:color w:val="auto"/>
          <w:sz w:val="21"/>
          <w:szCs w:val="21"/>
          <w:highlight w:val="none"/>
        </w:rPr>
      </w:r>
      <w:r/>
    </w:p>
    <w:p>
      <w:pPr>
        <w:ind w:left="223" w:right="315" w:firstLine="492"/>
        <w:spacing w:line="360" w:lineRule="auto"/>
        <w:rPr>
          <w:color w:val="auto"/>
          <w:sz w:val="21"/>
          <w:szCs w:val="21"/>
          <w:highlight w:val="none"/>
        </w:rPr>
      </w:pPr>
      <w:r>
        <w:rPr>
          <w:color w:val="auto"/>
          <w:sz w:val="21"/>
          <w:szCs w:val="21"/>
          <w:highlight w:val="none"/>
        </w:rPr>
      </w:r>
      <w:r/>
    </w:p>
    <w:p>
      <w:pPr>
        <w:ind w:left="5500"/>
        <w:spacing w:line="360" w:lineRule="auto"/>
        <w:rPr>
          <w:color w:val="auto"/>
          <w:sz w:val="21"/>
          <w:szCs w:val="21"/>
          <w:highlight w:val="none"/>
        </w:rPr>
      </w:pPr>
      <w:r>
        <w:rPr>
          <w:color w:val="auto"/>
          <w:sz w:val="21"/>
          <w:szCs w:val="21"/>
          <w:highlight w:val="none"/>
        </w:rPr>
        <w:t xml:space="preserve">单位名称（盖章）：</w:t>
      </w:r>
      <w:r/>
    </w:p>
    <w:p>
      <w:pPr>
        <w:ind w:left="5500"/>
        <w:spacing w:line="360" w:lineRule="auto"/>
        <w:rPr>
          <w:color w:val="auto"/>
          <w:sz w:val="21"/>
          <w:szCs w:val="21"/>
          <w:highlight w:val="none"/>
        </w:rPr>
      </w:pPr>
      <w:r>
        <w:rPr>
          <w:color w:val="auto"/>
          <w:sz w:val="21"/>
          <w:szCs w:val="21"/>
          <w:highlight w:val="none"/>
        </w:rPr>
        <w:t xml:space="preserve">日期：年月</w:t>
      </w:r>
      <w:bookmarkStart w:id="30" w:name="附件五、属于监狱企业的证明文件"/>
      <w:r/>
      <w:bookmarkEnd w:id="30"/>
      <w:r/>
      <w:r/>
    </w:p>
    <w:p>
      <w:pPr>
        <w:ind w:right="550"/>
        <w:jc w:val="both"/>
        <w:spacing w:line="360" w:lineRule="auto"/>
        <w:rPr>
          <w:b/>
          <w:color w:val="auto"/>
          <w:sz w:val="21"/>
          <w:highlight w:val="none"/>
        </w:rPr>
      </w:pPr>
      <w:r>
        <w:rPr>
          <w:b/>
          <w:color w:val="auto"/>
          <w:sz w:val="21"/>
          <w:highlight w:val="none"/>
        </w:rPr>
      </w:r>
      <w:r/>
    </w:p>
    <w:p>
      <w:pPr>
        <w:ind w:right="550"/>
        <w:jc w:val="both"/>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五</w:t>
      </w:r>
      <w:r>
        <w:rPr>
          <w:b/>
          <w:color w:val="auto"/>
          <w:sz w:val="21"/>
          <w:highlight w:val="none"/>
        </w:rPr>
        <w:t xml:space="preserve">、属于监狱企业的证明文件</w:t>
      </w:r>
      <w:r/>
    </w:p>
    <w:p>
      <w:pPr>
        <w:spacing w:line="360" w:lineRule="auto"/>
        <w:rPr>
          <w:b/>
          <w:color w:val="auto"/>
          <w:sz w:val="20"/>
          <w:szCs w:val="21"/>
          <w:highlight w:val="none"/>
        </w:rPr>
      </w:pPr>
      <w:r>
        <w:rPr>
          <w:b/>
          <w:color w:val="auto"/>
          <w:sz w:val="20"/>
          <w:szCs w:val="21"/>
          <w:highlight w:val="none"/>
        </w:rPr>
      </w:r>
      <w:r/>
    </w:p>
    <w:p>
      <w:pPr>
        <w:spacing w:line="360" w:lineRule="auto"/>
        <w:rPr>
          <w:rFonts w:ascii="黑体" w:eastAsia="黑体"/>
          <w:color w:val="auto"/>
          <w:sz w:val="36"/>
          <w:highlight w:val="none"/>
        </w:rPr>
      </w:pPr>
      <w:r>
        <w:rPr>
          <w:color w:val="auto"/>
          <w:sz w:val="21"/>
          <w:szCs w:val="21"/>
          <w:highlight w:val="none"/>
        </w:rPr>
        <w:t xml:space="preserve">提供由省级以上监狱管理局、戒毒管理局(含新疆生产建设兵团)出具的属于监狱企业的证明文件。</w:t>
      </w:r>
      <w:bookmarkEnd w:id="0"/>
      <w:r/>
      <w:bookmarkEnd w:id="1"/>
      <w:r/>
      <w:r/>
    </w:p>
    <w:p>
      <w:pPr>
        <w:spacing w:line="360" w:lineRule="auto"/>
        <w:rPr>
          <w:b/>
          <w:bCs/>
          <w:color w:val="auto"/>
          <w:sz w:val="28"/>
          <w:szCs w:val="28"/>
          <w:highlight w:val="none"/>
        </w:rPr>
      </w:pPr>
      <w:r/>
      <w:bookmarkStart w:id="31" w:name="OLE_LINK31"/>
      <w:r/>
      <w:r/>
    </w:p>
    <w:p>
      <w:pPr>
        <w:spacing w:line="360" w:lineRule="auto"/>
        <w:rPr>
          <w:b/>
          <w:color w:val="auto"/>
          <w:sz w:val="21"/>
          <w:highlight w:val="none"/>
        </w:rPr>
      </w:pPr>
      <w:r>
        <w:rPr>
          <w:b/>
          <w:color w:val="auto"/>
          <w:sz w:val="21"/>
          <w:highlight w:val="none"/>
        </w:rPr>
      </w:r>
      <w:r/>
    </w:p>
    <w:p>
      <w:pPr>
        <w:pStyle w:val="884"/>
        <w:ind w:left="1320"/>
        <w:rPr>
          <w:color w:val="auto"/>
          <w:highlight w:val="none"/>
        </w:rPr>
      </w:pPr>
      <w:r>
        <w:rPr>
          <w:color w:val="auto"/>
          <w:highlight w:val="none"/>
        </w:rPr>
      </w:r>
      <w:r/>
    </w:p>
    <w:p>
      <w:pPr>
        <w:rPr>
          <w:color w:val="auto"/>
          <w:highlight w:val="none"/>
        </w:rPr>
      </w:pPr>
      <w:r>
        <w:rPr>
          <w:color w:val="auto"/>
          <w:highlight w:val="none"/>
        </w:rPr>
      </w:r>
      <w:r/>
    </w:p>
    <w:p>
      <w:pPr>
        <w:pStyle w:val="884"/>
        <w:ind w:left="1320"/>
        <w:rPr>
          <w:color w:val="auto"/>
          <w:highlight w:val="none"/>
        </w:rPr>
      </w:pPr>
      <w:r>
        <w:rPr>
          <w:color w:val="auto"/>
          <w:highlight w:val="none"/>
        </w:rPr>
      </w:r>
      <w:r/>
    </w:p>
    <w:p>
      <w:pPr>
        <w:rPr>
          <w:color w:val="auto"/>
          <w:highlight w:val="none"/>
        </w:rPr>
      </w:pPr>
      <w:r>
        <w:rPr>
          <w:color w:val="auto"/>
          <w:highlight w:val="none"/>
        </w:rPr>
      </w:r>
      <w:r/>
    </w:p>
    <w:p>
      <w:pPr>
        <w:pStyle w:val="884"/>
        <w:ind w:left="1320"/>
        <w:rPr>
          <w:color w:val="auto"/>
          <w:highlight w:val="none"/>
        </w:rPr>
      </w:pPr>
      <w:r>
        <w:rPr>
          <w:color w:val="auto"/>
          <w:highlight w:val="none"/>
        </w:rPr>
      </w:r>
      <w:r/>
    </w:p>
    <w:p>
      <w:pPr>
        <w:rPr>
          <w:color w:val="auto"/>
          <w:highlight w:val="none"/>
        </w:rPr>
      </w:pPr>
      <w:r>
        <w:rPr>
          <w:color w:val="auto"/>
          <w:highlight w:val="none"/>
        </w:rPr>
      </w:r>
      <w:r/>
    </w:p>
    <w:p>
      <w:pPr>
        <w:pStyle w:val="884"/>
        <w:ind w:left="1320"/>
        <w:rPr>
          <w:color w:val="auto"/>
          <w:highlight w:val="none"/>
        </w:rPr>
      </w:pPr>
      <w:r>
        <w:rPr>
          <w:color w:val="auto"/>
          <w:highlight w:val="none"/>
        </w:rPr>
      </w:r>
      <w:r/>
    </w:p>
    <w:p>
      <w:pPr>
        <w:rPr>
          <w:color w:val="auto"/>
          <w:highlight w:val="none"/>
        </w:rPr>
      </w:pPr>
      <w:r>
        <w:rPr>
          <w:color w:val="auto"/>
          <w:highlight w:val="none"/>
        </w:rPr>
      </w:r>
      <w:r/>
    </w:p>
    <w:p>
      <w:pPr>
        <w:pStyle w:val="884"/>
        <w:ind w:left="1320"/>
        <w:rPr>
          <w:color w:val="auto"/>
          <w:highlight w:val="none"/>
        </w:rPr>
      </w:pPr>
      <w:r>
        <w:rPr>
          <w:color w:val="auto"/>
          <w:highlight w:val="none"/>
        </w:rPr>
      </w:r>
      <w:r/>
    </w:p>
    <w:p>
      <w:pPr>
        <w:rPr>
          <w:color w:val="auto"/>
          <w:highlight w:val="none"/>
        </w:rPr>
      </w:pPr>
      <w:r>
        <w:rPr>
          <w:color w:val="auto"/>
          <w:highlight w:val="none"/>
        </w:rPr>
      </w:r>
      <w:r/>
    </w:p>
    <w:p>
      <w:pPr>
        <w:pStyle w:val="884"/>
        <w:ind w:left="1320"/>
        <w:rPr>
          <w:color w:val="auto"/>
          <w:highlight w:val="none"/>
        </w:rPr>
      </w:pPr>
      <w:r>
        <w:rPr>
          <w:color w:val="auto"/>
          <w:highlight w:val="none"/>
        </w:rPr>
      </w:r>
      <w:r/>
    </w:p>
    <w:p>
      <w:pPr>
        <w:rPr>
          <w:color w:val="auto"/>
          <w:highlight w:val="none"/>
        </w:rPr>
      </w:pPr>
      <w:r>
        <w:rPr>
          <w:color w:val="auto"/>
          <w:highlight w:val="none"/>
        </w:rPr>
      </w:r>
      <w:r/>
    </w:p>
    <w:p>
      <w:pPr>
        <w:pStyle w:val="884"/>
        <w:ind w:left="1320"/>
        <w:rPr>
          <w:color w:val="auto"/>
          <w:highlight w:val="none"/>
        </w:rPr>
      </w:pPr>
      <w:r>
        <w:rPr>
          <w:color w:val="auto"/>
          <w:highlight w:val="none"/>
        </w:rPr>
      </w:r>
      <w:r/>
    </w:p>
    <w:p>
      <w:pPr>
        <w:rPr>
          <w:color w:val="auto"/>
          <w:highlight w:val="none"/>
        </w:rPr>
      </w:pPr>
      <w:r>
        <w:rPr>
          <w:color w:val="auto"/>
          <w:highlight w:val="none"/>
        </w:rPr>
      </w:r>
      <w:r/>
    </w:p>
    <w:p>
      <w:pPr>
        <w:pStyle w:val="884"/>
        <w:ind w:left="1320"/>
        <w:rPr>
          <w:color w:val="auto"/>
          <w:highlight w:val="none"/>
        </w:rPr>
      </w:pPr>
      <w:r>
        <w:rPr>
          <w:color w:val="auto"/>
          <w:highlight w:val="none"/>
        </w:rPr>
      </w:r>
      <w:r/>
    </w:p>
    <w:p>
      <w:pPr>
        <w:rPr>
          <w:color w:val="auto"/>
          <w:highlight w:val="none"/>
        </w:rPr>
      </w:pPr>
      <w:r>
        <w:rPr>
          <w:color w:val="auto"/>
          <w:highlight w:val="none"/>
        </w:rPr>
      </w:r>
      <w:r/>
    </w:p>
    <w:p>
      <w:pPr>
        <w:pStyle w:val="884"/>
        <w:ind w:left="1320"/>
        <w:rPr>
          <w:color w:val="auto"/>
          <w:highlight w:val="none"/>
        </w:rPr>
      </w:pPr>
      <w:r>
        <w:rPr>
          <w:color w:val="auto"/>
          <w:highlight w:val="none"/>
        </w:rPr>
      </w:r>
      <w:r/>
    </w:p>
    <w:p>
      <w:pPr>
        <w:rPr>
          <w:color w:val="auto"/>
          <w:highlight w:val="none"/>
        </w:rPr>
      </w:pPr>
      <w:r>
        <w:rPr>
          <w:color w:val="auto"/>
          <w:highlight w:val="none"/>
        </w:rPr>
      </w:r>
      <w:r/>
    </w:p>
    <w:p>
      <w:pPr>
        <w:pStyle w:val="884"/>
        <w:ind w:left="1320"/>
        <w:rPr>
          <w:color w:val="auto"/>
          <w:highlight w:val="none"/>
        </w:rPr>
      </w:pPr>
      <w:r>
        <w:rPr>
          <w:color w:val="auto"/>
          <w:highlight w:val="none"/>
        </w:rPr>
      </w:r>
      <w:r/>
    </w:p>
    <w:p>
      <w:pPr>
        <w:pStyle w:val="884"/>
        <w:ind w:left="1320"/>
        <w:rPr>
          <w:color w:val="auto"/>
          <w:highlight w:val="none"/>
        </w:rPr>
      </w:pPr>
      <w:r>
        <w:rPr>
          <w:color w:val="auto"/>
          <w:highlight w:val="none"/>
        </w:rPr>
      </w:r>
      <w:r/>
    </w:p>
    <w:p>
      <w:pPr>
        <w:spacing w:line="360" w:lineRule="auto"/>
        <w:rPr>
          <w:b/>
          <w:color w:val="auto"/>
          <w:sz w:val="21"/>
          <w:highlight w:val="none"/>
        </w:rPr>
      </w:pPr>
      <w:r>
        <w:rPr>
          <w:rFonts w:hint="eastAsia"/>
          <w:b/>
          <w:color w:val="auto"/>
          <w:sz w:val="21"/>
          <w:highlight w:val="none"/>
        </w:rPr>
        <w:t xml:space="preserve">附件六、</w:t>
      </w:r>
      <w:r>
        <w:rPr>
          <w:rFonts w:hint="eastAsia"/>
          <w:b/>
          <w:color w:val="auto"/>
          <w:sz w:val="21"/>
          <w:highlight w:val="none"/>
          <w:lang w:val="en-US"/>
        </w:rPr>
        <w:t xml:space="preserve">关于</w:t>
      </w:r>
      <w:r>
        <w:rPr>
          <w:rFonts w:hint="eastAsia"/>
          <w:b/>
          <w:color w:val="auto"/>
          <w:sz w:val="21"/>
          <w:highlight w:val="none"/>
        </w:rPr>
        <w:t xml:space="preserve">符合本国产品标准的声明函</w:t>
      </w:r>
      <w:r/>
    </w:p>
    <w:p>
      <w:pPr>
        <w:jc w:val="center"/>
        <w:spacing w:line="360" w:lineRule="auto"/>
        <w:rPr>
          <w:b/>
          <w:bCs/>
          <w:color w:val="auto"/>
          <w:sz w:val="28"/>
          <w:szCs w:val="28"/>
          <w:highlight w:val="none"/>
        </w:rPr>
      </w:pPr>
      <w:r>
        <w:rPr>
          <w:rFonts w:hint="eastAsia"/>
          <w:b/>
          <w:bCs/>
          <w:color w:val="auto"/>
          <w:sz w:val="28"/>
          <w:szCs w:val="28"/>
          <w:highlight w:val="none"/>
        </w:rPr>
        <w:t xml:space="preserve">关于符合本国产品标准的声明函（采购包号：</w:t>
      </w:r>
      <w:r>
        <w:rPr>
          <w:b/>
          <w:bCs/>
          <w:color w:val="auto"/>
          <w:sz w:val="28"/>
          <w:szCs w:val="28"/>
          <w:highlight w:val="none"/>
        </w:rPr>
        <w:t xml:space="preserve">**）</w:t>
      </w:r>
      <w:r/>
    </w:p>
    <w:p>
      <w:pPr>
        <w:pStyle w:val="901"/>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本公司（单位）郑重声明，根据《国务院办公厅关于在政府采购中实施本国产品标准及相关政策的通知》（国办发〔</w:t>
      </w:r>
      <w:r>
        <w:rPr>
          <w:rFonts w:hint="eastAsia" w:asciiTheme="minorEastAsia" w:hAnsiTheme="minorEastAsia" w:eastAsiaTheme="minorEastAsia"/>
          <w:color w:val="auto"/>
          <w:highlight w:val="none"/>
          <w:shd w:val="clear" w:color="auto" w:fill="ffffff"/>
        </w:rPr>
        <w:t xml:space="preserve">2025</w:t>
      </w:r>
      <w:r>
        <w:rPr>
          <w:rFonts w:hint="eastAsia" w:cs="微软雅黑" w:asciiTheme="minorEastAsia" w:hAnsiTheme="minorEastAsia" w:eastAsiaTheme="minorEastAsia"/>
          <w:color w:val="auto"/>
          <w:highlight w:val="none"/>
          <w:shd w:val="clear" w:color="auto" w:fill="ffffff"/>
        </w:rPr>
        <w:t xml:space="preserve">〕</w:t>
      </w:r>
      <w:r>
        <w:rPr>
          <w:rFonts w:hint="eastAsia" w:asciiTheme="minorEastAsia" w:hAnsiTheme="minorEastAsia" w:eastAsiaTheme="minorEastAsia"/>
          <w:color w:val="auto"/>
          <w:highlight w:val="none"/>
          <w:shd w:val="clear" w:color="auto" w:fill="ffffff"/>
        </w:rPr>
        <w:t xml:space="preserve">34</w:t>
      </w:r>
      <w:r>
        <w:rPr>
          <w:rFonts w:hint="eastAsia" w:cs="微软雅黑" w:asciiTheme="minorEastAsia" w:hAnsiTheme="minorEastAsia" w:eastAsiaTheme="minorEastAsia"/>
          <w:color w:val="auto"/>
          <w:highlight w:val="none"/>
          <w:shd w:val="clear" w:color="auto" w:fill="ffffff"/>
        </w:rPr>
        <w:t xml:space="preserve">号）的规定，本公司（单位）提供的以下产品属于本国产品。具体情况如下：</w:t>
      </w:r>
      <w:r/>
    </w:p>
    <w:p>
      <w:pPr>
        <w:pStyle w:val="901"/>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1.</w:t>
      </w:r>
      <w:r>
        <w:rPr>
          <w:rStyle w:val="909"/>
          <w:rFonts w:hint="eastAsia" w:cs="微软雅黑" w:asciiTheme="minorEastAsia" w:hAnsiTheme="minorEastAsia" w:eastAsiaTheme="minorEastAsia"/>
          <w:color w:val="auto"/>
          <w:highlight w:val="none"/>
          <w:u w:val="single"/>
          <w:shd w:val="clear" w:color="auto" w:fill="ffffff"/>
        </w:rPr>
        <w:t xml:space="preserve">（产品名称</w:t>
      </w:r>
      <w:r>
        <w:rPr>
          <w:rStyle w:val="909"/>
          <w:rFonts w:hint="eastAsia" w:asciiTheme="minorEastAsia" w:hAnsiTheme="minorEastAsia" w:eastAsiaTheme="minorEastAsia"/>
          <w:color w:val="auto"/>
          <w:highlight w:val="none"/>
          <w:u w:val="single"/>
          <w:shd w:val="clear" w:color="auto" w:fill="ffffff"/>
        </w:rPr>
        <w:t xml:space="preserve">1</w:t>
      </w:r>
      <w:r>
        <w:rPr>
          <w:rStyle w:val="909"/>
          <w:rFonts w:hint="eastAsia" w:cs="微软雅黑" w:asciiTheme="minorEastAsia" w:hAnsiTheme="minorEastAsia" w:eastAsiaTheme="minorEastAsia"/>
          <w:color w:val="auto"/>
          <w:highlight w:val="none"/>
          <w:u w:val="single"/>
          <w:shd w:val="clear" w:color="auto" w:fill="ffffff"/>
        </w:rPr>
        <w:t xml:space="preserve">）</w:t>
      </w:r>
      <w:r>
        <w:rPr>
          <w:rStyle w:val="909"/>
          <w:rFonts w:hint="eastAsia" w:asciiTheme="minorEastAsia" w:hAnsiTheme="minorEastAsia" w:eastAsiaTheme="minorEastAsia"/>
          <w:color w:val="auto"/>
          <w:highlight w:val="none"/>
          <w:shd w:val="clear" w:color="auto" w:fill="ffffff"/>
          <w:vertAlign w:val="superscript"/>
        </w:rPr>
        <w:t xml:space="preserve">1</w:t>
      </w:r>
      <w:r>
        <w:rPr>
          <w:rFonts w:hint="eastAsia" w:cs="微软雅黑"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u w:val="single"/>
          <w:shd w:val="clear" w:color="auto" w:fill="ffffff"/>
        </w:rPr>
        <w:t xml:space="preserve">生产厂为</w:t>
      </w:r>
      <w:r>
        <w:rPr>
          <w:rStyle w:val="909"/>
          <w:rFonts w:hint="eastAsia" w:cs="微软雅黑" w:asciiTheme="minorEastAsia" w:hAnsiTheme="minorEastAsia" w:eastAsiaTheme="minorEastAsia"/>
          <w:color w:val="auto"/>
          <w:highlight w:val="none"/>
          <w:u w:val="single"/>
          <w:shd w:val="clear" w:color="auto" w:fill="ffffff"/>
        </w:rPr>
        <w:t xml:space="preserve">（厂名）</w:t>
      </w:r>
      <w:r>
        <w:rPr>
          <w:rStyle w:val="909"/>
          <w:rFonts w:hint="eastAsia" w:asciiTheme="minorEastAsia" w:hAnsiTheme="minorEastAsia" w:eastAsiaTheme="minorEastAsia"/>
          <w:color w:val="auto"/>
          <w:highlight w:val="none"/>
          <w:shd w:val="clear" w:color="auto" w:fill="ffffff"/>
          <w:vertAlign w:val="superscript"/>
        </w:rPr>
        <w:t xml:space="preserve">2</w:t>
      </w:r>
      <w:r>
        <w:rPr>
          <w:rFonts w:hint="eastAsia" w:cs="微软雅黑" w:asciiTheme="minorEastAsia" w:hAnsiTheme="minorEastAsia" w:eastAsiaTheme="minorEastAsia"/>
          <w:color w:val="auto"/>
          <w:highlight w:val="none"/>
          <w:shd w:val="clear" w:color="auto" w:fill="ffffff"/>
        </w:rPr>
        <w:t xml:space="preserve">，厂址为</w:t>
      </w:r>
      <w:r>
        <w:rPr>
          <w:rStyle w:val="909"/>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909"/>
          <w:rFonts w:hint="eastAsia" w:cs="微软雅黑" w:asciiTheme="minorEastAsia" w:hAnsiTheme="minorEastAsia" w:eastAsiaTheme="minorEastAsia"/>
          <w:strike/>
          <w:color w:val="auto"/>
          <w:highlight w:val="none"/>
          <w:u w:val="single"/>
          <w:shd w:val="clear" w:color="auto" w:fill="ffffff"/>
        </w:rPr>
        <w:t xml:space="preserve">（产品名称</w:t>
      </w:r>
      <w:r>
        <w:rPr>
          <w:rStyle w:val="909"/>
          <w:rFonts w:hint="eastAsia" w:asciiTheme="minorEastAsia" w:hAnsiTheme="minorEastAsia" w:eastAsiaTheme="minorEastAsia"/>
          <w:strike/>
          <w:color w:val="auto"/>
          <w:highlight w:val="none"/>
          <w:u w:val="single"/>
          <w:shd w:val="clear" w:color="auto" w:fill="ffffff"/>
        </w:rPr>
        <w:t xml:space="preserve">1</w:t>
      </w:r>
      <w:r>
        <w:rPr>
          <w:rStyle w:val="90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909"/>
          <w:rFonts w:hint="eastAsia" w:cs="微软雅黑" w:asciiTheme="minorEastAsia" w:hAnsiTheme="minorEastAsia" w:eastAsiaTheme="minorEastAsia"/>
          <w:strike/>
          <w:color w:val="auto"/>
          <w:highlight w:val="none"/>
          <w:u w:val="single"/>
          <w:shd w:val="clear" w:color="auto" w:fill="ffffff"/>
        </w:rPr>
        <w:t xml:space="preserve">（规定比例）</w:t>
      </w:r>
      <w:r>
        <w:rPr>
          <w:rStyle w:val="909"/>
          <w:rFonts w:hint="eastAsia" w:asciiTheme="minorEastAsia" w:hAnsiTheme="minorEastAsia" w:eastAsiaTheme="minorEastAsia"/>
          <w:color w:val="auto"/>
          <w:highlight w:val="none"/>
          <w:shd w:val="clear" w:color="auto" w:fill="ffffff"/>
          <w:vertAlign w:val="superscript"/>
        </w:rPr>
        <w:t xml:space="preserve">3</w:t>
      </w:r>
      <w:r>
        <w:rPr>
          <w:rFonts w:hint="eastAsia" w:cs="微软雅黑" w:asciiTheme="minorEastAsia" w:hAnsiTheme="minorEastAsia" w:eastAsiaTheme="minorEastAsia"/>
          <w:strike/>
          <w:color w:val="auto"/>
          <w:highlight w:val="none"/>
          <w:shd w:val="clear" w:color="auto" w:fill="ffffff"/>
        </w:rPr>
        <w:t xml:space="preserve">。</w:t>
      </w:r>
      <w:r>
        <w:rPr>
          <w:rStyle w:val="909"/>
          <w:rFonts w:hint="eastAsia" w:cs="微软雅黑" w:asciiTheme="minorEastAsia" w:hAnsiTheme="minorEastAsia" w:eastAsiaTheme="minorEastAsia"/>
          <w:strike/>
          <w:color w:val="auto"/>
          <w:highlight w:val="none"/>
          <w:u w:val="single"/>
          <w:shd w:val="clear" w:color="auto" w:fill="ffffff"/>
        </w:rPr>
        <w:t xml:space="preserve">（产品名称</w:t>
      </w:r>
      <w:r>
        <w:rPr>
          <w:rStyle w:val="909"/>
          <w:rFonts w:hint="eastAsia" w:asciiTheme="minorEastAsia" w:hAnsiTheme="minorEastAsia" w:eastAsiaTheme="minorEastAsia"/>
          <w:strike/>
          <w:color w:val="auto"/>
          <w:highlight w:val="none"/>
          <w:u w:val="single"/>
          <w:shd w:val="clear" w:color="auto" w:fill="ffffff"/>
        </w:rPr>
        <w:t xml:space="preserve">1</w:t>
      </w:r>
      <w:r>
        <w:rPr>
          <w:rStyle w:val="90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09"/>
          <w:rFonts w:hint="eastAsia" w:cs="微软雅黑" w:asciiTheme="minorEastAsia" w:hAnsiTheme="minorEastAsia" w:eastAsiaTheme="minorEastAsia"/>
          <w:strike/>
          <w:color w:val="auto"/>
          <w:highlight w:val="none"/>
          <w:u w:val="single"/>
          <w:shd w:val="clear" w:color="auto" w:fill="ffffff"/>
        </w:rPr>
        <w:t xml:space="preserve">（关键组件）</w:t>
      </w:r>
      <w:r>
        <w:rPr>
          <w:rStyle w:val="909"/>
          <w:rFonts w:hint="eastAsia" w:asciiTheme="minorEastAsia" w:hAnsiTheme="minorEastAsia" w:eastAsiaTheme="minorEastAsia"/>
          <w:color w:val="auto"/>
          <w:highlight w:val="none"/>
          <w:shd w:val="clear" w:color="auto" w:fill="ffffff"/>
          <w:vertAlign w:val="superscript"/>
        </w:rPr>
        <w:t xml:space="preserve">4</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909"/>
          <w:rFonts w:hint="eastAsia" w:cs="微软雅黑" w:asciiTheme="minorEastAsia" w:hAnsiTheme="minorEastAsia" w:eastAsiaTheme="minorEastAsia"/>
          <w:strike/>
          <w:color w:val="auto"/>
          <w:highlight w:val="none"/>
          <w:u w:val="single"/>
          <w:shd w:val="clear" w:color="auto" w:fill="ffffff"/>
        </w:rPr>
        <w:t xml:space="preserve">（产品名称</w:t>
      </w:r>
      <w:r>
        <w:rPr>
          <w:rStyle w:val="909"/>
          <w:rFonts w:hint="eastAsia" w:asciiTheme="minorEastAsia" w:hAnsiTheme="minorEastAsia" w:eastAsiaTheme="minorEastAsia"/>
          <w:strike/>
          <w:color w:val="auto"/>
          <w:highlight w:val="none"/>
          <w:u w:val="single"/>
          <w:shd w:val="clear" w:color="auto" w:fill="ffffff"/>
        </w:rPr>
        <w:t xml:space="preserve">1</w:t>
      </w:r>
      <w:r>
        <w:rPr>
          <w:rStyle w:val="90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09"/>
          <w:rFonts w:hint="eastAsia" w:cs="微软雅黑" w:asciiTheme="minorEastAsia" w:hAnsiTheme="minorEastAsia" w:eastAsiaTheme="minorEastAsia"/>
          <w:strike/>
          <w:color w:val="auto"/>
          <w:highlight w:val="none"/>
          <w:u w:val="single"/>
          <w:shd w:val="clear" w:color="auto" w:fill="ffffff"/>
        </w:rPr>
        <w:t xml:space="preserve">（关键工序）</w:t>
      </w:r>
      <w:r>
        <w:rPr>
          <w:rStyle w:val="909"/>
          <w:rFonts w:hint="eastAsia" w:asciiTheme="minorEastAsia" w:hAnsiTheme="minorEastAsia" w:eastAsiaTheme="minorEastAsia"/>
          <w:color w:val="auto"/>
          <w:highlight w:val="none"/>
          <w:shd w:val="clear" w:color="auto" w:fill="ffffff"/>
          <w:vertAlign w:val="superscript"/>
        </w:rPr>
        <w:t xml:space="preserve">5</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901"/>
        <w:ind w:firstLine="420"/>
        <w:spacing w:before="24" w:beforeAutospacing="0" w:after="24" w:afterAutospacing="0" w:line="360" w:lineRule="auto"/>
        <w:shd w:val="clear" w:color="auto" w:fill="ffffff"/>
        <w:rPr>
          <w:rFonts w:asciiTheme="minorEastAsia" w:hAnsiTheme="minorEastAsia" w:eastAsiaTheme="minorEastAsia"/>
          <w:strike/>
          <w:color w:val="auto"/>
          <w:highlight w:val="none"/>
        </w:rPr>
      </w:pPr>
      <w:r>
        <w:rPr>
          <w:rFonts w:hint="eastAsia" w:asciiTheme="minorEastAsia" w:hAnsiTheme="minorEastAsia" w:eastAsiaTheme="minorEastAsia"/>
          <w:color w:val="auto"/>
          <w:highlight w:val="none"/>
          <w:shd w:val="clear" w:color="auto" w:fill="ffffff"/>
        </w:rPr>
        <w:t xml:space="preserve">2.</w:t>
      </w:r>
      <w:r>
        <w:rPr>
          <w:rStyle w:val="909"/>
          <w:rFonts w:hint="eastAsia" w:cs="微软雅黑" w:asciiTheme="minorEastAsia" w:hAnsiTheme="minorEastAsia" w:eastAsiaTheme="minorEastAsia"/>
          <w:color w:val="auto"/>
          <w:highlight w:val="none"/>
          <w:u w:val="single"/>
          <w:shd w:val="clear" w:color="auto" w:fill="ffffff"/>
        </w:rPr>
        <w:t xml:space="preserve">（产品名称</w:t>
      </w:r>
      <w:r>
        <w:rPr>
          <w:rStyle w:val="909"/>
          <w:rFonts w:hint="eastAsia" w:asciiTheme="minorEastAsia" w:hAnsiTheme="minorEastAsia" w:eastAsiaTheme="minorEastAsia"/>
          <w:color w:val="auto"/>
          <w:highlight w:val="none"/>
          <w:u w:val="single"/>
          <w:shd w:val="clear" w:color="auto" w:fill="ffffff"/>
        </w:rPr>
        <w:t xml:space="preserve">2</w:t>
      </w:r>
      <w:r>
        <w:rPr>
          <w:rStyle w:val="909"/>
          <w:rFonts w:hint="eastAsia" w:cs="微软雅黑" w:asciiTheme="minorEastAsia" w:hAnsiTheme="minorEastAsia" w:eastAsiaTheme="minorEastAsia"/>
          <w:color w:val="auto"/>
          <w:highlight w:val="none"/>
          <w:u w:val="singl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，生产厂为</w:t>
      </w:r>
      <w:r>
        <w:rPr>
          <w:rStyle w:val="909"/>
          <w:rFonts w:hint="eastAsia" w:cs="微软雅黑" w:asciiTheme="minorEastAsia" w:hAnsiTheme="minorEastAsia" w:eastAsiaTheme="minorEastAsia"/>
          <w:color w:val="auto"/>
          <w:highlight w:val="none"/>
          <w:u w:val="single"/>
          <w:shd w:val="clear" w:color="auto" w:fill="ffffff"/>
        </w:rPr>
        <w:t xml:space="preserve">（厂名）</w:t>
      </w:r>
      <w:r>
        <w:rPr>
          <w:rFonts w:hint="eastAsia" w:cs="微软雅黑" w:asciiTheme="minorEastAsia" w:hAnsiTheme="minorEastAsia" w:eastAsiaTheme="minorEastAsia"/>
          <w:color w:val="auto"/>
          <w:highlight w:val="none"/>
          <w:shd w:val="clear" w:color="auto" w:fill="ffffff"/>
        </w:rPr>
        <w:t xml:space="preserve">，厂址为</w:t>
      </w:r>
      <w:r>
        <w:rPr>
          <w:rStyle w:val="909"/>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909"/>
          <w:rFonts w:hint="eastAsia" w:cs="微软雅黑" w:asciiTheme="minorEastAsia" w:hAnsiTheme="minorEastAsia" w:eastAsiaTheme="minorEastAsia"/>
          <w:strike/>
          <w:color w:val="auto"/>
          <w:highlight w:val="none"/>
          <w:u w:val="single"/>
          <w:shd w:val="clear" w:color="auto" w:fill="ffffff"/>
        </w:rPr>
        <w:t xml:space="preserve">（产品名称</w:t>
      </w:r>
      <w:r>
        <w:rPr>
          <w:rStyle w:val="909"/>
          <w:rFonts w:hint="eastAsia" w:asciiTheme="minorEastAsia" w:hAnsiTheme="minorEastAsia" w:eastAsiaTheme="minorEastAsia"/>
          <w:strike/>
          <w:color w:val="auto"/>
          <w:highlight w:val="none"/>
          <w:u w:val="single"/>
          <w:shd w:val="clear" w:color="auto" w:fill="ffffff"/>
        </w:rPr>
        <w:t xml:space="preserve">2</w:t>
      </w:r>
      <w:r>
        <w:rPr>
          <w:rStyle w:val="90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909"/>
          <w:rFonts w:hint="eastAsia" w:cs="微软雅黑" w:asciiTheme="minorEastAsia" w:hAnsiTheme="minorEastAsia" w:eastAsiaTheme="minorEastAsia"/>
          <w:strike/>
          <w:color w:val="auto"/>
          <w:highlight w:val="none"/>
          <w:u w:val="single"/>
          <w:shd w:val="clear" w:color="auto" w:fill="ffffff"/>
        </w:rPr>
        <w:t xml:space="preserve">（规定比例）</w:t>
      </w:r>
      <w:r>
        <w:rPr>
          <w:rFonts w:hint="eastAsia" w:cs="微软雅黑" w:asciiTheme="minorEastAsia" w:hAnsiTheme="minorEastAsia" w:eastAsiaTheme="minorEastAsia"/>
          <w:strike/>
          <w:color w:val="auto"/>
          <w:highlight w:val="none"/>
          <w:shd w:val="clear" w:color="auto" w:fill="ffffff"/>
        </w:rPr>
        <w:t xml:space="preserve">。</w:t>
      </w:r>
      <w:r>
        <w:rPr>
          <w:rStyle w:val="909"/>
          <w:rFonts w:hint="eastAsia" w:cs="微软雅黑" w:asciiTheme="minorEastAsia" w:hAnsiTheme="minorEastAsia" w:eastAsiaTheme="minorEastAsia"/>
          <w:strike/>
          <w:color w:val="auto"/>
          <w:highlight w:val="none"/>
          <w:u w:val="single"/>
          <w:shd w:val="clear" w:color="auto" w:fill="ffffff"/>
        </w:rPr>
        <w:t xml:space="preserve">（产品名称</w:t>
      </w:r>
      <w:r>
        <w:rPr>
          <w:rStyle w:val="909"/>
          <w:rFonts w:hint="eastAsia" w:asciiTheme="minorEastAsia" w:hAnsiTheme="minorEastAsia" w:eastAsiaTheme="minorEastAsia"/>
          <w:strike/>
          <w:color w:val="auto"/>
          <w:highlight w:val="none"/>
          <w:u w:val="single"/>
          <w:shd w:val="clear" w:color="auto" w:fill="ffffff"/>
        </w:rPr>
        <w:t xml:space="preserve">2</w:t>
      </w:r>
      <w:r>
        <w:rPr>
          <w:rStyle w:val="90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09"/>
          <w:rFonts w:hint="eastAsia" w:cs="微软雅黑" w:asciiTheme="minorEastAsia" w:hAnsiTheme="minorEastAsia" w:eastAsiaTheme="minorEastAsia"/>
          <w:strike/>
          <w:color w:val="auto"/>
          <w:highlight w:val="none"/>
          <w:u w:val="single"/>
          <w:shd w:val="clear" w:color="auto" w:fill="ffffff"/>
        </w:rPr>
        <w:t xml:space="preserve">（关键组件）</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909"/>
          <w:rFonts w:hint="eastAsia" w:cs="微软雅黑" w:asciiTheme="minorEastAsia" w:hAnsiTheme="minorEastAsia" w:eastAsiaTheme="minorEastAsia"/>
          <w:strike/>
          <w:color w:val="auto"/>
          <w:highlight w:val="none"/>
          <w:u w:val="single"/>
          <w:shd w:val="clear" w:color="auto" w:fill="ffffff"/>
        </w:rPr>
        <w:t xml:space="preserve">（产品名称</w:t>
      </w:r>
      <w:r>
        <w:rPr>
          <w:rStyle w:val="909"/>
          <w:rFonts w:hint="eastAsia" w:asciiTheme="minorEastAsia" w:hAnsiTheme="minorEastAsia" w:eastAsiaTheme="minorEastAsia"/>
          <w:strike/>
          <w:color w:val="auto"/>
          <w:highlight w:val="none"/>
          <w:u w:val="single"/>
          <w:shd w:val="clear" w:color="auto" w:fill="ffffff"/>
        </w:rPr>
        <w:t xml:space="preserve">2</w:t>
      </w:r>
      <w:r>
        <w:rPr>
          <w:rStyle w:val="90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09"/>
          <w:rFonts w:hint="eastAsia" w:cs="微软雅黑" w:asciiTheme="minorEastAsia" w:hAnsiTheme="minorEastAsia" w:eastAsiaTheme="minorEastAsia"/>
          <w:strike/>
          <w:color w:val="auto"/>
          <w:highlight w:val="none"/>
          <w:u w:val="single"/>
          <w:shd w:val="clear" w:color="auto" w:fill="ffffff"/>
        </w:rPr>
        <w:t xml:space="preserve">（关键工序）</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901"/>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asciiTheme="minorEastAsia" w:hAnsiTheme="minorEastAsia" w:eastAsiaTheme="minorEastAsia"/>
          <w:color w:val="auto"/>
          <w:highlight w:val="none"/>
          <w:shd w:val="clear" w:color="auto" w:fill="ffffff"/>
        </w:rPr>
        <w:t xml:space="preserve">……</w:t>
      </w:r>
      <w:r/>
    </w:p>
    <w:p>
      <w:pPr>
        <w:pStyle w:val="901"/>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cs="微软雅黑" w:asciiTheme="minorEastAsia" w:hAnsiTheme="minorEastAsia" w:eastAsiaTheme="minorEastAsia"/>
          <w:color w:val="auto"/>
          <w:highlight w:val="none"/>
          <w:shd w:val="clear" w:color="auto" w:fill="ffffff"/>
        </w:rPr>
        <w:t xml:space="preserve">本采购包中提供的符合本国产品标准的产品成本之和占该采购包提供的全部产品成本之和的比例为</w:t>
      </w:r>
      <w:r>
        <w:rPr>
          <w:rFonts w:hint="eastAsia" w:asciiTheme="minorEastAsia" w:hAnsiTheme="minorEastAsia" w:eastAsiaTheme="minorEastAsia"/>
          <w:color w:val="auto"/>
          <w:highlight w:val="none"/>
          <w:u w:val="single"/>
          <w:shd w:val="clear" w:color="auto" w:fill="ffffff"/>
        </w:rPr>
        <w:t xml:space="preserve">   </w:t>
      </w:r>
      <w:r>
        <w:rPr>
          <w:rFonts w:hint="eastAsia"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w:t>
      </w:r>
      <w:r/>
    </w:p>
    <w:p>
      <w:pPr>
        <w:pStyle w:val="901"/>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本公司（单位）对上述声明内容的真实性负责。如有虚假，愿承担相应法律责任。</w:t>
      </w:r>
      <w:r/>
    </w:p>
    <w:p>
      <w:pPr>
        <w:pStyle w:val="901"/>
        <w:jc w:val="right"/>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公司（单位）名称（盖章）：　</w:t>
      </w:r>
      <w:r>
        <w:rPr>
          <w:rFonts w:hint="eastAsia" w:asciiTheme="minorEastAsia" w:hAnsiTheme="minorEastAsia" w:eastAsiaTheme="minorEastAsia"/>
          <w:color w:val="auto"/>
          <w:highlight w:val="none"/>
          <w:shd w:val="clear" w:color="auto" w:fill="ffffff"/>
        </w:rPr>
        <w:t xml:space="preserve">        </w:t>
      </w:r>
      <w:r/>
    </w:p>
    <w:p>
      <w:pPr>
        <w:pStyle w:val="901"/>
        <w:jc w:val="right"/>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cs="微软雅黑" w:asciiTheme="minorEastAsia" w:hAnsiTheme="minorEastAsia" w:eastAsiaTheme="minorEastAsia"/>
          <w:color w:val="auto"/>
          <w:highlight w:val="none"/>
          <w:shd w:val="clear" w:color="auto" w:fill="ffffff"/>
        </w:rPr>
        <w:t xml:space="preserve">日期：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年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月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日</w:t>
      </w:r>
      <w:r>
        <w:rPr>
          <w:rFonts w:hint="eastAsia" w:asciiTheme="minorEastAsia" w:hAnsiTheme="minorEastAsia" w:eastAsiaTheme="minorEastAsia"/>
          <w:color w:val="auto"/>
          <w:highlight w:val="none"/>
          <w:shd w:val="clear" w:color="auto" w:fill="ffffff"/>
        </w:rPr>
        <w:t xml:space="preserve">    </w:t>
      </w:r>
      <w:r>
        <w:rPr>
          <w:rFonts w:hint="eastAsia" w:asciiTheme="minorEastAsia" w:hAnsiTheme="minorEastAsia" w:eastAsiaTheme="minorEastAsia"/>
          <w:color w:val="auto"/>
          <w:sz w:val="28"/>
          <w:szCs w:val="28"/>
          <w:highlight w:val="none"/>
          <w:shd w:val="clear" w:color="auto" w:fill="ffffff"/>
        </w:rPr>
        <w:t xml:space="preserve">     </w:t>
      </w:r>
      <w:r/>
    </w:p>
    <w:p>
      <w:pPr>
        <w:pStyle w:val="901"/>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shd w:val="clear" w:color="auto" w:fill="ffffff"/>
        </w:rPr>
        <w:t xml:space="preserve">__________________</w:t>
      </w:r>
      <w:r/>
    </w:p>
    <w:p>
      <w:pPr>
        <w:pStyle w:val="901"/>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1.</w:t>
      </w:r>
      <w:r>
        <w:rPr>
          <w:rFonts w:hint="eastAsia" w:cs="微软雅黑" w:asciiTheme="minorEastAsia" w:hAnsiTheme="minorEastAsia" w:eastAsiaTheme="minorEastAsia"/>
          <w:color w:val="auto"/>
          <w:sz w:val="21"/>
          <w:szCs w:val="21"/>
          <w:highlight w:val="none"/>
          <w:shd w:val="clear" w:color="auto" w:fill="ffffff"/>
        </w:rPr>
        <w:t xml:space="preserve">产品如有型号，请在</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产品名称</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栏一并填写。</w:t>
      </w:r>
      <w:r/>
    </w:p>
    <w:p>
      <w:pPr>
        <w:pStyle w:val="901"/>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2.</w:t>
      </w:r>
      <w:r>
        <w:rPr>
          <w:rFonts w:hint="eastAsia" w:cs="微软雅黑" w:asciiTheme="minorEastAsia" w:hAnsiTheme="minorEastAsia" w:eastAsiaTheme="minorEastAsia"/>
          <w:color w:val="auto"/>
          <w:sz w:val="21"/>
          <w:szCs w:val="21"/>
          <w:highlight w:val="none"/>
          <w:shd w:val="clear" w:color="auto" w:fill="ffffff"/>
        </w:rPr>
        <w:t xml:space="preserve">生产厂名与厂址应与生产厂营业执照载明的相关信息保持一致。</w:t>
      </w:r>
      <w:r/>
    </w:p>
    <w:p>
      <w:pPr>
        <w:pStyle w:val="901"/>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shd w:val="clear" w:color="auto" w:fill="ffffff"/>
        </w:rPr>
        <w:t xml:space="preserve">3.</w:t>
      </w:r>
      <w:r>
        <w:rPr>
          <w:rFonts w:hint="eastAsia" w:cs="微软雅黑" w:asciiTheme="minorEastAsia" w:hAnsiTheme="minorEastAsia" w:eastAsiaTheme="minorEastAsia"/>
          <w:b/>
          <w:bCs/>
          <w:color w:val="auto"/>
          <w:sz w:val="21"/>
          <w:szCs w:val="21"/>
          <w:highlight w:val="none"/>
          <w:shd w:val="clear" w:color="auto" w:fill="ffffff"/>
        </w:rPr>
        <w:t xml:space="preserve">该产品的中国境内生产的组件成本占比相关要求实施前，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规定比例</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901"/>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4.</w:t>
      </w:r>
      <w:r>
        <w:rPr>
          <w:rFonts w:hint="eastAsia" w:cs="微软雅黑" w:asciiTheme="minorEastAsia" w:hAnsiTheme="minorEastAsia" w:eastAsiaTheme="minorEastAsia"/>
          <w:b/>
          <w:bCs/>
          <w:color w:val="auto"/>
          <w:sz w:val="21"/>
          <w:szCs w:val="21"/>
          <w:highlight w:val="none"/>
          <w:shd w:val="clear" w:color="auto" w:fill="ffffff"/>
        </w:rPr>
        <w:t xml:space="preserve">该产品的关键组件要求实施前，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关键组件</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901"/>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5.</w:t>
      </w:r>
      <w:r>
        <w:rPr>
          <w:rFonts w:hint="eastAsia" w:cs="微软雅黑" w:asciiTheme="minorEastAsia" w:hAnsiTheme="minorEastAsia" w:eastAsiaTheme="minorEastAsia"/>
          <w:b/>
          <w:bCs/>
          <w:color w:val="auto"/>
          <w:sz w:val="21"/>
          <w:szCs w:val="21"/>
          <w:highlight w:val="none"/>
          <w:shd w:val="clear" w:color="auto" w:fill="ffffff"/>
        </w:rPr>
        <w:t xml:space="preserve">该产品的关键工序要求实施前，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关键工序</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901"/>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shd w:val="clear" w:color="auto" w:fill="ffffff"/>
        </w:rPr>
        <w:t xml:space="preserve">6.</w:t>
      </w:r>
      <w:r>
        <w:rPr>
          <w:rFonts w:hint="eastAsia" w:cs="微软雅黑" w:asciiTheme="minorEastAsia" w:hAnsiTheme="minorEastAsia" w:eastAsiaTheme="minorEastAsia"/>
          <w:color w:val="auto"/>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color w:val="auto"/>
          <w:sz w:val="21"/>
          <w:szCs w:val="21"/>
          <w:highlight w:val="none"/>
          <w:shd w:val="clear" w:color="auto" w:fill="ffffff"/>
        </w:rPr>
        <w:t xml:space="preserve">20%</w:t>
      </w:r>
      <w:r>
        <w:rPr>
          <w:rFonts w:hint="eastAsia" w:cs="微软雅黑" w:asciiTheme="minorEastAsia" w:hAnsiTheme="minorEastAsia" w:eastAsiaTheme="minorEastAsia"/>
          <w:color w:val="auto"/>
          <w:sz w:val="21"/>
          <w:szCs w:val="21"/>
          <w:highlight w:val="none"/>
          <w:shd w:val="clear" w:color="auto" w:fill="ffffff"/>
        </w:rPr>
        <w:t xml:space="preserve">的价格扣除，用扣除后的价格参与评审。供应商未填写比例数值，或比例数值未达到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的，将不享受本国产品价格评审优惠。</w:t>
      </w:r>
      <w:bookmarkEnd w:id="31"/>
      <w:r/>
      <w:r/>
    </w:p>
    <w:p>
      <w:pPr>
        <w:pStyle w:val="1107"/>
        <w:rPr>
          <w:color w:val="auto"/>
          <w:highlight w:val="none"/>
          <w:lang w:eastAsia="zh-CN"/>
        </w:rPr>
      </w:pPr>
      <w:r>
        <w:rPr>
          <w:color w:val="auto"/>
          <w:highlight w:val="none"/>
          <w:lang w:eastAsia="zh-CN"/>
        </w:rPr>
      </w:r>
      <w:r/>
    </w:p>
    <w:p>
      <w:pPr>
        <w:spacing w:line="360" w:lineRule="auto"/>
        <w:rPr>
          <w:rFonts w:ascii="黑体" w:eastAsia="黑体"/>
          <w:color w:val="auto"/>
          <w:sz w:val="36"/>
          <w:highlight w:val="none"/>
          <w:lang w:val="en-US"/>
        </w:rPr>
      </w:pPr>
      <w:r>
        <w:rPr>
          <w:rFonts w:ascii="黑体" w:eastAsia="黑体"/>
          <w:color w:val="auto"/>
          <w:sz w:val="36"/>
          <w:highlight w:val="none"/>
          <w:lang w:val="en-US"/>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FZHTK--GBK1-0">
    <w:panose1 w:val="020B0503020202020204"/>
  </w:font>
  <w:font w:name="Wingdings">
    <w:panose1 w:val="05000000000000000000"/>
  </w:font>
  <w:font w:name="微软雅黑">
    <w:panose1 w:val="020B0503020204020204"/>
  </w:font>
  <w:font w:name="Calibri">
    <w:panose1 w:val="020F0502020204030204"/>
  </w:font>
  <w:font w:name="黑体">
    <w:panose1 w:val="02010609060101010101"/>
  </w:font>
  <w:font w:name="方正仿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74</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74</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1"/>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74</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74</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74</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74</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2">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3">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4">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abstractNum w:abstractNumId="5">
    <w:multiLevelType w:val="hybridMultilevel"/>
    <w:lvl w:ilvl="0">
      <w:start w:val="1"/>
      <w:numFmt w:val="bullet"/>
      <w:pStyle w:val="111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6">
    <w:multiLevelType w:val="hybridMultilevel"/>
    <w:lvl w:ilvl="0">
      <w:start w:val="28"/>
      <w:numFmt w:val="decimal"/>
      <w:isLgl w:val="false"/>
      <w:suff w:val="tab"/>
      <w:lvlText w:val="%1"/>
      <w:lvlJc w:val="left"/>
      <w:pPr>
        <w:ind w:left="7164" w:hanging="526"/>
      </w:pPr>
      <w:rPr>
        <w:rFonts w:hint="default"/>
        <w:lang w:val="zh-CN" w:eastAsia="zh-CN" w:bidi="zh-CN"/>
      </w:rPr>
    </w:lvl>
    <w:lvl w:ilvl="1">
      <w:start w:val="1"/>
      <w:numFmt w:val="decimal"/>
      <w:isLgl w:val="false"/>
      <w:suff w:val="space"/>
      <w:lvlText w:val="%1.%2"/>
      <w:lvlJc w:val="left"/>
      <w:pPr>
        <w:ind w:left="6946"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9098" w:hanging="526"/>
      </w:pPr>
      <w:rPr>
        <w:rFonts w:hint="default"/>
        <w:lang w:val="zh-CN" w:eastAsia="zh-CN" w:bidi="zh-CN"/>
      </w:rPr>
    </w:lvl>
    <w:lvl w:ilvl="3">
      <w:start w:val="0"/>
      <w:numFmt w:val="bullet"/>
      <w:isLgl w:val="false"/>
      <w:suff w:val="tab"/>
      <w:lvlText w:val="•"/>
      <w:lvlJc w:val="left"/>
      <w:pPr>
        <w:ind w:left="10064" w:hanging="526"/>
      </w:pPr>
      <w:rPr>
        <w:rFonts w:hint="default"/>
        <w:lang w:val="zh-CN" w:eastAsia="zh-CN" w:bidi="zh-CN"/>
      </w:rPr>
    </w:lvl>
    <w:lvl w:ilvl="4">
      <w:start w:val="0"/>
      <w:numFmt w:val="bullet"/>
      <w:isLgl w:val="false"/>
      <w:suff w:val="tab"/>
      <w:lvlText w:val="•"/>
      <w:lvlJc w:val="left"/>
      <w:pPr>
        <w:ind w:left="11030" w:hanging="526"/>
      </w:pPr>
      <w:rPr>
        <w:rFonts w:hint="default"/>
        <w:lang w:val="zh-CN" w:eastAsia="zh-CN" w:bidi="zh-CN"/>
      </w:rPr>
    </w:lvl>
    <w:lvl w:ilvl="5">
      <w:start w:val="0"/>
      <w:numFmt w:val="bullet"/>
      <w:isLgl w:val="false"/>
      <w:suff w:val="tab"/>
      <w:lvlText w:val="•"/>
      <w:lvlJc w:val="left"/>
      <w:pPr>
        <w:ind w:left="11996" w:hanging="526"/>
      </w:pPr>
      <w:rPr>
        <w:rFonts w:hint="default"/>
        <w:lang w:val="zh-CN" w:eastAsia="zh-CN" w:bidi="zh-CN"/>
      </w:rPr>
    </w:lvl>
    <w:lvl w:ilvl="6">
      <w:start w:val="0"/>
      <w:numFmt w:val="bullet"/>
      <w:isLgl w:val="false"/>
      <w:suff w:val="tab"/>
      <w:lvlText w:val="•"/>
      <w:lvlJc w:val="left"/>
      <w:pPr>
        <w:ind w:left="12962" w:hanging="526"/>
      </w:pPr>
      <w:rPr>
        <w:rFonts w:hint="default"/>
        <w:lang w:val="zh-CN" w:eastAsia="zh-CN" w:bidi="zh-CN"/>
      </w:rPr>
    </w:lvl>
    <w:lvl w:ilvl="7">
      <w:start w:val="0"/>
      <w:numFmt w:val="bullet"/>
      <w:isLgl w:val="false"/>
      <w:suff w:val="tab"/>
      <w:lvlText w:val="•"/>
      <w:lvlJc w:val="left"/>
      <w:pPr>
        <w:ind w:left="13928" w:hanging="526"/>
      </w:pPr>
      <w:rPr>
        <w:rFonts w:hint="default"/>
        <w:lang w:val="zh-CN" w:eastAsia="zh-CN" w:bidi="zh-CN"/>
      </w:rPr>
    </w:lvl>
    <w:lvl w:ilvl="8">
      <w:start w:val="0"/>
      <w:numFmt w:val="bullet"/>
      <w:isLgl w:val="false"/>
      <w:suff w:val="tab"/>
      <w:lvlText w:val="•"/>
      <w:lvlJc w:val="left"/>
      <w:pPr>
        <w:ind w:left="14894" w:hanging="526"/>
      </w:pPr>
      <w:rPr>
        <w:rFonts w:hint="default"/>
        <w:lang w:val="zh-CN" w:eastAsia="zh-CN" w:bidi="zh-CN"/>
      </w:rPr>
    </w:lvl>
  </w:abstractNum>
  <w:abstractNum w:abstractNumId="7">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abstractNum w:abstractNumId="8">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9">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10">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11">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2">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3">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4">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5">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6">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num w:numId="1">
    <w:abstractNumId w:val="5"/>
  </w:num>
  <w:num w:numId="2">
    <w:abstractNumId w:val="9"/>
  </w:num>
  <w:num w:numId="3">
    <w:abstractNumId w:val="4"/>
  </w:num>
  <w:num w:numId="4">
    <w:abstractNumId w:val="10"/>
  </w:num>
  <w:num w:numId="5">
    <w:abstractNumId w:val="7"/>
  </w:num>
  <w:num w:numId="6">
    <w:abstractNumId w:val="8"/>
  </w:num>
  <w:num w:numId="7">
    <w:abstractNumId w:val="13"/>
  </w:num>
  <w:num w:numId="8">
    <w:abstractNumId w:val="15"/>
  </w:num>
  <w:num w:numId="9">
    <w:abstractNumId w:val="2"/>
  </w:num>
  <w:num w:numId="10">
    <w:abstractNumId w:val="1"/>
  </w:num>
  <w:num w:numId="11">
    <w:abstractNumId w:val="0"/>
  </w:num>
  <w:num w:numId="12">
    <w:abstractNumId w:val="16"/>
  </w:num>
  <w:num w:numId="13">
    <w:abstractNumId w:val="11"/>
  </w:num>
  <w:num w:numId="14">
    <w:abstractNumId w:val="14"/>
  </w:num>
  <w:num w:numId="15">
    <w:abstractNumId w:val="3"/>
  </w:num>
  <w:num w:numId="16">
    <w:abstractNumId w:val="12"/>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44">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3">
    <w:name w:val="TOC Heading"/>
    <w:uiPriority w:val="39"/>
    <w:unhideWhenUsed/>
  </w:style>
  <w:style w:type="paragraph" w:styleId="864" w:default="1">
    <w:name w:val="Normal"/>
    <w:uiPriority w:val="1"/>
    <w:qFormat/>
    <w:pPr>
      <w:widowControl w:val="off"/>
    </w:pPr>
    <w:rPr>
      <w:rFonts w:ascii="宋体" w:hAnsi="宋体" w:eastAsia="宋体" w:cs="宋体"/>
      <w:sz w:val="22"/>
      <w:szCs w:val="22"/>
      <w:lang w:val="zh-CN" w:eastAsia="zh-CN" w:bidi="zh-CN"/>
    </w:rPr>
  </w:style>
  <w:style w:type="paragraph" w:styleId="865">
    <w:name w:val="Heading 1"/>
    <w:basedOn w:val="864"/>
    <w:next w:val="864"/>
    <w:link w:val="951"/>
    <w:uiPriority w:val="1"/>
    <w:qFormat/>
    <w:pPr>
      <w:ind w:right="35"/>
      <w:jc w:val="center"/>
      <w:outlineLvl w:val="0"/>
    </w:pPr>
    <w:rPr>
      <w:b/>
      <w:bCs/>
      <w:sz w:val="72"/>
      <w:szCs w:val="72"/>
    </w:rPr>
  </w:style>
  <w:style w:type="paragraph" w:styleId="866">
    <w:name w:val="Heading 2"/>
    <w:basedOn w:val="864"/>
    <w:next w:val="864"/>
    <w:link w:val="952"/>
    <w:uiPriority w:val="1"/>
    <w:qFormat/>
    <w:pPr>
      <w:ind w:left="218"/>
      <w:outlineLvl w:val="1"/>
    </w:pPr>
    <w:rPr>
      <w:b/>
      <w:bCs/>
      <w:sz w:val="32"/>
      <w:szCs w:val="32"/>
    </w:rPr>
  </w:style>
  <w:style w:type="paragraph" w:styleId="867">
    <w:name w:val="Heading 3"/>
    <w:basedOn w:val="864"/>
    <w:next w:val="864"/>
    <w:link w:val="953"/>
    <w:uiPriority w:val="1"/>
    <w:qFormat/>
    <w:pPr>
      <w:ind w:left="218"/>
      <w:outlineLvl w:val="2"/>
    </w:pPr>
    <w:rPr>
      <w:sz w:val="28"/>
      <w:szCs w:val="28"/>
    </w:rPr>
  </w:style>
  <w:style w:type="paragraph" w:styleId="868">
    <w:name w:val="Heading 4"/>
    <w:basedOn w:val="864"/>
    <w:next w:val="864"/>
    <w:link w:val="954"/>
    <w:uiPriority w:val="1"/>
    <w:qFormat/>
    <w:pPr>
      <w:ind w:left="218"/>
      <w:outlineLvl w:val="3"/>
    </w:pPr>
    <w:rPr>
      <w:sz w:val="24"/>
      <w:szCs w:val="24"/>
    </w:rPr>
  </w:style>
  <w:style w:type="paragraph" w:styleId="869">
    <w:name w:val="Heading 5"/>
    <w:basedOn w:val="864"/>
    <w:next w:val="864"/>
    <w:link w:val="955"/>
    <w:uiPriority w:val="9"/>
    <w:unhideWhenUsed/>
    <w:qFormat/>
    <w:pPr>
      <w:keepLines/>
      <w:keepNext/>
      <w:spacing w:before="320" w:after="200"/>
      <w:outlineLvl w:val="4"/>
    </w:pPr>
    <w:rPr>
      <w:rFonts w:ascii="Arial" w:hAnsi="Arial" w:eastAsia="Arial" w:cs="Arial"/>
      <w:b/>
      <w:bCs/>
      <w:sz w:val="24"/>
      <w:szCs w:val="24"/>
    </w:rPr>
  </w:style>
  <w:style w:type="paragraph" w:styleId="870">
    <w:name w:val="Heading 6"/>
    <w:basedOn w:val="864"/>
    <w:next w:val="864"/>
    <w:link w:val="956"/>
    <w:uiPriority w:val="9"/>
    <w:unhideWhenUsed/>
    <w:qFormat/>
    <w:pPr>
      <w:keepLines/>
      <w:keepNext/>
      <w:spacing w:before="320" w:after="200"/>
      <w:outlineLvl w:val="5"/>
    </w:pPr>
    <w:rPr>
      <w:rFonts w:ascii="Arial" w:hAnsi="Arial" w:eastAsia="Arial" w:cs="Arial"/>
      <w:b/>
      <w:bCs/>
    </w:rPr>
  </w:style>
  <w:style w:type="paragraph" w:styleId="871">
    <w:name w:val="Heading 7"/>
    <w:basedOn w:val="864"/>
    <w:next w:val="864"/>
    <w:link w:val="957"/>
    <w:uiPriority w:val="9"/>
    <w:unhideWhenUsed/>
    <w:qFormat/>
    <w:pPr>
      <w:keepLines/>
      <w:keepNext/>
      <w:spacing w:before="320" w:after="200"/>
      <w:outlineLvl w:val="6"/>
    </w:pPr>
    <w:rPr>
      <w:rFonts w:ascii="Arial" w:hAnsi="Arial" w:eastAsia="Arial" w:cs="Arial"/>
      <w:b/>
      <w:bCs/>
      <w:i/>
      <w:iCs/>
    </w:rPr>
  </w:style>
  <w:style w:type="paragraph" w:styleId="872">
    <w:name w:val="Heading 8"/>
    <w:basedOn w:val="864"/>
    <w:next w:val="864"/>
    <w:link w:val="958"/>
    <w:uiPriority w:val="9"/>
    <w:unhideWhenUsed/>
    <w:qFormat/>
    <w:pPr>
      <w:keepLines/>
      <w:keepNext/>
      <w:spacing w:before="320" w:after="200"/>
      <w:outlineLvl w:val="7"/>
    </w:pPr>
    <w:rPr>
      <w:rFonts w:ascii="Arial" w:hAnsi="Arial" w:eastAsia="Arial" w:cs="Arial"/>
      <w:i/>
      <w:iCs/>
    </w:rPr>
  </w:style>
  <w:style w:type="paragraph" w:styleId="873">
    <w:name w:val="Heading 9"/>
    <w:basedOn w:val="864"/>
    <w:next w:val="864"/>
    <w:link w:val="959"/>
    <w:uiPriority w:val="9"/>
    <w:unhideWhenUsed/>
    <w:qFormat/>
    <w:pPr>
      <w:keepLines/>
      <w:keepNext/>
      <w:spacing w:before="320" w:after="200"/>
      <w:outlineLvl w:val="8"/>
    </w:pPr>
    <w:rPr>
      <w:rFonts w:ascii="Arial" w:hAnsi="Arial" w:eastAsia="Arial" w:cs="Arial"/>
      <w:i/>
      <w:iCs/>
      <w:sz w:val="21"/>
      <w:szCs w:val="21"/>
    </w:rPr>
  </w:style>
  <w:style w:type="character" w:styleId="874" w:default="1">
    <w:name w:val="Default Paragraph Font"/>
    <w:uiPriority w:val="1"/>
    <w:semiHidden/>
    <w:unhideWhenUsed/>
  </w:style>
  <w:style w:type="table" w:styleId="875" w:default="1">
    <w:name w:val="Normal Table"/>
    <w:uiPriority w:val="99"/>
    <w:semiHidden/>
    <w:unhideWhenUsed/>
    <w:tblPr>
      <w:tblCellMar>
        <w:left w:w="108" w:type="dxa"/>
        <w:top w:w="0" w:type="dxa"/>
        <w:right w:w="108" w:type="dxa"/>
        <w:bottom w:w="0" w:type="dxa"/>
      </w:tblCellMar>
    </w:tblPr>
  </w:style>
  <w:style w:type="paragraph" w:styleId="876">
    <w:name w:val="toc 7"/>
    <w:basedOn w:val="864"/>
    <w:next w:val="864"/>
    <w:uiPriority w:val="39"/>
    <w:unhideWhenUsed/>
    <w:qFormat/>
    <w:pPr>
      <w:ind w:left="1701"/>
      <w:spacing w:after="57"/>
    </w:pPr>
  </w:style>
  <w:style w:type="paragraph" w:styleId="877">
    <w:name w:val="Normal Indent"/>
    <w:basedOn w:val="864"/>
    <w:uiPriority w:val="0"/>
    <w:qFormat/>
    <w:pPr>
      <w:ind w:firstLine="420"/>
      <w:spacing w:line="360" w:lineRule="auto"/>
    </w:pPr>
    <w:rPr>
      <w:rFonts w:ascii="Times New Roman" w:hAnsi="Times New Roman"/>
      <w:sz w:val="24"/>
      <w:szCs w:val="21"/>
    </w:rPr>
  </w:style>
  <w:style w:type="paragraph" w:styleId="878">
    <w:name w:val="Caption"/>
    <w:basedOn w:val="864"/>
    <w:next w:val="8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9">
    <w:name w:val="annotation text"/>
    <w:basedOn w:val="864"/>
    <w:link w:val="1096"/>
    <w:uiPriority w:val="0"/>
    <w:qFormat/>
  </w:style>
  <w:style w:type="paragraph" w:styleId="880">
    <w:name w:val="Body Text"/>
    <w:basedOn w:val="864"/>
    <w:next w:val="881"/>
    <w:link w:val="1121"/>
    <w:uiPriority w:val="1"/>
    <w:qFormat/>
    <w:rPr>
      <w:sz w:val="21"/>
      <w:szCs w:val="21"/>
    </w:rPr>
  </w:style>
  <w:style w:type="paragraph" w:styleId="881">
    <w:name w:val="Date"/>
    <w:basedOn w:val="864"/>
    <w:next w:val="864"/>
    <w:uiPriority w:val="0"/>
    <w:qFormat/>
    <w:pPr>
      <w:ind w:left="100"/>
    </w:pPr>
    <w:rPr>
      <w:rFonts w:ascii="Times New Roman" w:hAnsi="Times New Roman" w:cs="Times New Roman"/>
      <w:sz w:val="28"/>
    </w:rPr>
  </w:style>
  <w:style w:type="paragraph" w:styleId="882">
    <w:name w:val="Body Text Indent"/>
    <w:basedOn w:val="864"/>
    <w:uiPriority w:val="0"/>
    <w:qFormat/>
    <w:pPr>
      <w:ind w:firstLine="301"/>
      <w:spacing w:line="200" w:lineRule="exact"/>
    </w:pPr>
    <w:rPr>
      <w:rFonts w:hAnsi="Courier New"/>
      <w:spacing w:val="-4"/>
      <w:sz w:val="18"/>
      <w:szCs w:val="20"/>
    </w:rPr>
  </w:style>
  <w:style w:type="paragraph" w:styleId="883">
    <w:name w:val="Block Text"/>
    <w:basedOn w:val="864"/>
    <w:uiPriority w:val="99"/>
    <w:unhideWhenUsed/>
    <w:qFormat/>
    <w:pPr>
      <w:ind w:left="1440" w:right="1440"/>
      <w:spacing w:after="120"/>
    </w:pPr>
  </w:style>
  <w:style w:type="paragraph" w:styleId="884">
    <w:name w:val="index 4"/>
    <w:basedOn w:val="864"/>
    <w:next w:val="864"/>
    <w:uiPriority w:val="0"/>
    <w:unhideWhenUsed/>
    <w:qFormat/>
    <w:pPr>
      <w:ind w:left="600"/>
    </w:pPr>
    <w:rPr>
      <w:b/>
      <w:position w:val="-10"/>
      <w:sz w:val="24"/>
      <w:szCs w:val="20"/>
    </w:rPr>
  </w:style>
  <w:style w:type="paragraph" w:styleId="885">
    <w:name w:val="toc 5"/>
    <w:basedOn w:val="864"/>
    <w:next w:val="864"/>
    <w:uiPriority w:val="39"/>
    <w:unhideWhenUsed/>
    <w:qFormat/>
    <w:pPr>
      <w:ind w:left="1134"/>
      <w:spacing w:after="57"/>
    </w:pPr>
  </w:style>
  <w:style w:type="paragraph" w:styleId="886">
    <w:name w:val="toc 3"/>
    <w:basedOn w:val="864"/>
    <w:next w:val="864"/>
    <w:uiPriority w:val="39"/>
    <w:unhideWhenUsed/>
    <w:qFormat/>
    <w:pPr>
      <w:ind w:left="567"/>
      <w:spacing w:after="57"/>
    </w:pPr>
  </w:style>
  <w:style w:type="paragraph" w:styleId="887">
    <w:name w:val="Plain Text"/>
    <w:basedOn w:val="864"/>
    <w:link w:val="1100"/>
    <w:uiPriority w:val="0"/>
    <w:unhideWhenUsed/>
    <w:qFormat/>
    <w:rPr>
      <w:rFonts w:hAnsi="Courier New"/>
    </w:rPr>
  </w:style>
  <w:style w:type="paragraph" w:styleId="888">
    <w:name w:val="toc 8"/>
    <w:basedOn w:val="864"/>
    <w:next w:val="864"/>
    <w:uiPriority w:val="39"/>
    <w:unhideWhenUsed/>
    <w:qFormat/>
    <w:pPr>
      <w:ind w:left="1984"/>
      <w:spacing w:after="57"/>
    </w:pPr>
  </w:style>
  <w:style w:type="paragraph" w:styleId="889">
    <w:name w:val="endnote text"/>
    <w:basedOn w:val="864"/>
    <w:link w:val="1077"/>
    <w:uiPriority w:val="99"/>
    <w:semiHidden/>
    <w:unhideWhenUsed/>
    <w:qFormat/>
    <w:rPr>
      <w:sz w:val="20"/>
    </w:rPr>
  </w:style>
  <w:style w:type="paragraph" w:styleId="890">
    <w:name w:val="Balloon Text"/>
    <w:basedOn w:val="864"/>
    <w:link w:val="1084"/>
    <w:uiPriority w:val="0"/>
    <w:qFormat/>
    <w:rPr>
      <w:sz w:val="18"/>
      <w:szCs w:val="18"/>
    </w:rPr>
  </w:style>
  <w:style w:type="paragraph" w:styleId="891">
    <w:name w:val="Footer"/>
    <w:basedOn w:val="864"/>
    <w:link w:val="969"/>
    <w:uiPriority w:val="0"/>
    <w:qFormat/>
    <w:pPr>
      <w:tabs>
        <w:tab w:val="center" w:pos="4153" w:leader="none"/>
        <w:tab w:val="right" w:pos="8306" w:leader="none"/>
      </w:tabs>
    </w:pPr>
    <w:rPr>
      <w:sz w:val="18"/>
    </w:rPr>
  </w:style>
  <w:style w:type="paragraph" w:styleId="892">
    <w:name w:val="Header"/>
    <w:basedOn w:val="864"/>
    <w:link w:val="967"/>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3">
    <w:name w:val="toc 1"/>
    <w:basedOn w:val="864"/>
    <w:next w:val="864"/>
    <w:uiPriority w:val="0"/>
    <w:qFormat/>
  </w:style>
  <w:style w:type="paragraph" w:styleId="894">
    <w:name w:val="toc 4"/>
    <w:basedOn w:val="864"/>
    <w:next w:val="864"/>
    <w:uiPriority w:val="39"/>
    <w:unhideWhenUsed/>
    <w:qFormat/>
    <w:pPr>
      <w:ind w:left="850"/>
      <w:spacing w:after="57"/>
    </w:pPr>
  </w:style>
  <w:style w:type="paragraph" w:styleId="895">
    <w:name w:val="Subtitle"/>
    <w:basedOn w:val="864"/>
    <w:next w:val="864"/>
    <w:link w:val="962"/>
    <w:uiPriority w:val="11"/>
    <w:qFormat/>
    <w:pPr>
      <w:spacing w:before="200" w:after="200"/>
    </w:pPr>
    <w:rPr>
      <w:sz w:val="24"/>
      <w:szCs w:val="24"/>
    </w:rPr>
  </w:style>
  <w:style w:type="paragraph" w:styleId="896">
    <w:name w:val="footnote text"/>
    <w:basedOn w:val="864"/>
    <w:link w:val="1076"/>
    <w:uiPriority w:val="99"/>
    <w:semiHidden/>
    <w:unhideWhenUsed/>
    <w:qFormat/>
    <w:pPr>
      <w:spacing w:after="40"/>
    </w:pPr>
    <w:rPr>
      <w:sz w:val="18"/>
    </w:rPr>
  </w:style>
  <w:style w:type="paragraph" w:styleId="897">
    <w:name w:val="toc 6"/>
    <w:basedOn w:val="864"/>
    <w:next w:val="864"/>
    <w:uiPriority w:val="39"/>
    <w:unhideWhenUsed/>
    <w:qFormat/>
    <w:pPr>
      <w:ind w:left="1417"/>
      <w:spacing w:after="57"/>
    </w:pPr>
  </w:style>
  <w:style w:type="paragraph" w:styleId="898">
    <w:name w:val="table of figures"/>
    <w:basedOn w:val="864"/>
    <w:next w:val="864"/>
    <w:uiPriority w:val="99"/>
    <w:unhideWhenUsed/>
    <w:qFormat/>
  </w:style>
  <w:style w:type="paragraph" w:styleId="899">
    <w:name w:val="toc 2"/>
    <w:basedOn w:val="864"/>
    <w:next w:val="864"/>
    <w:uiPriority w:val="39"/>
    <w:unhideWhenUsed/>
    <w:qFormat/>
    <w:pPr>
      <w:ind w:left="283"/>
      <w:spacing w:after="57"/>
    </w:pPr>
  </w:style>
  <w:style w:type="paragraph" w:styleId="900">
    <w:name w:val="toc 9"/>
    <w:basedOn w:val="864"/>
    <w:next w:val="864"/>
    <w:uiPriority w:val="39"/>
    <w:unhideWhenUsed/>
    <w:qFormat/>
    <w:pPr>
      <w:ind w:left="2268"/>
      <w:spacing w:after="57"/>
    </w:pPr>
  </w:style>
  <w:style w:type="paragraph" w:styleId="901">
    <w:name w:val="Normal (Web)"/>
    <w:basedOn w:val="864"/>
    <w:uiPriority w:val="0"/>
    <w:qFormat/>
    <w:pPr>
      <w:spacing w:before="100" w:beforeAutospacing="1" w:after="100" w:afterAutospacing="1"/>
      <w:widowControl/>
    </w:pPr>
    <w:rPr>
      <w:sz w:val="24"/>
      <w:szCs w:val="24"/>
    </w:rPr>
  </w:style>
  <w:style w:type="paragraph" w:styleId="902">
    <w:name w:val="Title"/>
    <w:basedOn w:val="864"/>
    <w:next w:val="864"/>
    <w:link w:val="961"/>
    <w:uiPriority w:val="10"/>
    <w:qFormat/>
    <w:pPr>
      <w:contextualSpacing/>
      <w:spacing w:before="300" w:after="200"/>
    </w:pPr>
    <w:rPr>
      <w:sz w:val="48"/>
      <w:szCs w:val="48"/>
    </w:rPr>
  </w:style>
  <w:style w:type="paragraph" w:styleId="903">
    <w:name w:val="annotation subject"/>
    <w:basedOn w:val="879"/>
    <w:next w:val="879"/>
    <w:link w:val="1097"/>
    <w:uiPriority w:val="0"/>
    <w:qFormat/>
    <w:rPr>
      <w:b/>
      <w:bCs/>
    </w:rPr>
  </w:style>
  <w:style w:type="paragraph" w:styleId="904">
    <w:name w:val="Body Text First Indent 2"/>
    <w:basedOn w:val="882"/>
    <w:uiPriority w:val="0"/>
    <w:unhideWhenUsed/>
    <w:qFormat/>
    <w:pPr>
      <w:ind w:left="420" w:firstLine="420"/>
      <w:spacing w:after="120" w:line="360" w:lineRule="auto"/>
    </w:pPr>
    <w:rPr>
      <w:sz w:val="24"/>
    </w:rPr>
  </w:style>
  <w:style w:type="table" w:styleId="905">
    <w:name w:val="Table Grid"/>
    <w:basedOn w:val="8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basedOn w:val="874"/>
    <w:uiPriority w:val="0"/>
    <w:qFormat/>
    <w:rPr>
      <w:b/>
    </w:rPr>
  </w:style>
  <w:style w:type="character" w:styleId="907">
    <w:name w:val="endnote reference"/>
    <w:basedOn w:val="874"/>
    <w:uiPriority w:val="99"/>
    <w:semiHidden/>
    <w:unhideWhenUsed/>
    <w:qFormat/>
    <w:rPr>
      <w:vertAlign w:val="superscript"/>
    </w:rPr>
  </w:style>
  <w:style w:type="character" w:styleId="908">
    <w:name w:val="FollowedHyperlink"/>
    <w:basedOn w:val="874"/>
    <w:uiPriority w:val="99"/>
    <w:semiHidden/>
    <w:unhideWhenUsed/>
    <w:qFormat/>
    <w:rPr>
      <w:color w:val="800080"/>
      <w:u w:val="single"/>
    </w:rPr>
  </w:style>
  <w:style w:type="character" w:styleId="909">
    <w:name w:val="Emphasis"/>
    <w:basedOn w:val="874"/>
    <w:uiPriority w:val="0"/>
    <w:qFormat/>
    <w:rPr>
      <w:i/>
    </w:rPr>
  </w:style>
  <w:style w:type="character" w:styleId="910">
    <w:name w:val="Hyperlink"/>
    <w:basedOn w:val="874"/>
    <w:uiPriority w:val="0"/>
    <w:unhideWhenUsed/>
    <w:qFormat/>
    <w:rPr>
      <w:color w:val="0000ff" w:themeColor="hyperlink"/>
      <w:u w:val="single"/>
      <w14:textFill>
        <w14:solidFill>
          <w14:schemeClr w14:val="hlink"/>
        </w14:solidFill>
      </w14:textFill>
    </w:rPr>
  </w:style>
  <w:style w:type="character" w:styleId="911">
    <w:name w:val="annotation reference"/>
    <w:basedOn w:val="874"/>
    <w:uiPriority w:val="0"/>
    <w:qFormat/>
    <w:rPr>
      <w:sz w:val="21"/>
      <w:szCs w:val="21"/>
    </w:rPr>
  </w:style>
  <w:style w:type="character" w:styleId="912">
    <w:name w:val="footnote reference"/>
    <w:basedOn w:val="874"/>
    <w:uiPriority w:val="99"/>
    <w:unhideWhenUsed/>
    <w:qFormat/>
    <w:rPr>
      <w:vertAlign w:val="superscript"/>
    </w:rPr>
  </w:style>
  <w:style w:type="character" w:styleId="913" w:customStyle="1">
    <w:name w:val="Heading 1 Char"/>
    <w:basedOn w:val="874"/>
    <w:uiPriority w:val="9"/>
    <w:qFormat/>
    <w:rPr>
      <w:rFonts w:ascii="Arial" w:hAnsi="Arial" w:eastAsia="Arial" w:cs="Arial"/>
      <w:sz w:val="40"/>
      <w:szCs w:val="40"/>
    </w:rPr>
  </w:style>
  <w:style w:type="character" w:styleId="914" w:customStyle="1">
    <w:name w:val="Heading 2 Char"/>
    <w:basedOn w:val="874"/>
    <w:uiPriority w:val="9"/>
    <w:qFormat/>
    <w:rPr>
      <w:rFonts w:ascii="Arial" w:hAnsi="Arial" w:eastAsia="Arial" w:cs="Arial"/>
      <w:sz w:val="34"/>
    </w:rPr>
  </w:style>
  <w:style w:type="character" w:styleId="915" w:customStyle="1">
    <w:name w:val="Heading 3 Char"/>
    <w:basedOn w:val="874"/>
    <w:uiPriority w:val="9"/>
    <w:qFormat/>
    <w:rPr>
      <w:rFonts w:ascii="Arial" w:hAnsi="Arial" w:eastAsia="Arial" w:cs="Arial"/>
      <w:sz w:val="30"/>
      <w:szCs w:val="30"/>
    </w:rPr>
  </w:style>
  <w:style w:type="character" w:styleId="916" w:customStyle="1">
    <w:name w:val="Heading 4 Char"/>
    <w:basedOn w:val="874"/>
    <w:uiPriority w:val="9"/>
    <w:qFormat/>
    <w:rPr>
      <w:rFonts w:ascii="Arial" w:hAnsi="Arial" w:eastAsia="Arial" w:cs="Arial"/>
      <w:b/>
      <w:bCs/>
      <w:sz w:val="26"/>
      <w:szCs w:val="26"/>
    </w:rPr>
  </w:style>
  <w:style w:type="character" w:styleId="917" w:customStyle="1">
    <w:name w:val="Heading 5 Char"/>
    <w:basedOn w:val="874"/>
    <w:uiPriority w:val="9"/>
    <w:qFormat/>
    <w:rPr>
      <w:rFonts w:ascii="Arial" w:hAnsi="Arial" w:eastAsia="Arial" w:cs="Arial"/>
      <w:b/>
      <w:bCs/>
      <w:sz w:val="24"/>
      <w:szCs w:val="24"/>
    </w:rPr>
  </w:style>
  <w:style w:type="character" w:styleId="918" w:customStyle="1">
    <w:name w:val="Heading 6 Char"/>
    <w:basedOn w:val="874"/>
    <w:uiPriority w:val="9"/>
    <w:qFormat/>
    <w:rPr>
      <w:rFonts w:ascii="Arial" w:hAnsi="Arial" w:eastAsia="Arial" w:cs="Arial"/>
      <w:b/>
      <w:bCs/>
      <w:sz w:val="22"/>
      <w:szCs w:val="22"/>
    </w:rPr>
  </w:style>
  <w:style w:type="character" w:styleId="919" w:customStyle="1">
    <w:name w:val="Heading 7 Char"/>
    <w:basedOn w:val="874"/>
    <w:uiPriority w:val="9"/>
    <w:qFormat/>
    <w:rPr>
      <w:rFonts w:ascii="Arial" w:hAnsi="Arial" w:eastAsia="Arial" w:cs="Arial"/>
      <w:b/>
      <w:bCs/>
      <w:i/>
      <w:iCs/>
      <w:sz w:val="22"/>
      <w:szCs w:val="22"/>
    </w:rPr>
  </w:style>
  <w:style w:type="character" w:styleId="920" w:customStyle="1">
    <w:name w:val="Heading 8 Char"/>
    <w:basedOn w:val="874"/>
    <w:uiPriority w:val="9"/>
    <w:qFormat/>
    <w:rPr>
      <w:rFonts w:ascii="Arial" w:hAnsi="Arial" w:eastAsia="Arial" w:cs="Arial"/>
      <w:i/>
      <w:iCs/>
      <w:sz w:val="22"/>
      <w:szCs w:val="22"/>
    </w:rPr>
  </w:style>
  <w:style w:type="character" w:styleId="921" w:customStyle="1">
    <w:name w:val="Heading 9 Char"/>
    <w:basedOn w:val="874"/>
    <w:uiPriority w:val="9"/>
    <w:qFormat/>
    <w:rPr>
      <w:rFonts w:ascii="Arial" w:hAnsi="Arial" w:eastAsia="Arial" w:cs="Arial"/>
      <w:i/>
      <w:iCs/>
      <w:sz w:val="21"/>
      <w:szCs w:val="21"/>
    </w:rPr>
  </w:style>
  <w:style w:type="character" w:styleId="922" w:customStyle="1">
    <w:name w:val="Title Char"/>
    <w:basedOn w:val="874"/>
    <w:uiPriority w:val="10"/>
    <w:qFormat/>
    <w:rPr>
      <w:sz w:val="48"/>
      <w:szCs w:val="48"/>
    </w:rPr>
  </w:style>
  <w:style w:type="character" w:styleId="923" w:customStyle="1">
    <w:name w:val="Subtitle Char"/>
    <w:basedOn w:val="874"/>
    <w:uiPriority w:val="11"/>
    <w:qFormat/>
    <w:rPr>
      <w:sz w:val="24"/>
      <w:szCs w:val="24"/>
    </w:rPr>
  </w:style>
  <w:style w:type="character" w:styleId="924" w:customStyle="1">
    <w:name w:val="Quote Char"/>
    <w:uiPriority w:val="29"/>
    <w:qFormat/>
    <w:rPr>
      <w:i/>
    </w:rPr>
  </w:style>
  <w:style w:type="character" w:styleId="925" w:customStyle="1">
    <w:name w:val="Intense Quote Char"/>
    <w:uiPriority w:val="30"/>
    <w:qFormat/>
    <w:rPr>
      <w:i/>
    </w:rPr>
  </w:style>
  <w:style w:type="character" w:styleId="926" w:customStyle="1">
    <w:name w:val="Header Char"/>
    <w:basedOn w:val="874"/>
    <w:uiPriority w:val="99"/>
    <w:qFormat/>
  </w:style>
  <w:style w:type="character" w:styleId="927" w:customStyle="1">
    <w:name w:val="Caption Char"/>
    <w:uiPriority w:val="99"/>
    <w:qFormat/>
  </w:style>
  <w:style w:type="table" w:styleId="928" w:customStyle="1">
    <w:name w:val="无格式表格 11"/>
    <w:basedOn w:val="8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21"/>
    <w:basedOn w:val="8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31"/>
    <w:basedOn w:val="8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无格式表格 41"/>
    <w:basedOn w:val="8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无格式表格 51"/>
    <w:basedOn w:val="8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网格表 1 浅色1"/>
    <w:basedOn w:val="8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4" w:customStyle="1">
    <w:name w:val="网格表 21"/>
    <w:basedOn w:val="8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网格表 31"/>
    <w:basedOn w:val="8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网格表 41"/>
    <w:basedOn w:val="8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网格表 5 深色1"/>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网格表 6 彩色1"/>
    <w:basedOn w:val="8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网格表 7 彩色1"/>
    <w:basedOn w:val="8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清单表 1 浅色1"/>
    <w:basedOn w:val="87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清单表 21"/>
    <w:basedOn w:val="8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清单表 31"/>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清单表 41"/>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清单表 5 深色1"/>
    <w:basedOn w:val="8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清单表 6 彩色1"/>
    <w:basedOn w:val="87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清单表 7 彩色1"/>
    <w:basedOn w:val="87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47" w:customStyle="1">
    <w:name w:val="Footnote Text Char"/>
    <w:uiPriority w:val="99"/>
    <w:qFormat/>
    <w:rPr>
      <w:sz w:val="18"/>
    </w:rPr>
  </w:style>
  <w:style w:type="character" w:styleId="948" w:customStyle="1">
    <w:name w:val="Endnote Text Char"/>
    <w:uiPriority w:val="99"/>
    <w:qFormat/>
    <w:rPr>
      <w:sz w:val="20"/>
    </w:rPr>
  </w:style>
  <w:style w:type="paragraph" w:styleId="949" w:customStyle="1">
    <w:name w:val="TOC 标题1"/>
    <w:uiPriority w:val="39"/>
    <w:unhideWhenUsed/>
    <w:qFormat/>
    <w:rPr>
      <w:rFonts w:ascii="Times New Roman" w:hAnsi="Times New Roman" w:eastAsia="宋体" w:cs="Times New Roman"/>
      <w:lang w:val="en-US" w:eastAsia="zh-CN" w:bidi="ar-SA"/>
    </w:rPr>
  </w:style>
  <w:style w:type="paragraph" w:styleId="950">
    <w:name w:val="List Paragraph"/>
    <w:basedOn w:val="864"/>
    <w:uiPriority w:val="1"/>
    <w:qFormat/>
    <w:pPr>
      <w:ind w:left="218" w:firstLine="420"/>
    </w:pPr>
  </w:style>
  <w:style w:type="character" w:styleId="951" w:customStyle="1">
    <w:name w:val="标题 1 字符"/>
    <w:basedOn w:val="874"/>
    <w:link w:val="865"/>
    <w:uiPriority w:val="9"/>
    <w:qFormat/>
    <w:rPr>
      <w:rFonts w:ascii="Arial" w:hAnsi="Arial" w:eastAsia="Arial" w:cs="Arial"/>
      <w:sz w:val="40"/>
      <w:szCs w:val="40"/>
    </w:rPr>
  </w:style>
  <w:style w:type="character" w:styleId="952" w:customStyle="1">
    <w:name w:val="标题 2 字符"/>
    <w:basedOn w:val="874"/>
    <w:link w:val="866"/>
    <w:uiPriority w:val="9"/>
    <w:qFormat/>
    <w:rPr>
      <w:rFonts w:ascii="Arial" w:hAnsi="Arial" w:eastAsia="Arial" w:cs="Arial"/>
      <w:sz w:val="34"/>
    </w:rPr>
  </w:style>
  <w:style w:type="character" w:styleId="953" w:customStyle="1">
    <w:name w:val="标题 3 字符"/>
    <w:basedOn w:val="874"/>
    <w:link w:val="867"/>
    <w:uiPriority w:val="9"/>
    <w:qFormat/>
    <w:rPr>
      <w:rFonts w:ascii="Arial" w:hAnsi="Arial" w:eastAsia="Arial" w:cs="Arial"/>
      <w:sz w:val="30"/>
      <w:szCs w:val="30"/>
    </w:rPr>
  </w:style>
  <w:style w:type="character" w:styleId="954" w:customStyle="1">
    <w:name w:val="标题 4 字符"/>
    <w:basedOn w:val="874"/>
    <w:link w:val="868"/>
    <w:uiPriority w:val="9"/>
    <w:qFormat/>
    <w:rPr>
      <w:rFonts w:ascii="Arial" w:hAnsi="Arial" w:eastAsia="Arial" w:cs="Arial"/>
      <w:b/>
      <w:bCs/>
      <w:sz w:val="26"/>
      <w:szCs w:val="26"/>
    </w:rPr>
  </w:style>
  <w:style w:type="character" w:styleId="955" w:customStyle="1">
    <w:name w:val="标题 5 字符"/>
    <w:basedOn w:val="874"/>
    <w:link w:val="869"/>
    <w:uiPriority w:val="9"/>
    <w:qFormat/>
    <w:rPr>
      <w:rFonts w:ascii="Arial" w:hAnsi="Arial" w:eastAsia="Arial" w:cs="Arial"/>
      <w:b/>
      <w:bCs/>
      <w:sz w:val="24"/>
      <w:szCs w:val="24"/>
    </w:rPr>
  </w:style>
  <w:style w:type="character" w:styleId="956" w:customStyle="1">
    <w:name w:val="标题 6 字符"/>
    <w:basedOn w:val="874"/>
    <w:link w:val="870"/>
    <w:uiPriority w:val="9"/>
    <w:qFormat/>
    <w:rPr>
      <w:rFonts w:ascii="Arial" w:hAnsi="Arial" w:eastAsia="Arial" w:cs="Arial"/>
      <w:b/>
      <w:bCs/>
      <w:sz w:val="22"/>
      <w:szCs w:val="22"/>
    </w:rPr>
  </w:style>
  <w:style w:type="character" w:styleId="957" w:customStyle="1">
    <w:name w:val="标题 7 字符"/>
    <w:basedOn w:val="874"/>
    <w:link w:val="871"/>
    <w:uiPriority w:val="9"/>
    <w:qFormat/>
    <w:rPr>
      <w:rFonts w:ascii="Arial" w:hAnsi="Arial" w:eastAsia="Arial" w:cs="Arial"/>
      <w:b/>
      <w:bCs/>
      <w:i/>
      <w:iCs/>
      <w:sz w:val="22"/>
      <w:szCs w:val="22"/>
    </w:rPr>
  </w:style>
  <w:style w:type="character" w:styleId="958" w:customStyle="1">
    <w:name w:val="标题 8 字符"/>
    <w:basedOn w:val="874"/>
    <w:link w:val="872"/>
    <w:uiPriority w:val="9"/>
    <w:qFormat/>
    <w:rPr>
      <w:rFonts w:ascii="Arial" w:hAnsi="Arial" w:eastAsia="Arial" w:cs="Arial"/>
      <w:i/>
      <w:iCs/>
      <w:sz w:val="22"/>
      <w:szCs w:val="22"/>
    </w:rPr>
  </w:style>
  <w:style w:type="character" w:styleId="959" w:customStyle="1">
    <w:name w:val="标题 9 字符"/>
    <w:basedOn w:val="874"/>
    <w:link w:val="873"/>
    <w:uiPriority w:val="9"/>
    <w:qFormat/>
    <w:rPr>
      <w:rFonts w:ascii="Arial" w:hAnsi="Arial" w:eastAsia="Arial" w:cs="Arial"/>
      <w:i/>
      <w:iCs/>
      <w:sz w:val="21"/>
      <w:szCs w:val="21"/>
    </w:rPr>
  </w:style>
  <w:style w:type="paragraph" w:styleId="960">
    <w:name w:val="No Spacing"/>
    <w:uiPriority w:val="1"/>
    <w:qFormat/>
    <w:rPr>
      <w:rFonts w:ascii="Times New Roman" w:hAnsi="Times New Roman" w:eastAsia="宋体" w:cs="Times New Roman"/>
      <w:lang w:val="en-US" w:eastAsia="zh-CN" w:bidi="ar-SA"/>
    </w:rPr>
  </w:style>
  <w:style w:type="character" w:styleId="961" w:customStyle="1">
    <w:name w:val="标题 字符"/>
    <w:basedOn w:val="874"/>
    <w:link w:val="902"/>
    <w:uiPriority w:val="10"/>
    <w:qFormat/>
    <w:rPr>
      <w:sz w:val="48"/>
      <w:szCs w:val="48"/>
    </w:rPr>
  </w:style>
  <w:style w:type="character" w:styleId="962" w:customStyle="1">
    <w:name w:val="副标题 字符"/>
    <w:basedOn w:val="874"/>
    <w:link w:val="895"/>
    <w:uiPriority w:val="11"/>
    <w:qFormat/>
    <w:rPr>
      <w:sz w:val="24"/>
      <w:szCs w:val="24"/>
    </w:rPr>
  </w:style>
  <w:style w:type="paragraph" w:styleId="963">
    <w:name w:val="Quote"/>
    <w:basedOn w:val="864"/>
    <w:next w:val="864"/>
    <w:link w:val="964"/>
    <w:uiPriority w:val="29"/>
    <w:qFormat/>
    <w:pPr>
      <w:ind w:left="720" w:right="720"/>
    </w:pPr>
    <w:rPr>
      <w:i/>
    </w:rPr>
  </w:style>
  <w:style w:type="character" w:styleId="964" w:customStyle="1">
    <w:name w:val="引用 字符"/>
    <w:link w:val="963"/>
    <w:uiPriority w:val="29"/>
    <w:qFormat/>
    <w:rPr>
      <w:i/>
    </w:rPr>
  </w:style>
  <w:style w:type="paragraph" w:styleId="965">
    <w:name w:val="Intense Quote"/>
    <w:basedOn w:val="864"/>
    <w:next w:val="864"/>
    <w:link w:val="9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customStyle="1">
    <w:name w:val="明显引用 字符"/>
    <w:link w:val="965"/>
    <w:uiPriority w:val="30"/>
    <w:qFormat/>
    <w:rPr>
      <w:i/>
    </w:rPr>
  </w:style>
  <w:style w:type="character" w:styleId="967" w:customStyle="1">
    <w:name w:val="页眉 字符"/>
    <w:basedOn w:val="874"/>
    <w:link w:val="892"/>
    <w:uiPriority w:val="0"/>
    <w:qFormat/>
  </w:style>
  <w:style w:type="character" w:styleId="968" w:customStyle="1">
    <w:name w:val="Footer Char"/>
    <w:basedOn w:val="874"/>
    <w:uiPriority w:val="99"/>
    <w:qFormat/>
  </w:style>
  <w:style w:type="character" w:styleId="969" w:customStyle="1">
    <w:name w:val="页脚 字符"/>
    <w:link w:val="891"/>
    <w:uiPriority w:val="99"/>
    <w:qFormat/>
  </w:style>
  <w:style w:type="table" w:styleId="970" w:customStyle="1">
    <w:name w:val="Table Grid Light"/>
    <w:basedOn w:val="8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1" w:customStyle="1">
    <w:name w:val="Grid Table 1 Light - Accent 1"/>
    <w:basedOn w:val="8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2"/>
    <w:basedOn w:val="8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3"/>
    <w:basedOn w:val="8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4"/>
    <w:basedOn w:val="8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5"/>
    <w:basedOn w:val="8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6"/>
    <w:basedOn w:val="8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7" w:customStyle="1">
    <w:name w:val="Grid Table 2 - Accent 1"/>
    <w:basedOn w:val="8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8" w:customStyle="1">
    <w:name w:val="Grid Table 2 - Accent 2"/>
    <w:basedOn w:val="8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2 - Accent 3"/>
    <w:basedOn w:val="8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2 - Accent 4"/>
    <w:basedOn w:val="8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2 - Accent 5"/>
    <w:basedOn w:val="8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Grid Table 2 - Accent 6"/>
    <w:basedOn w:val="8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Grid Table 3 - Accent 1"/>
    <w:basedOn w:val="87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2"/>
    <w:basedOn w:val="87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3"/>
    <w:basedOn w:val="87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4"/>
    <w:basedOn w:val="8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5"/>
    <w:basedOn w:val="8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6"/>
    <w:basedOn w:val="8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4 - Accent 1"/>
    <w:basedOn w:val="87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basedOn w:val="87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basedOn w:val="87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basedOn w:val="87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basedOn w:val="87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basedOn w:val="87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Grid Table 5 Dark- Accent 1"/>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6" w:customStyle="1">
    <w:name w:val="Grid Table 5 Dark - Accent 2"/>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7" w:customStyle="1">
    <w:name w:val="Grid Table 5 Dark - Accent 3"/>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8" w:customStyle="1">
    <w:name w:val="Grid Table 5 Dark- Accent 4"/>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9" w:customStyle="1">
    <w:name w:val="Grid Table 5 Dark - Accent 5"/>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0" w:customStyle="1">
    <w:name w:val="Grid Table 5 Dark - Accent 6"/>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1" w:customStyle="1">
    <w:name w:val="Grid Table 6 Colorful - Accent 1"/>
    <w:basedOn w:val="87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2" w:customStyle="1">
    <w:name w:val="Grid Table 6 Colorful - Accent 2"/>
    <w:basedOn w:val="8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3" w:customStyle="1">
    <w:name w:val="Grid Table 6 Colorful - Accent 3"/>
    <w:basedOn w:val="87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4" w:customStyle="1">
    <w:name w:val="Grid Table 6 Colorful - Accent 4"/>
    <w:basedOn w:val="8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5" w:customStyle="1">
    <w:name w:val="Grid Table 6 Colorful - Accent 5"/>
    <w:basedOn w:val="87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6 Colorful - Accent 6"/>
    <w:basedOn w:val="87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7 Colorful - Accent 1"/>
    <w:basedOn w:val="87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basedOn w:val="87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basedOn w:val="87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basedOn w:val="87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basedOn w:val="87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basedOn w:val="87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3" w:customStyle="1">
    <w:name w:val="List Table 1 Light - Accent 1"/>
    <w:basedOn w:val="87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1 Light - Accent 2"/>
    <w:basedOn w:val="87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5" w:customStyle="1">
    <w:name w:val="List Table 1 Light - Accent 3"/>
    <w:basedOn w:val="87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6" w:customStyle="1">
    <w:name w:val="List Table 1 Light - Accent 4"/>
    <w:basedOn w:val="87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7" w:customStyle="1">
    <w:name w:val="List Table 1 Light - Accent 5"/>
    <w:basedOn w:val="87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List Table 1 Light - Accent 6"/>
    <w:basedOn w:val="87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List Table 2 - Accent 1"/>
    <w:basedOn w:val="87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0" w:customStyle="1">
    <w:name w:val="List Table 2 - Accent 2"/>
    <w:basedOn w:val="87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1" w:customStyle="1">
    <w:name w:val="List Table 2 - Accent 3"/>
    <w:basedOn w:val="87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2" w:customStyle="1">
    <w:name w:val="List Table 2 - Accent 4"/>
    <w:basedOn w:val="87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3" w:customStyle="1">
    <w:name w:val="List Table 2 - Accent 5"/>
    <w:basedOn w:val="87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4" w:customStyle="1">
    <w:name w:val="List Table 2 - Accent 6"/>
    <w:basedOn w:val="87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5" w:customStyle="1">
    <w:name w:val="List Table 3 - Accent 1"/>
    <w:basedOn w:val="87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3 - Accent 2"/>
    <w:basedOn w:val="87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7" w:customStyle="1">
    <w:name w:val="List Table 3 - Accent 3"/>
    <w:basedOn w:val="87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8" w:customStyle="1">
    <w:name w:val="List Table 3 - Accent 4"/>
    <w:basedOn w:val="8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9" w:customStyle="1">
    <w:name w:val="List Table 3 - Accent 5"/>
    <w:basedOn w:val="87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0" w:customStyle="1">
    <w:name w:val="List Table 3 - Accent 6"/>
    <w:basedOn w:val="87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1" w:customStyle="1">
    <w:name w:val="List Table 4 - Accent 1"/>
    <w:basedOn w:val="87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basedOn w:val="87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basedOn w:val="87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basedOn w:val="87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basedOn w:val="87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basedOn w:val="87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List Table 5 Dark - Accent 1"/>
    <w:basedOn w:val="87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2"/>
    <w:basedOn w:val="87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3"/>
    <w:basedOn w:val="87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4"/>
    <w:basedOn w:val="87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5"/>
    <w:basedOn w:val="87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6"/>
    <w:basedOn w:val="87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6 Colorful - Accent 1"/>
    <w:basedOn w:val="87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4" w:customStyle="1">
    <w:name w:val="List Table 6 Colorful - Accent 2"/>
    <w:basedOn w:val="87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5" w:customStyle="1">
    <w:name w:val="List Table 6 Colorful - Accent 3"/>
    <w:basedOn w:val="87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6" w:customStyle="1">
    <w:name w:val="List Table 6 Colorful - Accent 4"/>
    <w:basedOn w:val="87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7" w:customStyle="1">
    <w:name w:val="List Table 6 Colorful - Accent 5"/>
    <w:basedOn w:val="87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8" w:customStyle="1">
    <w:name w:val="List Table 6 Colorful - Accent 6"/>
    <w:basedOn w:val="87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9" w:customStyle="1">
    <w:name w:val="List Table 7 Colorful - Accent 1"/>
    <w:basedOn w:val="87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0" w:customStyle="1">
    <w:name w:val="List Table 7 Colorful - Accent 2"/>
    <w:basedOn w:val="87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List Table 7 Colorful - Accent 3"/>
    <w:basedOn w:val="87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2" w:customStyle="1">
    <w:name w:val="List Table 7 Colorful - Accent 4"/>
    <w:basedOn w:val="87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List Table 7 Colorful - Accent 5"/>
    <w:basedOn w:val="87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4" w:customStyle="1">
    <w:name w:val="List Table 7 Colorful - Accent 6"/>
    <w:basedOn w:val="87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5" w:customStyle="1">
    <w:name w:val="Lined - Accent"/>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Lined - Accent 1"/>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Lined - Accent 2"/>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Lined - Accent 3"/>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Lined - Accent 4"/>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Lined - Accent 5"/>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Lined - Accent 6"/>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amp; Lined - Accent"/>
    <w:basedOn w:val="8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Bordered &amp; Lined - Accent 1"/>
    <w:basedOn w:val="87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Bordered &amp; Lined - Accent 2"/>
    <w:basedOn w:val="87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Bordered &amp; Lined - Accent 3"/>
    <w:basedOn w:val="87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Bordered &amp; Lined - Accent 4"/>
    <w:basedOn w:val="87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Bordered &amp; Lined - Accent 5"/>
    <w:basedOn w:val="87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Bordered &amp; Lined - Accent 6"/>
    <w:basedOn w:val="87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w:basedOn w:val="8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0" w:customStyle="1">
    <w:name w:val="Bordered - Accent 1"/>
    <w:basedOn w:val="87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1" w:customStyle="1">
    <w:name w:val="Bordered - Accent 2"/>
    <w:basedOn w:val="87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2" w:customStyle="1">
    <w:name w:val="Bordered - Accent 3"/>
    <w:basedOn w:val="8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3" w:customStyle="1">
    <w:name w:val="Bordered - Accent 4"/>
    <w:basedOn w:val="8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4" w:customStyle="1">
    <w:name w:val="Bordered - Accent 5"/>
    <w:basedOn w:val="87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5" w:customStyle="1">
    <w:name w:val="Bordered - Accent 6"/>
    <w:basedOn w:val="8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6" w:customStyle="1">
    <w:name w:val="脚注文本 字符"/>
    <w:link w:val="896"/>
    <w:uiPriority w:val="99"/>
    <w:qFormat/>
    <w:rPr>
      <w:sz w:val="18"/>
    </w:rPr>
  </w:style>
  <w:style w:type="character" w:styleId="1077" w:customStyle="1">
    <w:name w:val="尾注文本 字符"/>
    <w:link w:val="889"/>
    <w:uiPriority w:val="99"/>
    <w:qFormat/>
    <w:rPr>
      <w:sz w:val="20"/>
    </w:rPr>
  </w:style>
  <w:style w:type="paragraph" w:styleId="1078" w:customStyle="1">
    <w:name w:val="TOC 标题11"/>
    <w:uiPriority w:val="39"/>
    <w:unhideWhenUsed/>
    <w:qFormat/>
    <w:rPr>
      <w:rFonts w:ascii="Times New Roman" w:hAnsi="Times New Roman" w:eastAsia="宋体" w:cs="Times New Roman"/>
      <w:lang w:val="en-US" w:eastAsia="zh-CN" w:bidi="ar-SA"/>
    </w:rPr>
  </w:style>
  <w:style w:type="table" w:styleId="1079" w:customStyle="1">
    <w:name w:val="Table Normal"/>
    <w:uiPriority w:val="0"/>
    <w:semiHidden/>
    <w:unhideWhenUsed/>
    <w:qFormat/>
    <w:tblPr>
      <w:tblCellMar>
        <w:left w:w="0" w:type="dxa"/>
        <w:top w:w="0" w:type="dxa"/>
        <w:right w:w="0" w:type="dxa"/>
        <w:bottom w:w="0" w:type="dxa"/>
      </w:tblCellMar>
    </w:tblPr>
  </w:style>
  <w:style w:type="paragraph" w:styleId="1080" w:customStyle="1">
    <w:name w:val="Table Paragraph"/>
    <w:basedOn w:val="864"/>
    <w:uiPriority w:val="1"/>
    <w:qFormat/>
  </w:style>
  <w:style w:type="character" w:styleId="1081" w:customStyle="1">
    <w:name w:val="font31"/>
    <w:basedOn w:val="874"/>
    <w:uiPriority w:val="0"/>
    <w:qFormat/>
    <w:rPr>
      <w:rFonts w:hint="default" w:ascii="Times New Roman" w:hAnsi="Times New Roman" w:cs="Times New Roman"/>
      <w:color w:val="000000"/>
      <w:sz w:val="20"/>
      <w:szCs w:val="20"/>
      <w:u w:val="none"/>
    </w:rPr>
  </w:style>
  <w:style w:type="character" w:styleId="1082" w:customStyle="1">
    <w:name w:val="font41"/>
    <w:basedOn w:val="874"/>
    <w:uiPriority w:val="0"/>
    <w:qFormat/>
    <w:rPr>
      <w:rFonts w:hint="default" w:ascii="方正仿宋简体" w:hAnsi="方正仿宋简体" w:eastAsia="方正仿宋简体" w:cs="方正仿宋简体"/>
      <w:color w:val="000000"/>
      <w:sz w:val="20"/>
      <w:szCs w:val="20"/>
      <w:u w:val="none"/>
    </w:rPr>
  </w:style>
  <w:style w:type="character" w:styleId="1083" w:customStyle="1">
    <w:name w:val="font11"/>
    <w:basedOn w:val="874"/>
    <w:uiPriority w:val="0"/>
    <w:qFormat/>
    <w:rPr>
      <w:rFonts w:hint="eastAsia" w:ascii="宋体" w:hAnsi="宋体" w:eastAsia="宋体" w:cs="宋体"/>
      <w:color w:val="000000"/>
      <w:sz w:val="20"/>
      <w:szCs w:val="20"/>
      <w:u w:val="none"/>
    </w:rPr>
  </w:style>
  <w:style w:type="character" w:styleId="1084" w:customStyle="1">
    <w:name w:val="批注框文本 字符"/>
    <w:basedOn w:val="874"/>
    <w:link w:val="890"/>
    <w:uiPriority w:val="0"/>
    <w:qFormat/>
    <w:rPr>
      <w:rFonts w:ascii="宋体" w:hAnsi="宋体" w:cs="宋体"/>
      <w:sz w:val="18"/>
      <w:szCs w:val="18"/>
      <w:lang w:val="zh-CN" w:bidi="zh-CN"/>
    </w:rPr>
  </w:style>
  <w:style w:type="paragraph" w:styleId="1085" w:customStyle="1">
    <w:name w:val="列出段落1"/>
    <w:basedOn w:val="864"/>
    <w:uiPriority w:val="99"/>
    <w:qFormat/>
    <w:pPr>
      <w:ind w:firstLine="420"/>
    </w:pPr>
  </w:style>
  <w:style w:type="paragraph" w:styleId="1086" w:customStyle="1">
    <w:name w:val="标题 21"/>
    <w:basedOn w:val="864"/>
    <w:uiPriority w:val="1"/>
    <w:qFormat/>
    <w:pPr>
      <w:outlineLvl w:val="2"/>
    </w:pPr>
    <w:rPr>
      <w:rFonts w:ascii="黑体" w:hAnsi="黑体" w:eastAsia="黑体" w:cs="黑体"/>
      <w:sz w:val="36"/>
      <w:szCs w:val="36"/>
    </w:rPr>
  </w:style>
  <w:style w:type="paragraph" w:styleId="1087" w:customStyle="1">
    <w:name w:val="标题 51"/>
    <w:basedOn w:val="864"/>
    <w:uiPriority w:val="1"/>
    <w:qFormat/>
    <w:pPr>
      <w:ind w:left="638"/>
      <w:outlineLvl w:val="5"/>
    </w:pPr>
    <w:rPr>
      <w:b/>
      <w:bCs/>
      <w:sz w:val="21"/>
      <w:szCs w:val="21"/>
    </w:rPr>
  </w:style>
  <w:style w:type="paragraph" w:styleId="1088" w:customStyle="1">
    <w:name w:val="Body text|1"/>
    <w:basedOn w:val="864"/>
    <w:uiPriority w:val="0"/>
    <w:qFormat/>
    <w:pPr>
      <w:ind w:firstLine="400"/>
      <w:spacing w:after="180" w:line="410" w:lineRule="auto"/>
    </w:pPr>
    <w:rPr>
      <w:color w:val="1b1626"/>
      <w:sz w:val="30"/>
      <w:szCs w:val="30"/>
      <w:lang w:val="zh-TW" w:eastAsia="zh-TW" w:bidi="zh-TW"/>
    </w:rPr>
  </w:style>
  <w:style w:type="paragraph" w:styleId="1089" w:customStyle="1">
    <w:name w:val="Heading #2|1"/>
    <w:basedOn w:val="864"/>
    <w:uiPriority w:val="0"/>
    <w:qFormat/>
    <w:pPr>
      <w:ind w:firstLine="700"/>
      <w:spacing w:after="180" w:line="584" w:lineRule="exact"/>
      <w:outlineLvl w:val="1"/>
    </w:pPr>
    <w:rPr>
      <w:b/>
      <w:bCs/>
      <w:color w:val="1b1626"/>
      <w:sz w:val="30"/>
      <w:szCs w:val="30"/>
      <w:lang w:val="zh-TW" w:eastAsia="zh-TW" w:bidi="zh-TW"/>
    </w:rPr>
  </w:style>
  <w:style w:type="paragraph" w:styleId="1090" w:customStyle="1">
    <w:name w:val="表内文字居左"/>
    <w:basedOn w:val="864"/>
    <w:uiPriority w:val="0"/>
    <w:qFormat/>
    <w:rPr>
      <w:sz w:val="24"/>
      <w:szCs w:val="24"/>
    </w:rPr>
  </w:style>
  <w:style w:type="paragraph" w:styleId="1091" w:customStyle="1">
    <w:name w:val="正文-首缩2"/>
    <w:basedOn w:val="864"/>
    <w:uiPriority w:val="0"/>
    <w:qFormat/>
    <w:pPr>
      <w:ind w:firstLine="200"/>
      <w:spacing w:line="360" w:lineRule="auto"/>
    </w:pPr>
    <w:rPr>
      <w:rFonts w:ascii="Times New Roman" w:hAnsi="Times New Roman" w:cs="Times New Roman"/>
      <w:sz w:val="28"/>
      <w:szCs w:val="28"/>
    </w:rPr>
  </w:style>
  <w:style w:type="paragraph" w:styleId="1092" w:customStyle="1">
    <w:name w:val="正文首行缩进 211"/>
    <w:basedOn w:val="882"/>
    <w:uiPriority w:val="0"/>
    <w:qFormat/>
    <w:pPr>
      <w:ind w:firstLine="420"/>
      <w:spacing w:before="100" w:beforeAutospacing="1" w:line="360" w:lineRule="auto"/>
    </w:pPr>
    <w:rPr>
      <w:rFonts w:hAnsi="宋体"/>
      <w:sz w:val="20"/>
    </w:rPr>
  </w:style>
  <w:style w:type="paragraph" w:styleId="1093" w:customStyle="1">
    <w:name w:val="正文首行缩进 21"/>
    <w:basedOn w:val="1094"/>
    <w:next w:val="864"/>
    <w:uiPriority w:val="0"/>
    <w:qFormat/>
    <w:pPr>
      <w:ind w:firstLine="420"/>
      <w:spacing w:before="100" w:beforeAutospacing="1" w:line="360" w:lineRule="auto"/>
    </w:pPr>
    <w:rPr>
      <w:sz w:val="20"/>
    </w:rPr>
  </w:style>
  <w:style w:type="paragraph" w:styleId="1094" w:customStyle="1">
    <w:name w:val="正文文本缩进11"/>
    <w:basedOn w:val="864"/>
    <w:next w:val="1095"/>
    <w:uiPriority w:val="0"/>
    <w:unhideWhenUsed/>
    <w:qFormat/>
    <w:pPr>
      <w:ind w:left="420"/>
      <w:spacing w:after="120"/>
    </w:pPr>
  </w:style>
  <w:style w:type="paragraph" w:styleId="1095" w:customStyle="1">
    <w:name w:val="寄信人地址1"/>
    <w:basedOn w:val="864"/>
    <w:uiPriority w:val="0"/>
    <w:qFormat/>
    <w:rPr>
      <w:rFonts w:ascii="Arial" w:hAnsi="Arial"/>
    </w:rPr>
  </w:style>
  <w:style w:type="character" w:styleId="1096" w:customStyle="1">
    <w:name w:val="批注文字 字符"/>
    <w:basedOn w:val="874"/>
    <w:link w:val="879"/>
    <w:uiPriority w:val="0"/>
    <w:qFormat/>
    <w:rPr>
      <w:rFonts w:ascii="宋体" w:hAnsi="宋体" w:cs="宋体"/>
      <w:sz w:val="22"/>
      <w:szCs w:val="22"/>
      <w:lang w:val="zh-CN" w:bidi="zh-CN"/>
    </w:rPr>
  </w:style>
  <w:style w:type="character" w:styleId="1097" w:customStyle="1">
    <w:name w:val="批注主题 字符"/>
    <w:basedOn w:val="1096"/>
    <w:link w:val="903"/>
    <w:uiPriority w:val="0"/>
    <w:qFormat/>
    <w:rPr>
      <w:rFonts w:ascii="宋体" w:hAnsi="宋体" w:cs="宋体"/>
      <w:b/>
      <w:bCs/>
      <w:sz w:val="22"/>
      <w:szCs w:val="22"/>
      <w:lang w:val="zh-CN" w:bidi="zh-CN"/>
    </w:rPr>
  </w:style>
  <w:style w:type="paragraph" w:styleId="1098" w:customStyle="1">
    <w:name w:val="WPSOffice手动目录 1"/>
    <w:uiPriority w:val="0"/>
    <w:qFormat/>
    <w:rPr>
      <w:rFonts w:ascii="Times New Roman" w:hAnsi="Times New Roman" w:eastAsia="宋体" w:cs="Times New Roman"/>
      <w:lang w:val="en-US" w:eastAsia="zh-CN" w:bidi="ar-SA"/>
    </w:rPr>
  </w:style>
  <w:style w:type="paragraph" w:styleId="1099" w:customStyle="1">
    <w:name w:val="二级目录"/>
    <w:next w:val="864"/>
    <w:uiPriority w:val="0"/>
    <w:qFormat/>
    <w:pPr>
      <w:tabs>
        <w:tab w:val="left" w:pos="720" w:leader="none"/>
      </w:tabs>
      <w:outlineLvl w:val="1"/>
    </w:pPr>
    <w:rPr>
      <w:rFonts w:ascii="Calibri" w:hAnsi="Calibri" w:eastAsia="宋体" w:cs="Times New Roman"/>
      <w:b/>
      <w:sz w:val="30"/>
      <w:szCs w:val="28"/>
      <w:lang w:val="en-US" w:eastAsia="zh-CN" w:bidi="ar-SA"/>
    </w:rPr>
  </w:style>
  <w:style w:type="character" w:styleId="1100" w:customStyle="1">
    <w:name w:val="纯文本 字符"/>
    <w:basedOn w:val="874"/>
    <w:link w:val="887"/>
    <w:uiPriority w:val="99"/>
    <w:qFormat/>
    <w:rPr>
      <w:rFonts w:ascii="宋体" w:hAnsi="Courier New" w:cs="宋体"/>
      <w:sz w:val="22"/>
      <w:szCs w:val="22"/>
      <w:lang w:val="zh-CN" w:bidi="zh-CN"/>
    </w:rPr>
  </w:style>
  <w:style w:type="character" w:styleId="1101" w:customStyle="1">
    <w:name w:val="font01"/>
    <w:basedOn w:val="874"/>
    <w:uiPriority w:val="0"/>
    <w:qFormat/>
    <w:rPr>
      <w:rFonts w:hint="eastAsia" w:ascii="宋体" w:hAnsi="宋体" w:eastAsia="宋体" w:cs="宋体"/>
      <w:color w:val="000000"/>
      <w:sz w:val="22"/>
      <w:szCs w:val="22"/>
      <w:u w:val="none"/>
    </w:rPr>
  </w:style>
  <w:style w:type="paragraph" w:styleId="1102" w:customStyle="1">
    <w:name w:val="彩色列表1"/>
    <w:basedOn w:val="864"/>
    <w:uiPriority w:val="0"/>
    <w:qFormat/>
    <w:pPr>
      <w:ind w:firstLine="420"/>
    </w:pPr>
    <w:rPr>
      <w:rFonts w:ascii="Times New Roman" w:hAnsi="Times New Roman" w:cs="Times New Roman"/>
      <w:szCs w:val="21"/>
    </w:rPr>
  </w:style>
  <w:style w:type="character" w:styleId="1103" w:customStyle="1">
    <w:name w:val="15"/>
    <w:basedOn w:val="874"/>
    <w:uiPriority w:val="0"/>
    <w:qFormat/>
    <w:rPr>
      <w:rFonts w:hint="default" w:ascii="Times New Roman" w:hAnsi="Times New Roman" w:cs="Times New Roman"/>
    </w:rPr>
  </w:style>
  <w:style w:type="paragraph" w:styleId="1104" w:customStyle="1">
    <w:name w:val="Table Text"/>
    <w:basedOn w:val="864"/>
    <w:uiPriority w:val="0"/>
    <w:semiHidden/>
    <w:qFormat/>
    <w:rPr>
      <w:rFonts w:ascii="Arial" w:hAnsi="Arial" w:eastAsia="Arial" w:cs="Arial"/>
      <w:sz w:val="21"/>
      <w:szCs w:val="21"/>
      <w:lang w:val="en-US" w:eastAsia="en-US" w:bidi="ar-SA"/>
    </w:rPr>
  </w:style>
  <w:style w:type="character" w:styleId="1105" w:customStyle="1">
    <w:name w:val="font61"/>
    <w:basedOn w:val="874"/>
    <w:uiPriority w:val="0"/>
    <w:qFormat/>
    <w:rPr>
      <w:rFonts w:hint="default" w:ascii="Times New Roman" w:hAnsi="Times New Roman" w:cs="Times New Roman"/>
      <w:color w:val="000000"/>
      <w:sz w:val="20"/>
      <w:szCs w:val="20"/>
      <w:u w:val="none"/>
    </w:rPr>
  </w:style>
  <w:style w:type="character" w:styleId="1106" w:customStyle="1">
    <w:name w:val="font51"/>
    <w:basedOn w:val="874"/>
    <w:uiPriority w:val="0"/>
    <w:qFormat/>
    <w:rPr>
      <w:rFonts w:hint="eastAsia" w:ascii="微软雅黑" w:hAnsi="微软雅黑" w:eastAsia="微软雅黑" w:cs="微软雅黑"/>
      <w:color w:val="000000"/>
      <w:sz w:val="20"/>
      <w:szCs w:val="20"/>
      <w:u w:val="none"/>
    </w:rPr>
  </w:style>
  <w:style w:type="paragraph" w:styleId="1107" w:customStyle="1">
    <w:name w:val="列表段落1"/>
    <w:basedOn w:val="864"/>
    <w:uiPriority w:val="99"/>
    <w:qFormat/>
    <w:pPr>
      <w:contextualSpacing/>
      <w:ind w:left="720"/>
      <w:widowControl/>
    </w:pPr>
    <w:rPr>
      <w:rFonts w:ascii="Arial" w:hAnsi="Arial" w:eastAsia="黑体" w:cs="Times New Roman"/>
      <w:sz w:val="24"/>
      <w:szCs w:val="24"/>
      <w:lang w:val="en-US" w:eastAsia="en-US" w:bidi="ar-SA"/>
    </w:rPr>
  </w:style>
  <w:style w:type="paragraph" w:styleId="1108" w:customStyle="1">
    <w:name w:val="正文首行缩进1"/>
    <w:basedOn w:val="864"/>
    <w:uiPriority w:val="0"/>
    <w:qFormat/>
    <w:pPr>
      <w:ind w:firstLine="420"/>
      <w:spacing w:after="120" w:line="360" w:lineRule="auto"/>
    </w:pPr>
    <w:rPr>
      <w:szCs w:val="21"/>
    </w:rPr>
  </w:style>
  <w:style w:type="paragraph" w:styleId="1109" w:customStyle="1">
    <w:name w:val="修订1"/>
    <w:hidden/>
    <w:uiPriority w:val="99"/>
    <w:semiHidden/>
    <w:qFormat/>
    <w:rPr>
      <w:rFonts w:ascii="宋体" w:hAnsi="宋体" w:eastAsia="宋体" w:cs="宋体"/>
      <w:sz w:val="22"/>
      <w:szCs w:val="22"/>
      <w:lang w:val="zh-CN" w:eastAsia="zh-CN" w:bidi="zh-CN"/>
    </w:rPr>
  </w:style>
  <w:style w:type="paragraph" w:styleId="1110" w:customStyle="1">
    <w:name w:val="正文缩进1"/>
    <w:basedOn w:val="864"/>
    <w:uiPriority w:val="99"/>
    <w:qFormat/>
    <w:pPr>
      <w:ind w:firstLine="420"/>
    </w:pPr>
    <w:rPr>
      <w:szCs w:val="20"/>
    </w:rPr>
  </w:style>
  <w:style w:type="paragraph" w:styleId="1111" w:customStyle="1">
    <w:name w:val="LC主要特点"/>
    <w:basedOn w:val="864"/>
    <w:uiPriority w:val="0"/>
    <w:qFormat/>
    <w:pPr>
      <w:spacing w:before="20" w:after="20" w:line="288" w:lineRule="auto"/>
    </w:pPr>
    <w:rPr>
      <w:rFonts w:ascii="Arial" w:hAnsi="Arial" w:eastAsia="微软雅黑"/>
      <w:b/>
    </w:rPr>
  </w:style>
  <w:style w:type="paragraph" w:styleId="1112" w:customStyle="1">
    <w:name w:val="LC 文字内容 带符号编码"/>
    <w:next w:val="864"/>
    <w:uiPriority w:val="0"/>
    <w:qFormat/>
    <w:pPr>
      <w:numPr>
        <w:ilvl w:val="0"/>
        <w:numId w:val="1"/>
      </w:numPr>
      <w:ind w:left="840"/>
      <w:jc w:val="both"/>
    </w:pPr>
    <w:rPr>
      <w:rFonts w:ascii="微软雅黑" w:hAnsi="微软雅黑" w:eastAsia="微软雅黑" w:cs="微软雅黑"/>
      <w:sz w:val="21"/>
      <w:lang w:val="en-US" w:eastAsia="zh-CN" w:bidi="ar-SA"/>
    </w:rPr>
  </w:style>
  <w:style w:type="paragraph" w:styleId="1113" w:customStyle="1">
    <w:name w:val="产品手册——表"/>
    <w:uiPriority w:val="0"/>
    <w:qFormat/>
    <w:pPr>
      <w:jc w:val="center"/>
      <w:spacing w:before="20" w:after="20"/>
    </w:pPr>
    <w:rPr>
      <w:rFonts w:ascii="微软雅黑" w:hAnsi="微软雅黑" w:eastAsia="微软雅黑" w:cs="微软雅黑"/>
      <w:sz w:val="21"/>
      <w:szCs w:val="22"/>
      <w:lang w:val="en-US" w:eastAsia="zh-CN" w:bidi="ar-SA"/>
    </w:rPr>
  </w:style>
  <w:style w:type="paragraph" w:styleId="1114" w:customStyle="1">
    <w:name w:val="正文文本1"/>
    <w:basedOn w:val="864"/>
    <w:next w:val="864"/>
    <w:uiPriority w:val="99"/>
    <w:qFormat/>
    <w:pPr>
      <w:spacing w:after="120"/>
    </w:pPr>
    <w:rPr>
      <w:sz w:val="24"/>
    </w:rPr>
  </w:style>
  <w:style w:type="paragraph" w:styleId="1115" w:customStyle="1">
    <w:name w:val="标题 11"/>
    <w:basedOn w:val="864"/>
    <w:next w:val="864"/>
    <w:uiPriority w:val="99"/>
    <w:qFormat/>
    <w:pPr>
      <w:keepLines/>
      <w:keepNext/>
      <w:spacing w:before="340" w:after="330" w:line="576" w:lineRule="auto"/>
      <w:outlineLvl w:val="0"/>
    </w:pPr>
    <w:rPr>
      <w:b/>
      <w:bCs/>
      <w:sz w:val="44"/>
      <w:szCs w:val="44"/>
    </w:rPr>
  </w:style>
  <w:style w:type="character" w:styleId="1116" w:customStyle="1">
    <w:name w:val="要点1"/>
    <w:basedOn w:val="1117"/>
    <w:uiPriority w:val="99"/>
    <w:qFormat/>
    <w:rPr>
      <w:rFonts w:cs="Times New Roman"/>
      <w:b/>
    </w:rPr>
  </w:style>
  <w:style w:type="character" w:styleId="1117" w:customStyle="1">
    <w:name w:val="默认段落字体1"/>
    <w:uiPriority w:val="1"/>
    <w:unhideWhenUsed/>
    <w:qFormat/>
  </w:style>
  <w:style w:type="paragraph" w:styleId="1118" w:customStyle="1">
    <w:name w:val="普通(网站)1"/>
    <w:basedOn w:val="864"/>
    <w:uiPriority w:val="0"/>
    <w:qFormat/>
    <w:pPr>
      <w:spacing w:before="100" w:beforeAutospacing="1" w:after="100" w:afterAutospacing="1"/>
      <w:widowControl/>
    </w:pPr>
    <w:rPr>
      <w:sz w:val="24"/>
    </w:rPr>
  </w:style>
  <w:style w:type="character" w:styleId="1119" w:customStyle="1">
    <w:name w:val="NormalCharacter"/>
    <w:uiPriority w:val="0"/>
    <w:qFormat/>
    <w:rPr>
      <w:rFonts w:ascii="Times New Roman" w:hAnsi="Times New Roman" w:eastAsia="宋体" w:cs="Times New Roman"/>
      <w:sz w:val="21"/>
      <w:szCs w:val="22"/>
      <w:lang w:val="en-US" w:eastAsia="zh-CN" w:bidi="ar-SA"/>
    </w:rPr>
  </w:style>
  <w:style w:type="character" w:styleId="1120" w:customStyle="1">
    <w:name w:val="font21"/>
    <w:basedOn w:val="874"/>
    <w:uiPriority w:val="0"/>
    <w:qFormat/>
    <w:rPr>
      <w:rFonts w:hint="default" w:ascii="Times New Roman" w:hAnsi="Times New Roman" w:eastAsia="宋体" w:cs="Times New Roman"/>
      <w:color w:val="000000"/>
      <w:sz w:val="22"/>
      <w:szCs w:val="22"/>
      <w:u w:val="none"/>
      <w:vertAlign w:val="superscript"/>
    </w:rPr>
  </w:style>
  <w:style w:type="character" w:styleId="1121" w:customStyle="1">
    <w:name w:val="正文文本 字符"/>
    <w:basedOn w:val="874"/>
    <w:link w:val="880"/>
    <w:uiPriority w:val="0"/>
    <w:qFormat/>
    <w:rPr>
      <w:rFonts w:ascii="宋体" w:hAnsi="宋体" w:cs="宋体"/>
      <w:sz w:val="21"/>
      <w:szCs w:val="21"/>
      <w:lang w:val="zh-CN" w:bidi="zh-CN"/>
    </w:rPr>
  </w:style>
  <w:style w:type="paragraph" w:styleId="1122" w:customStyle="1">
    <w:name w:val="首行缩进"/>
    <w:basedOn w:val="864"/>
    <w:uiPriority w:val="0"/>
    <w:qFormat/>
    <w:pPr>
      <w:ind w:firstLine="480"/>
      <w:jc w:val="both"/>
    </w:pPr>
    <w:rPr>
      <w:rFonts w:ascii="Calibri" w:hAnsi="Calibri" w:eastAsia="Calibri"/>
      <w:sz w:val="20"/>
      <w:szCs w:val="20"/>
      <w:lang w:bidi="ar-SA"/>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jpg"/><Relationship Id="rId17"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53EBECA-E37D-46B6-8324-DF0D5AFB70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246</cp:revision>
  <dcterms:created xsi:type="dcterms:W3CDTF">2025-06-16T07:37:00Z</dcterms:created>
  <dcterms:modified xsi:type="dcterms:W3CDTF">2026-06-17T03:29:09Z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2052-12.1.0.23542</vt:lpwstr>
  </property>
  <property fmtid="{D5CDD505-2E9C-101B-9397-08002B2CF9AE}" pid="6" name="ICV">
    <vt:lpwstr>53A3A7385671441C85B7695543CC0C39_13</vt:lpwstr>
  </property>
  <property fmtid="{D5CDD505-2E9C-101B-9397-08002B2CF9AE}" pid="7" name="KSOTemplateDocerSaveRecord">
    <vt:lpwstr>eyJoZGlkIjoiYTRhMDcwNGIxZTNiMzM5ZGI1NmM3MmZhMTMyY2I2NmMiLCJ1c2VySWQiOiIyNzM4NDU2NzMifQ==</vt:lpwstr>
  </property>
</Properties>
</file>