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jc w:val="center"/>
        <w:spacing w:before="0" w:after="0" w:line="240" w:lineRule="auto"/>
        <w:rPr>
          <w:rFonts w:hint="eastAsia" w:ascii="宋体" w:hAnsi="宋体" w:eastAsia="宋体" w:cs="宋体"/>
          <w:color w:val="000000"/>
          <w:sz w:val="72"/>
          <w:szCs w:val="72"/>
          <w:highlight w:val="none"/>
          <w:lang w:eastAsia="zh-CN"/>
        </w:rPr>
      </w:pPr>
      <w:r/>
      <w:bookmarkStart w:id="0" w:name="OLE_LINK1"/>
      <w:r>
        <w:rPr>
          <w:rFonts w:hint="eastAsia" w:ascii="宋体" w:hAnsi="宋体" w:eastAsia="宋体" w:cs="宋体"/>
          <w:color w:val="000000"/>
          <w:sz w:val="72"/>
          <w:szCs w:val="72"/>
          <w:highlight w:val="none"/>
          <w:lang w:eastAsia="zh-CN"/>
        </w:rPr>
        <w:t xml:space="preserve">南京信息工程大学</w:t>
      </w:r>
      <w:r>
        <w:rPr>
          <w:rFonts w:hint="eastAsia" w:ascii="宋体" w:hAnsi="宋体" w:eastAsia="宋体" w:cs="宋体"/>
          <w:color w:val="000000"/>
          <w:sz w:val="72"/>
          <w:szCs w:val="72"/>
          <w:highlight w:val="none"/>
          <w:lang w:eastAsia="zh-CN"/>
        </w:rPr>
      </w:r>
      <w:r/>
    </w:p>
    <w:p>
      <w:pPr>
        <w:pStyle w:val="1134"/>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1134"/>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134"/>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1134"/>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134"/>
        <w:ind w:left="647" w:firstLine="61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JSZC-320000-HWZX-G2026-0277</w:t>
      </w:r>
      <w:r>
        <w:rPr>
          <w:rFonts w:hint="eastAsia" w:ascii="宋体" w:hAnsi="宋体" w:eastAsia="宋体" w:cs="宋体"/>
          <w:color w:val="000000"/>
          <w:sz w:val="32"/>
          <w:szCs w:val="32"/>
          <w:highlight w:val="none"/>
          <w:lang w:eastAsia="zh-CN"/>
        </w:rPr>
      </w:r>
      <w:r/>
    </w:p>
    <w:p>
      <w:pPr>
        <w:pStyle w:val="1134"/>
        <w:ind w:left="647" w:firstLine="61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0675-266JOC004350</w:t>
      </w:r>
      <w:r>
        <w:rPr>
          <w:rFonts w:hint="eastAsia" w:ascii="宋体" w:hAnsi="宋体" w:eastAsia="宋体" w:cs="宋体"/>
          <w:color w:val="000000"/>
          <w:sz w:val="32"/>
          <w:szCs w:val="32"/>
          <w:highlight w:val="none"/>
          <w:lang w:eastAsia="zh-CN"/>
        </w:rPr>
      </w:r>
      <w:r/>
    </w:p>
    <w:p>
      <w:pPr>
        <w:pStyle w:val="1134"/>
        <w:ind w:left="2735" w:hanging="1475"/>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南京信息工程大学2026-2027年度中苑宿舍维修服务</w:t>
      </w:r>
      <w:r>
        <w:rPr>
          <w:rFonts w:hint="eastAsia" w:ascii="宋体" w:hAnsi="宋体" w:eastAsia="宋体" w:cs="宋体"/>
          <w:color w:val="000000"/>
          <w:sz w:val="32"/>
          <w:szCs w:val="32"/>
          <w:highlight w:val="none"/>
          <w:lang w:eastAsia="zh-CN"/>
        </w:rPr>
      </w:r>
      <w:r/>
    </w:p>
    <w:p>
      <w:pPr>
        <w:pStyle w:val="1134"/>
        <w:ind w:left="647" w:firstLine="61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 购 人：</w:t>
      </w:r>
      <w:r>
        <w:rPr>
          <w:rFonts w:hint="eastAsia" w:ascii="宋体" w:hAnsi="宋体" w:eastAsia="宋体" w:cs="宋体"/>
          <w:color w:val="000000"/>
          <w:sz w:val="32"/>
          <w:szCs w:val="32"/>
          <w:highlight w:val="none"/>
          <w:lang w:eastAsia="zh-CN"/>
        </w:rPr>
        <w:t xml:space="preserve">南京信息工程大学</w:t>
      </w:r>
      <w:r>
        <w:rPr>
          <w:rFonts w:hint="eastAsia" w:ascii="宋体" w:hAnsi="宋体" w:eastAsia="宋体" w:cs="宋体"/>
          <w:color w:val="000000"/>
          <w:sz w:val="32"/>
          <w:szCs w:val="32"/>
          <w:highlight w:val="none"/>
          <w:lang w:eastAsia="zh-CN"/>
        </w:rPr>
      </w:r>
      <w:r/>
    </w:p>
    <w:p>
      <w:pPr>
        <w:pStyle w:val="1134"/>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134"/>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20" o:title=""/>
              </v:shape>
            </w:pict>
          </mc:Fallback>
        </mc:AlternateContent>
      </w:r>
      <w:r>
        <w:rPr>
          <w:rFonts w:hint="eastAsia" w:ascii="宋体" w:hAnsi="宋体" w:eastAsia="宋体" w:cs="宋体"/>
          <w:color w:val="000000"/>
          <w:sz w:val="36"/>
          <w:szCs w:val="36"/>
          <w:highlight w:val="none"/>
        </w:rPr>
      </w:r>
      <w:r/>
    </w:p>
    <w:p>
      <w:pPr>
        <w:pStyle w:val="1134"/>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1191"/>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五</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1191"/>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1191"/>
        <w:tabs>
          <w:tab w:val="right" w:pos="9746" w:leader="dot"/>
        </w:tabs>
        <w:rPr>
          <w:color w:val="000000"/>
          <w:highlight w:val="none"/>
        </w:rPr>
      </w:pPr>
      <w:r/>
      <w:bookmarkStart w:id="1" w:name="_Toc6351"/>
      <w:r/>
      <w:bookmarkStart w:id="2" w:name="_Toc32113"/>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_Toc12396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_Toc12396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_Toc19764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_Toc19764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_Toc11586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_Toc11586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_Toc3858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_Toc3858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_Toc13352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_Toc13352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_Toc13320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_Toc13320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_Toc15083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_Toc15083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_Toc22250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_Toc22250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91"/>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_Toc25706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_Toc25706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_Toc32032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_Toc32032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_Toc32331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_Toc32331 \h </w:instrText>
      </w:r>
      <w:r>
        <w:rPr>
          <w:color w:val="000000"/>
          <w:highlight w:val="none"/>
        </w:rPr>
        <w:fldChar w:fldCharType="separate"/>
      </w:r>
      <w:r>
        <w:rPr>
          <w:color w:val="000000"/>
          <w:highlight w:val="none"/>
        </w:rPr>
        <w:t xml:space="preserve">- 10 -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_Toc11289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_Toc11289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_Toc5426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_Toc5426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_Toc12044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_Toc12044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_Toc7165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_Toc7165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_Toc14303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_Toc17806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_Toc17806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91"/>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_Toc7217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_Toc7217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_Toc28196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_Toc28196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_Toc14304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_Toc14304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_Toc6239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_Toc6239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_Toc25427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 评分表（综合评分法）</w:t>
      </w:r>
      <w:r>
        <w:rPr>
          <w:color w:val="000000"/>
          <w:highlight w:val="none"/>
        </w:rPr>
        <w:tab/>
      </w:r>
      <w:r>
        <w:rPr>
          <w:color w:val="000000"/>
          <w:highlight w:val="none"/>
        </w:rPr>
        <w:fldChar w:fldCharType="begin"/>
      </w:r>
      <w:r>
        <w:rPr>
          <w:color w:val="000000"/>
          <w:highlight w:val="none"/>
        </w:rPr>
        <w:instrText xml:space="preserve"> PAGEREF _Toc25427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_Toc29051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_Toc29051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91"/>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_Toc19039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_Toc19039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_Toc22347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_Toc22347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_Toc17578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_Toc17578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203"/>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_Toc28503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_Toc28503 \h </w:instrText>
      </w:r>
      <w:r>
        <w:rPr>
          <w:color w:val="000000"/>
          <w:highlight w:val="none"/>
        </w:rPr>
        <w:fldChar w:fldCharType="separate"/>
      </w:r>
      <w:r>
        <w:rPr>
          <w:color w:val="000000"/>
          <w:highlight w:val="none"/>
        </w:rPr>
        <w:t xml:space="preserve">- 36 -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91"/>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_Toc18787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_Toc18787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91"/>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_Toc21943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_Toc21943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1135"/>
        <w:ind w:firstLine="0"/>
        <w:spacing w:before="480"/>
        <w:tabs>
          <w:tab w:val="left" w:pos="1440" w:leader="none"/>
          <w:tab w:val="left" w:pos="5670" w:leader="none"/>
        </w:tabs>
        <w:rPr>
          <w:rStyle w:val="1229"/>
          <w:rFonts w:hint="eastAsia" w:ascii="宋体" w:hAnsi="宋体" w:cs="宋体"/>
          <w:color w:val="000000"/>
          <w:szCs w:val="20"/>
          <w:highlight w:val="none"/>
        </w:rPr>
      </w:pPr>
      <w:r/>
      <w:bookmarkStart w:id="3" w:name="_Toc12396"/>
      <w:r>
        <w:rPr>
          <w:rFonts w:hint="eastAsia" w:ascii="宋体" w:hAnsi="宋体" w:eastAsia="宋体" w:cs="宋体"/>
          <w:color w:val="000000"/>
          <w:highlight w:val="none"/>
        </w:rPr>
        <w:t xml:space="preserve">第一章 招标公告</w:t>
      </w:r>
      <w:bookmarkEnd w:id="1"/>
      <w:r/>
      <w:bookmarkEnd w:id="2"/>
      <w:r/>
      <w:bookmarkEnd w:id="3"/>
      <w:r>
        <w:rPr>
          <w:rStyle w:val="1229"/>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134"/>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1134"/>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1"/>
                <w:highlight w:val="none"/>
                <w:lang w:eastAsia="zh-CN"/>
              </w:rPr>
              <w:t xml:space="preserve">南京信息工程大学2026-2027年度中苑宿舍维修服务</w:t>
            </w:r>
            <w:r>
              <w:rPr>
                <w:rFonts w:hint="eastAsia" w:ascii="宋体" w:hAnsi="宋体" w:eastAsia="宋体" w:cs="宋体"/>
                <w:color w:val="000000"/>
                <w:sz w:val="24"/>
                <w:szCs w:val="21"/>
                <w:highlight w:val="none"/>
                <w:u w:val="single"/>
              </w:rPr>
              <w:t xml:space="preserve">（项目编号：</w:t>
            </w:r>
            <w:r>
              <w:rPr>
                <w:rFonts w:hint="eastAsia" w:ascii="宋体" w:hAnsi="宋体" w:eastAsia="宋体" w:cs="宋体"/>
                <w:color w:val="000000"/>
                <w:sz w:val="24"/>
                <w:szCs w:val="21"/>
                <w:highlight w:val="none"/>
                <w:u w:val="single"/>
                <w:lang w:eastAsia="zh-CN"/>
              </w:rPr>
              <w:t xml:space="preserve">JSZC-320000-HWZX-G2026-0277</w:t>
            </w:r>
            <w:r>
              <w:rPr>
                <w:rFonts w:hint="eastAsia" w:ascii="宋体" w:hAnsi="宋体" w:eastAsia="宋体" w:cs="宋体"/>
                <w:color w:val="000000"/>
                <w:sz w:val="24"/>
                <w:szCs w:val="21"/>
                <w:highlight w:val="none"/>
                <w:u w:val="single"/>
              </w:rPr>
              <w:t xml:space="preserve">）</w:t>
            </w:r>
            <w:r>
              <w:rPr>
                <w:rFonts w:hint="eastAsia" w:ascii="宋体" w:hAnsi="宋体" w:eastAsia="宋体" w:cs="宋体"/>
                <w:color w:val="000000"/>
                <w:sz w:val="24"/>
                <w:szCs w:val="21"/>
                <w:highlight w:val="none"/>
              </w:rPr>
              <w:t xml:space="preserve">招标项目的潜在投标人应在</w:t>
            </w:r>
            <w:r>
              <w:rPr>
                <w:rFonts w:hint="eastAsia" w:ascii="宋体" w:hAnsi="宋体" w:eastAsia="宋体" w:cs="宋体"/>
                <w:color w:val="000000"/>
                <w:sz w:val="24"/>
                <w:szCs w:val="21"/>
                <w:highlight w:val="none"/>
                <w:u w:val="single"/>
              </w:rPr>
              <w:t xml:space="preserve">“江苏政府采购网”自行免费下载</w:t>
            </w:r>
            <w:r>
              <w:rPr>
                <w:rFonts w:hint="eastAsia" w:ascii="宋体" w:hAnsi="宋体" w:eastAsia="宋体" w:cs="宋体"/>
                <w:color w:val="000000"/>
                <w:sz w:val="24"/>
                <w:szCs w:val="21"/>
                <w:highlight w:val="none"/>
              </w:rPr>
              <w:t xml:space="preserve">获取招标文件，并于</w:t>
            </w:r>
            <w:r>
              <w:rPr>
                <w:rFonts w:hint="eastAsia" w:ascii="宋体" w:hAnsi="宋体" w:eastAsia="宋体" w:cs="宋体"/>
                <w:color w:val="000000"/>
                <w:sz w:val="24"/>
                <w:szCs w:val="21"/>
                <w:highlight w:val="none"/>
                <w:u w:val="single"/>
                <w:lang w:eastAsia="zh-CN"/>
              </w:rPr>
              <w:t xml:space="preserve">2026年6月25日 14:</w:t>
            </w:r>
            <w:r>
              <w:rPr>
                <w:rFonts w:hint="eastAsia" w:ascii="宋体" w:hAnsi="宋体" w:eastAsia="宋体" w:cs="宋体"/>
                <w:color w:val="000000"/>
                <w:sz w:val="24"/>
                <w:szCs w:val="21"/>
                <w:highlight w:val="none"/>
                <w:u w:val="single"/>
                <w:lang w:val="en-US" w:eastAsia="zh-CN"/>
              </w:rPr>
              <w:t xml:space="preserve">30</w:t>
            </w:r>
            <w:r>
              <w:rPr>
                <w:rFonts w:hint="eastAsia" w:ascii="宋体" w:hAnsi="宋体" w:eastAsia="宋体" w:cs="宋体"/>
                <w:color w:val="000000"/>
                <w:sz w:val="24"/>
                <w:szCs w:val="21"/>
                <w:highlight w:val="none"/>
                <w:u w:val="single"/>
              </w:rPr>
              <w:t xml:space="preserve">（北京时间）</w:t>
            </w:r>
            <w:r>
              <w:rPr>
                <w:rFonts w:hint="eastAsia" w:ascii="宋体" w:hAnsi="宋体" w:eastAsia="宋体" w:cs="宋体"/>
                <w:color w:val="000000"/>
                <w:sz w:val="24"/>
                <w:szCs w:val="21"/>
                <w:highlight w:val="none"/>
              </w:rPr>
              <w:t xml:space="preserve">前递交投标文件。</w:t>
            </w:r>
            <w:r>
              <w:rPr>
                <w:rFonts w:hint="eastAsia" w:ascii="宋体" w:hAnsi="宋体" w:eastAsia="宋体" w:cs="宋体"/>
                <w:color w:val="000000"/>
                <w:highlight w:val="none"/>
              </w:rPr>
            </w:r>
            <w:r/>
          </w:p>
        </w:tc>
      </w:tr>
    </w:tbl>
    <w:p>
      <w:pPr>
        <w:pStyle w:val="1134"/>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1134"/>
        <w:spacing w:before="0" w:after="0"/>
        <w:rPr>
          <w:rFonts w:hint="eastAsia" w:ascii="宋体" w:hAnsi="宋体" w:eastAsia="宋体" w:cs="宋体"/>
          <w:color w:val="000000"/>
          <w:sz w:val="24"/>
          <w:szCs w:val="24"/>
          <w:highlight w:val="none"/>
        </w:rPr>
        <w:outlineLvl w:val="1"/>
      </w:pPr>
      <w:r/>
      <w:bookmarkStart w:id="4" w:name="_Toc19764"/>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JSZC-320000-HWZX-G2026-0277</w:t>
      </w:r>
      <w:r>
        <w:rPr>
          <w:rFonts w:hint="eastAsia" w:ascii="宋体" w:hAnsi="宋体" w:eastAsia="宋体" w:cs="宋体"/>
          <w:color w:val="000000"/>
          <w:sz w:val="24"/>
          <w:szCs w:val="24"/>
          <w:highlight w:val="none"/>
          <w:lang w:eastAsia="zh-CN"/>
        </w:rPr>
      </w:r>
      <w:r/>
    </w:p>
    <w:p>
      <w:pPr>
        <w:pStyle w:val="1134"/>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南京信息工程大学2026-2027年度中苑宿舍维修服务</w:t>
      </w:r>
      <w:r>
        <w:rPr>
          <w:rFonts w:hint="eastAsia" w:ascii="宋体" w:hAnsi="宋体" w:eastAsia="宋体" w:cs="宋体"/>
          <w:color w:val="000000"/>
          <w:sz w:val="24"/>
          <w:szCs w:val="24"/>
          <w:highlight w:val="none"/>
          <w:lang w:eastAsia="zh-CN"/>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100万元</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100万元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6.采购需求：本项目1个分包（标段），采购</w:t>
      </w:r>
      <w:r>
        <w:rPr>
          <w:rFonts w:hint="eastAsia" w:ascii="宋体" w:hAnsi="宋体" w:eastAsia="宋体" w:cs="宋体"/>
          <w:color w:val="000000"/>
          <w:sz w:val="24"/>
          <w:szCs w:val="24"/>
          <w:highlight w:val="none"/>
          <w:lang w:eastAsia="zh-CN"/>
        </w:rPr>
        <w:t xml:space="preserve">南京信息工程大学2026-2027年度中苑宿舍维修服务</w:t>
      </w:r>
      <w:r>
        <w:rPr>
          <w:rFonts w:hint="eastAsia" w:ascii="宋体" w:hAnsi="宋体" w:eastAsia="宋体" w:cs="宋体"/>
          <w:color w:val="000000"/>
          <w:sz w:val="24"/>
          <w:szCs w:val="24"/>
          <w:highlight w:val="none"/>
        </w:rPr>
        <w:t xml:space="preserve">，技术要求详见招标文件“第四章采购需求”。</w:t>
      </w:r>
      <w:r>
        <w:rPr>
          <w:rFonts w:hint="eastAsia" w:ascii="宋体" w:hAnsi="宋体" w:eastAsia="宋体" w:cs="宋体"/>
          <w:color w:val="000000"/>
          <w:sz w:val="24"/>
          <w:szCs w:val="24"/>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7.合同履行期限：</w:t>
      </w:r>
      <w:r>
        <w:rPr>
          <w:rFonts w:hint="eastAsia" w:ascii="宋体" w:hAnsi="宋体" w:eastAsia="宋体" w:cs="宋体"/>
          <w:color w:val="000000"/>
          <w:sz w:val="22"/>
          <w:szCs w:val="22"/>
          <w:highlight w:val="none"/>
          <w:lang w:eastAsia="zh-CN"/>
        </w:rPr>
        <w:t xml:space="preserve">1年</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8.本项目（是/否）接受联合体投标：</w:t>
      </w:r>
      <w:r>
        <w:rPr>
          <w:rFonts w:hint="eastAsia" w:ascii="宋体" w:hAnsi="宋体" w:eastAsia="宋体" w:cs="宋体"/>
          <w:b/>
          <w:bCs/>
          <w:color w:val="000000"/>
          <w:sz w:val="22"/>
          <w:szCs w:val="22"/>
          <w:highlight w:val="none"/>
        </w:rPr>
        <w:t xml:space="preserve">不接受联合体</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34"/>
        <w:spacing w:before="0" w:after="0"/>
        <w:rPr>
          <w:rFonts w:hint="eastAsia" w:ascii="宋体" w:hAnsi="宋体" w:eastAsia="宋体" w:cs="宋体"/>
          <w:b/>
          <w:bCs/>
          <w:color w:val="000000"/>
          <w:sz w:val="24"/>
          <w:szCs w:val="24"/>
          <w:highlight w:val="none"/>
        </w:rPr>
        <w:outlineLvl w:val="1"/>
      </w:pPr>
      <w:r/>
      <w:bookmarkStart w:id="5" w:name="_Toc11586"/>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1134"/>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2"/>
          <w:szCs w:val="22"/>
          <w:highlight w:val="none"/>
          <w:lang w:eastAsia="zh-CN"/>
        </w:rPr>
        <w:t xml:space="preserve">2025年度</w:t>
      </w:r>
      <w:r>
        <w:rPr>
          <w:rFonts w:hint="eastAsia" w:ascii="宋体" w:hAnsi="宋体" w:eastAsia="宋体" w:cs="宋体"/>
          <w:color w:val="000000"/>
          <w:sz w:val="22"/>
          <w:szCs w:val="22"/>
          <w:highlight w:val="none"/>
        </w:rPr>
        <w:t xml:space="preserve">经审计的财务报告复印件加盖公章装订在投标文件中，否则视为未提供）；</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1134"/>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lang w:val="en-US" w:eastAsia="zh-CN"/>
        </w:rPr>
        <w:t xml:space="preserve">其他未列明的行业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34"/>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1.联合体投标说明：本项目不接受联合体投标。</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.其他要求：</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1134"/>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58"/>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1134"/>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1134"/>
        <w:spacing w:before="0" w:after="0"/>
        <w:rPr>
          <w:rFonts w:hint="eastAsia" w:ascii="宋体" w:hAnsi="宋体" w:eastAsia="宋体" w:cs="宋体"/>
          <w:b/>
          <w:bCs/>
          <w:color w:val="000000"/>
          <w:sz w:val="22"/>
          <w:szCs w:val="22"/>
          <w:highlight w:val="none"/>
        </w:rPr>
        <w:outlineLvl w:val="1"/>
      </w:pPr>
      <w:r/>
      <w:bookmarkStart w:id="9" w:name="_Toc13352"/>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2026年6月25日 14:</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2026年6月25日 14:</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1134"/>
        <w:spacing w:before="0" w:after="0"/>
        <w:rPr>
          <w:rFonts w:hint="eastAsia" w:ascii="宋体" w:hAnsi="宋体" w:eastAsia="宋体" w:cs="宋体"/>
          <w:b/>
          <w:bCs/>
          <w:color w:val="000000"/>
          <w:sz w:val="24"/>
          <w:szCs w:val="24"/>
          <w:highlight w:val="none"/>
        </w:rPr>
        <w:outlineLvl w:val="1"/>
      </w:pPr>
      <w:r/>
      <w:bookmarkStart w:id="12" w:name="_Toc13320"/>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1134"/>
        <w:spacing w:before="0" w:after="0"/>
        <w:rPr>
          <w:rFonts w:hint="eastAsia" w:ascii="宋体" w:hAnsi="宋体" w:eastAsia="宋体" w:cs="宋体"/>
          <w:b/>
          <w:bCs/>
          <w:color w:val="000000"/>
          <w:sz w:val="24"/>
          <w:szCs w:val="24"/>
          <w:highlight w:val="none"/>
        </w:rPr>
        <w:outlineLvl w:val="1"/>
      </w:pPr>
      <w:r/>
      <w:bookmarkStart w:id="13" w:name="_Toc15083"/>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1134"/>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w:t>
      </w:r>
      <w:r>
        <w:rPr>
          <w:rFonts w:hint="eastAsia" w:ascii="宋体" w:hAnsi="宋体" w:eastAsia="宋体" w:cs="宋体"/>
          <w:color w:val="000000"/>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1134"/>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1134"/>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1134"/>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等政府采购相关文件。</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0675-266JOC004350</w:t>
      </w:r>
      <w:r>
        <w:rPr>
          <w:rFonts w:hint="eastAsia" w:ascii="宋体" w:hAnsi="宋体" w:eastAsia="宋体" w:cs="宋体"/>
          <w:color w:val="000000"/>
          <w:sz w:val="22"/>
          <w:szCs w:val="22"/>
          <w:highlight w:val="none"/>
          <w:lang w:eastAsia="zh-CN"/>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1134"/>
        <w:spacing w:before="0" w:after="0"/>
        <w:rPr>
          <w:rFonts w:hint="eastAsia" w:ascii="宋体" w:hAnsi="宋体" w:eastAsia="宋体" w:cs="宋体"/>
          <w:b/>
          <w:bCs/>
          <w:color w:val="000000"/>
          <w:sz w:val="24"/>
          <w:szCs w:val="24"/>
          <w:highlight w:val="none"/>
        </w:rPr>
        <w:outlineLvl w:val="1"/>
      </w:pPr>
      <w:r/>
      <w:bookmarkStart w:id="16" w:name="_Toc22250"/>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名称：</w:t>
      </w:r>
      <w:r>
        <w:rPr>
          <w:rFonts w:hint="eastAsia" w:ascii="宋体" w:hAnsi="宋体" w:eastAsia="宋体" w:cs="宋体"/>
          <w:color w:val="000000"/>
          <w:sz w:val="22"/>
          <w:szCs w:val="22"/>
          <w:highlight w:val="none"/>
          <w:lang w:eastAsia="zh-CN"/>
        </w:rPr>
        <w:t xml:space="preserve">南京信息工程大学</w:t>
      </w:r>
      <w:r>
        <w:rPr>
          <w:rFonts w:hint="eastAsia" w:ascii="宋体" w:hAnsi="宋体" w:eastAsia="宋体" w:cs="宋体"/>
          <w:color w:val="000000"/>
          <w:sz w:val="22"/>
          <w:szCs w:val="22"/>
          <w:highlight w:val="none"/>
          <w:lang w:eastAsia="zh-CN"/>
        </w:rPr>
      </w:r>
      <w:r/>
    </w:p>
    <w:p>
      <w:pPr>
        <w:pStyle w:val="1134"/>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地址：</w:t>
      </w:r>
      <w:r>
        <w:rPr>
          <w:rFonts w:hint="eastAsia" w:ascii="宋体" w:hAnsi="宋体" w:eastAsia="宋体" w:cs="宋体"/>
          <w:color w:val="000000"/>
          <w:sz w:val="22"/>
          <w:szCs w:val="22"/>
          <w:highlight w:val="none"/>
          <w:lang w:eastAsia="zh-CN"/>
        </w:rPr>
        <w:t xml:space="preserve">南京市宁六路219号</w:t>
      </w:r>
      <w:r>
        <w:rPr>
          <w:rFonts w:hint="eastAsia" w:ascii="宋体" w:hAnsi="宋体" w:eastAsia="宋体" w:cs="宋体"/>
          <w:color w:val="000000"/>
          <w:sz w:val="22"/>
          <w:szCs w:val="22"/>
          <w:highlight w:val="none"/>
          <w:lang w:eastAsia="zh-CN"/>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w:t>
      </w:r>
      <w:r>
        <w:rPr>
          <w:rFonts w:hint="eastAsia" w:ascii="宋体" w:hAnsi="宋体" w:eastAsia="宋体" w:cs="宋体"/>
          <w:color w:val="000000"/>
          <w:sz w:val="22"/>
          <w:szCs w:val="22"/>
          <w:highlight w:val="none"/>
          <w:lang w:eastAsia="zh-CN"/>
        </w:rPr>
        <w:t xml:space="preserve">陈老师</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lang w:eastAsia="zh-CN"/>
        </w:rPr>
        <w:t xml:space="preserve">025-58699798</w:t>
      </w:r>
      <w:r>
        <w:rPr>
          <w:rFonts w:hint="eastAsia" w:ascii="宋体" w:hAnsi="宋体" w:eastAsia="宋体" w:cs="宋体"/>
          <w:color w:val="000000"/>
          <w:sz w:val="22"/>
          <w:szCs w:val="22"/>
          <w:highlight w:val="none"/>
          <w:lang w:eastAsia="zh-CN"/>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地址：南京市建邺区云龙山路56号大唐科技大厦A座高区14-15楼</w:t>
      </w:r>
      <w:r>
        <w:rPr>
          <w:rFonts w:hint="eastAsia" w:ascii="宋体" w:hAnsi="宋体" w:eastAsia="宋体" w:cs="宋体"/>
          <w:color w:val="000000"/>
          <w:sz w:val="22"/>
          <w:szCs w:val="22"/>
          <w:highlight w:val="none"/>
        </w:rPr>
      </w:r>
      <w:r/>
    </w:p>
    <w:p>
      <w:pPr>
        <w:pStyle w:val="1134"/>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联系人：吴昊、方东、郭秀华</w:t>
      </w:r>
      <w:r>
        <w:rPr>
          <w:rFonts w:hint="eastAsia" w:ascii="宋体" w:hAnsi="宋体" w:eastAsia="宋体" w:cs="宋体"/>
          <w:color w:val="000000"/>
          <w:sz w:val="22"/>
          <w:szCs w:val="22"/>
          <w:highlight w:val="none"/>
        </w:rPr>
      </w:r>
      <w:r/>
    </w:p>
    <w:p>
      <w:pPr>
        <w:pStyle w:val="1134"/>
        <w:ind w:firstLine="440"/>
        <w:jc w:val="left"/>
        <w:spacing w:before="0" w:after="0"/>
        <w:rPr>
          <w:rFonts w:hint="eastAsia" w:ascii="宋体" w:hAnsi="宋体" w:eastAsia="宋体" w:cs="宋体"/>
          <w:color w:val="000000"/>
          <w:highlight w:val="none"/>
        </w:rPr>
        <w:sectPr>
          <w:headerReference w:type="default" r:id="rId11"/>
          <w:footerReference w:type="default" r:id="rId17"/>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17198"/>
      <w:r/>
      <w:bookmarkStart w:id="18" w:name="_Toc24439"/>
      <w:r>
        <w:rPr>
          <w:rFonts w:hint="eastAsia" w:ascii="宋体" w:hAnsi="宋体" w:eastAsia="宋体" w:cs="宋体"/>
          <w:color w:val="000000"/>
          <w:highlight w:val="none"/>
        </w:rPr>
      </w:r>
      <w:r/>
    </w:p>
    <w:p>
      <w:pPr>
        <w:pStyle w:val="1134"/>
        <w:ind w:firstLine="643"/>
        <w:jc w:val="center"/>
        <w:spacing w:before="0" w:after="0"/>
        <w:rPr>
          <w:rFonts w:hint="eastAsia" w:ascii="宋体" w:hAnsi="宋体" w:eastAsia="宋体" w:cs="宋体"/>
          <w:color w:val="000000"/>
          <w:highlight w:val="none"/>
        </w:rPr>
      </w:pPr>
      <w:r/>
      <w:bookmarkStart w:id="19" w:name="_Toc25706"/>
      <w:r>
        <w:rPr>
          <w:rStyle w:val="1147"/>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w:t>
      </w:r>
      <w:r>
        <w:rPr>
          <w:rFonts w:hint="eastAsia" w:ascii="宋体" w:hAnsi="宋体" w:eastAsia="宋体" w:cs="宋体"/>
          <w:color w:val="000000"/>
          <w:sz w:val="22"/>
          <w:szCs w:val="22"/>
          <w:highlight w:val="none"/>
          <w:lang w:eastAsia="zh-CN"/>
        </w:rPr>
        <w:t xml:space="preserve">南京信息工程大学</w:t>
      </w:r>
      <w:r>
        <w:rPr>
          <w:rFonts w:hint="eastAsia" w:ascii="宋体" w:hAnsi="宋体" w:eastAsia="宋体" w:cs="宋体"/>
          <w:color w:val="000000"/>
          <w:sz w:val="22"/>
          <w:szCs w:val="22"/>
          <w:highlight w:val="none"/>
        </w:rPr>
        <w:t xml:space="preserve">（采购单位名称，以下简称“采购人”）委托，就</w:t>
      </w:r>
      <w:r>
        <w:rPr>
          <w:rFonts w:hint="eastAsia" w:ascii="宋体" w:hAnsi="宋体" w:eastAsia="宋体" w:cs="宋体"/>
          <w:color w:val="000000"/>
          <w:sz w:val="22"/>
          <w:szCs w:val="22"/>
          <w:highlight w:val="none"/>
          <w:lang w:eastAsia="zh-CN"/>
        </w:rPr>
        <w:t xml:space="preserve">南京信息工程大学2026-2027年度中苑宿舍维修服务</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1136"/>
        <w:jc w:val="center"/>
        <w:rPr>
          <w:rFonts w:hint="eastAsia" w:eastAsia="宋体" w:cs="宋体"/>
          <w:color w:val="000000"/>
          <w:sz w:val="24"/>
          <w:highlight w:val="none"/>
        </w:rPr>
      </w:pPr>
      <w:r/>
      <w:bookmarkStart w:id="20" w:name="_Toc32032"/>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2"/>
          <w:tblHeader/>
        </w:trPr>
        <w:tc>
          <w:tcPr>
            <w:tcW w:w="809" w:type="dxa"/>
            <w:vAlign w:val="center"/>
            <w:textDirection w:val="lrTb"/>
            <w:noWrap w:val="false"/>
          </w:tcPr>
          <w:p>
            <w:pPr>
              <w:pStyle w:val="1134"/>
              <w:jc w:val="center"/>
              <w:spacing w:before="0" w:after="0"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序号</w:t>
            </w:r>
            <w:r>
              <w:rPr>
                <w:rFonts w:hint="eastAsia" w:ascii="宋体" w:hAnsi="宋体" w:eastAsia="宋体" w:cs="宋体"/>
                <w:b/>
                <w:bCs/>
                <w:color w:val="000000"/>
                <w:sz w:val="24"/>
                <w:szCs w:val="21"/>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项目</w:t>
            </w:r>
            <w:r>
              <w:rPr>
                <w:rFonts w:hint="eastAsia" w:ascii="宋体" w:hAnsi="宋体" w:eastAsia="宋体" w:cs="宋体"/>
                <w:b/>
                <w:bCs/>
                <w:color w:val="000000"/>
                <w:sz w:val="24"/>
                <w:szCs w:val="21"/>
                <w:highlight w:val="none"/>
              </w:rPr>
            </w:r>
            <w:r/>
          </w:p>
        </w:tc>
        <w:tc>
          <w:tcPr>
            <w:tcW w:w="6361" w:type="dxa"/>
            <w:vAlign w:val="center"/>
            <w:textDirection w:val="lrTb"/>
            <w:noWrap w:val="false"/>
          </w:tcPr>
          <w:p>
            <w:pPr>
              <w:pStyle w:val="1134"/>
              <w:jc w:val="center"/>
              <w:spacing w:before="0" w:after="0" w:line="30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具体内容</w:t>
            </w:r>
            <w:r>
              <w:rPr>
                <w:rFonts w:hint="eastAsia" w:ascii="宋体" w:hAnsi="宋体" w:eastAsia="宋体" w:cs="宋体"/>
                <w:b/>
                <w:bCs/>
                <w:color w:val="000000"/>
                <w:sz w:val="24"/>
                <w:szCs w:val="21"/>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南京信息工程大学2026-2027年度中苑宿舍维修服务</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JSZC-320000-HWZX-G2026-0277</w:t>
            </w:r>
            <w:r>
              <w:rPr>
                <w:rFonts w:hint="eastAsia" w:ascii="宋体" w:hAnsi="宋体" w:eastAsia="宋体" w:cs="宋体"/>
                <w:color w:val="000000"/>
                <w:sz w:val="22"/>
                <w:highlight w:val="none"/>
                <w:lang w:eastAsia="zh-CN"/>
              </w:rPr>
            </w:r>
            <w:r/>
          </w:p>
          <w:p>
            <w:pPr>
              <w:pStyle w:val="1134"/>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0675-266JOC004350</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1134"/>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南京信息工程大学</w:t>
            </w:r>
            <w:r>
              <w:rPr>
                <w:rFonts w:hint="eastAsia" w:ascii="宋体" w:hAnsi="宋体" w:eastAsia="宋体" w:cs="宋体"/>
                <w:color w:val="000000"/>
                <w:sz w:val="22"/>
                <w:highlight w:val="none"/>
                <w:lang w:eastAsia="zh-CN"/>
              </w:rPr>
            </w:r>
            <w:r/>
          </w:p>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w:t>
            </w:r>
            <w:r>
              <w:rPr>
                <w:rFonts w:hint="eastAsia" w:ascii="宋体" w:hAnsi="宋体" w:eastAsia="宋体" w:cs="宋体"/>
                <w:color w:val="000000"/>
                <w:sz w:val="22"/>
                <w:highlight w:val="none"/>
                <w:lang w:eastAsia="zh-CN"/>
              </w:rPr>
              <w:t xml:space="preserve">陈老师</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r>
            <w:r/>
          </w:p>
          <w:p>
            <w:pPr>
              <w:pStyle w:val="1134"/>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电话：</w:t>
            </w:r>
            <w:r>
              <w:rPr>
                <w:rFonts w:hint="eastAsia" w:ascii="宋体" w:hAnsi="宋体" w:eastAsia="宋体" w:cs="宋体"/>
                <w:color w:val="000000"/>
                <w:sz w:val="22"/>
                <w:highlight w:val="none"/>
                <w:lang w:eastAsia="zh-CN"/>
              </w:rPr>
              <w:t xml:space="preserve">025-58699798</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100万元</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100万元</w:t>
            </w:r>
            <w:r>
              <w:rPr>
                <w:rFonts w:hint="eastAsia" w:ascii="宋体" w:hAnsi="宋体" w:eastAsia="宋体" w:cs="宋体"/>
                <w:color w:val="000000"/>
                <w:sz w:val="22"/>
                <w:highlight w:val="none"/>
              </w:rPr>
              <w:t xml:space="preserve">，超出最高限价的投标文件作无效响应处理。具体报价格式参照招标文件附件中“报价一览表格式”。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2026年6月25日 14:</w:t>
            </w:r>
            <w:r>
              <w:rPr>
                <w:rFonts w:hint="eastAsia" w:ascii="宋体" w:hAnsi="宋体" w:eastAsia="宋体" w:cs="宋体"/>
                <w:color w:val="000000"/>
                <w:sz w:val="22"/>
                <w:highlight w:val="none"/>
                <w:lang w:val="en-US" w:eastAsia="zh-CN"/>
              </w:rPr>
              <w:t xml:space="preserve">3</w:t>
            </w:r>
            <w:r>
              <w:rPr>
                <w:rFonts w:hint="eastAsia" w:ascii="宋体" w:hAnsi="宋体" w:eastAsia="宋体" w:cs="宋体"/>
                <w:color w:val="000000"/>
                <w:sz w:val="22"/>
                <w:highlight w:val="none"/>
                <w:lang w:eastAsia="zh-CN"/>
              </w:rPr>
              <w:t xml:space="preserve">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1134"/>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采购代理费用</w:t>
            </w:r>
            <w:r>
              <w:rPr>
                <w:rFonts w:hint="eastAsia" w:ascii="宋体" w:hAnsi="宋体" w:eastAsia="宋体" w:cs="宋体"/>
                <w:color w:val="000000"/>
                <w:sz w:val="22"/>
                <w:highlight w:val="none"/>
                <w:lang w:val="en-US" w:eastAsia="zh-CN"/>
              </w:rPr>
            </w:r>
            <w:r/>
          </w:p>
        </w:tc>
        <w:tc>
          <w:tcPr>
            <w:tcW w:w="6361" w:type="dxa"/>
            <w:vAlign w:val="center"/>
            <w:textDirection w:val="lrTb"/>
            <w:noWrap w:val="false"/>
          </w:tcPr>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本项目招标代理服务费由中标供应商承担，由中标供应商足额支付至本项目招标代理机构。</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二、计费方式及标准</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代理服务费采用差额定率累进计费方式，参照《国家计委关于印发〈招标代理服务收费管理暂行办法〉的通知》（计价格〔2002〕1980号）规定收费标准的50%计取；服务费不足 3000 元按3000元收取。</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三、缴纳时间与方式</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四、依据及说明</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依据：《政府采购代理机构管理暂行办法》(财库〔2018〕2号) 第十五条规定；</w:t>
            </w:r>
            <w:r>
              <w:rPr>
                <w:rFonts w:hint="eastAsia" w:ascii="宋体" w:hAnsi="宋体" w:eastAsia="宋体" w:cs="宋体"/>
                <w:color w:val="000000"/>
                <w:sz w:val="22"/>
                <w:highlight w:val="none"/>
              </w:rPr>
            </w:r>
            <w:r/>
          </w:p>
          <w:p>
            <w:pPr>
              <w:pStyle w:val="1134"/>
              <w:jc w:val="left"/>
              <w:spacing w:before="0" w:after="0" w:line="30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原因：提高采购效率、简化资金支付流程、符合行业惯例、不增 加财政预算负担。</w:t>
            </w:r>
            <w:r>
              <w:rPr>
                <w:rFonts w:hint="eastAsia" w:ascii="宋体" w:hAnsi="宋体" w:eastAsia="宋体" w:cs="宋体"/>
                <w:color w:val="000000"/>
                <w:sz w:val="22"/>
                <w:highlight w:val="none"/>
                <w:lang w:val="en-US" w:eastAsia="zh-CN"/>
              </w:rPr>
            </w:r>
            <w:r/>
          </w:p>
        </w:tc>
      </w:tr>
      <w:tr>
        <w:trPr>
          <w:cantSplit/>
        </w:trPr>
        <w:tc>
          <w:tcPr>
            <w:tcW w:w="809" w:type="dxa"/>
            <w:vAlign w:val="center"/>
            <w:textDirection w:val="lrTb"/>
            <w:noWrap w:val="false"/>
          </w:tcPr>
          <w:p>
            <w:pPr>
              <w:pStyle w:val="1134"/>
              <w:jc w:val="center"/>
              <w:spacing w:before="0" w:after="0" w:line="300" w:lineRule="auto"/>
              <w:rPr>
                <w:rFonts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w:t>
            </w:r>
            <w:r>
              <w:rPr>
                <w:rFonts w:ascii="宋体" w:hAnsi="宋体" w:eastAsia="宋体" w:cs="宋体"/>
                <w:color w:val="000000"/>
                <w:sz w:val="22"/>
                <w:highlight w:val="none"/>
                <w:lang w:val="en-US" w:eastAsia="zh-CN"/>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评审费用支付</w:t>
            </w:r>
            <w:r>
              <w:rPr>
                <w:rFonts w:hint="eastAsia" w:ascii="宋体" w:hAnsi="宋体" w:eastAsia="宋体" w:cs="宋体"/>
                <w:color w:val="000000"/>
                <w:sz w:val="22"/>
                <w:highlight w:val="none"/>
                <w:lang w:val="en-US" w:eastAsia="zh-CN"/>
              </w:rPr>
            </w:r>
            <w:r/>
          </w:p>
        </w:tc>
        <w:tc>
          <w:tcPr>
            <w:tcW w:w="6361" w:type="dxa"/>
            <w:vAlign w:val="center"/>
            <w:textDirection w:val="lrTb"/>
            <w:noWrap w:val="false"/>
          </w:tcPr>
          <w:p>
            <w:pPr>
              <w:pStyle w:val="1134"/>
              <w:jc w:val="left"/>
              <w:spacing w:before="0" w:after="0" w:line="30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对于非集中采购机构实施的政府采购项目，专家评审费用由学校直接支付。评审费标准按照省财政厅相关规定执行，费用在项目评审完成后的30个工作日内完成支付。各代理机构配合学校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lang w:val="en-US" w:eastAsia="zh-CN"/>
              </w:rPr>
            </w:r>
            <w:r/>
          </w:p>
        </w:tc>
      </w:tr>
      <w:tr>
        <w:trPr>
          <w:cantSplit/>
        </w:trPr>
        <w:tc>
          <w:tcPr>
            <w:tcW w:w="809" w:type="dxa"/>
            <w:vAlign w:val="center"/>
            <w:textDirection w:val="lrTb"/>
            <w:noWrap w:val="false"/>
          </w:tcPr>
          <w:p>
            <w:pPr>
              <w:pStyle w:val="1134"/>
              <w:jc w:val="center"/>
              <w:spacing w:before="0" w:after="0" w:line="300" w:lineRule="auto"/>
              <w:rPr>
                <w:rFonts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22</w:t>
            </w:r>
            <w:r>
              <w:rPr>
                <w:rFonts w:ascii="宋体" w:hAnsi="宋体" w:eastAsia="宋体" w:cs="宋体"/>
                <w:color w:val="000000"/>
                <w:sz w:val="22"/>
                <w:highlight w:val="none"/>
                <w:lang w:val="en-US" w:eastAsia="zh-CN"/>
              </w:rPr>
            </w:r>
            <w:r/>
          </w:p>
        </w:tc>
        <w:tc>
          <w:tcPr>
            <w:tcW w:w="2285" w:type="dxa"/>
            <w:vAlign w:val="center"/>
            <w:textDirection w:val="lrTb"/>
            <w:noWrap w:val="false"/>
          </w:tcPr>
          <w:p>
            <w:pPr>
              <w:pStyle w:val="1134"/>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1134"/>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1134"/>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1134"/>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17556"/>
      <w:r/>
      <w:bookmarkStart w:id="23" w:name="_Toc209510674"/>
      <w:r/>
      <w:bookmarkStart w:id="24" w:name="_Toc209510615"/>
      <w:r/>
      <w:bookmarkStart w:id="25" w:name="_Toc20838"/>
      <w:r/>
      <w:bookmarkStart w:id="26" w:name="_Toc28411"/>
      <w:r/>
      <w:bookmarkStart w:id="27" w:name="_Toc1344"/>
      <w:r/>
      <w:bookmarkStart w:id="28" w:name="_Toc21658"/>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rPr>
          <w:rFonts w:hint="eastAsia" w:ascii="宋体" w:hAnsi="宋体" w:eastAsia="宋体" w:cs="宋体"/>
          <w:b/>
          <w:bCs/>
          <w:color w:val="000000"/>
          <w:szCs w:val="21"/>
          <w:highlight w:val="none"/>
        </w:rPr>
      </w:r>
      <w:r/>
    </w:p>
    <w:p>
      <w:pPr>
        <w:pStyle w:val="1134"/>
        <w:numPr>
          <w:ilvl w:val="0"/>
          <w:numId w:val="6"/>
        </w:numPr>
        <w:ind w:firstLine="422"/>
        <w:rPr>
          <w:rFonts w:hint="eastAsia" w:ascii="宋体" w:hAnsi="宋体" w:eastAsia="宋体" w:cs="宋体"/>
          <w:b/>
          <w:bCs/>
          <w:color w:val="000000"/>
          <w:szCs w:val="21"/>
          <w:highlight w:val="none"/>
        </w:rPr>
        <w:outlineLvl w:val="2"/>
      </w:pPr>
      <w:r/>
      <w:bookmarkStart w:id="29" w:name="_Toc209510675"/>
      <w:r>
        <w:rPr>
          <w:rFonts w:hint="eastAsia" w:ascii="宋体" w:hAnsi="宋体" w:eastAsia="宋体" w:cs="宋体"/>
          <w:b/>
          <w:bCs/>
          <w:color w:val="000000"/>
          <w:szCs w:val="21"/>
          <w:highlight w:val="none"/>
        </w:rPr>
        <w:t xml:space="preserve">适用法律</w:t>
      </w:r>
      <w:bookmarkEnd w:id="29"/>
      <w:r>
        <w:rPr>
          <w:rFonts w:hint="eastAsia" w:ascii="宋体" w:hAnsi="宋体" w:eastAsia="宋体" w:cs="宋体"/>
          <w:b/>
          <w:bCs/>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1134"/>
        <w:numPr>
          <w:ilvl w:val="0"/>
          <w:numId w:val="6"/>
        </w:numPr>
        <w:ind w:firstLine="422"/>
        <w:rPr>
          <w:rFonts w:hint="eastAsia" w:ascii="宋体" w:hAnsi="宋体" w:eastAsia="宋体" w:cs="宋体"/>
          <w:b/>
          <w:bCs/>
          <w:color w:val="000000"/>
          <w:szCs w:val="21"/>
          <w:highlight w:val="none"/>
        </w:rPr>
        <w:outlineLvl w:val="2"/>
      </w:pPr>
      <w:r/>
      <w:bookmarkStart w:id="30" w:name="_Toc209510676"/>
      <w:r>
        <w:rPr>
          <w:rFonts w:hint="eastAsia" w:ascii="宋体" w:hAnsi="宋体" w:eastAsia="宋体" w:cs="宋体"/>
          <w:b/>
          <w:bCs/>
          <w:color w:val="000000"/>
          <w:szCs w:val="21"/>
          <w:highlight w:val="none"/>
        </w:rPr>
        <w:t xml:space="preserve">定义</w:t>
      </w:r>
      <w:bookmarkEnd w:id="30"/>
      <w:r>
        <w:rPr>
          <w:rFonts w:hint="eastAsia" w:ascii="宋体" w:hAnsi="宋体" w:eastAsia="宋体" w:cs="宋体"/>
          <w:b/>
          <w:bCs/>
          <w:color w:val="000000"/>
          <w:szCs w:val="21"/>
          <w:highlight w:val="none"/>
        </w:rPr>
      </w:r>
      <w:r/>
    </w:p>
    <w:p>
      <w:pPr>
        <w:pStyle w:val="1134"/>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1134"/>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1134"/>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1134"/>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1134"/>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1134"/>
        <w:numPr>
          <w:ilvl w:val="0"/>
          <w:numId w:val="6"/>
        </w:numPr>
        <w:ind w:firstLine="422"/>
        <w:rPr>
          <w:rFonts w:hint="eastAsia" w:ascii="宋体" w:hAnsi="宋体" w:eastAsia="宋体" w:cs="宋体"/>
          <w:b/>
          <w:bCs/>
          <w:color w:val="000000"/>
          <w:szCs w:val="21"/>
          <w:highlight w:val="none"/>
        </w:rPr>
        <w:outlineLvl w:val="2"/>
      </w:pPr>
      <w:r/>
      <w:bookmarkStart w:id="31" w:name="_Toc209510677"/>
      <w:r>
        <w:rPr>
          <w:rFonts w:hint="eastAsia" w:ascii="宋体" w:hAnsi="宋体" w:eastAsia="宋体" w:cs="宋体"/>
          <w:b/>
          <w:bCs/>
          <w:color w:val="000000"/>
          <w:szCs w:val="21"/>
          <w:highlight w:val="none"/>
        </w:rPr>
        <w:t xml:space="preserve">政策功能</w:t>
      </w:r>
      <w:bookmarkEnd w:id="31"/>
      <w:r>
        <w:rPr>
          <w:rFonts w:hint="eastAsia" w:ascii="宋体" w:hAnsi="宋体" w:eastAsia="宋体" w:cs="宋体"/>
          <w:b/>
          <w:bCs/>
          <w:color w:val="000000"/>
          <w:szCs w:val="21"/>
          <w:highlight w:val="none"/>
        </w:rPr>
      </w:r>
      <w:r/>
    </w:p>
    <w:p>
      <w:pPr>
        <w:pStyle w:val="1134"/>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1134"/>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1134"/>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1134"/>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1134"/>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1134"/>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1134"/>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1134"/>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1134"/>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1134"/>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1134"/>
        <w:numPr>
          <w:ilvl w:val="0"/>
          <w:numId w:val="5"/>
        </w:numPr>
        <w:rPr>
          <w:rFonts w:hint="eastAsia" w:ascii="宋体" w:hAnsi="宋体" w:eastAsia="宋体" w:cs="宋体"/>
          <w:b/>
          <w:bCs/>
          <w:color w:val="000000"/>
          <w:szCs w:val="21"/>
          <w:highlight w:val="none"/>
        </w:rPr>
        <w:outlineLvl w:val="1"/>
      </w:pPr>
      <w:r/>
      <w:bookmarkStart w:id="32" w:name="_Toc20589"/>
      <w:r/>
      <w:bookmarkStart w:id="33" w:name="_Toc209510616"/>
      <w:r/>
      <w:bookmarkStart w:id="34" w:name="_Toc18152"/>
      <w:r/>
      <w:bookmarkStart w:id="35" w:name="_Toc7274"/>
      <w:r/>
      <w:bookmarkStart w:id="36" w:name="_Toc17507"/>
      <w:r/>
      <w:bookmarkStart w:id="37" w:name="_Toc209510678"/>
      <w:r/>
      <w:bookmarkStart w:id="38" w:name="_Toc9697"/>
      <w:r>
        <w:rPr>
          <w:rFonts w:hint="eastAsia" w:ascii="宋体" w:hAnsi="宋体" w:eastAsia="宋体" w:cs="宋体"/>
          <w:b/>
          <w:bCs/>
          <w:color w:val="000000"/>
          <w:szCs w:val="21"/>
          <w:highlight w:val="none"/>
        </w:rPr>
        <w:t xml:space="preserve">招标文件构成</w:t>
      </w:r>
      <w:bookmarkEnd w:id="32"/>
      <w:r/>
      <w:bookmarkEnd w:id="33"/>
      <w:r/>
      <w:bookmarkEnd w:id="34"/>
      <w:r/>
      <w:bookmarkEnd w:id="35"/>
      <w:r/>
      <w:bookmarkEnd w:id="36"/>
      <w:r/>
      <w:bookmarkEnd w:id="37"/>
      <w:r/>
      <w:bookmarkEnd w:id="38"/>
      <w:r>
        <w:rPr>
          <w:rFonts w:hint="eastAsia" w:ascii="宋体" w:hAnsi="宋体" w:eastAsia="宋体" w:cs="宋体"/>
          <w:b/>
          <w:bCs/>
          <w:color w:val="000000"/>
          <w:szCs w:val="21"/>
          <w:highlight w:val="none"/>
        </w:rPr>
      </w:r>
      <w:r/>
    </w:p>
    <w:p>
      <w:pPr>
        <w:pStyle w:val="1134"/>
        <w:numPr>
          <w:ilvl w:val="0"/>
          <w:numId w:val="6"/>
        </w:numPr>
        <w:ind w:firstLine="422"/>
        <w:rPr>
          <w:rFonts w:hint="eastAsia" w:ascii="宋体" w:hAnsi="宋体" w:eastAsia="宋体" w:cs="宋体"/>
          <w:b/>
          <w:bCs/>
          <w:color w:val="000000"/>
          <w:szCs w:val="21"/>
          <w:highlight w:val="none"/>
        </w:rPr>
        <w:outlineLvl w:val="2"/>
      </w:pPr>
      <w:r/>
      <w:bookmarkStart w:id="39" w:name="_Toc209510679"/>
      <w:r>
        <w:rPr>
          <w:rFonts w:hint="eastAsia" w:ascii="宋体" w:hAnsi="宋体" w:eastAsia="宋体" w:cs="宋体"/>
          <w:b/>
          <w:bCs/>
          <w:color w:val="000000"/>
          <w:szCs w:val="21"/>
          <w:highlight w:val="none"/>
        </w:rPr>
        <w:t xml:space="preserve">招标文件组成</w:t>
      </w:r>
      <w:bookmarkEnd w:id="39"/>
      <w:r>
        <w:rPr>
          <w:rFonts w:hint="eastAsia" w:ascii="宋体" w:hAnsi="宋体" w:eastAsia="宋体" w:cs="宋体"/>
          <w:b/>
          <w:bCs/>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1134"/>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1134"/>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1134"/>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1134"/>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1134"/>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1134"/>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1134"/>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1134"/>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1134"/>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1134"/>
        <w:numPr>
          <w:ilvl w:val="0"/>
          <w:numId w:val="6"/>
        </w:numPr>
        <w:ind w:firstLine="422"/>
        <w:rPr>
          <w:rFonts w:hint="eastAsia" w:ascii="宋体" w:hAnsi="宋体" w:eastAsia="宋体" w:cs="宋体"/>
          <w:b/>
          <w:bCs/>
          <w:color w:val="000000"/>
          <w:szCs w:val="21"/>
          <w:highlight w:val="none"/>
        </w:rPr>
        <w:outlineLvl w:val="2"/>
      </w:pPr>
      <w:r/>
      <w:bookmarkStart w:id="40" w:name="_Toc209510680"/>
      <w:r>
        <w:rPr>
          <w:rFonts w:hint="eastAsia" w:ascii="宋体" w:hAnsi="宋体" w:eastAsia="宋体" w:cs="宋体"/>
          <w:b/>
          <w:bCs/>
          <w:color w:val="000000"/>
          <w:szCs w:val="21"/>
          <w:highlight w:val="none"/>
        </w:rPr>
        <w:t xml:space="preserve">招标文件的澄清或者修改</w:t>
      </w:r>
      <w:bookmarkEnd w:id="40"/>
      <w:r>
        <w:rPr>
          <w:rFonts w:hint="eastAsia" w:ascii="宋体" w:hAnsi="宋体" w:eastAsia="宋体" w:cs="宋体"/>
          <w:b/>
          <w:bCs/>
          <w:color w:val="000000"/>
          <w:szCs w:val="21"/>
          <w:highlight w:val="none"/>
        </w:rPr>
      </w:r>
      <w:r/>
    </w:p>
    <w:p>
      <w:pPr>
        <w:pStyle w:val="1134"/>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1134"/>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1134"/>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1134"/>
        <w:numPr>
          <w:ilvl w:val="0"/>
          <w:numId w:val="5"/>
        </w:numPr>
        <w:rPr>
          <w:rFonts w:hint="eastAsia" w:ascii="宋体" w:hAnsi="宋体" w:eastAsia="宋体" w:cs="宋体"/>
          <w:b/>
          <w:bCs/>
          <w:color w:val="000000"/>
          <w:szCs w:val="21"/>
          <w:highlight w:val="none"/>
        </w:rPr>
        <w:outlineLvl w:val="1"/>
      </w:pPr>
      <w:r/>
      <w:bookmarkStart w:id="41" w:name="_Toc22828"/>
      <w:r/>
      <w:bookmarkStart w:id="42" w:name="_Toc209510681"/>
      <w:r/>
      <w:bookmarkStart w:id="43" w:name="_Toc19603"/>
      <w:r/>
      <w:bookmarkStart w:id="44" w:name="_Toc6845"/>
      <w:r/>
      <w:bookmarkStart w:id="45" w:name="_Toc209510617"/>
      <w:r/>
      <w:bookmarkStart w:id="46" w:name="_Toc3559"/>
      <w:r/>
      <w:bookmarkStart w:id="47" w:name="_Toc7702"/>
      <w:r>
        <w:rPr>
          <w:rFonts w:hint="eastAsia" w:ascii="宋体" w:hAnsi="宋体" w:eastAsia="宋体" w:cs="宋体"/>
          <w:b/>
          <w:bCs/>
          <w:color w:val="000000"/>
          <w:szCs w:val="21"/>
          <w:highlight w:val="none"/>
        </w:rPr>
        <w:t xml:space="preserve">投标文件的编制</w:t>
      </w:r>
      <w:bookmarkEnd w:id="41"/>
      <w:r/>
      <w:bookmarkEnd w:id="42"/>
      <w:r/>
      <w:bookmarkEnd w:id="43"/>
      <w:r/>
      <w:bookmarkEnd w:id="44"/>
      <w:r/>
      <w:bookmarkEnd w:id="45"/>
      <w:r/>
      <w:bookmarkEnd w:id="46"/>
      <w:r/>
      <w:bookmarkEnd w:id="47"/>
      <w:r>
        <w:rPr>
          <w:rFonts w:hint="eastAsia" w:ascii="宋体" w:hAnsi="宋体" w:eastAsia="宋体" w:cs="宋体"/>
          <w:b/>
          <w:bCs/>
          <w:color w:val="000000"/>
          <w:szCs w:val="21"/>
          <w:highlight w:val="none"/>
        </w:rPr>
      </w:r>
      <w:r/>
    </w:p>
    <w:p>
      <w:pPr>
        <w:pStyle w:val="1134"/>
        <w:numPr>
          <w:ilvl w:val="0"/>
          <w:numId w:val="13"/>
        </w:numPr>
        <w:ind w:left="0" w:firstLine="422"/>
        <w:rPr>
          <w:rFonts w:hint="eastAsia" w:ascii="宋体" w:hAnsi="宋体" w:eastAsia="宋体" w:cs="宋体"/>
          <w:b/>
          <w:bCs/>
          <w:color w:val="000000"/>
          <w:szCs w:val="21"/>
          <w:highlight w:val="none"/>
        </w:rPr>
      </w:pPr>
      <w:r/>
      <w:bookmarkStart w:id="48" w:name="_Toc209510682"/>
      <w:r>
        <w:rPr>
          <w:rFonts w:hint="eastAsia" w:ascii="宋体" w:hAnsi="宋体" w:eastAsia="宋体" w:cs="宋体"/>
          <w:b/>
          <w:bCs/>
          <w:color w:val="000000"/>
          <w:szCs w:val="21"/>
          <w:highlight w:val="none"/>
        </w:rPr>
        <w:t xml:space="preserve">投标文件的语言、计量单位、货币和编制</w:t>
      </w:r>
      <w:bookmarkEnd w:id="48"/>
      <w:r>
        <w:rPr>
          <w:rFonts w:hint="eastAsia" w:ascii="宋体" w:hAnsi="宋体" w:eastAsia="宋体" w:cs="宋体"/>
          <w:b/>
          <w:bCs/>
          <w:color w:val="000000"/>
          <w:szCs w:val="21"/>
          <w:highlight w:val="none"/>
        </w:rPr>
      </w:r>
      <w:r/>
    </w:p>
    <w:p>
      <w:pPr>
        <w:pStyle w:val="1134"/>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1134"/>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1134"/>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1134"/>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1134"/>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1134"/>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1134"/>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134"/>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1134"/>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w:t>
      </w:r>
      <w:r>
        <w:rPr>
          <w:rFonts w:hint="eastAsia" w:ascii="宋体" w:hAnsi="宋体" w:eastAsia="宋体" w:cs="宋体"/>
          <w:color w:val="000000"/>
          <w:szCs w:val="21"/>
          <w:highlight w:val="none"/>
        </w:rPr>
        <w:t xml:space="preserve">件应对招标文件提出的要求和条件作出实质性响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t xml:space="preserve">若</w:t>
      </w:r>
      <w:r>
        <w:rPr>
          <w:rFonts w:hint="eastAsia" w:ascii="宋体" w:hAnsi="宋体" w:eastAsia="宋体" w:cs="宋体"/>
          <w:b/>
          <w:bCs/>
          <w:color w:val="000000"/>
          <w:szCs w:val="21"/>
          <w:highlight w:val="none"/>
          <w:lang w:val="en-US" w:eastAsia="zh-CN"/>
        </w:rPr>
        <w:t xml:space="preserve">采购需求及</w:t>
      </w:r>
      <w:r>
        <w:rPr>
          <w:rFonts w:hint="eastAsia" w:ascii="宋体" w:hAnsi="宋体" w:eastAsia="宋体" w:cs="宋体"/>
          <w:b/>
          <w:bCs/>
          <w:color w:val="000000"/>
          <w:szCs w:val="21"/>
          <w:highlight w:val="none"/>
        </w:rPr>
        <w:t xml:space="preserve">评分细则另有规定的以评分细则规定为准。</w:t>
      </w:r>
      <w:r>
        <w:rPr>
          <w:rFonts w:hint="eastAsia" w:ascii="宋体" w:hAnsi="宋体" w:eastAsia="宋体" w:cs="宋体"/>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134"/>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1134"/>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1134"/>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1134"/>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1134"/>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w:t>
      </w:r>
      <w:r>
        <w:rPr>
          <w:rFonts w:hint="eastAsia" w:ascii="宋体" w:hAnsi="宋体" w:eastAsia="宋体" w:cs="宋体"/>
          <w:color w:val="000000"/>
          <w:sz w:val="22"/>
          <w:szCs w:val="22"/>
          <w:highlight w:val="none"/>
          <w:lang w:val="en-US" w:eastAsia="zh-CN"/>
        </w:rPr>
        <w:t xml:space="preserve">货物</w:t>
      </w:r>
      <w:r>
        <w:rPr>
          <w:rFonts w:hint="eastAsia" w:ascii="宋体" w:hAnsi="宋体" w:eastAsia="宋体" w:cs="宋体"/>
          <w:color w:val="000000"/>
          <w:sz w:val="22"/>
          <w:szCs w:val="22"/>
          <w:highlight w:val="none"/>
        </w:rPr>
        <w:t xml:space="preserve">/服务是合格的、并符合招标文件要求的证明文件，以及对产品/服务的详细说明，这些文件可以是文字资料、图纸和数据等。提供的产品/服务如与招标文件要求有不符之处，应说明其差别之所在。包括但不限于下列文件，其中加※项目</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如有）</w:t>
      </w:r>
      <w:r>
        <w:rPr>
          <w:rFonts w:hint="eastAsia" w:ascii="宋体" w:hAnsi="宋体" w:eastAsia="宋体" w:cs="宋体"/>
          <w:color w:val="000000"/>
          <w:sz w:val="22"/>
          <w:szCs w:val="22"/>
          <w:highlight w:val="none"/>
        </w:rPr>
        <w:t xml:space="preserve">不得有缺失或无效：</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服务内容的详细说明；</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（3）配置清单及技术说明；</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（4）验收标准、技术资料；</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lang w:val="en-US" w:eastAsia="zh-CN"/>
        </w:rPr>
        <w:t xml:space="preserve">服务</w:t>
      </w:r>
      <w:r>
        <w:rPr>
          <w:rFonts w:hint="eastAsia" w:ascii="宋体" w:hAnsi="宋体" w:eastAsia="宋体" w:cs="宋体"/>
          <w:color w:val="000000"/>
          <w:sz w:val="22"/>
          <w:szCs w:val="22"/>
          <w:highlight w:val="none"/>
        </w:rPr>
        <w:t xml:space="preserve">方案</w:t>
      </w:r>
      <w:r>
        <w:rPr>
          <w:rFonts w:hint="eastAsia" w:ascii="宋体" w:hAnsi="宋体" w:eastAsia="宋体" w:cs="宋体"/>
          <w:color w:val="000000"/>
          <w:sz w:val="22"/>
          <w:szCs w:val="22"/>
          <w:highlight w:val="none"/>
          <w:lang w:val="en-US" w:eastAsia="zh-CN"/>
        </w:rPr>
        <w:t xml:space="preserve">及</w:t>
      </w:r>
      <w:r>
        <w:rPr>
          <w:rFonts w:hint="eastAsia" w:ascii="宋体" w:hAnsi="宋体" w:eastAsia="宋体" w:cs="宋体"/>
          <w:color w:val="000000"/>
          <w:sz w:val="22"/>
          <w:szCs w:val="22"/>
          <w:highlight w:val="none"/>
        </w:rPr>
        <w:t xml:space="preserve">承诺；</w:t>
      </w:r>
      <w:r>
        <w:rPr>
          <w:rFonts w:hint="eastAsia" w:ascii="宋体" w:hAnsi="宋体" w:eastAsia="宋体" w:cs="宋体"/>
          <w:color w:val="000000"/>
          <w:sz w:val="22"/>
          <w:szCs w:val="22"/>
          <w:highlight w:val="none"/>
        </w:rPr>
      </w:r>
      <w:r/>
    </w:p>
    <w:p>
      <w:pPr>
        <w:pStyle w:val="1134"/>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）供应商认为需要提供的其他技术资料。</w:t>
      </w:r>
      <w:r>
        <w:rPr>
          <w:rFonts w:hint="eastAsia" w:ascii="宋体" w:hAnsi="宋体" w:eastAsia="宋体" w:cs="宋体"/>
          <w:color w:val="000000"/>
          <w:sz w:val="22"/>
          <w:szCs w:val="22"/>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1134"/>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1134"/>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1134"/>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1134"/>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1134"/>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1134"/>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1134"/>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1134"/>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1134"/>
        <w:numPr>
          <w:ilvl w:val="0"/>
          <w:numId w:val="19"/>
        </w:numPr>
        <w:ind w:firstLine="420"/>
        <w:rPr>
          <w:rFonts w:hint="eastAsia" w:ascii="宋体" w:hAnsi="宋体" w:eastAsia="宋体" w:cs="宋体"/>
          <w:color w:val="000000"/>
          <w:szCs w:val="21"/>
          <w:highlight w:val="none"/>
        </w:rPr>
      </w:pPr>
      <w:r/>
      <w:bookmarkStart w:id="49" w:name="_Toc19595"/>
      <w:r/>
      <w:bookmarkStart w:id="50" w:name="_Toc209510683"/>
      <w:r/>
      <w:bookmarkStart w:id="51" w:name="_Toc1619"/>
      <w:r/>
      <w:bookmarkStart w:id="52" w:name="_Toc209510618"/>
      <w:r/>
      <w:bookmarkStart w:id="53" w:name="_Toc30521"/>
      <w:r/>
      <w:bookmarkStart w:id="54" w:name="_Toc3953"/>
      <w:r/>
      <w:bookmarkStart w:id="55" w:name="_Toc17969"/>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1134"/>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w:t>
      </w: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0%</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lang w:val="en-US" w:eastAsia="zh-CN"/>
        </w:rPr>
        <w:t xml:space="preserve">不足3000元按3000元收取）</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t xml:space="preserve">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134"/>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1134"/>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1134"/>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1134"/>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1134"/>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1134"/>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134"/>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1134"/>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1134"/>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1134"/>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1134"/>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1134"/>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1134"/>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1134"/>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1134"/>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1134"/>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34"/>
        <w:ind w:firstLine="442"/>
        <w:tabs>
          <w:tab w:val="left" w:pos="480" w:leader="none"/>
        </w:tabs>
        <w:rPr>
          <w:rFonts w:hint="eastAsia" w:ascii="宋体" w:hAnsi="宋体" w:eastAsia="宋体" w:cs="宋体"/>
          <w:b/>
          <w:bCs w:val="0"/>
          <w:color w:val="000000"/>
          <w:sz w:val="22"/>
          <w:szCs w:val="22"/>
          <w:highlight w:val="none"/>
          <w:lang w:val="en-US" w:eastAsia="zh-CN"/>
        </w:rPr>
      </w:pPr>
      <w:r>
        <w:rPr>
          <w:rFonts w:hint="eastAsia" w:ascii="宋体" w:hAnsi="宋体" w:eastAsia="宋体" w:cs="宋体"/>
          <w:b/>
          <w:bCs w:val="0"/>
          <w:color w:val="000000"/>
          <w:sz w:val="22"/>
          <w:szCs w:val="22"/>
          <w:highlight w:val="none"/>
          <w:lang w:val="en-US" w:eastAsia="zh-CN"/>
        </w:rPr>
        <w:t xml:space="preserve">16.3评审费用支付</w:t>
      </w:r>
      <w:r>
        <w:rPr>
          <w:rFonts w:hint="eastAsia" w:ascii="宋体" w:hAnsi="宋体" w:eastAsia="宋体" w:cs="宋体"/>
          <w:b/>
          <w:bCs w:val="0"/>
          <w:color w:val="000000"/>
          <w:sz w:val="22"/>
          <w:szCs w:val="22"/>
          <w:highlight w:val="none"/>
          <w:lang w:val="en-US" w:eastAsia="zh-CN"/>
        </w:rPr>
      </w:r>
      <w:r/>
    </w:p>
    <w:p>
      <w:pPr>
        <w:pStyle w:val="1134"/>
        <w:ind w:left="0" w:firstLine="418"/>
        <w:rPr>
          <w:rFonts w:hint="eastAsia" w:ascii="宋体" w:hAnsi="宋体" w:eastAsia="宋体" w:cs="宋体"/>
          <w:b/>
          <w:bCs/>
          <w:sz w:val="24"/>
          <w:szCs w:val="24"/>
        </w:rPr>
      </w:pPr>
      <w:r>
        <w:rPr>
          <w:rFonts w:hint="eastAsia" w:ascii="宋体" w:hAnsi="宋体" w:eastAsia="宋体" w:cs="宋体"/>
          <w:bCs/>
          <w:color w:val="000000"/>
          <w:sz w:val="22"/>
          <w:szCs w:val="22"/>
          <w:highlight w:val="none"/>
        </w:rPr>
        <w:t xml:space="preserve">对于非集中采购机构实施的政府采购项目，专家评审费用由学校直接支付。评审费标准按照省财政厅相关规定执行，费用在项目评审完成后的30个工作日内完成支付。各代理机构配合学校收集评审专家支付信息，并将材料及时反馈至招标办。对于不属于苏财规〔2026〕1号文件要求的采购项目仍按双方签订的委托协议执行。</w:t>
      </w:r>
      <w:r>
        <w:rPr>
          <w:rFonts w:hint="eastAsia" w:ascii="宋体" w:hAnsi="宋体" w:eastAsia="宋体" w:cs="宋体"/>
          <w:b/>
          <w:bCs/>
          <w:sz w:val="24"/>
          <w:szCs w:val="24"/>
        </w:rPr>
      </w:r>
      <w:r/>
    </w:p>
    <w:p>
      <w:pPr>
        <w:pStyle w:val="1134"/>
        <w:numPr>
          <w:ilvl w:val="0"/>
          <w:numId w:val="0"/>
        </w:numPr>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r>
      <w:r/>
    </w:p>
    <w:p>
      <w:pPr>
        <w:pStyle w:val="1134"/>
        <w:numPr>
          <w:ilvl w:val="0"/>
          <w:numId w:val="5"/>
        </w:numPr>
        <w:ind w:firstLine="422"/>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投标文件的递交</w:t>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1134"/>
        <w:numPr>
          <w:ilvl w:val="0"/>
          <w:numId w:val="20"/>
        </w:numPr>
        <w:ind w:firstLine="422"/>
        <w:rPr>
          <w:rFonts w:hint="eastAsia" w:ascii="宋体" w:hAnsi="宋体" w:eastAsia="宋体" w:cs="宋体"/>
          <w:b/>
          <w:bCs/>
          <w:color w:val="000000"/>
          <w:szCs w:val="21"/>
          <w:highlight w:val="none"/>
        </w:rPr>
        <w:outlineLvl w:val="2"/>
      </w:pPr>
      <w:r/>
      <w:bookmarkStart w:id="56" w:name="_Toc209510684"/>
      <w:r>
        <w:rPr>
          <w:rFonts w:hint="eastAsia" w:ascii="宋体" w:hAnsi="宋体" w:eastAsia="宋体" w:cs="宋体"/>
          <w:b/>
          <w:bCs/>
          <w:color w:val="000000"/>
          <w:szCs w:val="21"/>
          <w:highlight w:val="none"/>
        </w:rPr>
        <w:t xml:space="preserve">投标文件的递交</w:t>
      </w:r>
      <w:bookmarkEnd w:id="56"/>
      <w:r>
        <w:rPr>
          <w:rFonts w:hint="eastAsia" w:ascii="宋体" w:hAnsi="宋体" w:eastAsia="宋体" w:cs="宋体"/>
          <w:b/>
          <w:bCs/>
          <w:color w:val="000000"/>
          <w:szCs w:val="21"/>
          <w:highlight w:val="none"/>
        </w:rPr>
      </w:r>
      <w:r/>
    </w:p>
    <w:p>
      <w:pPr>
        <w:pStyle w:val="1134"/>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1134"/>
        <w:numPr>
          <w:ilvl w:val="0"/>
          <w:numId w:val="20"/>
        </w:numPr>
        <w:ind w:firstLine="422"/>
        <w:rPr>
          <w:rFonts w:hint="eastAsia" w:ascii="宋体" w:hAnsi="宋体" w:eastAsia="宋体" w:cs="宋体"/>
          <w:b/>
          <w:bCs/>
          <w:color w:val="000000"/>
          <w:szCs w:val="21"/>
          <w:highlight w:val="none"/>
        </w:rPr>
        <w:outlineLvl w:val="2"/>
      </w:pPr>
      <w:r/>
      <w:bookmarkStart w:id="57" w:name="_Toc209510685"/>
      <w:r>
        <w:rPr>
          <w:rFonts w:hint="eastAsia" w:ascii="宋体" w:hAnsi="宋体" w:eastAsia="宋体" w:cs="宋体"/>
          <w:b/>
          <w:bCs/>
          <w:color w:val="000000"/>
          <w:szCs w:val="21"/>
          <w:highlight w:val="none"/>
        </w:rPr>
        <w:t xml:space="preserve">投标文件的解密</w:t>
      </w:r>
      <w:bookmarkEnd w:id="57"/>
      <w:r>
        <w:rPr>
          <w:rFonts w:hint="eastAsia" w:ascii="宋体" w:hAnsi="宋体" w:eastAsia="宋体" w:cs="宋体"/>
          <w:b/>
          <w:bCs/>
          <w:color w:val="000000"/>
          <w:szCs w:val="21"/>
          <w:highlight w:val="none"/>
        </w:rPr>
      </w:r>
      <w:r/>
    </w:p>
    <w:p>
      <w:pPr>
        <w:pStyle w:val="1134"/>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1134"/>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1134"/>
        <w:numPr>
          <w:ilvl w:val="0"/>
          <w:numId w:val="20"/>
        </w:numPr>
        <w:ind w:firstLine="422"/>
        <w:rPr>
          <w:rFonts w:hint="eastAsia" w:ascii="宋体" w:hAnsi="宋体" w:eastAsia="宋体" w:cs="宋体"/>
          <w:b/>
          <w:bCs/>
          <w:color w:val="000000"/>
          <w:szCs w:val="21"/>
          <w:highlight w:val="none"/>
        </w:rPr>
        <w:outlineLvl w:val="2"/>
      </w:pPr>
      <w:r/>
      <w:bookmarkStart w:id="58" w:name="_Toc209510686"/>
      <w:r>
        <w:rPr>
          <w:rFonts w:hint="eastAsia" w:ascii="宋体" w:hAnsi="宋体" w:eastAsia="宋体" w:cs="宋体"/>
          <w:b/>
          <w:bCs/>
          <w:color w:val="000000"/>
          <w:szCs w:val="21"/>
          <w:highlight w:val="none"/>
        </w:rPr>
        <w:t xml:space="preserve">投标文件的修改和撤回</w:t>
      </w:r>
      <w:bookmarkEnd w:id="58"/>
      <w:r>
        <w:rPr>
          <w:rFonts w:hint="eastAsia" w:ascii="宋体" w:hAnsi="宋体" w:eastAsia="宋体" w:cs="宋体"/>
          <w:b/>
          <w:bCs/>
          <w:color w:val="000000"/>
          <w:szCs w:val="21"/>
          <w:highlight w:val="none"/>
        </w:rPr>
      </w:r>
      <w:r/>
    </w:p>
    <w:p>
      <w:pPr>
        <w:pStyle w:val="1134"/>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1134"/>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1134"/>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1134"/>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1134"/>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1134"/>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1134"/>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1134"/>
        <w:numPr>
          <w:ilvl w:val="0"/>
          <w:numId w:val="20"/>
        </w:numPr>
        <w:ind w:firstLine="422"/>
        <w:rPr>
          <w:rFonts w:hint="eastAsia" w:ascii="宋体" w:hAnsi="宋体" w:eastAsia="宋体" w:cs="宋体"/>
          <w:b/>
          <w:bCs/>
          <w:color w:val="000000"/>
          <w:szCs w:val="21"/>
          <w:highlight w:val="none"/>
        </w:rPr>
        <w:outlineLvl w:val="2"/>
      </w:pPr>
      <w:r/>
      <w:bookmarkStart w:id="59" w:name="_Toc209510687"/>
      <w:r>
        <w:rPr>
          <w:rFonts w:hint="eastAsia" w:ascii="宋体" w:hAnsi="宋体" w:eastAsia="宋体" w:cs="宋体"/>
          <w:b/>
          <w:bCs/>
          <w:color w:val="000000"/>
          <w:szCs w:val="21"/>
          <w:highlight w:val="none"/>
        </w:rPr>
        <w:t xml:space="preserve">诚实信用</w:t>
      </w:r>
      <w:bookmarkEnd w:id="59"/>
      <w:r>
        <w:rPr>
          <w:rFonts w:hint="eastAsia" w:ascii="宋体" w:hAnsi="宋体" w:eastAsia="宋体" w:cs="宋体"/>
          <w:b/>
          <w:bCs/>
          <w:color w:val="000000"/>
          <w:szCs w:val="21"/>
          <w:highlight w:val="none"/>
        </w:rPr>
      </w:r>
      <w:r/>
    </w:p>
    <w:p>
      <w:pPr>
        <w:pStyle w:val="1134"/>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1134"/>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1134"/>
        <w:numPr>
          <w:ilvl w:val="0"/>
          <w:numId w:val="5"/>
        </w:numPr>
        <w:ind w:firstLine="422"/>
        <w:rPr>
          <w:rFonts w:hint="eastAsia" w:ascii="宋体" w:hAnsi="宋体" w:eastAsia="宋体" w:cs="宋体"/>
          <w:b/>
          <w:bCs/>
          <w:color w:val="000000"/>
          <w:szCs w:val="21"/>
          <w:highlight w:val="none"/>
        </w:rPr>
        <w:outlineLvl w:val="1"/>
      </w:pPr>
      <w:r/>
      <w:bookmarkStart w:id="60" w:name="_Toc29919"/>
      <w:r/>
      <w:bookmarkStart w:id="61" w:name="_Toc24742"/>
      <w:r/>
      <w:bookmarkStart w:id="62" w:name="_Toc18325"/>
      <w:r/>
      <w:bookmarkStart w:id="63" w:name="_Toc209510688"/>
      <w:r/>
      <w:bookmarkStart w:id="64" w:name="_Toc209510619"/>
      <w:r/>
      <w:bookmarkStart w:id="65" w:name="_Toc1446"/>
      <w:r/>
      <w:bookmarkStart w:id="66" w:name="_Toc9280"/>
      <w:r>
        <w:rPr>
          <w:rFonts w:hint="eastAsia" w:ascii="宋体" w:hAnsi="宋体" w:eastAsia="宋体" w:cs="宋体"/>
          <w:b/>
          <w:bCs/>
          <w:color w:val="000000"/>
          <w:szCs w:val="21"/>
          <w:highlight w:val="none"/>
        </w:rPr>
        <w:t xml:space="preserve">开标、评标与定标</w:t>
      </w:r>
      <w:bookmarkEnd w:id="60"/>
      <w:r/>
      <w:bookmarkEnd w:id="61"/>
      <w:r/>
      <w:bookmarkEnd w:id="62"/>
      <w:r/>
      <w:bookmarkEnd w:id="63"/>
      <w:r/>
      <w:bookmarkEnd w:id="64"/>
      <w:r/>
      <w:bookmarkEnd w:id="65"/>
      <w:r/>
      <w:bookmarkEnd w:id="66"/>
      <w:r>
        <w:rPr>
          <w:rFonts w:hint="eastAsia" w:ascii="宋体" w:hAnsi="宋体" w:eastAsia="宋体" w:cs="宋体"/>
          <w:b/>
          <w:bCs/>
          <w:color w:val="000000"/>
          <w:szCs w:val="21"/>
          <w:highlight w:val="none"/>
        </w:rPr>
      </w:r>
      <w:r/>
    </w:p>
    <w:p>
      <w:pPr>
        <w:pStyle w:val="1134"/>
        <w:numPr>
          <w:ilvl w:val="0"/>
          <w:numId w:val="26"/>
        </w:numPr>
        <w:ind w:firstLine="422"/>
        <w:rPr>
          <w:rFonts w:hint="eastAsia" w:ascii="宋体" w:hAnsi="宋体" w:eastAsia="宋体" w:cs="宋体"/>
          <w:b/>
          <w:bCs/>
          <w:color w:val="000000"/>
          <w:szCs w:val="21"/>
          <w:highlight w:val="none"/>
        </w:rPr>
        <w:outlineLvl w:val="2"/>
      </w:pPr>
      <w:r/>
      <w:bookmarkStart w:id="67" w:name="_Toc209510689"/>
      <w:r>
        <w:rPr>
          <w:rFonts w:hint="eastAsia" w:ascii="宋体" w:hAnsi="宋体" w:eastAsia="宋体" w:cs="宋体"/>
          <w:b/>
          <w:bCs/>
          <w:color w:val="000000"/>
          <w:szCs w:val="21"/>
          <w:highlight w:val="none"/>
        </w:rPr>
        <w:t xml:space="preserve">开标</w:t>
      </w:r>
      <w:bookmarkEnd w:id="67"/>
      <w:r>
        <w:rPr>
          <w:rFonts w:hint="eastAsia" w:ascii="宋体" w:hAnsi="宋体" w:eastAsia="宋体" w:cs="宋体"/>
          <w:b/>
          <w:bCs/>
          <w:color w:val="000000"/>
          <w:szCs w:val="21"/>
          <w:highlight w:val="none"/>
        </w:rPr>
      </w:r>
      <w:r/>
    </w:p>
    <w:p>
      <w:pPr>
        <w:pStyle w:val="1134"/>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1134"/>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r>
      <w:r/>
    </w:p>
    <w:p>
      <w:pPr>
        <w:pStyle w:val="1134"/>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1134"/>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1134"/>
        <w:numPr>
          <w:ilvl w:val="0"/>
          <w:numId w:val="26"/>
        </w:numPr>
        <w:ind w:firstLine="422"/>
        <w:rPr>
          <w:rFonts w:hint="eastAsia" w:ascii="宋体" w:hAnsi="宋体" w:eastAsia="宋体" w:cs="宋体"/>
          <w:b/>
          <w:bCs/>
          <w:color w:val="000000"/>
          <w:szCs w:val="21"/>
          <w:highlight w:val="none"/>
        </w:rPr>
        <w:outlineLvl w:val="2"/>
      </w:pPr>
      <w:r/>
      <w:bookmarkStart w:id="68" w:name="_Toc209510690"/>
      <w:r>
        <w:rPr>
          <w:rFonts w:hint="eastAsia" w:ascii="宋体" w:hAnsi="宋体" w:eastAsia="宋体" w:cs="宋体"/>
          <w:b/>
          <w:bCs/>
          <w:color w:val="000000"/>
          <w:szCs w:val="21"/>
          <w:highlight w:val="none"/>
        </w:rPr>
        <w:t xml:space="preserve">评标</w:t>
      </w:r>
      <w:bookmarkEnd w:id="68"/>
      <w:r>
        <w:rPr>
          <w:rFonts w:hint="eastAsia" w:ascii="宋体" w:hAnsi="宋体" w:eastAsia="宋体" w:cs="宋体"/>
          <w:b/>
          <w:bCs/>
          <w:color w:val="000000"/>
          <w:szCs w:val="21"/>
          <w:highlight w:val="none"/>
        </w:rPr>
      </w:r>
      <w:r/>
    </w:p>
    <w:p>
      <w:pPr>
        <w:pStyle w:val="1134"/>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1134"/>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评标由组织评标委员会（以下简称“评委会”）进行。</w:t>
      </w:r>
      <w:r>
        <w:rPr>
          <w:rFonts w:hint="eastAsia" w:ascii="宋体" w:hAnsi="宋体" w:eastAsia="宋体" w:cs="宋体"/>
          <w:bCs/>
          <w:color w:val="000000"/>
          <w:szCs w:val="21"/>
          <w:highlight w:val="none"/>
        </w:rPr>
      </w:r>
      <w:r/>
    </w:p>
    <w:p>
      <w:pPr>
        <w:pStyle w:val="1134"/>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1134"/>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1134"/>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1134"/>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1134"/>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1134"/>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1134"/>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1134"/>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1134"/>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1134"/>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1134"/>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1134"/>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1134"/>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1134"/>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1134"/>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1134"/>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1134"/>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1134"/>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1134"/>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1134"/>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1134"/>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1134"/>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1134"/>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1134"/>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1134"/>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1134"/>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highlight w:val="none"/>
        </w:rPr>
      </w:r>
      <w:r/>
    </w:p>
    <w:p>
      <w:pPr>
        <w:pStyle w:val="1134"/>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1134"/>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适用于货物类项目）</w:t>
      </w:r>
      <w:r>
        <w:rPr>
          <w:rFonts w:hint="eastAsia" w:ascii="宋体" w:hAnsi="宋体" w:eastAsia="宋体" w:cs="宋体"/>
          <w:color w:val="000000"/>
          <w:szCs w:val="21"/>
          <w:highlight w:val="none"/>
          <w:lang w:eastAsia="en-US"/>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1134"/>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1134"/>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1134"/>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采用综合评分法的，评标结果按评审后最终得分由高到低进行排名，得分相同的，按投标报价由低到高顺序排列。得分且投标报价相同的，按技术部分方案优劣顺序排列。</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1134"/>
        <w:numPr>
          <w:ilvl w:val="0"/>
          <w:numId w:val="26"/>
        </w:numPr>
        <w:ind w:firstLine="422"/>
        <w:rPr>
          <w:rFonts w:hint="eastAsia" w:ascii="宋体" w:hAnsi="宋体" w:eastAsia="宋体" w:cs="宋体"/>
          <w:b/>
          <w:bCs/>
          <w:color w:val="000000"/>
          <w:szCs w:val="21"/>
          <w:highlight w:val="none"/>
        </w:rPr>
        <w:outlineLvl w:val="2"/>
      </w:pPr>
      <w:r/>
      <w:bookmarkStart w:id="69" w:name="_Toc209510691"/>
      <w:r>
        <w:rPr>
          <w:rFonts w:hint="eastAsia" w:ascii="宋体" w:hAnsi="宋体" w:eastAsia="宋体" w:cs="宋体"/>
          <w:b/>
          <w:bCs/>
          <w:color w:val="000000"/>
          <w:szCs w:val="21"/>
          <w:highlight w:val="none"/>
        </w:rPr>
        <w:t xml:space="preserve">确定中标人</w:t>
      </w:r>
      <w:bookmarkEnd w:id="69"/>
      <w:r>
        <w:rPr>
          <w:rFonts w:hint="eastAsia" w:ascii="宋体" w:hAnsi="宋体" w:eastAsia="宋体" w:cs="宋体"/>
          <w:b/>
          <w:bCs/>
          <w:color w:val="000000"/>
          <w:szCs w:val="21"/>
          <w:highlight w:val="none"/>
        </w:rPr>
      </w:r>
      <w:r/>
    </w:p>
    <w:p>
      <w:pPr>
        <w:pStyle w:val="1134"/>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1134"/>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1134"/>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1134"/>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1134"/>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1134"/>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1134"/>
        <w:numPr>
          <w:ilvl w:val="0"/>
          <w:numId w:val="26"/>
        </w:numPr>
        <w:ind w:firstLine="422"/>
        <w:rPr>
          <w:rFonts w:hint="eastAsia" w:ascii="宋体" w:hAnsi="宋体" w:eastAsia="宋体" w:cs="宋体"/>
          <w:b/>
          <w:bCs/>
          <w:color w:val="000000"/>
          <w:szCs w:val="21"/>
          <w:highlight w:val="none"/>
        </w:rPr>
        <w:outlineLvl w:val="2"/>
      </w:pPr>
      <w:r/>
      <w:bookmarkStart w:id="70" w:name="_Toc209510692"/>
      <w:r>
        <w:rPr>
          <w:rFonts w:hint="eastAsia" w:ascii="宋体" w:hAnsi="宋体" w:eastAsia="宋体" w:cs="宋体"/>
          <w:b/>
          <w:bCs/>
          <w:color w:val="000000"/>
          <w:szCs w:val="21"/>
          <w:highlight w:val="none"/>
        </w:rPr>
        <w:t xml:space="preserve">中标通知书</w:t>
      </w:r>
      <w:bookmarkEnd w:id="70"/>
      <w:r>
        <w:rPr>
          <w:rFonts w:hint="eastAsia" w:ascii="宋体" w:hAnsi="宋体" w:eastAsia="宋体" w:cs="宋体"/>
          <w:b/>
          <w:bCs/>
          <w:color w:val="000000"/>
          <w:szCs w:val="21"/>
          <w:highlight w:val="none"/>
        </w:rPr>
      </w:r>
      <w:r/>
    </w:p>
    <w:p>
      <w:pPr>
        <w:pStyle w:val="1134"/>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1134"/>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1134"/>
        <w:numPr>
          <w:ilvl w:val="0"/>
          <w:numId w:val="26"/>
        </w:numPr>
        <w:ind w:firstLine="422"/>
        <w:rPr>
          <w:rFonts w:hint="eastAsia" w:ascii="宋体" w:hAnsi="宋体" w:eastAsia="宋体" w:cs="宋体"/>
          <w:b/>
          <w:bCs/>
          <w:color w:val="000000"/>
          <w:szCs w:val="21"/>
          <w:highlight w:val="none"/>
        </w:rPr>
        <w:outlineLvl w:val="2"/>
      </w:pPr>
      <w:r/>
      <w:bookmarkStart w:id="71" w:name="_Toc209510693"/>
      <w:r>
        <w:rPr>
          <w:rFonts w:hint="eastAsia" w:ascii="宋体" w:hAnsi="宋体" w:eastAsia="宋体" w:cs="宋体"/>
          <w:b/>
          <w:bCs/>
          <w:color w:val="000000"/>
          <w:szCs w:val="21"/>
          <w:highlight w:val="none"/>
        </w:rPr>
        <w:t xml:space="preserve">评标过程的保密性</w:t>
      </w:r>
      <w:bookmarkEnd w:id="71"/>
      <w:r>
        <w:rPr>
          <w:rFonts w:hint="eastAsia" w:ascii="宋体" w:hAnsi="宋体" w:eastAsia="宋体" w:cs="宋体"/>
          <w:b/>
          <w:bCs/>
          <w:color w:val="000000"/>
          <w:szCs w:val="21"/>
          <w:highlight w:val="none"/>
        </w:rPr>
      </w:r>
      <w:r/>
    </w:p>
    <w:p>
      <w:pPr>
        <w:pStyle w:val="1134"/>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1134"/>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1134"/>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1134"/>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1134"/>
        <w:numPr>
          <w:ilvl w:val="0"/>
          <w:numId w:val="5"/>
        </w:numPr>
        <w:ind w:firstLine="422"/>
        <w:rPr>
          <w:rFonts w:hint="eastAsia" w:ascii="宋体" w:hAnsi="宋体" w:eastAsia="宋体" w:cs="宋体"/>
          <w:b/>
          <w:bCs/>
          <w:color w:val="000000"/>
          <w:szCs w:val="21"/>
          <w:highlight w:val="none"/>
        </w:rPr>
        <w:outlineLvl w:val="1"/>
      </w:pPr>
      <w:r/>
      <w:bookmarkStart w:id="72" w:name="_Toc17865"/>
      <w:r/>
      <w:bookmarkStart w:id="73" w:name="_Toc22453"/>
      <w:r/>
      <w:bookmarkStart w:id="74" w:name="_Toc15223"/>
      <w:r/>
      <w:bookmarkStart w:id="75" w:name="_Toc209510620"/>
      <w:r/>
      <w:bookmarkStart w:id="76" w:name="_Toc7293"/>
      <w:r/>
      <w:bookmarkStart w:id="77" w:name="_Toc209510694"/>
      <w:r/>
      <w:bookmarkStart w:id="78" w:name="_Toc464"/>
      <w:r>
        <w:rPr>
          <w:rFonts w:hint="eastAsia" w:ascii="宋体" w:hAnsi="宋体" w:eastAsia="宋体" w:cs="宋体"/>
          <w:b/>
          <w:bCs/>
          <w:color w:val="000000"/>
          <w:szCs w:val="21"/>
          <w:highlight w:val="none"/>
        </w:rPr>
        <w:t xml:space="preserve">签订合同</w:t>
      </w:r>
      <w:bookmarkEnd w:id="72"/>
      <w:r/>
      <w:bookmarkEnd w:id="73"/>
      <w:r/>
      <w:bookmarkEnd w:id="74"/>
      <w:r/>
      <w:bookmarkEnd w:id="75"/>
      <w:r/>
      <w:bookmarkEnd w:id="76"/>
      <w:r/>
      <w:bookmarkEnd w:id="77"/>
      <w:r/>
      <w:bookmarkEnd w:id="78"/>
      <w:r>
        <w:rPr>
          <w:rFonts w:hint="eastAsia" w:ascii="宋体" w:hAnsi="宋体" w:eastAsia="宋体" w:cs="宋体"/>
          <w:b/>
          <w:bCs/>
          <w:color w:val="000000"/>
          <w:szCs w:val="21"/>
          <w:highlight w:val="none"/>
        </w:rPr>
      </w:r>
      <w:r/>
    </w:p>
    <w:p>
      <w:pPr>
        <w:pStyle w:val="1134"/>
        <w:ind w:firstLine="422"/>
        <w:rPr>
          <w:rFonts w:hint="eastAsia" w:ascii="宋体" w:hAnsi="宋体" w:eastAsia="宋体" w:cs="宋体"/>
          <w:b/>
          <w:bCs/>
          <w:color w:val="000000"/>
          <w:szCs w:val="21"/>
          <w:highlight w:val="none"/>
        </w:rPr>
        <w:outlineLvl w:val="2"/>
      </w:pPr>
      <w:r/>
      <w:bookmarkStart w:id="79" w:name="_Toc209510695"/>
      <w:r>
        <w:rPr>
          <w:rFonts w:hint="eastAsia" w:ascii="宋体" w:hAnsi="宋体" w:eastAsia="宋体" w:cs="宋体"/>
          <w:b/>
          <w:bCs/>
          <w:color w:val="000000"/>
          <w:szCs w:val="21"/>
          <w:highlight w:val="none"/>
        </w:rPr>
        <w:t xml:space="preserve">26、签订合同</w:t>
      </w:r>
      <w:bookmarkEnd w:id="79"/>
      <w:r>
        <w:rPr>
          <w:rFonts w:hint="eastAsia" w:ascii="宋体" w:hAnsi="宋体" w:eastAsia="宋体" w:cs="宋体"/>
          <w:b/>
          <w:bCs/>
          <w:color w:val="000000"/>
          <w:szCs w:val="21"/>
          <w:highlight w:val="none"/>
        </w:rPr>
      </w:r>
      <w:r/>
    </w:p>
    <w:p>
      <w:pPr>
        <w:pStyle w:val="1134"/>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1134"/>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1134"/>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1134"/>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中标人因自身原因拒绝与采购人签订合同的，不得参加采购人重新组织的采购活动，且将可能被拒绝参加该采购人一年内的其他政府采购活动。</w:t>
      </w:r>
      <w:r>
        <w:rPr>
          <w:rFonts w:hint="eastAsia" w:ascii="宋体" w:hAnsi="宋体" w:eastAsia="宋体" w:cs="宋体"/>
          <w:color w:val="000000"/>
          <w:szCs w:val="21"/>
          <w:highlight w:val="none"/>
        </w:rPr>
      </w:r>
      <w:r/>
    </w:p>
    <w:p>
      <w:pPr>
        <w:pStyle w:val="1134"/>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1134"/>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1134"/>
        <w:numPr>
          <w:ilvl w:val="0"/>
          <w:numId w:val="5"/>
        </w:numPr>
        <w:ind w:firstLine="422"/>
        <w:rPr>
          <w:rFonts w:hint="eastAsia" w:ascii="宋体" w:hAnsi="宋体" w:eastAsia="宋体" w:cs="宋体"/>
          <w:b/>
          <w:bCs/>
          <w:color w:val="000000"/>
          <w:szCs w:val="21"/>
          <w:highlight w:val="none"/>
        </w:rPr>
        <w:outlineLvl w:val="1"/>
      </w:pPr>
      <w:r/>
      <w:bookmarkStart w:id="80" w:name="_Toc8885"/>
      <w:r/>
      <w:bookmarkStart w:id="81" w:name="_Toc22926"/>
      <w:r/>
      <w:bookmarkStart w:id="82" w:name="_Toc209510696"/>
      <w:r/>
      <w:bookmarkStart w:id="83" w:name="_Toc28967"/>
      <w:r/>
      <w:bookmarkStart w:id="84" w:name="_Toc209510621"/>
      <w:r/>
      <w:bookmarkStart w:id="85" w:name="_Toc10685"/>
      <w:r/>
      <w:bookmarkStart w:id="86" w:name="_Toc24959"/>
      <w:r>
        <w:rPr>
          <w:rFonts w:hint="eastAsia" w:ascii="宋体" w:hAnsi="宋体" w:eastAsia="宋体" w:cs="宋体"/>
          <w:b/>
          <w:bCs/>
          <w:color w:val="000000"/>
          <w:szCs w:val="21"/>
          <w:highlight w:val="none"/>
        </w:rPr>
        <w:t xml:space="preserve">质疑和投诉</w:t>
      </w:r>
      <w:bookmarkEnd w:id="80"/>
      <w:r/>
      <w:bookmarkEnd w:id="81"/>
      <w:r/>
      <w:bookmarkEnd w:id="82"/>
      <w:r/>
      <w:bookmarkEnd w:id="83"/>
      <w:r/>
      <w:bookmarkEnd w:id="84"/>
      <w:r/>
      <w:bookmarkEnd w:id="85"/>
      <w:r/>
      <w:bookmarkEnd w:id="86"/>
      <w:r>
        <w:rPr>
          <w:rFonts w:hint="eastAsia" w:ascii="宋体" w:hAnsi="宋体" w:eastAsia="宋体" w:cs="宋体"/>
          <w:b/>
          <w:bCs/>
          <w:color w:val="000000"/>
          <w:szCs w:val="21"/>
          <w:highlight w:val="none"/>
        </w:rPr>
      </w:r>
      <w:r/>
    </w:p>
    <w:p>
      <w:pPr>
        <w:pStyle w:val="1134"/>
        <w:ind w:firstLine="422"/>
        <w:rPr>
          <w:rFonts w:hint="eastAsia" w:ascii="宋体" w:hAnsi="宋体" w:eastAsia="宋体" w:cs="宋体"/>
          <w:b/>
          <w:bCs/>
          <w:color w:val="000000"/>
          <w:szCs w:val="21"/>
          <w:highlight w:val="none"/>
        </w:rPr>
      </w:pPr>
      <w:r/>
      <w:bookmarkStart w:id="87" w:name="_Toc209510697"/>
      <w:r/>
      <w:bookmarkStart w:id="88" w:name="_Toc29346"/>
      <w:r/>
      <w:bookmarkStart w:id="89" w:name="_Toc209510622"/>
      <w:r/>
      <w:bookmarkStart w:id="90" w:name="_Toc7947"/>
      <w:r>
        <w:rPr>
          <w:rFonts w:hint="eastAsia" w:ascii="宋体" w:hAnsi="宋体" w:eastAsia="宋体" w:cs="宋体"/>
          <w:b/>
          <w:bCs/>
          <w:color w:val="000000"/>
          <w:szCs w:val="21"/>
          <w:highlight w:val="none"/>
        </w:rPr>
        <w:t xml:space="preserve">27.询问</w:t>
      </w:r>
      <w:bookmarkEnd w:id="87"/>
      <w:r/>
      <w:bookmarkEnd w:id="88"/>
      <w:r/>
      <w:bookmarkEnd w:id="89"/>
      <w:r/>
      <w:bookmarkEnd w:id="90"/>
      <w:r>
        <w:rPr>
          <w:rFonts w:hint="eastAsia" w:ascii="宋体" w:hAnsi="宋体" w:eastAsia="宋体" w:cs="宋体"/>
          <w:b/>
          <w:bCs/>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113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以下情形的质疑不予受理</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113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1134"/>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1134"/>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1135"/>
        <w:ind w:firstLine="0"/>
        <w:spacing w:before="480"/>
        <w:tabs>
          <w:tab w:val="left" w:pos="1440" w:leader="none"/>
          <w:tab w:val="left" w:pos="5670" w:leader="none"/>
        </w:tabs>
        <w:rPr>
          <w:rFonts w:hint="eastAsia" w:ascii="宋体" w:hAnsi="宋体" w:eastAsia="宋体" w:cs="宋体"/>
          <w:color w:val="000000"/>
          <w:highlight w:val="none"/>
        </w:rPr>
      </w:pPr>
      <w:r/>
      <w:bookmarkStart w:id="91" w:name="_Toc7217"/>
      <w:r>
        <w:rPr>
          <w:rFonts w:hint="eastAsia" w:ascii="宋体" w:hAnsi="宋体" w:eastAsia="宋体" w:cs="宋体"/>
          <w:color w:val="000000"/>
          <w:highlight w:val="none"/>
        </w:rPr>
        <w:t xml:space="preserve">第三章 评分标准</w:t>
      </w:r>
      <w:bookmarkEnd w:id="27"/>
      <w:r/>
      <w:bookmarkEnd w:id="28"/>
      <w:r/>
      <w:bookmarkEnd w:id="91"/>
      <w:r>
        <w:rPr>
          <w:rFonts w:hint="eastAsia" w:ascii="宋体" w:hAnsi="宋体" w:eastAsia="宋体" w:cs="宋体"/>
          <w:color w:val="000000"/>
          <w:highlight w:val="none"/>
        </w:rPr>
      </w:r>
      <w:r/>
    </w:p>
    <w:p>
      <w:pPr>
        <w:pStyle w:val="1134"/>
        <w:ind w:firstLine="440"/>
        <w:rPr>
          <w:rFonts w:hint="eastAsia" w:ascii="宋体" w:hAnsi="宋体" w:eastAsia="宋体" w:cs="宋体"/>
          <w:color w:val="000000"/>
          <w:sz w:val="22"/>
          <w:szCs w:val="22"/>
          <w:highlight w:val="none"/>
        </w:rPr>
      </w:pPr>
      <w:r/>
      <w:bookmarkStart w:id="92"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1134"/>
        <w:ind w:firstLine="442"/>
        <w:rPr>
          <w:rFonts w:hint="eastAsia" w:ascii="宋体" w:hAnsi="宋体" w:eastAsia="宋体" w:cs="宋体"/>
          <w:color w:val="000000"/>
          <w:sz w:val="22"/>
          <w:szCs w:val="22"/>
          <w:highlight w:val="none"/>
        </w:rPr>
      </w:pPr>
      <w:r/>
      <w:bookmarkEnd w:id="92"/>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1134"/>
        <w:ind w:firstLine="442"/>
        <w:rPr>
          <w:rFonts w:hint="eastAsia" w:ascii="宋体" w:hAnsi="宋体" w:eastAsia="宋体" w:cs="宋体"/>
          <w:b/>
          <w:color w:val="000000"/>
          <w:sz w:val="22"/>
          <w:szCs w:val="22"/>
          <w:highlight w:val="none"/>
        </w:rPr>
        <w:outlineLvl w:val="1"/>
      </w:pPr>
      <w:r/>
      <w:bookmarkStart w:id="93" w:name="_Toc28196"/>
      <w:r>
        <w:rPr>
          <w:rFonts w:hint="eastAsia" w:ascii="宋体" w:hAnsi="宋体" w:eastAsia="宋体" w:cs="宋体"/>
          <w:b/>
          <w:color w:val="000000"/>
          <w:sz w:val="22"/>
          <w:szCs w:val="22"/>
          <w:highlight w:val="none"/>
        </w:rPr>
        <w:t xml:space="preserve">一、资格性审查</w:t>
      </w:r>
      <w:bookmarkEnd w:id="93"/>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134"/>
        <w:ind w:firstLine="442"/>
        <w:rPr>
          <w:rFonts w:hint="eastAsia" w:ascii="宋体" w:hAnsi="宋体" w:eastAsia="宋体" w:cs="宋体"/>
          <w:b/>
          <w:color w:val="000000"/>
          <w:sz w:val="22"/>
          <w:szCs w:val="22"/>
          <w:highlight w:val="none"/>
        </w:rPr>
        <w:outlineLvl w:val="1"/>
      </w:pPr>
      <w:r/>
      <w:bookmarkStart w:id="94" w:name="_Toc14304"/>
      <w:r>
        <w:rPr>
          <w:rFonts w:hint="eastAsia" w:ascii="宋体" w:hAnsi="宋体" w:eastAsia="宋体" w:cs="宋体"/>
          <w:b/>
          <w:color w:val="000000"/>
          <w:sz w:val="22"/>
          <w:szCs w:val="22"/>
          <w:highlight w:val="none"/>
        </w:rPr>
        <w:t xml:space="preserve">二、符合性审查</w:t>
      </w:r>
      <w:bookmarkEnd w:id="94"/>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134"/>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1134"/>
        <w:ind w:firstLine="442"/>
        <w:rPr>
          <w:rFonts w:hint="eastAsia" w:ascii="宋体" w:hAnsi="宋体" w:eastAsia="宋体" w:cs="宋体"/>
          <w:b/>
          <w:color w:val="000000"/>
          <w:sz w:val="22"/>
          <w:szCs w:val="22"/>
          <w:highlight w:val="none"/>
        </w:rPr>
        <w:outlineLvl w:val="1"/>
      </w:pPr>
      <w:r/>
      <w:bookmarkStart w:id="95" w:name="_Toc7288"/>
      <w:r/>
      <w:bookmarkStart w:id="96" w:name="_Toc6239"/>
      <w:r>
        <w:rPr>
          <w:rFonts w:hint="eastAsia" w:ascii="宋体" w:hAnsi="宋体" w:eastAsia="宋体" w:cs="宋体"/>
          <w:b/>
          <w:color w:val="000000"/>
          <w:sz w:val="22"/>
          <w:szCs w:val="22"/>
          <w:highlight w:val="none"/>
        </w:rPr>
        <w:t xml:space="preserve">三、异常低价投标（响应）审查</w:t>
      </w:r>
      <w:bookmarkEnd w:id="95"/>
      <w:r/>
      <w:bookmarkEnd w:id="96"/>
      <w:r>
        <w:rPr>
          <w:rFonts w:hint="eastAsia" w:ascii="宋体" w:hAnsi="宋体" w:eastAsia="宋体" w:cs="宋体"/>
          <w:b/>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（3）投标（响应）报价低于采购项目最高限价45%的，即投标（响应）报价&lt;采购项目最高限价×45%；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highlight w:val="none"/>
        </w:rPr>
      </w:r>
      <w:r/>
    </w:p>
    <w:p>
      <w:pPr>
        <w:pStyle w:val="1134"/>
        <w:rPr>
          <w:rFonts w:hint="eastAsia" w:ascii="宋体" w:hAnsi="宋体" w:eastAsia="宋体" w:cs="宋体"/>
          <w:b/>
          <w:color w:val="000000"/>
          <w:sz w:val="22"/>
          <w:szCs w:val="22"/>
          <w:highlight w:val="none"/>
        </w:rPr>
        <w:outlineLvl w:val="1"/>
      </w:pPr>
      <w:r/>
      <w:bookmarkStart w:id="97" w:name="_Toc25427"/>
      <w:r>
        <w:rPr>
          <w:rFonts w:hint="eastAsia" w:ascii="宋体" w:hAnsi="宋体" w:eastAsia="宋体" w:cs="宋体"/>
          <w:b/>
          <w:color w:val="000000"/>
          <w:sz w:val="22"/>
          <w:szCs w:val="22"/>
          <w:highlight w:val="none"/>
        </w:rPr>
      </w:r>
      <w:r/>
    </w:p>
    <w:p>
      <w:pPr>
        <w:pStyle w:val="1134"/>
        <w:rPr>
          <w:rFonts w:hint="eastAsia" w:ascii="宋体" w:hAnsi="宋体" w:eastAsia="宋体" w:cs="宋体"/>
          <w:b/>
          <w:bCs/>
          <w:color w:val="000000"/>
          <w:sz w:val="22"/>
          <w:szCs w:val="22"/>
          <w:highlight w:val="none"/>
          <w:u w:val="single"/>
        </w:rPr>
        <w:outlineLvl w:val="1"/>
      </w:pPr>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97"/>
      <w:r>
        <w:rPr>
          <w:rFonts w:hint="eastAsia" w:ascii="宋体" w:hAnsi="宋体" w:eastAsia="宋体" w:cs="宋体"/>
          <w:b/>
          <w:bCs/>
          <w:color w:val="000000"/>
          <w:sz w:val="22"/>
          <w:szCs w:val="22"/>
          <w:highlight w:val="none"/>
          <w:u w:val="single"/>
        </w:rPr>
      </w:r>
      <w:r/>
    </w:p>
    <w:tbl>
      <w:tblPr>
        <w:tblW w:w="99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250"/>
        <w:gridCol w:w="7131"/>
        <w:gridCol w:w="835"/>
      </w:tblGrid>
      <w:tr>
        <w:trPr>
          <w:trHeight w:val="577"/>
        </w:trPr>
        <w:tc>
          <w:tcPr>
            <w:tcW w:w="768" w:type="dxa"/>
            <w:vAlign w:val="center"/>
            <w:textDirection w:val="lrTb"/>
            <w:noWrap w:val="false"/>
          </w:tcPr>
          <w:p>
            <w:pPr>
              <w:pStyle w:val="113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250" w:type="dxa"/>
            <w:vAlign w:val="center"/>
            <w:textDirection w:val="lrTb"/>
            <w:noWrap w:val="false"/>
          </w:tcPr>
          <w:p>
            <w:pPr>
              <w:pStyle w:val="113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rPr>
                <w:rFonts w:hint="eastAsia" w:ascii="宋体" w:hAnsi="宋体" w:eastAsia="宋体" w:cs="宋体"/>
                <w:b/>
                <w:sz w:val="24"/>
                <w:szCs w:val="24"/>
              </w:rPr>
            </w:r>
            <w:r/>
          </w:p>
        </w:tc>
        <w:tc>
          <w:tcPr>
            <w:tcW w:w="7131" w:type="dxa"/>
            <w:vAlign w:val="center"/>
            <w:textDirection w:val="lrTb"/>
            <w:noWrap w:val="false"/>
          </w:tcPr>
          <w:p>
            <w:pPr>
              <w:pStyle w:val="113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评审标准</w:t>
            </w:r>
            <w:r>
              <w:rPr>
                <w:rFonts w:hint="eastAsia" w:ascii="宋体" w:hAnsi="宋体" w:eastAsia="宋体" w:cs="宋体"/>
                <w:b/>
                <w:sz w:val="24"/>
                <w:szCs w:val="24"/>
              </w:rPr>
            </w:r>
            <w:r/>
          </w:p>
        </w:tc>
        <w:tc>
          <w:tcPr>
            <w:tcW w:w="835" w:type="dxa"/>
            <w:vAlign w:val="center"/>
            <w:textDirection w:val="lrTb"/>
            <w:noWrap w:val="false"/>
          </w:tcPr>
          <w:p>
            <w:pPr>
              <w:pStyle w:val="113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r>
      <w:tr>
        <w:trPr>
          <w:trHeight w:val="577"/>
        </w:trPr>
        <w:tc>
          <w:tcPr>
            <w:tcW w:w="768" w:type="dxa"/>
            <w:vAlign w:val="center"/>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250" w:type="dxa"/>
            <w:vAlign w:val="center"/>
            <w:textDirection w:val="lrTb"/>
            <w:noWrap w:val="false"/>
          </w:tcPr>
          <w:p>
            <w:pPr>
              <w:pStyle w:val="113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最终报价最低的为评标基准价，其价格分为满分30分，其他供应商的价格分统一按照以下公式计算：投标报价得分=（评标基准价/最终报价）×30分。四舍五入保留小数点后两位。</w:t>
            </w:r>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r>
            <w:r/>
          </w:p>
        </w:tc>
      </w:tr>
      <w:tr>
        <w:trPr>
          <w:trHeight w:val="3413"/>
        </w:trPr>
        <w:tc>
          <w:tcPr>
            <w:tcW w:w="768" w:type="dxa"/>
            <w:vAlign w:val="center"/>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W w:w="1250" w:type="dxa"/>
            <w:vAlign w:val="center"/>
            <w:textDirection w:val="lrTb"/>
            <w:noWrap w:val="false"/>
          </w:tcPr>
          <w:p>
            <w:pPr>
              <w:pStyle w:val="1134"/>
              <w:spacing w:line="240" w:lineRule="auto"/>
              <w:rPr>
                <w:rFonts w:hint="eastAsia" w:ascii="宋体" w:hAnsi="宋体" w:eastAsia="宋体" w:cs="宋体"/>
                <w:sz w:val="24"/>
                <w:szCs w:val="24"/>
              </w:rPr>
            </w:pPr>
            <w:r>
              <w:rPr>
                <w:rFonts w:hint="eastAsia" w:ascii="宋体" w:hAnsi="宋体" w:eastAsia="宋体" w:cs="宋体"/>
                <w:b w:val="0"/>
                <w:bCs w:val="0"/>
                <w:sz w:val="24"/>
                <w:szCs w:val="24"/>
              </w:rPr>
              <w:t xml:space="preserve">技术响应</w:t>
            </w:r>
            <w:r>
              <w:rPr>
                <w:rFonts w:hint="eastAsia" w:ascii="宋体" w:hAnsi="宋体" w:eastAsia="宋体" w:cs="宋体"/>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投标文件对招标文件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第四章 采购需求</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中“技术要求”的响应程度进行评审。投标人未按要求提供</w:t>
            </w:r>
            <w:r>
              <w:rPr>
                <w:rFonts w:hint="eastAsia" w:ascii="宋体" w:hAnsi="宋体" w:eastAsia="宋体" w:cs="宋体"/>
                <w:bCs/>
                <w:sz w:val="24"/>
                <w:szCs w:val="24"/>
                <w:lang w:eastAsia="zh-CN"/>
              </w:rPr>
              <w:t xml:space="preserve">“技术条款偏离表”</w:t>
            </w:r>
            <w:r>
              <w:rPr>
                <w:rFonts w:hint="eastAsia" w:ascii="宋体" w:hAnsi="宋体" w:eastAsia="宋体" w:cs="宋体"/>
                <w:bCs/>
                <w:sz w:val="24"/>
                <w:szCs w:val="24"/>
              </w:rPr>
              <w:t xml:space="preserve">的，视为无效响应。响应内容表述清晰、阐述详尽、完全符合招标文件要求的，得</w:t>
            </w: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注：标注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的指标为实质性条款，投标人须按要求提供对应证明材料，如有负偏离，按无效投标处理；标注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的条款为重要条款，每</w:t>
            </w:r>
            <w:r>
              <w:rPr>
                <w:rFonts w:hint="eastAsia" w:ascii="宋体" w:hAnsi="宋体" w:eastAsia="宋体" w:cs="宋体"/>
                <w:bCs/>
                <w:sz w:val="24"/>
                <w:szCs w:val="24"/>
                <w:highlight w:val="none"/>
              </w:rPr>
              <w:t xml:space="preserve">负偏离一项，扣</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分；其余为一般条款，每负偏离一项，扣</w:t>
            </w:r>
            <w:r>
              <w:rPr>
                <w:rFonts w:hint="eastAsia" w:ascii="宋体" w:hAnsi="宋体" w:eastAsia="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分。缺项、漏项均视</w:t>
            </w:r>
            <w:r>
              <w:rPr>
                <w:rFonts w:hint="eastAsia" w:ascii="宋体" w:hAnsi="宋体" w:eastAsia="宋体" w:cs="宋体"/>
                <w:bCs/>
                <w:sz w:val="24"/>
                <w:szCs w:val="24"/>
              </w:rPr>
              <w:t xml:space="preserve">为负偏离，本项分数扣完为止。</w:t>
            </w:r>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ascii="宋体" w:hAnsi="宋体" w:eastAsia="微软雅黑" w:cs="宋体"/>
                <w:color w:val="ff0000"/>
                <w:sz w:val="24"/>
                <w:szCs w:val="24"/>
                <w:lang w:val="en-US" w:eastAsia="zh-CN"/>
              </w:rPr>
            </w:pPr>
            <w:r>
              <w:rPr>
                <w:rFonts w:hint="eastAsia" w:ascii="宋体" w:hAnsi="宋体" w:cs="宋体"/>
                <w:color w:val="000000"/>
                <w:sz w:val="24"/>
                <w:szCs w:val="24"/>
                <w:lang w:val="en-US" w:eastAsia="zh-CN"/>
              </w:rPr>
              <w:t xml:space="preserve">30</w:t>
            </w:r>
            <w:r>
              <w:rPr>
                <w:rFonts w:ascii="宋体" w:hAnsi="宋体" w:eastAsia="微软雅黑" w:cs="宋体"/>
                <w:color w:val="ff0000"/>
                <w:sz w:val="24"/>
                <w:szCs w:val="24"/>
                <w:lang w:val="en-US" w:eastAsia="zh-CN"/>
              </w:rPr>
            </w:r>
            <w:r/>
          </w:p>
        </w:tc>
      </w:tr>
      <w:tr>
        <w:trPr>
          <w:trHeight w:val="306"/>
        </w:trPr>
        <w:tc>
          <w:tcPr>
            <w:tcW w:w="768" w:type="dxa"/>
            <w:vAlign w:val="center"/>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3.1</w:t>
            </w:r>
            <w:r>
              <w:rPr>
                <w:rFonts w:hint="eastAsia" w:ascii="宋体" w:hAnsi="宋体" w:eastAsia="宋体" w:cs="宋体"/>
                <w:bCs/>
                <w:sz w:val="24"/>
                <w:szCs w:val="24"/>
              </w:rPr>
            </w:r>
            <w:r/>
          </w:p>
        </w:tc>
        <w:tc>
          <w:tcPr>
            <w:tcW w:w="1250" w:type="dxa"/>
            <w:vAlign w:val="center"/>
            <w:vMerge w:val="restart"/>
            <w:textDirection w:val="lrTb"/>
            <w:noWrap w:val="false"/>
          </w:tcPr>
          <w:p>
            <w:pPr>
              <w:pStyle w:val="1134"/>
              <w:jc w:val="center"/>
              <w:spacing w:line="240" w:lineRule="auto"/>
              <w:rPr>
                <w:rFonts w:hint="eastAsia" w:ascii="宋体" w:hAnsi="宋体" w:eastAsia="宋体" w:cs="宋体"/>
                <w:b/>
                <w:sz w:val="24"/>
                <w:szCs w:val="24"/>
              </w:rPr>
            </w:pPr>
            <w:r>
              <w:rPr>
                <w:rFonts w:hint="eastAsia" w:ascii="宋体" w:hAnsi="宋体" w:eastAsia="宋体" w:cs="宋体"/>
                <w:bCs/>
                <w:sz w:val="24"/>
                <w:szCs w:val="24"/>
              </w:rPr>
              <w:t xml:space="preserve">技术服务方案</w:t>
            </w:r>
            <w:r>
              <w:rPr>
                <w:rFonts w:hint="eastAsia" w:ascii="宋体" w:hAnsi="宋体" w:eastAsia="宋体" w:cs="宋体"/>
                <w:b/>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维修服务方案：</w:t>
            </w:r>
            <w:r>
              <w:rPr>
                <w:rFonts w:hint="eastAsia" w:ascii="宋体" w:hAnsi="宋体" w:eastAsia="宋体" w:cs="宋体"/>
                <w:b/>
                <w:bCs/>
                <w:sz w:val="24"/>
                <w:szCs w:val="24"/>
              </w:rPr>
            </w:r>
            <w:r/>
          </w:p>
          <w:p>
            <w:pPr>
              <w:pStyle w:val="1134"/>
              <w:keepLines w:val="0"/>
              <w:keepNext w:val="0"/>
              <w:pageBreakBefore w:val="0"/>
              <w:spacing w:before="0" w:after="0" w:line="360" w:lineRule="auto"/>
              <w:widowControl w:val="off"/>
              <w:rPr>
                <w:rFonts w:hint="eastAsia" w:ascii="宋体" w:hAnsi="宋体" w:eastAsia="宋体" w:cs="宋体"/>
                <w:color w:val="000000"/>
                <w:sz w:val="24"/>
                <w:szCs w:val="24"/>
              </w:rPr>
            </w:pPr>
            <w:r/>
            <w:bookmarkStart w:id="98" w:name="OLE_LINK7"/>
            <w:r>
              <w:rPr>
                <w:rFonts w:hint="eastAsia" w:ascii="宋体" w:hAnsi="宋体" w:eastAsia="宋体" w:cs="宋体"/>
                <w:sz w:val="24"/>
                <w:szCs w:val="24"/>
              </w:rPr>
              <w:t xml:space="preserve">根据供应商</w:t>
            </w:r>
            <w:r>
              <w:rPr>
                <w:rFonts w:hint="eastAsia" w:ascii="宋体" w:hAnsi="宋体" w:eastAsia="宋体" w:cs="宋体"/>
                <w:color w:val="000000"/>
                <w:sz w:val="24"/>
                <w:szCs w:val="24"/>
              </w:rPr>
              <w:t xml:space="preserve">提出的维修服务方案（包含但不限于服务团队架构，人员管理及培训方案，管理制度，质量标准与投诉处理方案，主动服务学生的举措，服务保障体系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维修服务整体设想及难点分析）进行综合评分。</w:t>
            </w:r>
            <w:r>
              <w:rPr>
                <w:rFonts w:hint="eastAsia" w:ascii="宋体" w:hAnsi="宋体" w:eastAsia="宋体" w:cs="宋体"/>
                <w:color w:val="000000"/>
                <w:sz w:val="24"/>
                <w:szCs w:val="24"/>
              </w:rPr>
            </w:r>
            <w:r/>
          </w:p>
          <w:p>
            <w:pPr>
              <w:pStyle w:val="1134"/>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方案内容完整、全面、合理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针对性强、可落地执行，得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 分；</w:t>
            </w:r>
            <w:r>
              <w:rPr>
                <w:rFonts w:hint="eastAsia" w:ascii="宋体" w:hAnsi="宋体" w:eastAsia="宋体" w:cs="宋体"/>
                <w:color w:val="000000"/>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方案内容比较完整、全面，具备一定可行性，</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方案内容完整性、合理性、全面性均不足，得 2 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其他或未提供的不得分。</w:t>
            </w:r>
            <w:bookmarkEnd w:id="98"/>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hint="eastAsia" w:ascii="宋体" w:hAnsi="宋体" w:eastAsia="微软雅黑"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微软雅黑" w:cs="宋体"/>
                <w:sz w:val="24"/>
                <w:szCs w:val="24"/>
                <w:lang w:eastAsia="zh-CN"/>
              </w:rPr>
            </w:r>
            <w:r/>
          </w:p>
        </w:tc>
      </w:tr>
      <w:tr>
        <w:trPr>
          <w:trHeight w:val="577"/>
        </w:trPr>
        <w:tc>
          <w:tcPr>
            <w:tcW w:w="768" w:type="dxa"/>
            <w:vAlign w:val="center"/>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250" w:type="dxa"/>
            <w:vAlign w:val="center"/>
            <w:vMerge w:val="continue"/>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交接方案：</w:t>
            </w:r>
            <w:r>
              <w:rPr>
                <w:rFonts w:hint="eastAsia" w:ascii="宋体" w:hAnsi="宋体" w:eastAsia="宋体" w:cs="宋体"/>
                <w:b/>
                <w:bCs/>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根据本项目供应商提出的交接方案（包含但不限于维修服务开始或合同到期时的进、退场方案和交接过渡方案等）进行综合评分。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方案内容非常完整、全面、合理且可操作性强，得4分；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方案内容比较完整、全面，可行性一般，得2分；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方案内容完整性、合理性、全面性均不足，得1分；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其他或未提供的不得分。</w:t>
            </w:r>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r>
      <w:tr>
        <w:trPr>
          <w:trHeight w:val="577"/>
        </w:trPr>
        <w:tc>
          <w:tcPr>
            <w:tcW w:w="768" w:type="dxa"/>
            <w:vAlign w:val="center"/>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3.2</w:t>
            </w:r>
            <w:r>
              <w:rPr>
                <w:rFonts w:hint="eastAsia" w:ascii="宋体" w:hAnsi="宋体" w:eastAsia="宋体" w:cs="宋体"/>
                <w:bCs/>
                <w:sz w:val="24"/>
                <w:szCs w:val="24"/>
              </w:rPr>
            </w:r>
            <w:r/>
          </w:p>
        </w:tc>
        <w:tc>
          <w:tcPr>
            <w:tcW w:w="1250" w:type="dxa"/>
            <w:vAlign w:val="center"/>
            <w:vMerge w:val="continue"/>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设备配备方案：</w:t>
            </w:r>
            <w:r>
              <w:rPr>
                <w:rFonts w:hint="eastAsia" w:ascii="宋体" w:hAnsi="宋体" w:eastAsia="宋体" w:cs="宋体"/>
                <w:b/>
                <w:bCs/>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根据供应商拟投入本项目的设备和机械等情况（包含但不限于维修设备、维修机械、维修材料、运输工具、安全防范装备、服装配备与办公用品）进行综合评分。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方案内容完整、配置充足、贴合项目需求、保障有力，得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方案内容比较完整、配置基本满足项目需求，得3分；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方案内容完整性、合理性、全面性均不足，得1分；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其他或未提供的不得分。</w:t>
            </w:r>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hint="eastAsia" w:ascii="宋体" w:hAnsi="宋体" w:eastAsia="微软雅黑"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微软雅黑" w:cs="宋体"/>
                <w:sz w:val="24"/>
                <w:szCs w:val="24"/>
                <w:lang w:eastAsia="zh-CN"/>
              </w:rPr>
            </w:r>
            <w:r/>
          </w:p>
        </w:tc>
      </w:tr>
      <w:tr>
        <w:trPr>
          <w:trHeight w:val="577"/>
        </w:trPr>
        <w:tc>
          <w:tcPr>
            <w:tcW w:w="768" w:type="dxa"/>
            <w:vAlign w:val="center"/>
            <w:textDirection w:val="lrTb"/>
            <w:noWrap w:val="false"/>
          </w:tcPr>
          <w:p>
            <w:pPr>
              <w:pStyle w:val="1134"/>
              <w:jc w:val="center"/>
              <w:spacing w:line="240" w:lineRule="auto"/>
              <w:rPr>
                <w:rFonts w:hint="eastAsia" w:ascii="宋体" w:hAnsi="宋体" w:eastAsia="宋体" w:cs="宋体"/>
                <w:bCs/>
                <w:sz w:val="24"/>
                <w:szCs w:val="24"/>
              </w:rPr>
            </w:pPr>
            <w:r>
              <w:rPr>
                <w:rFonts w:hint="eastAsia" w:ascii="宋体" w:hAnsi="宋体" w:eastAsia="宋体" w:cs="宋体"/>
                <w:sz w:val="24"/>
                <w:szCs w:val="24"/>
              </w:rPr>
              <w:t xml:space="preserve">3.3</w:t>
            </w:r>
            <w:r>
              <w:rPr>
                <w:rFonts w:hint="eastAsia" w:ascii="宋体" w:hAnsi="宋体" w:eastAsia="宋体" w:cs="宋体"/>
                <w:bCs/>
                <w:sz w:val="24"/>
                <w:szCs w:val="24"/>
              </w:rPr>
            </w:r>
            <w:r/>
          </w:p>
        </w:tc>
        <w:tc>
          <w:tcPr>
            <w:tcW w:w="1250" w:type="dxa"/>
            <w:vAlign w:val="center"/>
            <w:vMerge w:val="continue"/>
            <w:textDirection w:val="lrTb"/>
            <w:noWrap w:val="false"/>
          </w:tcPr>
          <w:p>
            <w:pPr>
              <w:pStyle w:val="1134"/>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应急事件处置方案：</w:t>
            </w:r>
            <w:r>
              <w:rPr>
                <w:rFonts w:hint="eastAsia" w:ascii="宋体" w:hAnsi="宋体" w:eastAsia="宋体" w:cs="宋体"/>
                <w:b/>
                <w:bCs/>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根据供应商提供的应急管理与突发事件处置预案（包含但不限于处理断水、断电、管网阻塞、消防应急等情况的措施、人员和可操作性等）进行综合评分。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方案内容完整、全面、响应迅速、机制完善、可落地执行，得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方案内容比较完整、全面，可行性一般，得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方案内容完整性、合理性、全面性均不足，得1分；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其他或未提供的不得分。</w:t>
            </w:r>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hint="eastAsia" w:ascii="宋体" w:hAnsi="宋体" w:eastAsia="微软雅黑"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微软雅黑" w:cs="宋体"/>
                <w:sz w:val="24"/>
                <w:szCs w:val="24"/>
                <w:lang w:eastAsia="zh-CN"/>
              </w:rPr>
            </w:r>
            <w:r/>
          </w:p>
        </w:tc>
      </w:tr>
      <w:tr>
        <w:trPr>
          <w:trHeight w:val="605"/>
        </w:trPr>
        <w:tc>
          <w:tcPr>
            <w:tcW w:w="768" w:type="dxa"/>
            <w:vAlign w:val="center"/>
            <w:textDirection w:val="lrTb"/>
            <w:noWrap w:val="false"/>
          </w:tcPr>
          <w:p>
            <w:pPr>
              <w:pStyle w:val="113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250" w:type="dxa"/>
            <w:vAlign w:val="center"/>
            <w:vMerge w:val="restart"/>
            <w:textDirection w:val="lrTb"/>
            <w:noWrap w:val="false"/>
          </w:tcPr>
          <w:p>
            <w:pPr>
              <w:pStyle w:val="1134"/>
              <w:spacing w:line="240" w:lineRule="auto"/>
              <w:rPr>
                <w:rFonts w:hint="eastAsia" w:ascii="宋体" w:hAnsi="宋体" w:eastAsia="宋体" w:cs="宋体"/>
                <w:sz w:val="24"/>
                <w:szCs w:val="24"/>
              </w:rPr>
            </w:pPr>
            <w:r>
              <w:rPr>
                <w:rFonts w:hint="eastAsia" w:ascii="宋体" w:hAnsi="宋体" w:eastAsia="宋体" w:cs="宋体"/>
                <w:sz w:val="24"/>
                <w:szCs w:val="24"/>
              </w:rPr>
              <w:t xml:space="preserve">人员要求</w:t>
            </w:r>
            <w:r>
              <w:rPr>
                <w:rFonts w:hint="eastAsia" w:ascii="宋体" w:hAnsi="宋体" w:eastAsia="宋体" w:cs="宋体"/>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color w:val="ff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本科及以上学历，建筑工程注册建造师二级及以上，安全员证B类得4分；或本科及以上学历，具有物业行业项目经理职业资格证书得4分，满分4分；</w:t>
            </w:r>
            <w:r>
              <w:rPr>
                <w:rFonts w:hint="eastAsia" w:ascii="宋体" w:hAnsi="宋体" w:eastAsia="宋体" w:cs="宋体"/>
                <w:b/>
                <w:bCs/>
                <w:sz w:val="24"/>
                <w:szCs w:val="24"/>
              </w:rPr>
              <w:t xml:space="preserve">（提供相关证书复印件加盖公章及供应商为其缴纳的</w:t>
            </w:r>
            <w:r>
              <w:rPr>
                <w:rFonts w:hint="eastAsia" w:ascii="宋体" w:hAnsi="宋体" w:eastAsia="宋体" w:cs="宋体"/>
                <w:b/>
                <w:bCs/>
                <w:sz w:val="24"/>
                <w:szCs w:val="24"/>
                <w:lang w:eastAsia="zh-CN"/>
              </w:rPr>
              <w:t xml:space="preserve">2026年3月-2026年5月</w:t>
            </w:r>
            <w:r>
              <w:rPr>
                <w:rFonts w:hint="eastAsia" w:ascii="宋体" w:hAnsi="宋体" w:eastAsia="宋体" w:cs="宋体"/>
                <w:b/>
                <w:bCs/>
                <w:sz w:val="24"/>
                <w:szCs w:val="24"/>
              </w:rPr>
              <w:t xml:space="preserve">的社保证明，否则不得分）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br w:type="textWrapping" w:clear="all"/>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项目经理定期在现场（每周不少于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天）开展工作，满足的得1分，否则不得分。每周能在现场服务时间超过5天（含）的得2分，超过6天（含）的得3分，满分3分。</w:t>
            </w:r>
            <w:r>
              <w:rPr>
                <w:rFonts w:hint="eastAsia" w:ascii="宋体" w:hAnsi="宋体" w:eastAsia="宋体" w:cs="宋体"/>
                <w:b/>
                <w:bCs/>
                <w:color w:val="000000"/>
                <w:sz w:val="24"/>
                <w:szCs w:val="24"/>
                <w:highlight w:val="none"/>
              </w:rPr>
              <w:t xml:space="preserve">（提供承诺书并加盖公章）</w:t>
            </w:r>
            <w:r>
              <w:rPr>
                <w:rFonts w:hint="eastAsia" w:ascii="宋体" w:hAnsi="宋体" w:eastAsia="宋体" w:cs="宋体"/>
                <w:color w:val="ff0000"/>
                <w:sz w:val="24"/>
                <w:szCs w:val="24"/>
              </w:rPr>
            </w:r>
            <w:r/>
          </w:p>
        </w:tc>
        <w:tc>
          <w:tcPr>
            <w:tcW w:w="835" w:type="dxa"/>
            <w:vAlign w:val="center"/>
            <w:textDirection w:val="lrTb"/>
            <w:noWrap w:val="false"/>
          </w:tcPr>
          <w:p>
            <w:pPr>
              <w:pStyle w:val="1134"/>
              <w:jc w:val="center"/>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7</w:t>
            </w:r>
            <w:r>
              <w:rPr>
                <w:rFonts w:hint="eastAsia" w:ascii="宋体" w:hAnsi="宋体" w:cs="宋体"/>
                <w:color w:val="ff0000"/>
                <w:sz w:val="24"/>
                <w:szCs w:val="24"/>
              </w:rPr>
            </w:r>
            <w:r/>
          </w:p>
        </w:tc>
      </w:tr>
      <w:tr>
        <w:trPr>
          <w:trHeight w:val="605"/>
        </w:trPr>
        <w:tc>
          <w:tcPr>
            <w:tcW w:w="768" w:type="dxa"/>
            <w:vAlign w:val="center"/>
            <w:textDirection w:val="lrTb"/>
            <w:noWrap w:val="false"/>
          </w:tcPr>
          <w:p>
            <w:pPr>
              <w:pStyle w:val="113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1250" w:type="dxa"/>
            <w:vAlign w:val="center"/>
            <w:vMerge w:val="continue"/>
            <w:textDirection w:val="lrTb"/>
            <w:noWrap w:val="false"/>
          </w:tcPr>
          <w:p>
            <w:pPr>
              <w:pStyle w:val="1134"/>
              <w:ind w:firstLine="12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技术人员：</w:t>
            </w:r>
            <w:r>
              <w:rPr>
                <w:rFonts w:hint="eastAsia" w:ascii="宋体" w:hAnsi="宋体" w:eastAsia="宋体" w:cs="宋体"/>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供应商拟派驻本项目的人员具有低压电工和高压电工特种作业操作证各1名的不得分，在此基础上，每多提供一人得1分，满分4分。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以上所有技术人员</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有效期内的</w:t>
            </w:r>
            <w:r>
              <w:rPr>
                <w:rFonts w:hint="eastAsia" w:ascii="宋体" w:hAnsi="宋体" w:eastAsia="宋体" w:cs="宋体"/>
                <w:b/>
                <w:bCs/>
                <w:sz w:val="24"/>
                <w:szCs w:val="24"/>
                <w:highlight w:val="none"/>
              </w:rPr>
              <w:t xml:space="preserve">应急管理部门颁发的</w:t>
            </w:r>
            <w:r>
              <w:rPr>
                <w:rFonts w:hint="eastAsia" w:ascii="宋体" w:hAnsi="宋体" w:eastAsia="宋体" w:cs="宋体"/>
                <w:b/>
                <w:bCs/>
                <w:sz w:val="24"/>
                <w:szCs w:val="24"/>
                <w:highlight w:val="none"/>
                <w:lang w:val="en-US" w:eastAsia="zh-CN"/>
              </w:rPr>
              <w:t xml:space="preserve">特种作业操作证</w:t>
            </w:r>
            <w:r>
              <w:rPr>
                <w:rFonts w:hint="eastAsia" w:ascii="宋体" w:hAnsi="宋体" w:eastAsia="宋体" w:cs="宋体"/>
                <w:b/>
                <w:bCs/>
                <w:sz w:val="24"/>
                <w:szCs w:val="24"/>
                <w:highlight w:val="none"/>
              </w:rPr>
              <w:t xml:space="preserve">复印件加盖公章</w:t>
            </w:r>
            <w:r>
              <w:rPr>
                <w:rFonts w:hint="eastAsia" w:ascii="宋体" w:hAnsi="宋体" w:eastAsia="宋体" w:cs="宋体"/>
                <w:b/>
                <w:bCs/>
                <w:sz w:val="24"/>
                <w:szCs w:val="24"/>
                <w:highlight w:val="none"/>
                <w:lang w:val="en-US" w:eastAsia="zh-CN"/>
              </w:rPr>
              <w:t xml:space="preserve">以</w:t>
            </w:r>
            <w:r>
              <w:rPr>
                <w:rFonts w:hint="eastAsia" w:ascii="宋体" w:hAnsi="宋体" w:eastAsia="宋体" w:cs="宋体"/>
                <w:b/>
                <w:bCs/>
                <w:sz w:val="24"/>
                <w:szCs w:val="24"/>
                <w:highlight w:val="none"/>
              </w:rPr>
              <w:t xml:space="preserve">及供应商为其缴纳的202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月-202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月的社保证明，否则</w:t>
            </w:r>
            <w:r>
              <w:rPr>
                <w:rFonts w:hint="eastAsia" w:ascii="宋体" w:hAnsi="宋体" w:eastAsia="宋体" w:cs="宋体"/>
                <w:b/>
                <w:bCs/>
                <w:sz w:val="24"/>
                <w:szCs w:val="24"/>
              </w:rPr>
              <w:t xml:space="preserve">不得分，一人多证仅按一人计算）</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r>
      <w:tr>
        <w:trPr>
          <w:trHeight w:val="605"/>
        </w:trPr>
        <w:tc>
          <w:tcPr>
            <w:tcW w:w="768" w:type="dxa"/>
            <w:vAlign w:val="center"/>
            <w:textDirection w:val="lrTb"/>
            <w:noWrap w:val="false"/>
          </w:tcPr>
          <w:p>
            <w:pPr>
              <w:pStyle w:val="1134"/>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50" w:type="dxa"/>
            <w:vAlign w:val="center"/>
            <w:textDirection w:val="lrTb"/>
            <w:noWrap w:val="false"/>
          </w:tcPr>
          <w:p>
            <w:pPr>
              <w:pStyle w:val="1134"/>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类似业绩</w:t>
            </w:r>
            <w:r>
              <w:rPr>
                <w:rFonts w:ascii="宋体" w:hAnsi="宋体" w:eastAsia="宋体" w:cs="宋体"/>
                <w:sz w:val="24"/>
                <w:szCs w:val="24"/>
                <w:lang w:val="en-US" w:eastAsia="zh-CN"/>
              </w:rPr>
            </w:r>
            <w:r/>
          </w:p>
        </w:tc>
        <w:tc>
          <w:tcPr>
            <w:tcW w:w="7131" w:type="dxa"/>
            <w:vAlign w:val="center"/>
            <w:textDirection w:val="lrTb"/>
            <w:noWrap w:val="false"/>
          </w:tcPr>
          <w:p>
            <w:pPr>
              <w:pStyle w:val="1134"/>
              <w:keepLines w:val="0"/>
              <w:keepNext w:val="0"/>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1、供应商业绩要求：供应商提供202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w:t>
            </w:r>
            <w:r>
              <w:rPr>
                <w:rFonts w:hint="eastAsia" w:ascii="宋体" w:hAnsi="宋体" w:eastAsia="宋体" w:cs="宋体"/>
                <w:b/>
                <w:bCs/>
                <w:sz w:val="24"/>
                <w:szCs w:val="24"/>
              </w:rPr>
              <w:t xml:space="preserve">时间以合同为准</w:t>
            </w:r>
            <w:r>
              <w:rPr>
                <w:rFonts w:hint="eastAsia" w:ascii="宋体" w:hAnsi="宋体" w:eastAsia="宋体" w:cs="宋体"/>
                <w:sz w:val="24"/>
                <w:szCs w:val="24"/>
              </w:rPr>
              <w:t xml:space="preserve">）以来与本项目相类似的业绩，每提供一个得1分，本项最高4分。</w:t>
            </w:r>
            <w:r>
              <w:rPr>
                <w:rFonts w:hint="eastAsia" w:ascii="宋体" w:hAnsi="宋体" w:eastAsia="宋体" w:cs="宋体"/>
                <w:b/>
                <w:bCs/>
                <w:sz w:val="24"/>
                <w:szCs w:val="24"/>
              </w:rPr>
              <w:t xml:space="preserve">提供合同复印件加盖公章，</w:t>
            </w:r>
            <w:r>
              <w:rPr>
                <w:rFonts w:hint="eastAsia" w:ascii="宋体" w:hAnsi="宋体" w:eastAsia="宋体" w:cs="宋体"/>
                <w:b/>
                <w:bCs/>
                <w:sz w:val="24"/>
                <w:szCs w:val="24"/>
                <w:lang w:val="zh-CN"/>
              </w:rPr>
              <w:t xml:space="preserve">提供的相关证明材料必须能反映出相关数据和内容，否则视为未提供</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1134"/>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2、项目经</w:t>
            </w:r>
            <w:r>
              <w:rPr>
                <w:rFonts w:hint="eastAsia" w:ascii="宋体" w:hAnsi="宋体" w:eastAsia="宋体" w:cs="宋体"/>
                <w:sz w:val="24"/>
                <w:szCs w:val="24"/>
                <w:highlight w:val="none"/>
              </w:rPr>
              <w:t xml:space="preserve">理业绩：供应商提供202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w:t>
            </w:r>
            <w:r>
              <w:rPr>
                <w:rFonts w:hint="eastAsia" w:ascii="宋体" w:hAnsi="宋体" w:eastAsia="宋体" w:cs="宋体"/>
                <w:b/>
                <w:bCs/>
                <w:sz w:val="24"/>
                <w:szCs w:val="24"/>
                <w:highlight w:val="none"/>
              </w:rPr>
              <w:t xml:space="preserve">时间以合同为准</w:t>
            </w:r>
            <w:r>
              <w:rPr>
                <w:rFonts w:hint="eastAsia" w:ascii="宋体" w:hAnsi="宋体" w:eastAsia="宋体" w:cs="宋体"/>
                <w:sz w:val="24"/>
                <w:szCs w:val="24"/>
                <w:highlight w:val="none"/>
              </w:rPr>
              <w:t xml:space="preserve">）以来由拟派项目经理承担的与本项目相类似的业绩，每提供一个得1分，最高2分。</w:t>
            </w:r>
            <w:r>
              <w:rPr>
                <w:rFonts w:hint="eastAsia" w:ascii="宋体" w:hAnsi="宋体" w:eastAsia="宋体" w:cs="宋体"/>
                <w:b/>
                <w:bCs/>
                <w:sz w:val="24"/>
                <w:szCs w:val="24"/>
                <w:highlight w:val="none"/>
              </w:rPr>
              <w:t xml:space="preserve">提供合同复印件加盖公章，如合同中未明确项目经理的，提供采购人公章或采购人归口管理部门的相关佐证材料；</w:t>
            </w:r>
            <w:r>
              <w:rPr>
                <w:rFonts w:hint="eastAsia" w:ascii="宋体" w:hAnsi="宋体" w:eastAsia="宋体" w:cs="宋体"/>
                <w:b/>
                <w:bCs/>
                <w:sz w:val="24"/>
                <w:szCs w:val="24"/>
                <w:highlight w:val="none"/>
                <w:lang w:val="zh-CN"/>
              </w:rPr>
              <w:t xml:space="preserve">提供的相关证明材料必须能反映出相关数据和内容，否则视为未提供</w:t>
            </w:r>
            <w:r>
              <w:rPr>
                <w:rFonts w:hint="eastAsia" w:ascii="宋体" w:hAnsi="宋体" w:eastAsia="宋体" w:cs="宋体"/>
                <w:b/>
                <w:bCs/>
                <w:sz w:val="24"/>
                <w:szCs w:val="24"/>
                <w:highlight w:val="none"/>
              </w:rPr>
              <w:t xml:space="preserve">；项目经理业绩与供应商业绩不可兼得</w:t>
            </w:r>
            <w:r>
              <w:rPr>
                <w:rFonts w:hint="eastAsia" w:ascii="宋体" w:hAnsi="宋体" w:eastAsia="宋体" w:cs="宋体"/>
                <w:b/>
                <w:bCs/>
                <w:sz w:val="24"/>
                <w:szCs w:val="24"/>
                <w:highlight w:val="none"/>
                <w:lang w:val="en-US" w:eastAsia="zh-CN"/>
              </w:rPr>
              <w:t xml:space="preserve">(同一项目合同业绩不可双重使用，既作为供应商企业业绩，又作为项目经理履职业绩的，不予重复计分)</w:t>
            </w:r>
            <w:r>
              <w:rPr>
                <w:rFonts w:hint="eastAsia" w:ascii="宋体" w:hAnsi="宋体" w:eastAsia="宋体" w:cs="宋体"/>
                <w:b/>
                <w:bCs/>
                <w:sz w:val="24"/>
                <w:szCs w:val="24"/>
                <w:highlight w:val="none"/>
              </w:rPr>
              <w:t xml:space="preserve">。</w:t>
            </w:r>
            <w:r>
              <w:rPr>
                <w:rFonts w:hint="eastAsia" w:ascii="宋体" w:hAnsi="宋体" w:eastAsia="宋体" w:cs="宋体"/>
                <w:sz w:val="24"/>
                <w:szCs w:val="24"/>
              </w:rPr>
            </w:r>
            <w:r/>
          </w:p>
        </w:tc>
        <w:tc>
          <w:tcPr>
            <w:tcW w:w="835" w:type="dxa"/>
            <w:vAlign w:val="center"/>
            <w:textDirection w:val="lrTb"/>
            <w:noWrap w:val="false"/>
          </w:tcPr>
          <w:p>
            <w:pPr>
              <w:pStyle w:val="1134"/>
              <w:jc w:val="center"/>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r>
    </w:tbl>
    <w:p>
      <w:pPr>
        <w:pStyle w:val="1134"/>
        <w:numPr>
          <w:ilvl w:val="0"/>
          <w:numId w:val="0"/>
        </w:numPr>
        <w:spacing w:before="0" w:after="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r>
      <w:r/>
    </w:p>
    <w:p>
      <w:pPr>
        <w:pStyle w:val="1134"/>
        <w:ind w:firstLine="442"/>
        <w:rPr>
          <w:rFonts w:hint="eastAsia" w:ascii="宋体" w:hAnsi="宋体" w:eastAsia="宋体" w:cs="宋体"/>
          <w:b/>
          <w:color w:val="000000"/>
          <w:sz w:val="22"/>
          <w:szCs w:val="22"/>
          <w:highlight w:val="none"/>
        </w:rPr>
        <w:outlineLvl w:val="1"/>
      </w:pPr>
      <w:r/>
      <w:bookmarkStart w:id="99" w:name="_Toc29051"/>
      <w:r>
        <w:rPr>
          <w:rFonts w:hint="eastAsia" w:ascii="宋体" w:hAnsi="宋体" w:eastAsia="宋体" w:cs="宋体"/>
          <w:b/>
          <w:color w:val="000000"/>
          <w:sz w:val="22"/>
          <w:szCs w:val="22"/>
          <w:highlight w:val="none"/>
        </w:rPr>
        <w:t xml:space="preserve">五、评分因素及分值说明</w:t>
      </w:r>
      <w:bookmarkEnd w:id="99"/>
      <w:r>
        <w:rPr>
          <w:rFonts w:hint="eastAsia" w:ascii="宋体" w:hAnsi="宋体" w:eastAsia="宋体" w:cs="宋体"/>
          <w:b/>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bookmarkStart w:id="100" w:name="_Toc462837790"/>
      <w:r>
        <w:rPr>
          <w:rFonts w:hint="eastAsia" w:ascii="宋体" w:hAnsi="宋体" w:eastAsia="宋体" w:cs="宋体"/>
          <w:color w:val="000000"/>
          <w:sz w:val="22"/>
          <w:szCs w:val="22"/>
          <w:highlight w:val="none"/>
        </w:rPr>
        <w:t xml:space="preserve">5.</w:t>
      </w:r>
      <w:bookmarkEnd w:id="100"/>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1134"/>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1" w:name="_Toc150538845"/>
      <w:r>
        <w:rPr>
          <w:rFonts w:hint="eastAsia" w:ascii="宋体" w:hAnsi="宋体" w:eastAsia="宋体" w:cs="宋体"/>
          <w:color w:val="000000"/>
          <w:sz w:val="22"/>
          <w:szCs w:val="22"/>
          <w:highlight w:val="none"/>
        </w:rPr>
      </w:r>
      <w:r/>
    </w:p>
    <w:p>
      <w:pPr>
        <w:pStyle w:val="1134"/>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2" w:name="_Toc649"/>
      <w:r>
        <w:rPr>
          <w:rFonts w:hint="eastAsia" w:ascii="宋体" w:hAnsi="宋体" w:eastAsia="宋体" w:cs="宋体"/>
          <w:color w:val="000000"/>
          <w:highlight w:val="none"/>
        </w:rPr>
      </w:r>
      <w:r/>
    </w:p>
    <w:p>
      <w:pPr>
        <w:pStyle w:val="1134"/>
        <w:jc w:val="lef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34"/>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1135"/>
        <w:ind w:firstLine="0"/>
        <w:spacing w:before="480"/>
        <w:tabs>
          <w:tab w:val="left" w:pos="1440" w:leader="none"/>
          <w:tab w:val="left" w:pos="5670" w:leader="none"/>
        </w:tabs>
        <w:rPr>
          <w:rFonts w:hint="eastAsia"/>
          <w:color w:val="000000"/>
          <w:highlight w:val="none"/>
        </w:rPr>
      </w:pPr>
      <w:r/>
      <w:bookmarkStart w:id="103" w:name="_Toc19039"/>
      <w:r>
        <w:rPr>
          <w:rFonts w:hint="eastAsia" w:ascii="宋体" w:hAnsi="宋体" w:eastAsia="宋体" w:cs="宋体"/>
          <w:color w:val="000000"/>
          <w:highlight w:val="none"/>
        </w:rPr>
        <w:t xml:space="preserve">第四章 </w:t>
      </w:r>
      <w:bookmarkEnd w:id="101"/>
      <w:r/>
      <w:bookmarkEnd w:id="102"/>
      <w:r>
        <w:rPr>
          <w:rFonts w:hint="eastAsia" w:ascii="宋体" w:hAnsi="宋体" w:eastAsia="宋体" w:cs="宋体"/>
          <w:color w:val="000000"/>
          <w:highlight w:val="none"/>
        </w:rPr>
        <w:t xml:space="preserve">采购需求</w:t>
      </w:r>
      <w:bookmarkEnd w:id="103"/>
      <w:r>
        <w:rPr>
          <w:rFonts w:hint="eastAsia"/>
          <w:color w:val="000000"/>
          <w:highlight w:val="none"/>
        </w:rPr>
      </w:r>
      <w:r/>
    </w:p>
    <w:p>
      <w:pPr>
        <w:pStyle w:val="1134"/>
        <w:numPr>
          <w:ilvl w:val="0"/>
          <w:numId w:val="41"/>
        </w:numPr>
        <w:spacing w:after="5"/>
        <w:rPr>
          <w:rFonts w:hint="eastAsia" w:ascii="宋体" w:hAnsi="宋体" w:eastAsia="宋体" w:cs="宋体"/>
          <w:b/>
          <w:color w:val="000000"/>
          <w:sz w:val="28"/>
          <w:szCs w:val="28"/>
          <w:highlight w:val="none"/>
        </w:rPr>
        <w:outlineLvl w:val="1"/>
      </w:pPr>
      <w:r/>
      <w:bookmarkStart w:id="104" w:name="_Toc22347"/>
      <w:r/>
      <w:bookmarkStart w:id="105" w:name="_Toc15398"/>
      <w:r/>
      <w:bookmarkStart w:id="106" w:name="_Toc22261"/>
      <w:r/>
      <w:bookmarkStart w:id="107" w:name="_Toc3459"/>
      <w:r>
        <w:rPr>
          <w:rFonts w:hint="eastAsia" w:ascii="宋体" w:hAnsi="宋体" w:eastAsia="宋体" w:cs="宋体"/>
          <w:b/>
          <w:color w:val="000000"/>
          <w:sz w:val="28"/>
          <w:szCs w:val="28"/>
          <w:highlight w:val="none"/>
        </w:rPr>
        <w:t xml:space="preserve">项目概况：</w:t>
      </w:r>
      <w:bookmarkEnd w:id="104"/>
      <w:r/>
      <w:bookmarkEnd w:id="105"/>
      <w:r>
        <w:rPr>
          <w:rFonts w:hint="eastAsia" w:ascii="宋体" w:hAnsi="宋体" w:eastAsia="宋体" w:cs="宋体"/>
          <w:b/>
          <w:color w:val="000000"/>
          <w:sz w:val="28"/>
          <w:szCs w:val="28"/>
          <w:highlight w:val="none"/>
        </w:rPr>
      </w:r>
      <w:r/>
    </w:p>
    <w:p>
      <w:pPr>
        <w:pStyle w:val="1134"/>
        <w:ind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本项目为</w:t>
      </w:r>
      <w:r>
        <w:rPr>
          <w:rFonts w:hint="eastAsia" w:ascii="宋体" w:hAnsi="宋体" w:eastAsia="宋体" w:cs="宋体"/>
          <w:bCs/>
          <w:sz w:val="24"/>
          <w:szCs w:val="24"/>
          <w:lang w:eastAsia="zh-CN"/>
        </w:rPr>
        <w:t xml:space="preserve">南京信息工程大学2026-2027年度中苑宿舍维修服务</w:t>
      </w:r>
      <w:r>
        <w:rPr>
          <w:rFonts w:hint="eastAsia" w:ascii="宋体" w:hAnsi="宋体" w:eastAsia="宋体" w:cs="宋体"/>
          <w:bCs/>
          <w:sz w:val="24"/>
          <w:szCs w:val="24"/>
        </w:rPr>
        <w:t xml:space="preserve">，相关要求详见技术要求及商务要求。</w:t>
      </w:r>
      <w:r>
        <w:rPr>
          <w:rFonts w:hint="eastAsia" w:ascii="宋体" w:hAnsi="宋体" w:eastAsia="宋体" w:cs="宋体"/>
          <w:bCs/>
          <w:sz w:val="24"/>
          <w:szCs w:val="24"/>
        </w:rPr>
      </w:r>
      <w:r/>
    </w:p>
    <w:p>
      <w:pPr>
        <w:pStyle w:val="1134"/>
        <w:numPr>
          <w:ilvl w:val="0"/>
          <w:numId w:val="41"/>
        </w:numPr>
        <w:rPr>
          <w:rFonts w:hint="eastAsia" w:ascii="宋体" w:hAnsi="宋体" w:eastAsia="宋体" w:cs="宋体"/>
          <w:b/>
          <w:color w:val="000000"/>
          <w:sz w:val="28"/>
          <w:szCs w:val="28"/>
          <w:highlight w:val="none"/>
        </w:rPr>
        <w:outlineLvl w:val="1"/>
      </w:pPr>
      <w:r/>
      <w:bookmarkStart w:id="108" w:name="_Toc17578"/>
      <w:r/>
      <w:bookmarkStart w:id="109" w:name="_Toc21425"/>
      <w:r>
        <w:rPr>
          <w:rFonts w:hint="eastAsia" w:ascii="宋体" w:hAnsi="宋体" w:eastAsia="宋体" w:cs="宋体"/>
          <w:b/>
          <w:color w:val="000000"/>
          <w:sz w:val="28"/>
          <w:szCs w:val="28"/>
          <w:highlight w:val="none"/>
        </w:rPr>
        <w:t xml:space="preserve">技术要求</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服务要求）</w:t>
      </w:r>
      <w:r>
        <w:rPr>
          <w:rFonts w:hint="eastAsia" w:ascii="宋体" w:hAnsi="宋体" w:eastAsia="宋体" w:cs="宋体"/>
          <w:b/>
          <w:color w:val="000000"/>
          <w:sz w:val="28"/>
          <w:szCs w:val="28"/>
          <w:highlight w:val="none"/>
        </w:rPr>
        <w:t xml:space="preserve">：</w:t>
      </w:r>
      <w:bookmarkEnd w:id="108"/>
      <w:r/>
      <w:bookmarkEnd w:id="109"/>
      <w:r>
        <w:rPr>
          <w:rFonts w:hint="eastAsia" w:ascii="宋体" w:hAnsi="宋体" w:eastAsia="宋体" w:cs="宋体"/>
          <w:b/>
          <w:color w:val="000000"/>
          <w:sz w:val="28"/>
          <w:szCs w:val="28"/>
          <w:highlight w:val="none"/>
        </w:rPr>
      </w:r>
      <w:r/>
    </w:p>
    <w:p>
      <w:pPr>
        <w:pStyle w:val="1233"/>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（一）</w:t>
      </w:r>
      <w:r>
        <w:rPr>
          <w:rFonts w:hint="eastAsia" w:ascii="宋体" w:hAnsi="宋体" w:eastAsia="宋体" w:cs="宋体"/>
          <w:b/>
          <w:bCs/>
          <w:color w:val="000000"/>
          <w:szCs w:val="24"/>
          <w:highlight w:val="none"/>
          <w:lang w:val="en-US" w:eastAsia="zh-CN"/>
        </w:rPr>
        <w:t xml:space="preserve">主要工作内容</w:t>
      </w:r>
      <w:r>
        <w:rPr>
          <w:rFonts w:hint="eastAsia" w:ascii="宋体" w:hAnsi="宋体" w:eastAsia="宋体" w:cs="宋体"/>
          <w:b/>
          <w:bCs/>
          <w:color w:val="000000"/>
          <w:szCs w:val="24"/>
          <w:highlight w:val="none"/>
        </w:rPr>
      </w:r>
      <w:r/>
    </w:p>
    <w:p>
      <w:pPr>
        <w:pStyle w:val="1134"/>
        <w:ind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宿舍维修服务：负责学生宿舍楼宇内（包括楼宇散水坡至临近车行道路范围和宿舍合院）所有设施、设备的维修、改造及其他配合施工等。</w:t>
      </w:r>
      <w:r>
        <w:rPr>
          <w:rFonts w:hint="eastAsia" w:ascii="宋体" w:hAnsi="宋体" w:eastAsia="宋体" w:cs="宋体"/>
          <w:bCs/>
          <w:sz w:val="24"/>
          <w:szCs w:val="24"/>
        </w:rPr>
      </w:r>
      <w:r/>
    </w:p>
    <w:p>
      <w:pPr>
        <w:pStyle w:val="1134"/>
        <w:ind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为保证实现安全、及时、贴心的服务要求，学生宿舍维修须满足24小时校内维修值班不脱岗要求（夜间值班至少有1名水工、1名电工在岗），做到随叫随到的响应标准。</w:t>
      </w:r>
      <w:r>
        <w:rPr>
          <w:rFonts w:hint="eastAsia" w:ascii="宋体" w:hAnsi="宋体" w:eastAsia="宋体" w:cs="宋体"/>
          <w:bCs/>
          <w:sz w:val="24"/>
          <w:szCs w:val="24"/>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中标人须</w:t>
      </w:r>
      <w:r>
        <w:rPr>
          <w:rFonts w:hint="eastAsia" w:ascii="宋体" w:hAnsi="宋体" w:eastAsia="宋体" w:cs="宋体"/>
          <w:bCs/>
          <w:sz w:val="24"/>
          <w:szCs w:val="24"/>
          <w:lang w:val="en-US" w:eastAsia="zh-CN"/>
        </w:rPr>
        <w:t xml:space="preserve">充分理解并接受本项目现状接收模式，对学生宿舍现有设施设备状况、使用年限、维修难点、现场条件等充分踏勘、全面知晓，</w:t>
      </w:r>
      <w:r>
        <w:rPr>
          <w:rFonts w:hint="eastAsia" w:ascii="宋体" w:hAnsi="宋体" w:eastAsia="宋体" w:cs="宋体"/>
          <w:bCs/>
          <w:sz w:val="24"/>
          <w:szCs w:val="24"/>
        </w:rPr>
        <w:t xml:space="preserve">并在接采购人通知进场后立即开展维修工作。</w:t>
      </w:r>
      <w:r>
        <w:rPr>
          <w:rFonts w:hint="eastAsia" w:ascii="宋体" w:hAnsi="宋体" w:eastAsia="宋体" w:cs="宋体"/>
          <w:b/>
          <w:sz w:val="24"/>
          <w:szCs w:val="24"/>
        </w:rPr>
        <w:t xml:space="preserve">（提供加盖公章的承诺书）</w:t>
      </w:r>
      <w:r>
        <w:rPr>
          <w:rFonts w:hint="eastAsia" w:ascii="宋体" w:hAnsi="宋体" w:eastAsia="宋体" w:cs="宋体"/>
          <w:b/>
          <w:sz w:val="24"/>
          <w:szCs w:val="24"/>
        </w:rPr>
      </w:r>
      <w:r/>
    </w:p>
    <w:p>
      <w:pPr>
        <w:pStyle w:val="1233"/>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w:t>
      </w:r>
      <w:r>
        <w:rPr>
          <w:rFonts w:hint="eastAsia" w:ascii="宋体" w:hAnsi="宋体" w:eastAsia="宋体" w:cs="宋体"/>
          <w:b/>
          <w:bCs/>
          <w:color w:val="000000"/>
          <w:szCs w:val="24"/>
          <w:highlight w:val="none"/>
          <w:lang w:val="en-US" w:eastAsia="zh-CN"/>
        </w:rPr>
        <w:t xml:space="preserve">二</w:t>
      </w:r>
      <w:r>
        <w:rPr>
          <w:rFonts w:hint="eastAsia" w:ascii="宋体" w:hAnsi="宋体" w:eastAsia="宋体" w:cs="宋体"/>
          <w:b/>
          <w:bCs/>
          <w:color w:val="000000"/>
          <w:szCs w:val="24"/>
          <w:highlight w:val="none"/>
        </w:rPr>
        <w:t xml:space="preserve">）服务质量</w:t>
      </w:r>
      <w:r>
        <w:rPr>
          <w:rFonts w:hint="eastAsia" w:ascii="宋体" w:hAnsi="宋体" w:eastAsia="宋体" w:cs="宋体"/>
          <w:b/>
          <w:bCs/>
          <w:color w:val="000000"/>
          <w:szCs w:val="24"/>
          <w:highlight w:val="none"/>
        </w:rPr>
      </w:r>
      <w:r/>
    </w:p>
    <w:p>
      <w:pPr>
        <w:pStyle w:val="1134"/>
        <w:ind w:firstLine="48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项目质量应符合国家现行施工规范标准，合同期考核（月考核的均值）达85分（含）以上。中标人入驻后，采购人每月对学生宿舍维修服务项目考核1次，如连续2次或累计3次月度考核均分结果低于75分（不含），采购人有权提前终止合同。  </w:t>
      </w:r>
      <w:r>
        <w:rPr>
          <w:rFonts w:hint="eastAsia" w:ascii="宋体" w:hAnsi="宋体" w:eastAsia="宋体" w:cs="宋体"/>
          <w:sz w:val="24"/>
          <w:szCs w:val="24"/>
        </w:rPr>
      </w:r>
      <w:r/>
    </w:p>
    <w:p>
      <w:pPr>
        <w:pStyle w:val="1233"/>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（三）服务范围及要求</w:t>
      </w:r>
      <w:r>
        <w:rPr>
          <w:rFonts w:hint="eastAsia" w:ascii="宋体" w:hAnsi="宋体" w:eastAsia="宋体" w:cs="宋体"/>
          <w:b/>
          <w:bCs/>
          <w:color w:val="000000"/>
          <w:szCs w:val="24"/>
          <w:highlight w:val="none"/>
          <w:lang w:val="en-US" w:eastAsia="zh-CN"/>
        </w:rPr>
      </w:r>
      <w:r/>
    </w:p>
    <w:p>
      <w:pPr>
        <w:pStyle w:val="1134"/>
        <w:ind w:firstLine="482"/>
        <w:spacing w:line="360" w:lineRule="auto"/>
        <w:rPr>
          <w:rFonts w:hint="eastAsia" w:ascii="宋体" w:hAnsi="宋体" w:eastAsia="宋体" w:cs="宋体"/>
          <w:b/>
        </w:rPr>
      </w:pPr>
      <w:r>
        <w:rPr>
          <w:rFonts w:hint="eastAsia" w:ascii="宋体" w:hAnsi="宋体" w:eastAsia="宋体" w:cs="宋体"/>
          <w:b/>
          <w:sz w:val="24"/>
          <w:szCs w:val="24"/>
          <w:lang w:val="en-US" w:eastAsia="zh-CN"/>
        </w:rPr>
        <w:t xml:space="preserve">3.1</w:t>
      </w:r>
      <w:r>
        <w:rPr>
          <w:rFonts w:hint="eastAsia" w:ascii="宋体" w:hAnsi="宋体" w:eastAsia="宋体" w:cs="宋体"/>
          <w:b/>
          <w:bCs/>
          <w:sz w:val="24"/>
          <w:szCs w:val="24"/>
        </w:rPr>
        <w:t xml:space="preserve">中校区</w:t>
      </w:r>
      <w:r>
        <w:rPr>
          <w:rFonts w:hint="eastAsia" w:ascii="宋体" w:hAnsi="宋体" w:eastAsia="宋体" w:cs="宋体"/>
          <w:b/>
          <w:sz w:val="24"/>
          <w:szCs w:val="24"/>
        </w:rPr>
        <w:t xml:space="preserve">学生宿舍楼分布及面积明细表 </w:t>
      </w:r>
      <w:r>
        <w:rPr>
          <w:rFonts w:hint="eastAsia" w:ascii="宋体" w:hAnsi="宋体" w:eastAsia="宋体" w:cs="宋体"/>
          <w:b/>
        </w:rPr>
        <w:t xml:space="preserve"> </w:t>
      </w:r>
      <w:r>
        <w:rPr>
          <w:rFonts w:hint="eastAsia" w:ascii="宋体" w:hAnsi="宋体" w:eastAsia="宋体" w:cs="宋体"/>
          <w:b/>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687"/>
        <w:gridCol w:w="2113"/>
        <w:gridCol w:w="900"/>
        <w:gridCol w:w="1912"/>
        <w:gridCol w:w="2230"/>
      </w:tblGrid>
      <w:tr>
        <w:trPr>
          <w:trHeight w:val="420"/>
        </w:trPr>
        <w:tc>
          <w:tcPr>
            <w:tcW w:w="656" w:type="dxa"/>
            <w:vAlign w:val="center"/>
            <w:textDirection w:val="lrTb"/>
            <w:noWrap w:val="false"/>
          </w:tcPr>
          <w:p>
            <w:pPr>
              <w:pStyle w:val="1134"/>
              <w:jc w:val="center"/>
              <w:spacing w:line="240" w:lineRule="auto"/>
              <w:rPr>
                <w:rStyle w:val="1240"/>
                <w:rFonts w:hint="eastAsia" w:ascii="宋体" w:hAnsi="宋体" w:eastAsia="宋体" w:cs="宋体"/>
                <w:szCs w:val="21"/>
                <w:lang w:bidi="ar"/>
              </w:rPr>
            </w:pPr>
            <w:r>
              <w:rPr>
                <w:rStyle w:val="1240"/>
                <w:rFonts w:hint="eastAsia" w:ascii="宋体" w:hAnsi="宋体" w:eastAsia="宋体" w:cs="宋体"/>
                <w:szCs w:val="21"/>
                <w:lang w:bidi="ar"/>
              </w:rPr>
              <w:t xml:space="preserve">序号</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spacing w:line="240" w:lineRule="auto"/>
              <w:rPr>
                <w:rStyle w:val="1240"/>
                <w:rFonts w:hint="eastAsia" w:ascii="宋体" w:hAnsi="宋体" w:eastAsia="宋体" w:cs="宋体"/>
                <w:szCs w:val="21"/>
                <w:lang w:bidi="ar"/>
              </w:rPr>
            </w:pPr>
            <w:r>
              <w:rPr>
                <w:rStyle w:val="1240"/>
                <w:rFonts w:hint="eastAsia" w:ascii="宋体" w:hAnsi="宋体" w:eastAsia="宋体" w:cs="宋体"/>
                <w:szCs w:val="21"/>
                <w:lang w:bidi="ar"/>
              </w:rPr>
              <w:t xml:space="preserve">编号</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spacing w:line="240" w:lineRule="auto"/>
              <w:rPr>
                <w:rStyle w:val="1240"/>
                <w:rFonts w:hint="eastAsia" w:ascii="宋体" w:hAnsi="宋体" w:eastAsia="宋体" w:cs="宋体"/>
                <w:szCs w:val="21"/>
                <w:lang w:bidi="ar"/>
              </w:rPr>
            </w:pPr>
            <w:r>
              <w:rPr>
                <w:rStyle w:val="1240"/>
                <w:rFonts w:hint="eastAsia" w:ascii="宋体" w:hAnsi="宋体" w:eastAsia="宋体" w:cs="宋体"/>
                <w:szCs w:val="21"/>
                <w:lang w:bidi="ar"/>
              </w:rPr>
              <w:t xml:space="preserve">建筑面积（㎡）</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spacing w:line="240" w:lineRule="auto"/>
              <w:rPr>
                <w:rStyle w:val="1240"/>
                <w:rFonts w:hint="eastAsia" w:ascii="宋体" w:hAnsi="宋体" w:eastAsia="宋体" w:cs="宋体"/>
                <w:szCs w:val="21"/>
                <w:lang w:bidi="ar"/>
              </w:rPr>
            </w:pPr>
            <w:r>
              <w:rPr>
                <w:rStyle w:val="1240"/>
                <w:rFonts w:hint="eastAsia" w:ascii="宋体" w:hAnsi="宋体" w:eastAsia="宋体" w:cs="宋体"/>
                <w:szCs w:val="21"/>
                <w:lang w:bidi="ar"/>
              </w:rPr>
              <w:t xml:space="preserve">序号</w:t>
            </w:r>
            <w:r>
              <w:rPr>
                <w:rStyle w:val="1240"/>
                <w:rFonts w:hint="eastAsia" w:ascii="宋体" w:hAnsi="宋体" w:eastAsia="宋体" w:cs="宋体"/>
                <w:szCs w:val="21"/>
                <w:lang w:bidi="ar"/>
              </w:rPr>
            </w:r>
            <w:r/>
          </w:p>
        </w:tc>
        <w:tc>
          <w:tcPr>
            <w:tcW w:w="1912" w:type="dxa"/>
            <w:vAlign w:val="center"/>
            <w:textDirection w:val="lrTb"/>
            <w:noWrap w:val="false"/>
          </w:tcPr>
          <w:p>
            <w:pPr>
              <w:pStyle w:val="1134"/>
              <w:jc w:val="center"/>
              <w:spacing w:line="240" w:lineRule="auto"/>
              <w:rPr>
                <w:rStyle w:val="1240"/>
                <w:rFonts w:hint="eastAsia" w:ascii="宋体" w:hAnsi="宋体" w:eastAsia="宋体" w:cs="宋体"/>
                <w:szCs w:val="21"/>
                <w:lang w:bidi="ar"/>
              </w:rPr>
            </w:pPr>
            <w:r>
              <w:rPr>
                <w:rStyle w:val="1240"/>
                <w:rFonts w:hint="eastAsia" w:ascii="宋体" w:hAnsi="宋体" w:eastAsia="宋体" w:cs="宋体"/>
                <w:szCs w:val="21"/>
                <w:lang w:bidi="ar"/>
              </w:rPr>
              <w:t xml:space="preserve">编号</w:t>
            </w:r>
            <w:r>
              <w:rPr>
                <w:rStyle w:val="1240"/>
                <w:rFonts w:hint="eastAsia" w:ascii="宋体" w:hAnsi="宋体" w:eastAsia="宋体" w:cs="宋体"/>
                <w:szCs w:val="21"/>
                <w:lang w:bidi="ar"/>
              </w:rPr>
            </w:r>
            <w:r/>
          </w:p>
        </w:tc>
        <w:tc>
          <w:tcPr>
            <w:tcW w:w="2230" w:type="dxa"/>
            <w:vAlign w:val="center"/>
            <w:textDirection w:val="lrTb"/>
            <w:noWrap w:val="false"/>
          </w:tcPr>
          <w:p>
            <w:pPr>
              <w:pStyle w:val="1134"/>
              <w:jc w:val="center"/>
              <w:spacing w:line="240" w:lineRule="auto"/>
              <w:rPr>
                <w:rStyle w:val="1240"/>
                <w:rFonts w:hint="eastAsia" w:ascii="宋体" w:hAnsi="宋体" w:eastAsia="宋体" w:cs="宋体"/>
                <w:szCs w:val="21"/>
                <w:lang w:bidi="ar"/>
              </w:rPr>
            </w:pPr>
            <w:r>
              <w:rPr>
                <w:rStyle w:val="1240"/>
                <w:rFonts w:hint="eastAsia" w:ascii="宋体" w:hAnsi="宋体" w:eastAsia="宋体" w:cs="宋体"/>
                <w:szCs w:val="21"/>
                <w:lang w:bidi="ar"/>
              </w:rPr>
              <w:t xml:space="preserve">建筑面积（㎡）</w:t>
            </w:r>
            <w:r>
              <w:rPr>
                <w:rStyle w:val="1240"/>
                <w:rFonts w:hint="eastAsia" w:ascii="宋体" w:hAnsi="宋体" w:eastAsia="宋体" w:cs="宋体"/>
                <w:szCs w:val="21"/>
                <w:lang w:bidi="ar"/>
              </w:rPr>
            </w:r>
            <w:r/>
          </w:p>
        </w:tc>
      </w:tr>
      <w:tr>
        <w:trPr>
          <w:trHeight w:val="420"/>
        </w:trPr>
        <w:tc>
          <w:tcPr>
            <w:tcW w:w="656" w:type="dxa"/>
            <w:vAlign w:val="center"/>
            <w:textDirection w:val="lrTb"/>
            <w:noWrap w:val="false"/>
          </w:tcPr>
          <w:p>
            <w:pPr>
              <w:pStyle w:val="1134"/>
              <w:jc w:val="center"/>
              <w:rPr>
                <w:rStyle w:val="1240"/>
                <w:rFonts w:ascii="宋体" w:hAnsi="宋体" w:eastAsia="宋体" w:cs="宋体"/>
                <w:szCs w:val="21"/>
                <w:lang w:bidi="ar"/>
              </w:rPr>
            </w:pPr>
            <w:r>
              <w:rPr>
                <w:rStyle w:val="1240"/>
                <w:rFonts w:hint="eastAsia" w:ascii="宋体" w:hAnsi="宋体" w:eastAsia="宋体" w:cs="宋体"/>
                <w:szCs w:val="21"/>
              </w:rPr>
              <w:t xml:space="preserve">1</w:t>
            </w:r>
            <w:r>
              <w:rPr>
                <w:rStyle w:val="1240"/>
                <w:rFonts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cs="宋体"/>
                <w:szCs w:val="21"/>
                <w:lang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22</w:t>
            </w:r>
            <w:r>
              <w:rPr>
                <w:rStyle w:val="1240"/>
                <w:rFonts w:hint="eastAsia" w:ascii="宋体" w:hAnsi="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3278.9</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szCs w:val="21"/>
              </w:rPr>
              <w:t xml:space="preserve">15</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36</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7729.4</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ascii="宋体" w:hAnsi="宋体" w:eastAsia="宋体" w:cs="宋体"/>
                <w:szCs w:val="21"/>
                <w:lang w:bidi="ar"/>
              </w:rPr>
            </w:pPr>
            <w:r>
              <w:rPr>
                <w:rStyle w:val="1240"/>
                <w:rFonts w:hint="eastAsia" w:ascii="宋体" w:hAnsi="宋体" w:eastAsia="宋体" w:cs="宋体"/>
                <w:szCs w:val="21"/>
              </w:rPr>
              <w:t xml:space="preserve">2</w:t>
            </w:r>
            <w:r>
              <w:rPr>
                <w:rStyle w:val="1240"/>
                <w:rFonts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23</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3428.8</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szCs w:val="21"/>
              </w:rPr>
              <w:t xml:space="preserve">16</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37</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6741.6</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ascii="宋体" w:hAnsi="宋体" w:cs="宋体"/>
                <w:szCs w:val="21"/>
              </w:rPr>
            </w:pPr>
            <w:r>
              <w:rPr>
                <w:rStyle w:val="1240"/>
                <w:rFonts w:ascii="宋体" w:hAnsi="宋体" w:eastAsia="宋体" w:cs="宋体"/>
                <w:szCs w:val="21"/>
              </w:rPr>
              <w:t xml:space="preserve">3</w:t>
            </w:r>
            <w:r>
              <w:rPr>
                <w:rStyle w:val="1240"/>
                <w:rFonts w:ascii="宋体" w:hAnsi="宋体" w:cs="宋体"/>
                <w:szCs w:val="21"/>
              </w:rPr>
            </w:r>
            <w:r/>
          </w:p>
        </w:tc>
        <w:tc>
          <w:tcPr>
            <w:tcW w:w="1687" w:type="dxa"/>
            <w:vAlign w:val="center"/>
            <w:textDirection w:val="lrTb"/>
            <w:noWrap w:val="false"/>
          </w:tcPr>
          <w:p>
            <w:pPr>
              <w:pStyle w:val="1134"/>
              <w:jc w:val="center"/>
              <w:rPr>
                <w:rStyle w:val="1240"/>
                <w:rFonts w:hint="eastAsia" w:ascii="宋体" w:hAnsi="宋体" w:eastAsia="宋体" w:cs="宋体"/>
                <w:color w:val="000000"/>
                <w:sz w:val="21"/>
                <w:szCs w:val="21"/>
                <w:lang w:val="en-US" w:eastAsia="zh-CN"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2</w:t>
            </w:r>
            <w:r>
              <w:rPr>
                <w:rStyle w:val="1240"/>
                <w:rFonts w:ascii="宋体" w:hAnsi="宋体" w:eastAsia="宋体" w:cs="宋体"/>
              </w:rPr>
              <w:t xml:space="preserve">4</w:t>
            </w:r>
            <w:r>
              <w:rPr>
                <w:rStyle w:val="1240"/>
                <w:rFonts w:hint="eastAsia" w:ascii="宋体" w:hAnsi="宋体" w:eastAsia="宋体" w:cs="宋体"/>
                <w:color w:val="000000"/>
                <w:sz w:val="21"/>
                <w:szCs w:val="21"/>
                <w:lang w:val="en-US" w:eastAsia="zh-CN" w:bidi="ar"/>
              </w:rPr>
            </w:r>
            <w:r/>
          </w:p>
        </w:tc>
        <w:tc>
          <w:tcPr>
            <w:tcW w:w="2113" w:type="dxa"/>
            <w:vAlign w:val="center"/>
            <w:textDirection w:val="lrTb"/>
            <w:noWrap w:val="false"/>
          </w:tcPr>
          <w:p>
            <w:pPr>
              <w:pStyle w:val="1134"/>
              <w:jc w:val="center"/>
              <w:rPr>
                <w:rStyle w:val="1240"/>
                <w:rFonts w:hint="eastAsia" w:ascii="宋体" w:hAnsi="宋体" w:cs="宋体"/>
                <w:sz w:val="21"/>
                <w:szCs w:val="21"/>
                <w:lang w:bidi="ar"/>
              </w:rPr>
            </w:pPr>
            <w:r>
              <w:rPr>
                <w:rStyle w:val="1240"/>
                <w:rFonts w:hint="eastAsia" w:ascii="宋体" w:hAnsi="宋体" w:cs="宋体"/>
                <w:szCs w:val="21"/>
                <w:lang w:bidi="ar"/>
              </w:rPr>
              <w:t xml:space="preserve">3428.8</w:t>
            </w:r>
            <w:r>
              <w:rPr>
                <w:rStyle w:val="1240"/>
                <w:rFonts w:hint="eastAsia" w:ascii="宋体" w:hAnsi="宋体" w:cs="宋体"/>
                <w:sz w:val="21"/>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hint="eastAsia" w:ascii="宋体" w:hAnsi="宋体" w:eastAsia="宋体" w:cs="宋体"/>
                <w:szCs w:val="21"/>
              </w:rPr>
              <w:t xml:space="preserve">1</w:t>
            </w:r>
            <w:r>
              <w:rPr>
                <w:rStyle w:val="1240"/>
                <w:rFonts w:ascii="宋体" w:hAnsi="宋体" w:eastAsia="宋体" w:cs="宋体"/>
                <w:szCs w:val="21"/>
              </w:rPr>
              <w:t xml:space="preserve">7</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38</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5133.67</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ascii="宋体" w:hAnsi="宋体" w:cs="宋体"/>
                <w:szCs w:val="21"/>
              </w:rPr>
            </w:pPr>
            <w:r>
              <w:rPr>
                <w:rStyle w:val="1240"/>
                <w:rFonts w:ascii="宋体" w:hAnsi="宋体" w:eastAsia="宋体" w:cs="宋体"/>
                <w:szCs w:val="21"/>
              </w:rPr>
              <w:t xml:space="preserve">4</w:t>
            </w:r>
            <w:r>
              <w:rPr>
                <w:rStyle w:val="1240"/>
                <w:rFonts w:ascii="宋体" w:hAnsi="宋体" w:cs="宋体"/>
                <w:szCs w:val="21"/>
              </w:rPr>
            </w:r>
            <w:r/>
          </w:p>
        </w:tc>
        <w:tc>
          <w:tcPr>
            <w:tcW w:w="1687" w:type="dxa"/>
            <w:vAlign w:val="center"/>
            <w:textDirection w:val="lrTb"/>
            <w:noWrap w:val="false"/>
          </w:tcPr>
          <w:p>
            <w:pPr>
              <w:pStyle w:val="1134"/>
              <w:jc w:val="center"/>
              <w:rPr>
                <w:rStyle w:val="1240"/>
                <w:rFonts w:hint="eastAsia" w:ascii="宋体" w:hAnsi="宋体" w:eastAsia="宋体" w:cs="宋体"/>
                <w:color w:val="000000"/>
                <w:sz w:val="21"/>
                <w:szCs w:val="21"/>
                <w:lang w:val="en-US" w:eastAsia="zh-CN"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2</w:t>
            </w:r>
            <w:r>
              <w:rPr>
                <w:rStyle w:val="1240"/>
                <w:rFonts w:ascii="宋体" w:hAnsi="宋体" w:eastAsia="宋体" w:cs="宋体"/>
              </w:rPr>
              <w:t xml:space="preserve">5</w:t>
            </w:r>
            <w:r>
              <w:rPr>
                <w:rStyle w:val="1240"/>
                <w:rFonts w:hint="eastAsia" w:ascii="宋体" w:hAnsi="宋体" w:eastAsia="宋体" w:cs="宋体"/>
                <w:color w:val="000000"/>
                <w:sz w:val="21"/>
                <w:szCs w:val="21"/>
                <w:lang w:val="en-US" w:eastAsia="zh-CN" w:bidi="ar"/>
              </w:rPr>
            </w:r>
            <w:r/>
          </w:p>
        </w:tc>
        <w:tc>
          <w:tcPr>
            <w:tcW w:w="2113" w:type="dxa"/>
            <w:vAlign w:val="center"/>
            <w:textDirection w:val="lrTb"/>
            <w:noWrap w:val="false"/>
          </w:tcPr>
          <w:p>
            <w:pPr>
              <w:pStyle w:val="1134"/>
              <w:jc w:val="center"/>
              <w:rPr>
                <w:rStyle w:val="1240"/>
                <w:rFonts w:hint="eastAsia" w:ascii="宋体" w:hAnsi="宋体" w:cs="宋体"/>
                <w:sz w:val="21"/>
                <w:szCs w:val="21"/>
                <w:lang w:bidi="ar"/>
              </w:rPr>
            </w:pPr>
            <w:r>
              <w:rPr>
                <w:rStyle w:val="1240"/>
                <w:rFonts w:hint="eastAsia" w:ascii="宋体" w:hAnsi="宋体" w:cs="宋体"/>
                <w:szCs w:val="21"/>
                <w:lang w:bidi="ar"/>
              </w:rPr>
              <w:t xml:space="preserve">3858.8</w:t>
            </w:r>
            <w:r>
              <w:rPr>
                <w:rStyle w:val="1240"/>
                <w:rFonts w:hint="eastAsia" w:ascii="宋体" w:hAnsi="宋体" w:cs="宋体"/>
                <w:sz w:val="21"/>
                <w:szCs w:val="21"/>
                <w:lang w:bidi="ar"/>
              </w:rPr>
            </w:r>
            <w:r/>
          </w:p>
        </w:tc>
        <w:tc>
          <w:tcPr>
            <w:tcW w:w="900" w:type="dxa"/>
            <w:vAlign w:val="center"/>
            <w:textDirection w:val="lrTb"/>
            <w:noWrap w:val="false"/>
          </w:tcPr>
          <w:p>
            <w:pPr>
              <w:pStyle w:val="1134"/>
              <w:jc w:val="center"/>
              <w:rPr>
                <w:rStyle w:val="1240"/>
                <w:rFonts w:ascii="宋体" w:hAnsi="宋体" w:cs="宋体"/>
                <w:lang w:bidi="ar"/>
              </w:rPr>
            </w:pPr>
            <w:r>
              <w:rPr>
                <w:rStyle w:val="1240"/>
                <w:rFonts w:hint="eastAsia" w:ascii="宋体" w:hAnsi="宋体" w:eastAsia="宋体" w:cs="宋体"/>
                <w:szCs w:val="21"/>
              </w:rPr>
              <w:t xml:space="preserve">1</w:t>
            </w:r>
            <w:r>
              <w:rPr>
                <w:rStyle w:val="1240"/>
                <w:rFonts w:ascii="宋体" w:hAnsi="宋体" w:eastAsia="宋体" w:cs="宋体"/>
                <w:szCs w:val="21"/>
              </w:rPr>
              <w:t xml:space="preserve">8</w:t>
            </w:r>
            <w:r>
              <w:rPr>
                <w:rStyle w:val="1240"/>
                <w:rFonts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39</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4421.33</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ascii="宋体" w:hAnsi="宋体" w:cs="宋体"/>
                <w:szCs w:val="21"/>
              </w:rPr>
            </w:pPr>
            <w:r>
              <w:rPr>
                <w:rStyle w:val="1240"/>
                <w:rFonts w:ascii="宋体" w:hAnsi="宋体" w:eastAsia="宋体" w:cs="宋体"/>
                <w:szCs w:val="21"/>
              </w:rPr>
              <w:t xml:space="preserve">5</w:t>
            </w:r>
            <w:r>
              <w:rPr>
                <w:rStyle w:val="1240"/>
                <w:rFonts w:ascii="宋体" w:hAnsi="宋体" w:cs="宋体"/>
                <w:szCs w:val="21"/>
              </w:rPr>
            </w:r>
            <w:r/>
          </w:p>
        </w:tc>
        <w:tc>
          <w:tcPr>
            <w:tcW w:w="1687" w:type="dxa"/>
            <w:vAlign w:val="center"/>
            <w:textDirection w:val="lrTb"/>
            <w:noWrap w:val="false"/>
          </w:tcPr>
          <w:p>
            <w:pPr>
              <w:pStyle w:val="1134"/>
              <w:jc w:val="center"/>
              <w:rPr>
                <w:rStyle w:val="1240"/>
                <w:rFonts w:hint="eastAsia" w:ascii="宋体" w:hAnsi="宋体" w:eastAsia="宋体" w:cs="宋体"/>
                <w:color w:val="000000"/>
                <w:sz w:val="21"/>
                <w:szCs w:val="21"/>
                <w:lang w:val="en-US" w:eastAsia="zh-CN"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2</w:t>
            </w:r>
            <w:r>
              <w:rPr>
                <w:rStyle w:val="1240"/>
                <w:rFonts w:ascii="宋体" w:hAnsi="宋体" w:eastAsia="宋体" w:cs="宋体"/>
              </w:rPr>
              <w:t xml:space="preserve">6</w:t>
            </w:r>
            <w:r>
              <w:rPr>
                <w:rStyle w:val="1240"/>
                <w:rFonts w:hint="eastAsia" w:ascii="宋体" w:hAnsi="宋体" w:eastAsia="宋体" w:cs="宋体"/>
                <w:color w:val="000000"/>
                <w:sz w:val="21"/>
                <w:szCs w:val="21"/>
                <w:lang w:val="en-US" w:eastAsia="zh-CN" w:bidi="ar"/>
              </w:rPr>
            </w:r>
            <w:r/>
          </w:p>
        </w:tc>
        <w:tc>
          <w:tcPr>
            <w:tcW w:w="2113" w:type="dxa"/>
            <w:vAlign w:val="center"/>
            <w:textDirection w:val="lrTb"/>
            <w:noWrap w:val="false"/>
          </w:tcPr>
          <w:p>
            <w:pPr>
              <w:pStyle w:val="1134"/>
              <w:jc w:val="center"/>
              <w:rPr>
                <w:rStyle w:val="1240"/>
                <w:rFonts w:hint="eastAsia" w:ascii="宋体" w:hAnsi="宋体" w:cs="宋体"/>
                <w:szCs w:val="21"/>
              </w:rPr>
            </w:pPr>
            <w:r>
              <w:rPr>
                <w:rStyle w:val="1240"/>
                <w:rFonts w:ascii="宋体" w:hAnsi="宋体" w:eastAsia="宋体" w:cs="宋体"/>
                <w:szCs w:val="21"/>
              </w:rPr>
              <w:t xml:space="preserve">4689</w:t>
            </w:r>
            <w:r>
              <w:rPr>
                <w:rStyle w:val="1240"/>
                <w:rFonts w:hint="eastAsia" w:ascii="宋体" w:hAnsi="宋体" w:cs="宋体"/>
                <w:szCs w:val="21"/>
              </w:rPr>
            </w:r>
            <w:r/>
          </w:p>
        </w:tc>
        <w:tc>
          <w:tcPr>
            <w:tcW w:w="900" w:type="dxa"/>
            <w:vAlign w:val="center"/>
            <w:textDirection w:val="lrTb"/>
            <w:noWrap w:val="false"/>
          </w:tcPr>
          <w:p>
            <w:pPr>
              <w:pStyle w:val="1134"/>
              <w:jc w:val="center"/>
              <w:rPr>
                <w:rStyle w:val="1240"/>
                <w:rFonts w:ascii="宋体" w:hAnsi="宋体" w:cs="宋体"/>
                <w:lang w:bidi="ar"/>
              </w:rPr>
            </w:pPr>
            <w:r>
              <w:rPr>
                <w:rStyle w:val="1240"/>
                <w:rFonts w:hint="eastAsia" w:ascii="宋体" w:hAnsi="宋体" w:eastAsia="宋体" w:cs="宋体"/>
                <w:szCs w:val="21"/>
              </w:rPr>
              <w:t xml:space="preserve">1</w:t>
            </w:r>
            <w:r>
              <w:rPr>
                <w:rStyle w:val="1240"/>
                <w:rFonts w:ascii="宋体" w:hAnsi="宋体" w:eastAsia="宋体" w:cs="宋体"/>
                <w:szCs w:val="21"/>
              </w:rPr>
              <w:t xml:space="preserve">9</w:t>
            </w:r>
            <w:r>
              <w:rPr>
                <w:rStyle w:val="1240"/>
                <w:rFonts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40</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8896</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lang w:bidi="ar"/>
              </w:rPr>
              <w:t xml:space="preserve">6</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27</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3885.4</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ascii="宋体" w:hAnsi="宋体" w:cs="宋体"/>
                <w:lang w:bidi="ar"/>
              </w:rPr>
            </w:pPr>
            <w:r>
              <w:rPr>
                <w:rStyle w:val="1240"/>
                <w:rFonts w:ascii="宋体" w:hAnsi="宋体" w:eastAsia="宋体" w:cs="宋体"/>
                <w:szCs w:val="21"/>
              </w:rPr>
              <w:t xml:space="preserve">20</w:t>
            </w:r>
            <w:r>
              <w:rPr>
                <w:rStyle w:val="1240"/>
                <w:rFonts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41</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9878.94</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lang w:bidi="ar"/>
              </w:rPr>
              <w:t xml:space="preserve">7</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28</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5137.26</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lang w:bidi="ar"/>
              </w:rPr>
              <w:t xml:space="preserve">21</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cs="宋体"/>
                <w:lang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4</w:t>
            </w:r>
            <w:r>
              <w:rPr>
                <w:rStyle w:val="1240"/>
                <w:rFonts w:ascii="宋体" w:hAnsi="宋体" w:eastAsia="宋体" w:cs="宋体"/>
              </w:rPr>
              <w:t xml:space="preserve">2</w:t>
            </w:r>
            <w:r>
              <w:rPr>
                <w:rStyle w:val="1240"/>
                <w:rFonts w:hint="eastAsia" w:ascii="宋体" w:hAnsi="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ascii="宋体" w:hAnsi="宋体" w:eastAsia="宋体" w:cs="宋体"/>
                <w:lang w:bidi="ar"/>
              </w:rPr>
              <w:t xml:space="preserve">9920.35</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lang w:bidi="ar"/>
              </w:rPr>
              <w:t xml:space="preserve">8</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29</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3500</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lang w:bidi="ar"/>
              </w:rPr>
              <w:t xml:space="preserve">22</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ascii="宋体" w:hAnsi="宋体" w:cs="宋体"/>
                <w:lang w:bidi="ar"/>
              </w:rPr>
            </w:pPr>
            <w:r>
              <w:rPr>
                <w:rStyle w:val="1240"/>
                <w:rFonts w:hint="eastAsia" w:ascii="宋体" w:hAnsi="宋体" w:eastAsia="宋体" w:cs="宋体"/>
                <w:color w:val="000000"/>
                <w:sz w:val="21"/>
                <w:szCs w:val="21"/>
                <w:lang w:bidi="ar"/>
              </w:rPr>
              <w:t xml:space="preserve">沁园</w:t>
            </w:r>
            <w:r>
              <w:rPr>
                <w:rStyle w:val="1240"/>
                <w:rFonts w:hint="eastAsia" w:ascii="宋体" w:hAnsi="宋体" w:eastAsia="宋体" w:cs="宋体"/>
              </w:rPr>
              <w:t xml:space="preserve">4</w:t>
            </w:r>
            <w:r>
              <w:rPr>
                <w:rStyle w:val="1240"/>
                <w:rFonts w:ascii="宋体" w:hAnsi="宋体" w:eastAsia="宋体" w:cs="宋体"/>
              </w:rPr>
              <w:t xml:space="preserve">3</w:t>
            </w:r>
            <w:r>
              <w:rPr>
                <w:rStyle w:val="1240"/>
                <w:rFonts w:ascii="宋体" w:hAnsi="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ascii="宋体" w:hAnsi="宋体" w:eastAsia="宋体" w:cs="宋体"/>
                <w:lang w:bidi="ar"/>
              </w:rPr>
              <w:t xml:space="preserve">9920.35</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lang w:bidi="ar"/>
              </w:rPr>
              <w:t xml:space="preserve">9</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30</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8186</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szCs w:val="21"/>
              </w:rPr>
              <w:t xml:space="preserve">23</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新</w:t>
            </w:r>
            <w:r>
              <w:rPr>
                <w:rStyle w:val="1240"/>
                <w:rFonts w:hint="eastAsia" w:ascii="宋体" w:hAnsi="宋体" w:eastAsia="宋体" w:cs="宋体"/>
              </w:rPr>
              <w:t xml:space="preserve">07</w:t>
            </w:r>
            <w:r>
              <w:rPr>
                <w:rStyle w:val="1240"/>
                <w:rFonts w:hint="eastAsia" w:ascii="宋体" w:hAnsi="宋体" w:eastAsia="宋体" w:cs="宋体"/>
                <w:sz w:val="21"/>
                <w:szCs w:val="21"/>
                <w:lang w:bidi="ar"/>
              </w:rPr>
              <w:t xml:space="preserve">栋</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2097</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lang w:bidi="ar"/>
              </w:rPr>
              <w:t xml:space="preserve">10</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31</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7288.96</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eastAsia="宋体" w:cs="宋体"/>
                <w:lang w:bidi="ar"/>
              </w:rPr>
            </w:pPr>
            <w:r>
              <w:rPr>
                <w:rStyle w:val="1240"/>
                <w:rFonts w:ascii="宋体" w:hAnsi="宋体" w:eastAsia="宋体" w:cs="宋体"/>
                <w:szCs w:val="21"/>
                <w:lang w:bidi="ar"/>
              </w:rPr>
              <w:t xml:space="preserve">24</w:t>
            </w:r>
            <w:r>
              <w:rPr>
                <w:rStyle w:val="1240"/>
                <w:rFonts w:hint="eastAsia" w:ascii="宋体" w:hAnsi="宋体" w:eastAsia="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新</w:t>
            </w:r>
            <w:r>
              <w:rPr>
                <w:rStyle w:val="1240"/>
                <w:rFonts w:hint="eastAsia" w:ascii="宋体" w:hAnsi="宋体" w:eastAsia="宋体" w:cs="宋体"/>
              </w:rPr>
              <w:t xml:space="preserve">08</w:t>
            </w:r>
            <w:r>
              <w:rPr>
                <w:rStyle w:val="1240"/>
                <w:rFonts w:hint="eastAsia" w:ascii="宋体" w:hAnsi="宋体" w:eastAsia="宋体" w:cs="宋体"/>
                <w:sz w:val="21"/>
                <w:szCs w:val="21"/>
                <w:lang w:bidi="ar"/>
              </w:rPr>
              <w:t xml:space="preserve">栋</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1556.95</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lang w:bidi="ar"/>
              </w:rPr>
              <w:t xml:space="preserve">11</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32</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6295.08</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szCs w:val="21"/>
              </w:rPr>
              <w:t xml:space="preserve">25</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人才公寓</w:t>
            </w:r>
            <w:r>
              <w:rPr>
                <w:rStyle w:val="1240"/>
                <w:rFonts w:hint="eastAsia" w:ascii="宋体" w:hAnsi="宋体" w:eastAsia="宋体" w:cs="宋体"/>
              </w:rPr>
              <w:t xml:space="preserve">03</w:t>
            </w:r>
            <w:r>
              <w:rPr>
                <w:rStyle w:val="1240"/>
                <w:rFonts w:hint="eastAsia" w:ascii="宋体" w:hAnsi="宋体" w:eastAsia="宋体" w:cs="宋体"/>
                <w:sz w:val="21"/>
                <w:szCs w:val="21"/>
                <w:lang w:bidi="ar"/>
              </w:rPr>
              <w:t xml:space="preserve">栋</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12215.19</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lang w:bidi="ar"/>
              </w:rPr>
              <w:t xml:space="preserve">12</w:t>
            </w:r>
            <w:r>
              <w:rPr>
                <w:rStyle w:val="1240"/>
                <w:rFonts w:hint="eastAsia" w:ascii="宋体" w:hAnsi="宋体" w:eastAsia="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33</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7288.96</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szCs w:val="21"/>
              </w:rPr>
              <w:t xml:space="preserve">26</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新</w:t>
            </w:r>
            <w:r>
              <w:rPr>
                <w:rStyle w:val="1240"/>
                <w:rFonts w:hint="eastAsia" w:ascii="宋体" w:hAnsi="宋体" w:eastAsia="宋体" w:cs="宋体"/>
              </w:rPr>
              <w:t xml:space="preserve">06</w:t>
            </w:r>
            <w:r>
              <w:rPr>
                <w:rStyle w:val="1240"/>
                <w:rFonts w:hint="eastAsia" w:ascii="宋体" w:hAnsi="宋体" w:eastAsia="宋体" w:cs="宋体"/>
                <w:sz w:val="21"/>
                <w:szCs w:val="21"/>
                <w:lang w:bidi="ar"/>
              </w:rPr>
              <w:t xml:space="preserve">栋</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1623.2</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cs="宋体"/>
                <w:szCs w:val="21"/>
                <w:lang w:bidi="ar"/>
              </w:rPr>
            </w:pPr>
            <w:r>
              <w:rPr>
                <w:rStyle w:val="1240"/>
                <w:rFonts w:ascii="宋体" w:hAnsi="宋体" w:eastAsia="宋体" w:cs="宋体"/>
                <w:szCs w:val="21"/>
              </w:rPr>
              <w:t xml:space="preserve">13</w:t>
            </w:r>
            <w:r>
              <w:rPr>
                <w:rStyle w:val="1240"/>
                <w:rFonts w:hint="eastAsia" w:ascii="宋体" w:hAnsi="宋体" w:cs="宋体"/>
                <w:szCs w:val="21"/>
                <w:lang w:bidi="ar"/>
              </w:rPr>
            </w:r>
            <w:r/>
          </w:p>
        </w:tc>
        <w:tc>
          <w:tcPr>
            <w:tcW w:w="1687"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34</w:t>
            </w:r>
            <w:r>
              <w:rPr>
                <w:rStyle w:val="1240"/>
                <w:rFonts w:hint="eastAsia" w:ascii="宋体" w:hAnsi="宋体" w:eastAsia="宋体" w:cs="宋体"/>
                <w:szCs w:val="21"/>
                <w:lang w:bidi="ar"/>
              </w:rPr>
            </w:r>
            <w:r/>
          </w:p>
        </w:tc>
        <w:tc>
          <w:tcPr>
            <w:tcW w:w="211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rPr>
              <w:t xml:space="preserve">5987</w:t>
            </w:r>
            <w:r>
              <w:rPr>
                <w:rStyle w:val="1240"/>
                <w:rFonts w:hint="eastAsia" w:ascii="宋体" w:hAnsi="宋体" w:eastAsia="宋体" w:cs="宋体"/>
                <w:szCs w:val="21"/>
                <w:lang w:bidi="ar"/>
              </w:rPr>
            </w:r>
            <w:r/>
          </w:p>
        </w:tc>
        <w:tc>
          <w:tcPr>
            <w:tcW w:w="900"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szCs w:val="21"/>
              </w:rPr>
              <w:t xml:space="preserve">27</w:t>
            </w:r>
            <w:r>
              <w:rPr>
                <w:rStyle w:val="1240"/>
                <w:rFonts w:hint="eastAsia" w:ascii="宋体" w:hAnsi="宋体" w:cs="宋体"/>
                <w:lang w:bidi="ar"/>
              </w:rPr>
            </w:r>
            <w:r/>
          </w:p>
        </w:tc>
        <w:tc>
          <w:tcPr>
            <w:tcW w:w="1912"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老</w:t>
            </w:r>
            <w:r>
              <w:rPr>
                <w:rStyle w:val="1240"/>
                <w:rFonts w:hint="eastAsia" w:ascii="宋体" w:hAnsi="宋体" w:eastAsia="宋体" w:cs="宋体"/>
              </w:rPr>
              <w:t xml:space="preserve">8</w:t>
            </w:r>
            <w:r>
              <w:rPr>
                <w:rStyle w:val="1240"/>
                <w:rFonts w:hint="eastAsia" w:ascii="宋体" w:hAnsi="宋体" w:eastAsia="宋体" w:cs="宋体"/>
                <w:sz w:val="21"/>
                <w:szCs w:val="21"/>
                <w:lang w:bidi="ar"/>
              </w:rPr>
              <w:t xml:space="preserve">栋</w:t>
            </w:r>
            <w:r>
              <w:rPr>
                <w:rStyle w:val="1240"/>
                <w:rFonts w:hint="eastAsia" w:ascii="宋体" w:hAnsi="宋体" w:eastAsia="宋体" w:cs="宋体"/>
                <w:lang w:bidi="ar"/>
              </w:rPr>
            </w:r>
            <w:r/>
          </w:p>
        </w:tc>
        <w:tc>
          <w:tcPr>
            <w:tcW w:w="2230" w:type="dxa"/>
            <w:vAlign w:val="center"/>
            <w:textDirection w:val="lrTb"/>
            <w:noWrap w:val="false"/>
          </w:tcPr>
          <w:p>
            <w:pPr>
              <w:pStyle w:val="1134"/>
              <w:jc w:val="center"/>
              <w:rPr>
                <w:rStyle w:val="1240"/>
                <w:rFonts w:hint="eastAsia" w:ascii="宋体" w:hAnsi="宋体" w:eastAsia="宋体" w:cs="宋体"/>
                <w:lang w:bidi="ar"/>
              </w:rPr>
            </w:pPr>
            <w:r>
              <w:rPr>
                <w:rStyle w:val="1240"/>
                <w:rFonts w:ascii="宋体" w:hAnsi="宋体" w:eastAsia="宋体" w:cs="宋体"/>
                <w:szCs w:val="21"/>
              </w:rPr>
              <w:t xml:space="preserve">1400</w:t>
            </w:r>
            <w:r>
              <w:rPr>
                <w:rStyle w:val="1240"/>
                <w:rFonts w:hint="eastAsia" w:ascii="宋体" w:hAnsi="宋体" w:eastAsia="宋体" w:cs="宋体"/>
                <w:lang w:bidi="ar"/>
              </w:rPr>
            </w:r>
            <w:r/>
          </w:p>
        </w:tc>
      </w:tr>
      <w:tr>
        <w:trPr>
          <w:trHeight w:val="420"/>
        </w:trPr>
        <w:tc>
          <w:tcPr>
            <w:tcW w:w="656" w:type="dxa"/>
            <w:vAlign w:val="center"/>
            <w:textDirection w:val="lrTb"/>
            <w:noWrap w:val="false"/>
          </w:tcPr>
          <w:p>
            <w:pPr>
              <w:pStyle w:val="1134"/>
              <w:jc w:val="center"/>
              <w:rPr>
                <w:rStyle w:val="1240"/>
                <w:rFonts w:hint="eastAsia" w:ascii="宋体" w:hAnsi="宋体" w:cs="宋体"/>
                <w:lang w:bidi="ar"/>
              </w:rPr>
            </w:pPr>
            <w:r>
              <w:rPr>
                <w:rStyle w:val="1240"/>
                <w:rFonts w:ascii="宋体" w:hAnsi="宋体" w:eastAsia="宋体" w:cs="宋体"/>
                <w:szCs w:val="21"/>
              </w:rPr>
              <w:t xml:space="preserve">14</w:t>
            </w:r>
            <w:r>
              <w:rPr>
                <w:rStyle w:val="1240"/>
                <w:rFonts w:hint="eastAsia" w:ascii="宋体" w:hAnsi="宋体" w:cs="宋体"/>
                <w:lang w:bidi="ar"/>
              </w:rPr>
            </w:r>
            <w:r/>
          </w:p>
        </w:tc>
        <w:tc>
          <w:tcPr>
            <w:tcW w:w="1687"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 w:val="21"/>
                <w:szCs w:val="21"/>
                <w:lang w:bidi="ar"/>
              </w:rPr>
              <w:t xml:space="preserve">沁园</w:t>
            </w:r>
            <w:r>
              <w:rPr>
                <w:rStyle w:val="1240"/>
                <w:rFonts w:hint="eastAsia" w:ascii="宋体" w:hAnsi="宋体" w:eastAsia="宋体" w:cs="宋体"/>
              </w:rPr>
              <w:t xml:space="preserve">35</w:t>
            </w:r>
            <w:r>
              <w:rPr>
                <w:rStyle w:val="1240"/>
                <w:rFonts w:hint="eastAsia" w:ascii="宋体" w:hAnsi="宋体" w:eastAsia="宋体" w:cs="宋体"/>
                <w:lang w:bidi="ar"/>
              </w:rPr>
            </w:r>
            <w:r/>
          </w:p>
        </w:tc>
        <w:tc>
          <w:tcPr>
            <w:tcW w:w="2113" w:type="dxa"/>
            <w:vAlign w:val="center"/>
            <w:textDirection w:val="lrTb"/>
            <w:noWrap w:val="false"/>
          </w:tcPr>
          <w:p>
            <w:pPr>
              <w:pStyle w:val="1134"/>
              <w:jc w:val="center"/>
              <w:rPr>
                <w:rStyle w:val="1240"/>
                <w:rFonts w:hint="eastAsia" w:ascii="宋体" w:hAnsi="宋体" w:eastAsia="宋体" w:cs="宋体"/>
                <w:lang w:bidi="ar"/>
              </w:rPr>
            </w:pPr>
            <w:r>
              <w:rPr>
                <w:rStyle w:val="1240"/>
                <w:rFonts w:hint="eastAsia" w:ascii="宋体" w:hAnsi="宋体" w:eastAsia="宋体" w:cs="宋体"/>
                <w:szCs w:val="21"/>
              </w:rPr>
              <w:t xml:space="preserve">6248</w:t>
            </w:r>
            <w:r>
              <w:rPr>
                <w:rStyle w:val="1240"/>
                <w:rFonts w:hint="eastAsia" w:ascii="宋体" w:hAnsi="宋体" w:eastAsia="宋体" w:cs="宋体"/>
                <w:lang w:bidi="ar"/>
              </w:rPr>
            </w:r>
            <w:r/>
          </w:p>
        </w:tc>
        <w:tc>
          <w:tcPr>
            <w:tcW w:w="900"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lang w:bidi="ar"/>
              </w:rPr>
            </w:r>
            <w:r/>
          </w:p>
        </w:tc>
        <w:tc>
          <w:tcPr>
            <w:tcW w:w="1912"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lang w:bidi="ar"/>
              </w:rPr>
            </w:r>
            <w:r/>
          </w:p>
        </w:tc>
        <w:tc>
          <w:tcPr>
            <w:tcW w:w="2230"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Cs w:val="21"/>
                <w:lang w:bidi="ar"/>
              </w:rPr>
            </w:r>
            <w:r/>
          </w:p>
        </w:tc>
      </w:tr>
      <w:tr>
        <w:trPr>
          <w:trHeight w:val="420"/>
        </w:trPr>
        <w:tc>
          <w:tcPr>
            <w:gridSpan w:val="2"/>
            <w:tcW w:w="2343"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hint="eastAsia" w:ascii="宋体" w:hAnsi="宋体" w:eastAsia="宋体" w:cs="宋体"/>
                <w:sz w:val="21"/>
                <w:szCs w:val="21"/>
                <w:lang w:bidi="ar"/>
              </w:rPr>
              <w:t xml:space="preserve">合计（㎡）</w:t>
            </w:r>
            <w:r>
              <w:rPr>
                <w:rStyle w:val="1240"/>
                <w:rFonts w:hint="eastAsia" w:ascii="宋体" w:hAnsi="宋体" w:eastAsia="宋体" w:cs="宋体"/>
                <w:szCs w:val="21"/>
                <w:lang w:bidi="ar"/>
              </w:rPr>
            </w:r>
            <w:r/>
          </w:p>
        </w:tc>
        <w:tc>
          <w:tcPr>
            <w:gridSpan w:val="4"/>
            <w:tcW w:w="7155" w:type="dxa"/>
            <w:vAlign w:val="center"/>
            <w:textDirection w:val="lrTb"/>
            <w:noWrap w:val="false"/>
          </w:tcPr>
          <w:p>
            <w:pPr>
              <w:pStyle w:val="1134"/>
              <w:jc w:val="center"/>
              <w:rPr>
                <w:rStyle w:val="1240"/>
                <w:rFonts w:hint="eastAsia" w:ascii="宋体" w:hAnsi="宋体" w:eastAsia="宋体" w:cs="宋体"/>
                <w:szCs w:val="21"/>
                <w:lang w:bidi="ar"/>
              </w:rPr>
            </w:pPr>
            <w:r>
              <w:rPr>
                <w:rStyle w:val="1240"/>
                <w:rFonts w:ascii="宋体" w:hAnsi="宋体" w:eastAsia="宋体" w:cs="宋体"/>
                <w:szCs w:val="21"/>
              </w:rPr>
              <w:t xml:space="preserve">154034.94</w:t>
            </w:r>
            <w:r>
              <w:rPr>
                <w:rStyle w:val="1240"/>
                <w:rFonts w:hint="eastAsia" w:ascii="宋体" w:hAnsi="宋体" w:eastAsia="宋体" w:cs="宋体"/>
                <w:szCs w:val="21"/>
                <w:lang w:bidi="ar"/>
              </w:rPr>
            </w:r>
            <w:r/>
          </w:p>
        </w:tc>
      </w:tr>
    </w:tbl>
    <w:p>
      <w:pPr>
        <w:pStyle w:val="1134"/>
        <w:ind w:firstLine="482"/>
        <w:spacing w:line="36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3.2</w:t>
      </w:r>
      <w:r>
        <w:rPr>
          <w:rFonts w:hint="eastAsia" w:ascii="宋体" w:hAnsi="宋体" w:eastAsia="宋体" w:cs="宋体"/>
          <w:b/>
          <w:sz w:val="24"/>
          <w:szCs w:val="24"/>
        </w:rPr>
        <w:t xml:space="preserve">往年</w:t>
      </w:r>
      <w:r>
        <w:rPr>
          <w:rFonts w:hint="eastAsia" w:ascii="宋体" w:hAnsi="宋体" w:eastAsia="宋体" w:cs="宋体"/>
          <w:b/>
          <w:bCs/>
          <w:sz w:val="24"/>
          <w:szCs w:val="24"/>
        </w:rPr>
        <w:t xml:space="preserve">中苑</w:t>
      </w:r>
      <w:r>
        <w:rPr>
          <w:rFonts w:hint="eastAsia" w:ascii="宋体" w:hAnsi="宋体" w:eastAsia="宋体" w:cs="宋体"/>
          <w:b/>
          <w:sz w:val="24"/>
          <w:szCs w:val="24"/>
        </w:rPr>
        <w:t xml:space="preserve">学生宿舍报修量化表</w:t>
      </w:r>
      <w:r>
        <w:rPr>
          <w:rFonts w:hint="eastAsia" w:ascii="宋体" w:hAnsi="宋体" w:eastAsia="宋体" w:cs="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88"/>
        <w:gridCol w:w="3826"/>
      </w:tblGrid>
      <w:tr>
        <w:trPr/>
        <w:tc>
          <w:tcPr>
            <w:tcW w:w="3788" w:type="dxa"/>
            <w:vAlign w:val="center"/>
            <w:textDirection w:val="lrTb"/>
            <w:noWrap w:val="false"/>
          </w:tcPr>
          <w:p>
            <w:pPr>
              <w:pStyle w:val="1134"/>
              <w:jc w:val="center"/>
              <w:spacing w:line="24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时间</w:t>
            </w:r>
            <w:r>
              <w:rPr>
                <w:rFonts w:hint="eastAsia" w:ascii="宋体" w:hAnsi="宋体" w:eastAsia="宋体" w:cs="宋体"/>
                <w:sz w:val="24"/>
                <w:szCs w:val="24"/>
                <w:lang w:bidi="zh-CN"/>
              </w:rPr>
            </w:r>
            <w:r/>
          </w:p>
        </w:tc>
        <w:tc>
          <w:tcPr>
            <w:tcW w:w="3826" w:type="dxa"/>
            <w:vAlign w:val="center"/>
            <w:textDirection w:val="lrTb"/>
            <w:noWrap w:val="false"/>
          </w:tcPr>
          <w:p>
            <w:pPr>
              <w:pStyle w:val="1134"/>
              <w:jc w:val="center"/>
              <w:spacing w:line="24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报修量（单）</w:t>
            </w:r>
            <w:r>
              <w:rPr>
                <w:rFonts w:hint="eastAsia" w:ascii="宋体" w:hAnsi="宋体" w:eastAsia="宋体" w:cs="宋体"/>
                <w:sz w:val="24"/>
                <w:szCs w:val="24"/>
                <w:lang w:bidi="zh-CN"/>
              </w:rPr>
            </w:r>
            <w:r/>
          </w:p>
        </w:tc>
      </w:tr>
      <w:tr>
        <w:trPr/>
        <w:tc>
          <w:tcPr>
            <w:tcW w:w="3788" w:type="dxa"/>
            <w:vAlign w:val="center"/>
            <w:textDirection w:val="lrTb"/>
            <w:noWrap w:val="false"/>
          </w:tcPr>
          <w:p>
            <w:pPr>
              <w:pStyle w:val="1134"/>
              <w:jc w:val="center"/>
              <w:spacing w:line="24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2023.9-2024.6</w:t>
            </w:r>
            <w:r>
              <w:rPr>
                <w:rFonts w:hint="eastAsia" w:ascii="宋体" w:hAnsi="宋体" w:eastAsia="宋体" w:cs="宋体"/>
                <w:sz w:val="24"/>
                <w:szCs w:val="24"/>
                <w:lang w:bidi="zh-CN"/>
              </w:rPr>
            </w:r>
            <w:r/>
          </w:p>
        </w:tc>
        <w:tc>
          <w:tcPr>
            <w:tcW w:w="3826" w:type="dxa"/>
            <w:vAlign w:val="top"/>
            <w:textDirection w:val="lrTb"/>
            <w:noWrap w:val="false"/>
          </w:tcPr>
          <w:p>
            <w:pPr>
              <w:pStyle w:val="1134"/>
              <w:jc w:val="center"/>
              <w:spacing w:line="24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12080</w:t>
            </w:r>
            <w:r>
              <w:rPr>
                <w:rFonts w:hint="eastAsia" w:ascii="宋体" w:hAnsi="宋体" w:eastAsia="宋体" w:cs="宋体"/>
                <w:sz w:val="24"/>
                <w:szCs w:val="24"/>
                <w:lang w:bidi="zh-CN"/>
              </w:rPr>
            </w:r>
            <w:r/>
          </w:p>
        </w:tc>
      </w:tr>
      <w:tr>
        <w:trPr/>
        <w:tc>
          <w:tcPr>
            <w:tcW w:w="3788" w:type="dxa"/>
            <w:vAlign w:val="center"/>
            <w:textDirection w:val="lrTb"/>
            <w:noWrap w:val="false"/>
          </w:tcPr>
          <w:p>
            <w:pPr>
              <w:pStyle w:val="1134"/>
              <w:jc w:val="center"/>
              <w:spacing w:line="24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2024.9-2025.6</w:t>
            </w:r>
            <w:r>
              <w:rPr>
                <w:rFonts w:hint="eastAsia" w:ascii="宋体" w:hAnsi="宋体" w:eastAsia="宋体" w:cs="宋体"/>
                <w:sz w:val="24"/>
                <w:szCs w:val="24"/>
                <w:lang w:bidi="zh-CN"/>
              </w:rPr>
            </w:r>
            <w:r/>
          </w:p>
        </w:tc>
        <w:tc>
          <w:tcPr>
            <w:tcW w:w="3826" w:type="dxa"/>
            <w:vAlign w:val="top"/>
            <w:textDirection w:val="lrTb"/>
            <w:noWrap w:val="false"/>
          </w:tcPr>
          <w:p>
            <w:pPr>
              <w:pStyle w:val="1134"/>
              <w:jc w:val="center"/>
              <w:spacing w:line="24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11208</w:t>
            </w:r>
            <w:r>
              <w:rPr>
                <w:rFonts w:hint="eastAsia" w:ascii="宋体" w:hAnsi="宋体" w:eastAsia="宋体" w:cs="宋体"/>
                <w:sz w:val="24"/>
                <w:szCs w:val="24"/>
                <w:lang w:bidi="zh-CN"/>
              </w:rPr>
            </w:r>
            <w:r/>
          </w:p>
        </w:tc>
      </w:tr>
      <w:tr>
        <w:trPr/>
        <w:tc>
          <w:tcPr>
            <w:tcW w:w="3788" w:type="dxa"/>
            <w:vAlign w:val="center"/>
            <w:textDirection w:val="lrTb"/>
            <w:noWrap w:val="false"/>
          </w:tcPr>
          <w:p>
            <w:pPr>
              <w:pStyle w:val="1134"/>
              <w:jc w:val="center"/>
              <w:spacing w:line="240" w:lineRule="auto"/>
              <w:rPr>
                <w:rFonts w:ascii="宋体" w:hAnsi="宋体" w:eastAsia="宋体" w:cs="宋体"/>
                <w:sz w:val="24"/>
                <w:szCs w:val="24"/>
                <w:lang w:val="en-US" w:bidi="zh-CN"/>
              </w:rPr>
            </w:pPr>
            <w:r>
              <w:rPr>
                <w:rFonts w:hint="eastAsia" w:ascii="宋体" w:hAnsi="宋体" w:eastAsia="宋体" w:cs="宋体"/>
                <w:sz w:val="24"/>
                <w:szCs w:val="24"/>
                <w:lang w:val="en-US" w:bidi="zh-CN"/>
              </w:rPr>
              <w:t xml:space="preserve">2025.9-2026.6</w:t>
            </w:r>
            <w:r>
              <w:rPr>
                <w:rFonts w:ascii="宋体" w:hAnsi="宋体" w:eastAsia="宋体" w:cs="宋体"/>
                <w:sz w:val="24"/>
                <w:szCs w:val="24"/>
                <w:lang w:val="en-US" w:bidi="zh-CN"/>
              </w:rPr>
            </w:r>
            <w:r/>
          </w:p>
        </w:tc>
        <w:tc>
          <w:tcPr>
            <w:tcW w:w="3826" w:type="dxa"/>
            <w:vAlign w:val="top"/>
            <w:textDirection w:val="lrTb"/>
            <w:noWrap w:val="false"/>
          </w:tcPr>
          <w:p>
            <w:pPr>
              <w:pStyle w:val="1134"/>
              <w:jc w:val="center"/>
              <w:spacing w:line="240" w:lineRule="auto"/>
              <w:rPr>
                <w:rFonts w:ascii="宋体" w:hAnsi="宋体" w:eastAsia="宋体" w:cs="宋体"/>
                <w:sz w:val="24"/>
                <w:szCs w:val="24"/>
                <w:lang w:val="en-US" w:bidi="zh-CN"/>
              </w:rPr>
            </w:pPr>
            <w:r>
              <w:rPr>
                <w:rFonts w:hint="eastAsia" w:ascii="宋体" w:hAnsi="宋体" w:eastAsia="宋体" w:cs="宋体"/>
                <w:sz w:val="24"/>
                <w:szCs w:val="24"/>
                <w:lang w:val="en-US" w:bidi="zh-CN"/>
              </w:rPr>
              <w:t xml:space="preserve">11913</w:t>
            </w:r>
            <w:r>
              <w:rPr>
                <w:rFonts w:ascii="宋体" w:hAnsi="宋体" w:eastAsia="宋体" w:cs="宋体"/>
                <w:sz w:val="24"/>
                <w:szCs w:val="24"/>
                <w:lang w:val="en-US" w:bidi="zh-CN"/>
              </w:rPr>
            </w:r>
            <w:r/>
          </w:p>
        </w:tc>
      </w:tr>
    </w:tbl>
    <w:p>
      <w:pPr>
        <w:pStyle w:val="1134"/>
        <w:ind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数据仅供参考，宿舍具体情况（如内部卫生间数、空调、暖通等），投标单位可自行查看现场。如接到的报修项目中涉及有由维保单位质保期内维保的（如空调维保、暖通维保、空气源热泵维保、家具维保等），需配合维保单位维保并监督维保单位完成修缮任务。</w:t>
      </w:r>
      <w:r>
        <w:rPr>
          <w:rFonts w:hint="eastAsia" w:ascii="宋体" w:hAnsi="宋体" w:eastAsia="宋体" w:cs="宋体"/>
          <w:bCs/>
          <w:sz w:val="24"/>
          <w:szCs w:val="24"/>
        </w:rPr>
      </w:r>
      <w:r/>
    </w:p>
    <w:p>
      <w:pPr>
        <w:pStyle w:val="1134"/>
        <w:ind w:firstLine="48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如采购人需新增提供维修服务的宿舍，可按面积单价计算增加的相应费用；如采购人需延长服务期限，可按面积单价</w:t>
      </w:r>
      <w:r>
        <w:rPr>
          <w:rFonts w:hint="eastAsia" w:ascii="宋体" w:hAnsi="宋体" w:eastAsia="宋体" w:cs="宋体"/>
          <w:bCs/>
          <w:color w:val="000000"/>
          <w:sz w:val="24"/>
          <w:szCs w:val="24"/>
          <w:lang w:val="en-US" w:eastAsia="zh-CN"/>
        </w:rPr>
        <w:t xml:space="preserve">具体到天</w:t>
      </w:r>
      <w:r>
        <w:rPr>
          <w:rFonts w:hint="eastAsia" w:ascii="宋体" w:hAnsi="宋体" w:eastAsia="宋体" w:cs="宋体"/>
          <w:bCs/>
          <w:color w:val="000000"/>
          <w:sz w:val="24"/>
          <w:szCs w:val="24"/>
        </w:rPr>
        <w:t xml:space="preserve">计算增加的相应费用，</w:t>
      </w:r>
      <w:r>
        <w:rPr>
          <w:rFonts w:hint="eastAsia" w:ascii="宋体" w:hAnsi="宋体" w:eastAsia="宋体" w:cs="宋体"/>
          <w:bCs/>
          <w:color w:val="000000"/>
          <w:sz w:val="24"/>
          <w:szCs w:val="24"/>
          <w:lang w:val="en-US" w:eastAsia="zh-CN"/>
        </w:rPr>
        <w:t xml:space="preserve">累计增加费用不超过合同总价的10%，</w:t>
      </w:r>
      <w:r>
        <w:rPr>
          <w:rFonts w:hint="eastAsia" w:ascii="宋体" w:hAnsi="宋体" w:eastAsia="宋体" w:cs="宋体"/>
          <w:bCs/>
          <w:color w:val="000000"/>
          <w:sz w:val="24"/>
          <w:szCs w:val="24"/>
        </w:rPr>
        <w:t xml:space="preserve">具体由双方协商并签订补充协议。</w:t>
      </w:r>
      <w:r>
        <w:rPr>
          <w:rFonts w:hint="eastAsia" w:ascii="宋体" w:hAnsi="宋体" w:eastAsia="宋体" w:cs="宋体"/>
          <w:bCs/>
          <w:color w:val="000000"/>
          <w:sz w:val="24"/>
          <w:szCs w:val="24"/>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3.3</w:t>
      </w:r>
      <w:r>
        <w:rPr>
          <w:rFonts w:hint="eastAsia" w:ascii="宋体" w:hAnsi="宋体" w:eastAsia="宋体" w:cs="宋体"/>
          <w:b/>
          <w:sz w:val="24"/>
          <w:szCs w:val="24"/>
        </w:rPr>
        <w:t xml:space="preserve">服务范围</w:t>
      </w:r>
      <w:r>
        <w:rPr>
          <w:rFonts w:hint="eastAsia" w:ascii="宋体" w:hAnsi="宋体" w:eastAsia="宋体" w:cs="宋体"/>
          <w:b/>
          <w:sz w:val="24"/>
          <w:szCs w:val="24"/>
        </w:rPr>
      </w:r>
      <w:r/>
    </w:p>
    <w:p>
      <w:pPr>
        <w:pStyle w:val="1134"/>
        <w:ind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学校所有学生宿舍内部（包括走廊、连廊、楼梯等）及宿舍建筑体为对象的所有室内外区域（包括楼宇散水坡至临近车行道路范围和宿舍庭院等）范围内各种设施设备、墙面、顶面、地面、楼内各种零配件的维护、检修、维修、疏通。必须有维修人员24小时在岗，中标人包工包料进行服务，确保服务及时，确保能正常使用，费用全部由中标人承担。具体服务范围如下：</w:t>
      </w:r>
      <w:r>
        <w:rPr>
          <w:rFonts w:hint="eastAsia" w:ascii="宋体" w:hAnsi="宋体" w:eastAsia="宋体" w:cs="宋体"/>
          <w:bCs/>
          <w:sz w:val="24"/>
          <w:szCs w:val="24"/>
        </w:rPr>
      </w:r>
      <w:r/>
    </w:p>
    <w:p>
      <w:pPr>
        <w:pStyle w:val="1134"/>
        <w:ind w:firstLine="48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1、学生宿舍楼宇内所有家具设施维修，包括柜、桌椅、床架、床板等（含衣柜门滑轨轮子、合页、隔板、衣架、抽屉滑道、锁等所有配件）；</w:t>
      </w:r>
      <w:r>
        <w:rPr>
          <w:rFonts w:hint="eastAsia" w:ascii="宋体" w:hAnsi="宋体" w:eastAsia="宋体" w:cs="宋体"/>
          <w:bCs/>
          <w:color w:val="000000"/>
          <w:sz w:val="24"/>
          <w:szCs w:val="24"/>
          <w:highlight w:val="none"/>
        </w:rPr>
      </w:r>
      <w:r/>
    </w:p>
    <w:p>
      <w:pPr>
        <w:pStyle w:val="1134"/>
        <w:ind w:firstLine="48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2、学生宿舍楼宇内所有门窗设施维修，包括门窗及玻璃、现有纱窗、窗帘等（含普通执手锁、智能门锁（含电池更换、主板更换、电子元器件更换及网络信息更新服务管理、硬件维修更换</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）、移门及窗户轨道、密封胶条、限位器等所有配件）；</w:t>
      </w:r>
      <w:r>
        <w:rPr>
          <w:rFonts w:hint="eastAsia" w:ascii="宋体" w:hAnsi="宋体" w:eastAsia="宋体" w:cs="宋体"/>
          <w:bCs/>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学生宿舍楼宇内所有卫生间、公共浴室、洗衣房及阳台设施维修，包括墙、顶面、地面、水管、冲水阀、马桶、小便斗、蹲坑、三角阀、水龙头、热水器软管及花洒(人才公寓3、新6、7、8栋)、台盆、晾衣架及卫生间、天花板及龙骨、配件等脱落修补、阳台渗漏水和下水道堵塞疏通等；</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学生宿舍楼宇内水电设施维修，包括电源控制箱、网线盒、照明、开关插座、厕所排风扇、水电线路等（含走廊、楼梯、公共浴室、公共卫生间、洗衣房等公共区域的照明灯和开关插座；宿舍内的照明灯和开关插座；楼宇内所有电源控制箱以及之间线路、箱内开关等配件；公共区域及宿舍内的水阀；楼宇内电路整理、维修及水管维修）；宿舍水电安全的日常巡查工作；</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5、学生宿舍楼宇散水坡至临近车行道路范围和宿舍合院、地下室设施设备维修（包括地下室门窗、照明、排水检查及排水泵维修，不含地下室墙面、顶面的粉刷出新）、井盖维修更换、公共区域地砖及</w:t>
      </w:r>
      <w:r>
        <w:rPr>
          <w:rFonts w:hint="eastAsia" w:ascii="宋体" w:hAnsi="宋体" w:eastAsia="宋体" w:cs="宋体"/>
          <w:color w:val="000000"/>
          <w:sz w:val="24"/>
          <w:szCs w:val="24"/>
          <w:highlight w:val="none"/>
          <w:lang w:eastAsia="zh-CN"/>
        </w:rPr>
        <w:t xml:space="preserve">踢脚线</w:t>
      </w:r>
      <w:r>
        <w:rPr>
          <w:rFonts w:hint="eastAsia" w:ascii="宋体" w:hAnsi="宋体" w:eastAsia="宋体" w:cs="宋体"/>
          <w:color w:val="000000"/>
          <w:sz w:val="24"/>
          <w:szCs w:val="24"/>
          <w:highlight w:val="none"/>
        </w:rPr>
        <w:t xml:space="preserve">松动、宿舍地砖松动、道路路牙及人行道道板砖维修更换、下水道疏通维修、楼道扶手及合院晾衣架维修、除锈、水阀维修等；</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6、宿舍楼宇内公共区域的漏水、渗水及由于各楼栋年久老化宿舍墙体内部水管渗漏水修复（宿舍屋面漏水造成的顶楼墙面渗漏水维修由采购人承担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因中标人未及时清理屋面落叶和其他杂物导致的屋面排水口堵塞等，或维护不当导致的积水渗漏等由中标人负责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w:t>
      </w:r>
      <w:bookmarkStart w:id="110" w:name="OLE_LINK2"/>
      <w:r>
        <w:rPr>
          <w:rFonts w:hint="eastAsia" w:ascii="宋体" w:hAnsi="宋体" w:eastAsia="宋体" w:cs="宋体"/>
          <w:color w:val="000000"/>
          <w:sz w:val="24"/>
          <w:szCs w:val="24"/>
          <w:highlight w:val="none"/>
        </w:rPr>
        <w:t xml:space="preserve">配合</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做好校内各项活动的临时接送水/电及施工、抢修等工作；配合</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做好校内各楼栋化粪池巡查工作</w:t>
      </w:r>
      <w:bookmarkEnd w:id="110"/>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合同期内学生宿舍有调换或毕业生宿舍腾空后，配合宿管进行学生宿舍调换工作，中标人须在采购人要求的时间内完成这些宿舍的设施设备检修（水、电、网线盒、照明、开关插座、门、窗、窗帘、桌椅、热水器、墙面等），完好率达100%；</w:t>
      </w:r>
      <w:r>
        <w:rPr>
          <w:rFonts w:hint="eastAsia" w:ascii="宋体" w:hAnsi="宋体" w:eastAsia="宋体" w:cs="宋体"/>
          <w:b/>
          <w:bCs/>
          <w:color w:val="000000"/>
          <w:sz w:val="24"/>
          <w:szCs w:val="24"/>
          <w:highlight w:val="none"/>
        </w:rPr>
        <w:t xml:space="preserve">（提供加盖公章的书面承诺函）</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9、宿舍屋面落叶每月进行清理，确保落水管完好、畅通，宿舍屋面瓦</w:t>
      </w:r>
      <w:r>
        <w:rPr>
          <w:rFonts w:hint="eastAsia" w:ascii="宋体" w:hAnsi="宋体" w:eastAsia="宋体" w:cs="宋体"/>
          <w:color w:val="000000"/>
          <w:sz w:val="24"/>
          <w:szCs w:val="24"/>
          <w:highlight w:val="none"/>
          <w:lang w:val="en-US" w:eastAsia="zh-CN"/>
        </w:rPr>
        <w:t xml:space="preserve">片</w:t>
      </w:r>
      <w:r>
        <w:rPr>
          <w:rFonts w:hint="eastAsia" w:ascii="宋体" w:hAnsi="宋体" w:eastAsia="宋体" w:cs="宋体"/>
          <w:color w:val="000000"/>
          <w:sz w:val="24"/>
          <w:szCs w:val="24"/>
          <w:highlight w:val="none"/>
        </w:rPr>
        <w:t xml:space="preserve">每年</w:t>
      </w:r>
      <w:r>
        <w:rPr>
          <w:rFonts w:hint="eastAsia" w:ascii="宋体" w:hAnsi="宋体" w:eastAsia="宋体" w:cs="宋体"/>
          <w:color w:val="000000"/>
          <w:sz w:val="24"/>
          <w:szCs w:val="24"/>
          <w:highlight w:val="none"/>
          <w:lang w:val="en-US" w:eastAsia="zh-CN"/>
        </w:rPr>
        <w:t xml:space="preserve">至少巡检一次，确保屋面瓦片完整无破损，</w:t>
      </w:r>
      <w:r>
        <w:rPr>
          <w:rFonts w:hint="eastAsia" w:ascii="宋体" w:hAnsi="宋体" w:eastAsia="宋体" w:cs="宋体"/>
          <w:color w:val="000000"/>
          <w:sz w:val="24"/>
          <w:szCs w:val="24"/>
          <w:highlight w:val="none"/>
        </w:rPr>
        <w:t xml:space="preserve">涉及登高作业时，需安排具有高处作业操作证的人员进行施工，持证上岗，所需登高设备及安全防护措施由中标人自行配备并承担相关费用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10、按采购人要求负责做好学生宿舍防汛工作</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冬季防冻防滑</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工作，并做好宿舍防汛物资</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防冻防滑物资（室外水管包裹及冬季下雪防滑保护等）的购置与准备工作；</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11、每年一次做好每栋</w:t>
      </w:r>
      <w:r>
        <w:rPr>
          <w:rFonts w:hint="eastAsia" w:ascii="宋体" w:hAnsi="宋体" w:eastAsia="宋体" w:cs="宋体"/>
          <w:color w:val="000000"/>
          <w:sz w:val="24"/>
          <w:szCs w:val="24"/>
          <w:highlight w:val="none"/>
          <w:lang w:val="en-US" w:eastAsia="zh-CN"/>
        </w:rPr>
        <w:t xml:space="preserve">宿舍</w:t>
      </w:r>
      <w:r>
        <w:rPr>
          <w:rFonts w:hint="eastAsia" w:ascii="宋体" w:hAnsi="宋体" w:eastAsia="宋体" w:cs="宋体"/>
          <w:color w:val="000000"/>
          <w:sz w:val="24"/>
          <w:szCs w:val="24"/>
          <w:highlight w:val="none"/>
        </w:rPr>
        <w:t xml:space="preserve">楼门厅处玻璃雨棚及玻璃门的校正、除锈</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、服务期内新生报到期间，需在采购人指定地点设置新生宿舍报修服务便捷站点并安排专职维修团队驻守站点，热情耐心处理新生报修诉求，及时高效完成各项维修保障任务。</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学校计划实施的毕业生宿舍集中粉刷出新及家具等设施设备批量更换等不在服务范围；楼宇外的电路、供水管破裂的应急抢修由采购人负责。</w:t>
      </w:r>
      <w:r>
        <w:rPr>
          <w:rFonts w:hint="eastAsia" w:ascii="宋体" w:hAnsi="宋体" w:eastAsia="宋体" w:cs="宋体"/>
          <w:bCs/>
          <w:color w:val="000000"/>
          <w:sz w:val="24"/>
          <w:szCs w:val="24"/>
          <w:highlight w:val="none"/>
        </w:rPr>
      </w:r>
      <w:r/>
    </w:p>
    <w:p>
      <w:pPr>
        <w:pStyle w:val="1134"/>
        <w:ind w:firstLine="482"/>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、沁园 42 栋、43 栋为新建学生宿舍，计划于2026年交付使用，目前尚未明确是否安排学生入住。若该两栋宿舍正式启用，属于建筑工程质量保修范围内的维修项目（如结构、渗漏、安装质量等），由原工程施工单位承担，中标人不承担维修责任、不</w:t>
      </w:r>
      <w:r>
        <w:rPr>
          <w:rFonts w:hint="eastAsia" w:ascii="宋体" w:hAnsi="宋体" w:eastAsia="宋体" w:cs="宋体"/>
          <w:b/>
          <w:bCs w:val="0"/>
          <w:color w:val="000000"/>
          <w:sz w:val="24"/>
          <w:szCs w:val="24"/>
          <w:highlight w:val="none"/>
          <w:lang w:val="en-US" w:eastAsia="zh-CN"/>
        </w:rPr>
        <w:t xml:space="preserve">承担</w:t>
      </w:r>
      <w:r>
        <w:rPr>
          <w:rFonts w:hint="eastAsia" w:ascii="宋体" w:hAnsi="宋体" w:eastAsia="宋体" w:cs="宋体"/>
          <w:b/>
          <w:bCs w:val="0"/>
          <w:color w:val="000000"/>
          <w:sz w:val="24"/>
          <w:szCs w:val="24"/>
          <w:highlight w:val="none"/>
        </w:rPr>
        <w:t xml:space="preserve">费用，仅负责配合协调、现场见证。属于非工程质保范围的日常维修（如下水疏通、电路检修、门锁维修与更换、配件更换、小故障处理等），由中标人负责，相关维修费用已全部包含在投标报价内，采购人不另行支付任何费用。中标人须无条件配合区分质保与日常维修范围，服从学校统一调度</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服务时间自宿舍楼栋启用之日起，具体费用按面积单价具体到天据实核减结算，费用的核减不视为采购人违约，采购人不承担违约责任</w:t>
      </w:r>
      <w:r>
        <w:rPr>
          <w:rFonts w:hint="eastAsia" w:ascii="宋体" w:hAnsi="宋体" w:eastAsia="宋体" w:cs="宋体"/>
          <w:b/>
          <w:bCs w:val="0"/>
          <w:color w:val="000000"/>
          <w:sz w:val="24"/>
          <w:szCs w:val="24"/>
          <w:highlight w:val="none"/>
        </w:rPr>
        <w:t xml:space="preserve">。（投标人须按要求提供加盖公章的承诺书）</w:t>
      </w:r>
      <w:r>
        <w:rPr>
          <w:rFonts w:hint="eastAsia" w:ascii="宋体" w:hAnsi="宋体" w:eastAsia="宋体" w:cs="宋体"/>
          <w:b/>
          <w:bCs w:val="0"/>
          <w:color w:val="000000"/>
          <w:sz w:val="24"/>
          <w:szCs w:val="24"/>
          <w:highlight w:val="none"/>
        </w:rPr>
      </w:r>
      <w:r/>
    </w:p>
    <w:p>
      <w:pPr>
        <w:pStyle w:val="1134"/>
        <w:ind w:firstLine="482"/>
        <w:spacing w:line="36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15、沁园24、25、26栋为前期改造宿舍尚在质保范围内，将于2026年下半年移交后纳入本项目服务范围，服务时间自宿舍移交之日起，具体费用按面积单价具体到天据实核减结算，费用的核减不视为采购人违约，采购人不承担违约责任。</w:t>
      </w:r>
      <w:r>
        <w:rPr>
          <w:rFonts w:ascii="宋体" w:hAnsi="宋体" w:eastAsia="宋体" w:cs="宋体"/>
          <w:b/>
          <w:bCs w:val="0"/>
          <w:color w:val="000000"/>
          <w:sz w:val="24"/>
          <w:szCs w:val="24"/>
          <w:highlight w:val="none"/>
          <w:lang w:val="en-US" w:eastAsia="zh-CN"/>
        </w:rPr>
      </w:r>
      <w:r/>
    </w:p>
    <w:p>
      <w:pPr>
        <w:pStyle w:val="1134"/>
        <w:ind w:firstLine="482"/>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16、沁园22、23、27、28栋已纳入学校改造出新计划，预计将在本项目服务期内实施，相关宿舍维修服务将于宿舍腾空之日起截至，相关费用按面积单价具体到天据实核减结算，费用的核减不视为采购人违约，采购人不承担违约责任。</w:t>
      </w:r>
      <w:r>
        <w:rPr>
          <w:rFonts w:hint="eastAsia" w:ascii="宋体" w:hAnsi="宋体" w:eastAsia="宋体" w:cs="宋体"/>
          <w:b/>
          <w:bCs w:val="0"/>
          <w:color w:val="000000"/>
          <w:sz w:val="24"/>
          <w:szCs w:val="24"/>
          <w:highlight w:val="none"/>
          <w:lang w:val="en-US" w:eastAsia="zh-CN"/>
        </w:rPr>
      </w:r>
      <w:r/>
    </w:p>
    <w:p>
      <w:pPr>
        <w:pStyle w:val="1134"/>
        <w:ind w:firstLine="482"/>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17、部分宿舍楼栋的智能门锁涉及平台连接互通和匹配等需与第三方厂家协调，所产生的费用由投标人自行综合考虑，含于投标总价中，不得耽误学生正常使用。</w:t>
      </w:r>
      <w:r>
        <w:rPr>
          <w:rFonts w:hint="eastAsia" w:ascii="宋体" w:hAnsi="宋体" w:eastAsia="宋体" w:cs="宋体"/>
          <w:b w:val="0"/>
          <w:bCs/>
          <w:color w:val="000000"/>
          <w:sz w:val="24"/>
          <w:szCs w:val="24"/>
          <w:highlight w:val="none"/>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3.4</w:t>
      </w:r>
      <w:r>
        <w:rPr>
          <w:rFonts w:hint="eastAsia" w:ascii="宋体" w:hAnsi="宋体" w:eastAsia="宋体" w:cs="宋体"/>
          <w:b/>
          <w:sz w:val="24"/>
          <w:szCs w:val="24"/>
        </w:rPr>
        <w:t xml:space="preserve">材料选择要求</w:t>
      </w:r>
      <w:r>
        <w:rPr>
          <w:rFonts w:hint="eastAsia" w:ascii="宋体" w:hAnsi="宋体" w:eastAsia="宋体" w:cs="宋体"/>
          <w:b/>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常用材料及配件如乳胶漆、电线、空气开关、漏保、插座、面板等电路方面设备、灯泡、灯管等照明灯具、卫生间（含洗漱间）内所有水龙头、软管及阀门（三角阀、闸阀等）等，选用的品牌需按以下材料品牌推荐表或自行选择同档次及以上品牌并在投标文件中以附件形式明确。实施采购前须经采购人确认后方能采购。如采购人认为中标人提供的样品不能满足要求，有权在推荐品牌中选择同等档次的产品，中标人不能拒绝，且价格不予调整，各投标人须考虑此风险。</w:t>
      </w:r>
      <w:r>
        <w:rPr>
          <w:rFonts w:hint="eastAsia" w:ascii="宋体" w:hAnsi="宋体" w:eastAsia="宋体" w:cs="宋体"/>
          <w:sz w:val="24"/>
          <w:szCs w:val="24"/>
        </w:rPr>
      </w:r>
      <w:r/>
    </w:p>
    <w:p>
      <w:pPr>
        <w:pStyle w:val="1134"/>
        <w:jc w:val="center"/>
        <w:spacing w:line="440" w:lineRule="exact"/>
        <w:rPr>
          <w:rFonts w:hint="eastAsia" w:ascii="宋体" w:hAnsi="宋体" w:eastAsia="宋体" w:cs="宋体"/>
        </w:rPr>
      </w:pPr>
      <w:r>
        <w:rPr>
          <w:rFonts w:hint="eastAsia" w:ascii="宋体" w:hAnsi="宋体" w:eastAsia="宋体" w:cs="宋体"/>
          <w:b/>
          <w:sz w:val="28"/>
        </w:rPr>
        <w:t xml:space="preserve">材料品牌推荐表</w:t>
      </w:r>
      <w:r>
        <w:rPr>
          <w:rFonts w:hint="eastAsia" w:ascii="宋体" w:hAnsi="宋体" w:eastAsia="宋体" w:cs="宋体"/>
        </w:rPr>
      </w:r>
      <w:r/>
    </w:p>
    <w:tbl>
      <w:tblPr>
        <w:tblW w:w="4284"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3729"/>
        <w:gridCol w:w="3433"/>
      </w:tblGrid>
      <w:tr>
        <w:trPr>
          <w:trHeight w:val="312"/>
        </w:trPr>
        <w:tc>
          <w:tcPr>
            <w:tcW w:w="804" w:type="dxa"/>
            <w:vAlign w:val="center"/>
            <w:textDirection w:val="lrTb"/>
            <w:noWrap w:val="false"/>
          </w:tcPr>
          <w:p>
            <w:pPr>
              <w:pStyle w:val="1139"/>
              <w:numPr>
                <w:ilvl w:val="4"/>
                <w:numId w:val="0"/>
              </w:numPr>
              <w:jc w:val="center"/>
              <w:keepLines w:val="0"/>
              <w:keepNext w:val="0"/>
              <w:pageBreakBefore w:val="0"/>
              <w:spacing w:before="164" w:after="164"/>
              <w:widowControl w:val="off"/>
              <w:rPr>
                <w:rFonts w:hint="eastAsia" w:ascii="宋体" w:hAnsi="宋体" w:eastAsia="宋体" w:cs="宋体"/>
                <w:b/>
                <w:bCs/>
                <w:sz w:val="21"/>
                <w:szCs w:val="21"/>
              </w:rPr>
            </w:pPr>
            <w:r/>
            <w:bookmarkStart w:id="111" w:name="_Toc32515"/>
            <w:r>
              <w:rPr>
                <w:rFonts w:hint="eastAsia" w:ascii="宋体" w:hAnsi="宋体" w:eastAsia="宋体" w:cs="宋体"/>
                <w:b/>
                <w:bCs/>
                <w:sz w:val="21"/>
                <w:szCs w:val="21"/>
              </w:rPr>
              <w:t xml:space="preserve">序号</w:t>
            </w:r>
            <w:bookmarkEnd w:id="111"/>
            <w:r>
              <w:rPr>
                <w:rFonts w:hint="eastAsia" w:ascii="宋体" w:hAnsi="宋体" w:eastAsia="宋体" w:cs="宋体"/>
                <w:b/>
                <w:bCs/>
                <w:sz w:val="21"/>
                <w:szCs w:val="21"/>
              </w:rPr>
            </w:r>
            <w:r/>
          </w:p>
        </w:tc>
        <w:tc>
          <w:tcPr>
            <w:tcW w:w="2184" w:type="dxa"/>
            <w:vAlign w:val="center"/>
            <w:textDirection w:val="lrTb"/>
            <w:noWrap w:val="false"/>
          </w:tcPr>
          <w:p>
            <w:pPr>
              <w:pStyle w:val="1139"/>
              <w:numPr>
                <w:ilvl w:val="4"/>
                <w:numId w:val="0"/>
              </w:numPr>
              <w:jc w:val="center"/>
              <w:keepLines w:val="0"/>
              <w:keepNext w:val="0"/>
              <w:pageBreakBefore w:val="0"/>
              <w:spacing w:before="164" w:after="164"/>
              <w:widowControl w:val="off"/>
              <w:rPr>
                <w:rFonts w:hint="eastAsia" w:ascii="宋体" w:hAnsi="宋体" w:eastAsia="宋体" w:cs="宋体"/>
                <w:b/>
                <w:bCs/>
                <w:sz w:val="21"/>
                <w:szCs w:val="21"/>
              </w:rPr>
            </w:pPr>
            <w:r/>
            <w:bookmarkStart w:id="112" w:name="_Toc8024"/>
            <w:r>
              <w:rPr>
                <w:rFonts w:hint="eastAsia" w:ascii="宋体" w:hAnsi="宋体" w:eastAsia="宋体" w:cs="宋体"/>
                <w:b/>
                <w:bCs/>
                <w:sz w:val="21"/>
                <w:szCs w:val="21"/>
              </w:rPr>
              <w:t xml:space="preserve">设备及材料名称</w:t>
            </w:r>
            <w:bookmarkEnd w:id="112"/>
            <w:r>
              <w:rPr>
                <w:rFonts w:hint="eastAsia" w:ascii="宋体" w:hAnsi="宋体" w:eastAsia="宋体" w:cs="宋体"/>
                <w:b/>
                <w:bCs/>
                <w:sz w:val="21"/>
                <w:szCs w:val="21"/>
              </w:rPr>
            </w:r>
            <w:r/>
          </w:p>
        </w:tc>
        <w:tc>
          <w:tcPr>
            <w:tcW w:w="2010" w:type="dxa"/>
            <w:vAlign w:val="center"/>
            <w:textDirection w:val="lrTb"/>
            <w:noWrap w:val="false"/>
          </w:tcPr>
          <w:p>
            <w:pPr>
              <w:pStyle w:val="1139"/>
              <w:numPr>
                <w:ilvl w:val="4"/>
                <w:numId w:val="0"/>
              </w:numPr>
              <w:jc w:val="center"/>
              <w:keepLines w:val="0"/>
              <w:keepNext w:val="0"/>
              <w:pageBreakBefore w:val="0"/>
              <w:spacing w:before="164" w:after="164"/>
              <w:widowControl w:val="off"/>
              <w:rPr>
                <w:rFonts w:hint="eastAsia" w:ascii="宋体" w:hAnsi="宋体" w:eastAsia="宋体" w:cs="宋体"/>
                <w:b/>
                <w:bCs/>
                <w:sz w:val="21"/>
                <w:szCs w:val="21"/>
              </w:rPr>
            </w:pPr>
            <w:r/>
            <w:bookmarkStart w:id="113" w:name="_Toc4124"/>
            <w:r>
              <w:rPr>
                <w:rFonts w:hint="eastAsia" w:ascii="宋体" w:hAnsi="宋体" w:eastAsia="宋体" w:cs="宋体"/>
                <w:b/>
                <w:bCs/>
                <w:sz w:val="21"/>
                <w:szCs w:val="21"/>
              </w:rPr>
              <w:t xml:space="preserve">推荐品牌</w:t>
            </w:r>
            <w:bookmarkEnd w:id="113"/>
            <w:r>
              <w:rPr>
                <w:rFonts w:hint="eastAsia" w:ascii="宋体" w:hAnsi="宋体" w:eastAsia="宋体" w:cs="宋体"/>
                <w:b/>
                <w:bCs/>
                <w:sz w:val="21"/>
                <w:szCs w:val="21"/>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乳胶漆</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立邦、多乐士、三棵树等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电线</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江扬、正泰、远东等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空开、漏保、开关、插座</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德力西、正泰、施耐德等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防盗门把手、锁芯</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金点原子、玥玛、卡贝等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排风扇</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艾美特、松下、奥普等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日光灯管</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T8佛山、飞利浦、雷士等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灯泡、灯芯</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飞利浦、雷士、公牛等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平板灯</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飞利浦、雷士、欧普等</w:t>
            </w:r>
            <w:r>
              <w:rPr>
                <w:rFonts w:hint="eastAsia" w:ascii="宋体" w:hAnsi="宋体" w:eastAsia="宋体" w:cs="宋体"/>
              </w:rPr>
            </w:r>
            <w:r/>
          </w:p>
        </w:tc>
      </w:tr>
      <w:tr>
        <w:trPr>
          <w:trHeight w:val="436"/>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冲水阀、角阀、水龙头</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九牧王、科勒、箭牌等</w:t>
            </w:r>
            <w:r>
              <w:rPr>
                <w:rFonts w:hint="eastAsia" w:ascii="宋体" w:hAnsi="宋体" w:eastAsia="宋体" w:cs="宋体"/>
              </w:rPr>
            </w:r>
            <w:r/>
          </w:p>
        </w:tc>
      </w:tr>
      <w:tr>
        <w:trPr>
          <w:trHeight w:val="445"/>
        </w:trPr>
        <w:tc>
          <w:tcPr>
            <w:tcW w:w="804" w:type="dxa"/>
            <w:vAlign w:val="top"/>
            <w:textDirection w:val="lrTb"/>
            <w:noWrap w:val="false"/>
          </w:tcPr>
          <w:p>
            <w:pPr>
              <w:pStyle w:val="1134"/>
              <w:jc w:val="center"/>
              <w:spacing w:line="240" w:lineRule="auto"/>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c>
          <w:tcPr>
            <w:tcW w:w="2184"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水暖管件</w:t>
            </w:r>
            <w:r>
              <w:rPr>
                <w:rFonts w:hint="eastAsia" w:ascii="宋体" w:hAnsi="宋体" w:eastAsia="宋体" w:cs="宋体"/>
              </w:rPr>
            </w:r>
            <w:r/>
          </w:p>
        </w:tc>
        <w:tc>
          <w:tcPr>
            <w:tcW w:w="2010" w:type="dxa"/>
            <w:vAlign w:val="top"/>
            <w:textDirection w:val="lrTb"/>
            <w:noWrap w:val="false"/>
          </w:tcPr>
          <w:p>
            <w:pPr>
              <w:pStyle w:val="1134"/>
              <w:spacing w:line="240" w:lineRule="auto"/>
              <w:rPr>
                <w:rFonts w:hint="eastAsia" w:ascii="宋体" w:hAnsi="宋体" w:eastAsia="宋体" w:cs="宋体"/>
              </w:rPr>
            </w:pPr>
            <w:r>
              <w:rPr>
                <w:rFonts w:hint="eastAsia" w:ascii="宋体" w:hAnsi="宋体" w:eastAsia="宋体" w:cs="宋体"/>
              </w:rPr>
              <w:t xml:space="preserve">金德、伟星、联塑等</w:t>
            </w:r>
            <w:r>
              <w:rPr>
                <w:rFonts w:hint="eastAsia" w:ascii="宋体" w:hAnsi="宋体" w:eastAsia="宋体" w:cs="宋体"/>
              </w:rPr>
            </w:r>
            <w:r/>
          </w:p>
        </w:tc>
      </w:tr>
    </w:tbl>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人在施工中提供的材料品牌应和投标文件一致并达到国家质量检测合格标准，如选择其他品牌需征求采购人同意后选定（书面申请并提供样品报采购人），如提供的材料低于国家合格标准或擅自使用其他品牌的材料的，中标人应立即更换符合标准的材料并需承担相应的违约责任。中标人需做好材料进出台账。</w:t>
      </w:r>
      <w:r>
        <w:rPr>
          <w:rFonts w:hint="eastAsia" w:ascii="宋体" w:hAnsi="宋体" w:eastAsia="宋体" w:cs="宋体"/>
          <w:sz w:val="24"/>
          <w:szCs w:val="24"/>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3.5</w:t>
      </w:r>
      <w:r>
        <w:rPr>
          <w:rFonts w:hint="eastAsia" w:ascii="宋体" w:hAnsi="宋体" w:eastAsia="宋体" w:cs="宋体"/>
          <w:b/>
          <w:sz w:val="24"/>
          <w:szCs w:val="24"/>
        </w:rPr>
        <w:t xml:space="preserve">服务要求</w:t>
      </w:r>
      <w:r>
        <w:rPr>
          <w:rFonts w:hint="eastAsia" w:ascii="宋体" w:hAnsi="宋体" w:eastAsia="宋体" w:cs="宋体"/>
          <w:b/>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▲1、所有维修材料均应符合国家节能及认证</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"http://www.jianshe99.com/web/zhuanyeziliao/biaozhunguifan/" \t "https://www.jianshe99.com/new/201101/_blank" \o "标准" </w:instrText>
      </w:r>
      <w:r>
        <w:rPr>
          <w:rFonts w:hint="eastAsia" w:ascii="宋体" w:hAnsi="宋体" w:eastAsia="宋体" w:cs="宋体"/>
          <w:sz w:val="24"/>
          <w:szCs w:val="24"/>
        </w:rPr>
        <w:fldChar w:fldCharType="separate"/>
      </w:r>
      <w:r>
        <w:rPr>
          <w:rStyle w:val="1227"/>
          <w:rFonts w:hint="eastAsia" w:ascii="宋体" w:hAnsi="宋体" w:eastAsia="宋体" w:cs="宋体"/>
          <w:color w:val="000000"/>
          <w:sz w:val="24"/>
          <w:szCs w:val="24"/>
          <w:u w:val="none"/>
        </w:rPr>
        <w:t xml:space="preserve">标准</w:t>
      </w:r>
      <w:r>
        <w:rPr>
          <w:rStyle w:val="1227"/>
          <w:rFonts w:hint="eastAsia" w:ascii="宋体" w:hAnsi="宋体" w:eastAsia="宋体" w:cs="宋体"/>
          <w:color w:val="000000"/>
          <w:sz w:val="24"/>
          <w:szCs w:val="24"/>
          <w:u w:val="none"/>
        </w:rPr>
        <w:fldChar w:fldCharType="end"/>
      </w:r>
      <w:r>
        <w:rPr>
          <w:rFonts w:hint="eastAsia" w:ascii="宋体" w:hAnsi="宋体" w:eastAsia="宋体" w:cs="宋体"/>
          <w:sz w:val="24"/>
          <w:szCs w:val="24"/>
        </w:rPr>
        <w:t xml:space="preserve">的合格产品，由中标人负责。按照设备运行规律，有计划进行调整、更换易损件，减少故障发生率。运行中的设备出现了故障后，及时进行修理；</w:t>
      </w:r>
      <w:r>
        <w:rPr>
          <w:rFonts w:hint="eastAsia" w:ascii="宋体" w:hAnsi="宋体" w:eastAsia="宋体" w:cs="宋体"/>
          <w:b/>
          <w:bCs/>
          <w:sz w:val="24"/>
          <w:szCs w:val="24"/>
        </w:rPr>
        <w:t xml:space="preserve">（提供加盖公章的书面承诺函）</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▲2、小故障1小时内修复，无特殊情况故障应当天排除，做到日报日清。当天无法修复的项目须向报修人说明未能及时修复的原因和预估的修复时间；</w:t>
      </w:r>
      <w:r>
        <w:rPr>
          <w:rFonts w:hint="eastAsia" w:ascii="宋体" w:hAnsi="宋体" w:eastAsia="宋体" w:cs="宋体"/>
          <w:b/>
          <w:bCs/>
          <w:sz w:val="24"/>
          <w:szCs w:val="24"/>
        </w:rPr>
        <w:t xml:space="preserve">（提供加盖公章的书面承诺函）</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按照</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val="en-US" w:eastAsia="zh-CN"/>
        </w:rPr>
        <w:t xml:space="preserve">项目实际</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t xml:space="preserve">在本项目服务</w:t>
      </w:r>
      <w:r>
        <w:rPr>
          <w:rFonts w:hint="eastAsia" w:ascii="宋体" w:hAnsi="宋体" w:eastAsia="宋体" w:cs="宋体"/>
          <w:color w:val="000000"/>
          <w:sz w:val="24"/>
          <w:szCs w:val="24"/>
          <w:highlight w:val="none"/>
          <w:lang w:val="en-US" w:eastAsia="zh-CN"/>
        </w:rPr>
        <w:t xml:space="preserve">配套</w:t>
      </w:r>
      <w:r>
        <w:rPr>
          <w:rFonts w:hint="eastAsia" w:ascii="宋体" w:hAnsi="宋体" w:eastAsia="宋体" w:cs="宋体"/>
          <w:color w:val="000000"/>
          <w:sz w:val="24"/>
          <w:szCs w:val="24"/>
          <w:highlight w:val="none"/>
        </w:rPr>
        <w:t xml:space="preserve">范围内</w:t>
      </w:r>
      <w:r>
        <w:rPr>
          <w:rFonts w:hint="eastAsia" w:ascii="宋体" w:hAnsi="宋体" w:eastAsia="宋体" w:cs="宋体"/>
          <w:color w:val="000000"/>
          <w:sz w:val="24"/>
          <w:szCs w:val="24"/>
          <w:highlight w:val="none"/>
          <w:lang w:val="en-US" w:eastAsia="zh-CN"/>
        </w:rPr>
        <w:t xml:space="preserve">统筹调配</w:t>
      </w:r>
      <w:r>
        <w:rPr>
          <w:rFonts w:hint="eastAsia" w:ascii="宋体" w:hAnsi="宋体" w:eastAsia="宋体" w:cs="宋体"/>
          <w:color w:val="000000"/>
          <w:sz w:val="24"/>
          <w:szCs w:val="24"/>
          <w:highlight w:val="none"/>
        </w:rPr>
        <w:t xml:space="preserve">维修人员</w:t>
      </w:r>
      <w:r>
        <w:rPr>
          <w:rFonts w:hint="eastAsia" w:ascii="宋体" w:hAnsi="宋体" w:eastAsia="宋体" w:cs="宋体"/>
          <w:color w:val="000000"/>
          <w:sz w:val="24"/>
          <w:szCs w:val="24"/>
          <w:highlight w:val="none"/>
          <w:lang w:eastAsia="zh-CN"/>
        </w:rPr>
        <w:t xml:space="preserve">，保障现场临时性维修作业顺利开展</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（提供加盖公章的书面承诺函）</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学生提出的任何合理维修问题，应及时耐心解答和处理。维修人员在服务期间需统一着装，携带工作牌（中标人自制且须有照片及中标人公章），做好安全措施，放置维修警示标识，有行业技术要求的维修工作，做到持证上岗。进入学生宿舍进行维修时，需事先征得同意后方可进入，若进入女生宿舍时且还需要在宿舍管理人员陪同下方可进入宿舍进行维修；</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5、维修人员需做好日常巡查工作（包括楼宇周边各种管线道、化粪池等），</w:t>
      </w:r>
      <w:r>
        <w:rPr>
          <w:rFonts w:ascii="Times New Roman" w:hAnsi="Times New Roman"/>
          <w:color w:val="000000"/>
          <w:sz w:val="24"/>
          <w:szCs w:val="24"/>
          <w:highlight w:val="none"/>
        </w:rPr>
        <w:t xml:space="preserve">发现问题</w:t>
      </w:r>
      <w:r>
        <w:rPr>
          <w:rFonts w:hint="eastAsia" w:ascii="Times New Roman" w:hAnsi="Times New Roman"/>
          <w:color w:val="000000"/>
          <w:sz w:val="24"/>
          <w:szCs w:val="24"/>
          <w:highlight w:val="none"/>
          <w:lang w:val="en-US" w:eastAsia="zh-CN"/>
        </w:rPr>
        <w:t xml:space="preserve">特别是存在安全隐患的，必须</w:t>
      </w:r>
      <w:r>
        <w:rPr>
          <w:rFonts w:ascii="Times New Roman" w:hAnsi="Times New Roman"/>
          <w:color w:val="000000"/>
          <w:sz w:val="24"/>
          <w:szCs w:val="24"/>
          <w:highlight w:val="none"/>
        </w:rPr>
        <w:t xml:space="preserve">及时维修、及时上报；</w:t>
      </w:r>
      <w:r>
        <w:rPr>
          <w:rFonts w:hint="eastAsia" w:ascii="宋体" w:hAnsi="宋体" w:eastAsia="宋体" w:cs="宋体"/>
          <w:color w:val="000000"/>
          <w:sz w:val="24"/>
          <w:szCs w:val="24"/>
          <w:highlight w:val="none"/>
        </w:rPr>
        <w:t xml:space="preserve">24小时接待报修并做好接报、维修记录；</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6、配合做好宿舍楼内及校内相关的其他维修、改造项目的验收和移交等；</w:t>
      </w:r>
      <w:r>
        <w:rPr>
          <w:rFonts w:hint="eastAsia" w:ascii="宋体" w:hAnsi="宋体" w:eastAsia="宋体" w:cs="宋体"/>
          <w:color w:val="000000"/>
          <w:sz w:val="24"/>
          <w:szCs w:val="24"/>
          <w:highlight w:val="none"/>
        </w:rPr>
      </w:r>
      <w:r/>
    </w:p>
    <w:p>
      <w:pPr>
        <w:pStyle w:val="13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7、配合学校做好宿舍楼的各种检查；配合学校做好节能管理工作。</w:t>
      </w:r>
      <w:r>
        <w:rPr>
          <w:rFonts w:hint="eastAsia" w:ascii="宋体" w:hAnsi="宋体" w:eastAsia="宋体" w:cs="宋体"/>
          <w:color w:val="000000"/>
          <w:sz w:val="24"/>
          <w:szCs w:val="24"/>
          <w:highlight w:val="none"/>
        </w:rPr>
      </w:r>
      <w:r/>
    </w:p>
    <w:p>
      <w:pPr>
        <w:pStyle w:val="1134"/>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▲8、建立报修制度，配合采购人执行 “信大E修” 报修流程，完成维修任务并建立报修档案。</w:t>
      </w:r>
      <w:r>
        <w:rPr>
          <w:rFonts w:hint="eastAsia" w:ascii="宋体" w:hAnsi="宋体" w:eastAsia="宋体" w:cs="宋体"/>
          <w:b/>
          <w:bCs/>
          <w:sz w:val="24"/>
          <w:szCs w:val="24"/>
        </w:rPr>
        <w:t xml:space="preserve">（提供加盖公章的书面承诺函）</w:t>
      </w:r>
      <w:r>
        <w:rPr>
          <w:rFonts w:hint="eastAsia" w:ascii="宋体" w:hAnsi="宋体" w:eastAsia="宋体" w:cs="宋体"/>
          <w:b/>
          <w:bCs/>
          <w:sz w:val="24"/>
          <w:szCs w:val="24"/>
        </w:rPr>
      </w:r>
      <w:r/>
    </w:p>
    <w:p>
      <w:pPr>
        <w:pStyle w:val="1134"/>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▲9、中标人须按采购人要求在寒假、暑假期间完成服务范围要求的所有内容的检查与维修。</w:t>
      </w:r>
      <w:r>
        <w:rPr>
          <w:rFonts w:hint="eastAsia" w:ascii="宋体" w:hAnsi="宋体" w:eastAsia="宋体" w:cs="宋体"/>
          <w:b/>
          <w:bCs/>
          <w:sz w:val="24"/>
          <w:szCs w:val="24"/>
        </w:rPr>
        <w:t xml:space="preserve">（提供加盖公章的书面承诺函）</w:t>
      </w:r>
      <w:r>
        <w:rPr>
          <w:rFonts w:hint="eastAsia" w:ascii="宋体" w:hAnsi="宋体" w:eastAsia="宋体" w:cs="宋体"/>
          <w:b/>
          <w:bCs/>
          <w:sz w:val="24"/>
          <w:szCs w:val="24"/>
        </w:rPr>
      </w:r>
      <w:r/>
    </w:p>
    <w:p>
      <w:pPr>
        <w:pStyle w:val="1134"/>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10、学生宿舍楼宇内（包括宿舍内部和公共区域）的墙面、地砖地板、吊顶维修，中标人在签订合同后2个月内，要做到墙面无明显起鼓脱皮（局部修补需横平竖直）、地砖地板无缺损及明显空鼓、吊顶无明显缺损脱落。此项工作的检查纳入第三个月的月度考核；</w:t>
      </w:r>
      <w:r>
        <w:rPr>
          <w:rFonts w:hint="eastAsia" w:ascii="宋体" w:hAnsi="宋体" w:eastAsia="宋体" w:cs="宋体"/>
          <w:b/>
          <w:bCs/>
          <w:sz w:val="24"/>
          <w:szCs w:val="24"/>
        </w:rPr>
        <w:t xml:space="preserve">（提供加盖公章的书面承诺函）</w:t>
      </w:r>
      <w:r>
        <w:rPr>
          <w:rFonts w:hint="eastAsia" w:ascii="宋体" w:hAnsi="宋体" w:eastAsia="宋体" w:cs="宋体"/>
          <w:b/>
          <w:bCs/>
          <w:sz w:val="24"/>
          <w:szCs w:val="24"/>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3.6</w:t>
      </w:r>
      <w:r>
        <w:rPr>
          <w:rFonts w:hint="eastAsia" w:ascii="宋体" w:hAnsi="宋体" w:eastAsia="宋体" w:cs="宋体"/>
          <w:b/>
          <w:sz w:val="24"/>
          <w:szCs w:val="24"/>
        </w:rPr>
        <w:t xml:space="preserve">其他要求</w:t>
      </w:r>
      <w:r>
        <w:rPr>
          <w:rFonts w:hint="eastAsia" w:ascii="宋体" w:hAnsi="宋体" w:eastAsia="宋体" w:cs="宋体"/>
          <w:b/>
          <w:sz w:val="24"/>
          <w:szCs w:val="24"/>
        </w:rPr>
      </w:r>
      <w:r/>
    </w:p>
    <w:p>
      <w:pPr>
        <w:pStyle w:val="1375"/>
        <w:ind w:firstLine="482"/>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1、中标人应严格执行国家相关法律、法规，严格按操作规程与操作标准执行；中标人所提供的服务不符合项目要求或中标人未响应投标文件承诺及国家有关质量标准，且拒绝整改，采购人可单方面解除合同，并由中标人赔偿采购人由此造成的全部损失；</w:t>
      </w:r>
      <w:r>
        <w:rPr>
          <w:rFonts w:hint="eastAsia" w:ascii="宋体" w:hAnsi="宋体" w:eastAsia="宋体" w:cs="宋体"/>
          <w:b/>
          <w:bCs/>
          <w:sz w:val="24"/>
          <w:szCs w:val="24"/>
        </w:rPr>
        <w:t xml:space="preserve">（提供加盖公章的书面承诺函）</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人应接受采购人全面监督、指导、检查、验收和考核。拟派驻该项目的项目经理与参加本次投标时的项目经理必须一致，未经采购人同意不得随意更换，且不得兼任其他项目。项目经理须长期驻点现场，具体以中标人投标承诺为准，服从采购人的管理，如遇突发事件，应第一时间到达现场处理。项目经理不能</w:t>
      </w:r>
      <w:r>
        <w:rPr>
          <w:rFonts w:hint="eastAsia" w:ascii="宋体" w:hAnsi="宋体" w:cs="宋体"/>
          <w:sz w:val="24"/>
          <w:szCs w:val="24"/>
          <w:lang w:val="en-US" w:eastAsia="zh-CN"/>
        </w:rPr>
        <w:t xml:space="preserve">按照投标承诺</w:t>
      </w:r>
      <w:r>
        <w:rPr>
          <w:rFonts w:hint="eastAsia" w:ascii="宋体" w:hAnsi="宋体" w:eastAsia="宋体" w:cs="宋体"/>
          <w:sz w:val="24"/>
          <w:szCs w:val="24"/>
        </w:rPr>
        <w:t xml:space="preserve">做到在现场提供服务的，需向采购人提前请假，项目经理或管理人员在应急处突时缺岗或每周在岗</w:t>
      </w:r>
      <w:r>
        <w:rPr>
          <w:rFonts w:hint="eastAsia" w:ascii="宋体" w:hAnsi="宋体" w:cs="宋体"/>
          <w:sz w:val="24"/>
          <w:szCs w:val="24"/>
          <w:lang w:val="en-US" w:eastAsia="zh-CN"/>
        </w:rPr>
        <w:t xml:space="preserve">天数</w:t>
      </w:r>
      <w:r>
        <w:rPr>
          <w:rFonts w:hint="eastAsia" w:ascii="宋体" w:hAnsi="宋体" w:eastAsia="宋体" w:cs="宋体"/>
          <w:sz w:val="24"/>
          <w:szCs w:val="24"/>
        </w:rPr>
        <w:t xml:space="preserve">少于</w:t>
      </w:r>
      <w:r>
        <w:rPr>
          <w:rFonts w:hint="eastAsia" w:ascii="宋体" w:hAnsi="宋体" w:cs="宋体"/>
          <w:sz w:val="24"/>
          <w:szCs w:val="24"/>
          <w:lang w:val="en-US" w:eastAsia="zh-CN"/>
        </w:rPr>
        <w:t xml:space="preserve">投标承诺时间的</w:t>
      </w:r>
      <w:r>
        <w:rPr>
          <w:rFonts w:hint="eastAsia" w:ascii="宋体" w:hAnsi="宋体" w:eastAsia="宋体" w:cs="宋体"/>
          <w:sz w:val="24"/>
          <w:szCs w:val="24"/>
        </w:rPr>
        <w:t xml:space="preserve">，采购人有权要求中标人承担违约责任并支付违约金，按照2000元/天从合同款中扣除，并有权随时终止合同。中标人更换项目经理需书面提交申请，且需采购人书面同意，进场服务3个月内更换项</w:t>
      </w:r>
      <w:r>
        <w:rPr>
          <w:rFonts w:hint="eastAsia" w:ascii="宋体" w:hAnsi="宋体" w:eastAsia="宋体" w:cs="宋体"/>
          <w:sz w:val="24"/>
          <w:szCs w:val="24"/>
          <w:highlight w:val="none"/>
        </w:rPr>
        <w:t xml:space="preserve">目经理的中标人需向采购人支付15000</w:t>
      </w:r>
      <w:r>
        <w:rPr>
          <w:rFonts w:hint="eastAsia" w:ascii="宋体" w:hAnsi="宋体" w:eastAsia="宋体" w:cs="宋体"/>
          <w:sz w:val="24"/>
          <w:szCs w:val="24"/>
        </w:rPr>
        <w:t xml:space="preserve">元违约金，3-6个月内更换项目经理的需支付10000元违约金，6-9个月内更换项目经理的需支付8000元违约金，9-12个月内更换项目经理的需支付6000元违约金，每次项目经理更换违约金的计算，根据前一项目经理进场服务时间，按上述规则进行重新计算。</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于不服从采购人管理、工作态度或工作技能或工作质量较差的项目经理及现场工作人员，采购人有权要求中标人立即（2日内）调整更换，如不按时调整更换，采购人有权要求中标人承担违约责任并支付违约金，按照2000元/人/次从合同款中扣除，并有权随时终止合同；</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4、维修服务期间人员脱岗、未按照要求履行岗位职责的采购人有权按照2000元/人/次从合同款中扣除；因上述原因造成采购人、采购人的学生损失扩大的，中标人还应承担全部赔偿责任。</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对出现以下情形之一的，每发生一项，采购人有权要求中标人承担违约责任并支付违约金，从合同款中扣除10000元：因维修服务不到位导致发生有较大影响的责任事件；未在采购人要求期限内完成整改的；服务人员存在违纪违法行为（如偷盗等不良行为），对学校造成影响的。</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标人需按照招标要求采购配备维修材料，采购人每月会对中标人的材料采购进行抽检，如发现不合格或“三无”产品，采购人有权要求中标人立即予以更换，且中标人应承担违约责任并支付违约金，每次从合同款中扣除2000元，如2次未整改到位，则可暂扣本期服务费，待整改合格后再支付；如连续两次抽检不合格或累计3次抽检不合格，采购人有权终止合同，并要求中标人承担违约责任并承担由此产生的各项损失。同时中标人应无条件退场。</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中标人就本项目需购买雇主责任险（保额不低于2000万元）、财产损失险、公众责任险（保额不低于100万元）、人身安全和第三方责任险等，履行合同时产生的债权债务、财产损失、人身伤害、劳动纠纷等一切问题，均由中标人承担责任，采购人不承担责任；</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中标人应在签订合同一周内提供本项目的全部维修服务人员的雇主责任险和公众责任险/第三方责任险复印件给采购人，保险期限应涵盖本合同期限，并将学校同时列为被保险人。如中标人已购买统一公众责任险覆盖至其提供服务的所有项目，则可不需另外购买，但须提供保险单复印件给采购人；</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9、中标人自主开展各项管理或维修活动，不得侵害学校、使用人及他人的合法权益，不得利用提供管理服务的便利获取不当利益，不得擅自占用或改变公用设施的使用功能；</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中标人工作人员在工作中违反操作规范或者施工中未经采购人同意或有关部门批准，随意拆改原建筑物结构及各种设备管线，致学校设备、设施等损坏，造成的损失经采购人或采购人聘请的第三方评估后由中标人赔偿，采购人聘请第三方的费用亦由中标人承担； </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11、采购人向中标人提供本项目所必需的值班室及仓库，按实收取水电、供冷供暖费用，中标人应妥善保护采购人提供的设备及家具、陈设和工程成品，如造成损失，应照原价赔偿；</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12、做好服务质量投诉处理工作，投诉的问题必须热情周到地接待受理并认真做好记录，处理结果及时反馈。不得违规开展有偿维修服务；</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考虑到安全第一因素，中标人在维修服务期内不得在采购人单位使用明火开伙做饭，办公、生活所需的任何电器使用前需到采购人管理部门备案，许可后方可使用，如有违规经教育仍不整改，采购人有权要求中标人承担违约责任并支付违约金，按照2000元/次从合同款中扣除；</w:t>
      </w:r>
      <w:r>
        <w:rPr>
          <w:rFonts w:hint="eastAsia" w:ascii="宋体" w:hAnsi="宋体" w:eastAsia="宋体" w:cs="宋体"/>
          <w:sz w:val="24"/>
          <w:szCs w:val="24"/>
        </w:rPr>
      </w:r>
      <w:r/>
    </w:p>
    <w:p>
      <w:pPr>
        <w:pStyle w:val="1375"/>
        <w:ind w:firstLine="482"/>
        <w:spacing w:line="360" w:lineRule="auto"/>
        <w:rPr>
          <w:rFonts w:hint="eastAsia" w:ascii="宋体" w:hAnsi="宋体" w:eastAsia="宋体" w:cs="宋体"/>
          <w:b/>
          <w:bCs/>
          <w:sz w:val="24"/>
          <w:szCs w:val="24"/>
        </w:rPr>
      </w:pP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14、中标人在维修过程、服务过程中（包括采购人提供的值班室及仓库）不得产生安全、消防、水电安全、卫</w:t>
      </w:r>
      <w:r>
        <w:rPr>
          <w:rFonts w:hint="eastAsia" w:ascii="宋体" w:hAnsi="宋体" w:eastAsia="宋体" w:cs="宋体"/>
          <w:sz w:val="24"/>
          <w:szCs w:val="24"/>
        </w:rPr>
        <w:t xml:space="preserve">生、环保等问题。在维修中发生的安全事故、消防事故、水电事故、人身伤害事故等均由中标人负责，所造成的一切损失由中标人承担，采购人有权立即终止合同；对发生重大影响责任事件的，中标人应承担采购人及采购人学生的全部损失，如涉及其他行政或刑事法律责任，所有责任由中标人承担，同时采购人有权立即终止合同；如发生损害采购人声誉的事件，采购人有权扣除部分或全部履约保证金，对采购人造成损失的，中标人承担全部赔偿责任。中标人工作人员在提供服务过程中遭受的人身财产损害，由中标人自行承担赔偿责任，与采购人无关，采购人不承担任何责任；</w:t>
      </w:r>
      <w:r>
        <w:rPr>
          <w:rFonts w:hint="eastAsia" w:ascii="宋体" w:hAnsi="宋体" w:eastAsia="宋体" w:cs="宋体"/>
          <w:b/>
          <w:bCs/>
          <w:sz w:val="24"/>
          <w:szCs w:val="24"/>
        </w:rPr>
        <w:t xml:space="preserve">（提供加盖公章的承诺书）</w:t>
      </w:r>
      <w:r>
        <w:rPr>
          <w:rFonts w:hint="eastAsia" w:ascii="宋体" w:hAnsi="宋体" w:eastAsia="宋体" w:cs="宋体"/>
          <w:b/>
          <w:bCs/>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15、以上服务范围涉及的人员工资、劳动工具费用和材料费用等均包含在投标报价中；</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中标人应与其安排的工作人员订立合法有效的劳动合同或劳务合同，人员名单交采购人备案。工作人员属于中标人的劳动者，由中标人负责支付劳动报酬（含加班工资）及缴纳各项社会保险。中标人按其投标文件的承诺安排项目经理，如有变化，需提前书面报采购人审批同意。因中标人未与管理人员及其他工作人员签订劳动合同或劳务合同，或未保护相关人员的合法权利引起的法律纠纷，由中标人与相关人员自行解决，与采购人无关。对采购人造成不良社会影响的，中标人应承担赔偿责任。</w:t>
      </w:r>
      <w:r>
        <w:rPr>
          <w:rFonts w:hint="eastAsia" w:ascii="宋体" w:hAnsi="宋体" w:eastAsia="宋体" w:cs="宋体"/>
          <w:sz w:val="24"/>
          <w:szCs w:val="24"/>
        </w:rPr>
      </w:r>
      <w:r/>
    </w:p>
    <w:p>
      <w:pPr>
        <w:pStyle w:val="137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中标人无合法正当理由，暂停或终止提供服务的，应向采购人支付合同总额30%的违约金，且缴纳的履约保证金全部没收。造成采购人损失的，中标人还应承担全部赔偿责任。未经采购人书面同意，中标人擅自转包、分包的，中标人应当承担违约责任，应向采购人支付合同总额30%的违约金，且缴纳的履约保证金全部没收。造成采购人损失的，中标人还应承担全部赔偿责任。</w:t>
      </w:r>
      <w:r>
        <w:rPr>
          <w:rFonts w:hint="eastAsia" w:ascii="宋体" w:hAnsi="宋体" w:eastAsia="宋体" w:cs="宋体"/>
          <w:sz w:val="24"/>
          <w:szCs w:val="24"/>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3.7</w:t>
      </w:r>
      <w:r>
        <w:rPr>
          <w:rFonts w:hint="eastAsia" w:ascii="宋体" w:hAnsi="宋体" w:eastAsia="宋体" w:cs="宋体"/>
          <w:b/>
          <w:sz w:val="24"/>
          <w:szCs w:val="24"/>
        </w:rPr>
        <w:t xml:space="preserve">人员配备基本需求表</w:t>
      </w:r>
      <w:r>
        <w:rPr>
          <w:rFonts w:hint="eastAsia" w:ascii="宋体" w:hAnsi="宋体" w:eastAsia="宋体" w:cs="宋体"/>
          <w:b/>
          <w:sz w:val="24"/>
          <w:szCs w:val="24"/>
        </w:rPr>
      </w:r>
      <w:r/>
    </w:p>
    <w:tbl>
      <w:tblPr>
        <w:tblW w:w="10066" w:type="dxa"/>
        <w:tblInd w:w="-262" w:type="dxa"/>
        <w:tblLayout w:type="fixed"/>
        <w:tblCellMar>
          <w:left w:w="108" w:type="dxa"/>
          <w:top w:w="0" w:type="dxa"/>
          <w:right w:w="108" w:type="dxa"/>
          <w:bottom w:w="0" w:type="dxa"/>
        </w:tblCellMar>
        <w:tblLook w:val="04A0" w:firstRow="1" w:lastRow="0" w:firstColumn="1" w:lastColumn="0" w:noHBand="0" w:noVBand="1"/>
      </w:tblPr>
      <w:tblGrid>
        <w:gridCol w:w="1711"/>
        <w:gridCol w:w="1064"/>
        <w:gridCol w:w="1277"/>
        <w:gridCol w:w="6014"/>
      </w:tblGrid>
      <w:tr>
        <w:trPr>
          <w:trHeight w:val="444"/>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岗位</w:t>
            </w:r>
            <w:r>
              <w:rPr>
                <w:rFonts w:hint="eastAsia" w:ascii="宋体" w:hAnsi="宋体" w:eastAsia="宋体" w:cs="宋体"/>
                <w:b/>
                <w:sz w:val="24"/>
                <w:szCs w:val="24"/>
              </w:rPr>
            </w:r>
            <w:r/>
          </w:p>
        </w:tc>
        <w:tc>
          <w:tcPr>
            <w:tcBorders>
              <w:top w:val="single" w:color="000000" w:sz="4" w:space="0"/>
              <w:left w:val="none" w:color="000000" w:sz="4" w:space="0"/>
              <w:bottom w:val="single" w:color="000000" w:sz="4" w:space="0"/>
              <w:right w:val="single" w:color="000000" w:sz="4" w:space="0"/>
            </w:tcBorders>
            <w:tcW w:w="1064"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★人数</w:t>
            </w: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14"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基本要求</w:t>
            </w:r>
            <w:r>
              <w:rPr>
                <w:rFonts w:hint="eastAsia" w:ascii="宋体" w:hAnsi="宋体" w:eastAsia="宋体" w:cs="宋体"/>
                <w:b/>
                <w:color w:val="000000"/>
                <w:sz w:val="24"/>
                <w:szCs w:val="24"/>
                <w:highlight w:val="none"/>
              </w:rPr>
            </w:r>
            <w:r/>
          </w:p>
        </w:tc>
      </w:tr>
      <w:tr>
        <w:trPr>
          <w:trHeight w:val="748"/>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64"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1人</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男女不限</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014"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身体健康，体检合格，具有大专及以上学历，满足招标文件要求，50周岁（含）以下。</w:t>
            </w:r>
            <w:r>
              <w:rPr>
                <w:rFonts w:hint="eastAsia" w:ascii="宋体" w:hAnsi="宋体" w:eastAsia="宋体" w:cs="宋体"/>
                <w:color w:val="000000"/>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客服/仓储</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64"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2人</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男女不限</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014"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身体健康，体检合格，具有大专及以上学历，熟悉计算机操作，45周岁（含）以下。</w:t>
            </w:r>
            <w:r>
              <w:rPr>
                <w:rFonts w:hint="eastAsia" w:ascii="宋体" w:hAnsi="宋体" w:eastAsia="宋体" w:cs="宋体"/>
                <w:color w:val="000000"/>
                <w:sz w:val="24"/>
                <w:szCs w:val="24"/>
              </w:rPr>
            </w:r>
            <w:r/>
          </w:p>
        </w:tc>
      </w:tr>
      <w:tr>
        <w:trPr>
          <w:trHeight w:val="135"/>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一线技术员工</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64"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5人</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14"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1.身体健康，体检合格，60周岁（含）以下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34"/>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2.具有专业要求的各类资、证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eastAsia="zh-CN"/>
              </w:rPr>
              <w:t xml:space="preserve">从事登高作业人员</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lang w:eastAsia="zh-CN"/>
              </w:rPr>
              <w:t xml:space="preserve">高处作业特种作业操作证；</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eastAsia="zh-CN"/>
              </w:rPr>
              <w:t xml:space="preserve">现场配备专职特种作业电工人员，</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eastAsia="zh-CN"/>
              </w:rPr>
              <w:t xml:space="preserve">持证上岗，配备低压电工、高压电工各不少于 1 名，</w:t>
            </w:r>
            <w:r>
              <w:rPr>
                <w:rFonts w:hint="eastAsia" w:ascii="宋体" w:hAnsi="宋体" w:eastAsia="宋体" w:cs="宋体"/>
                <w:color w:val="000000"/>
                <w:sz w:val="24"/>
                <w:szCs w:val="24"/>
                <w:highlight w:val="none"/>
                <w:lang w:val="en-US" w:eastAsia="zh-CN"/>
              </w:rPr>
              <w:t xml:space="preserve">高、低压电工</w:t>
            </w:r>
            <w:r>
              <w:rPr>
                <w:rFonts w:hint="eastAsia" w:ascii="宋体" w:hAnsi="宋体" w:eastAsia="宋体" w:cs="宋体"/>
                <w:color w:val="000000"/>
                <w:sz w:val="24"/>
                <w:szCs w:val="24"/>
                <w:highlight w:val="none"/>
                <w:lang w:eastAsia="zh-CN"/>
              </w:rPr>
              <w:t xml:space="preserve">不得相互兼任。</w:t>
            </w:r>
            <w:r>
              <w:rPr>
                <w:rFonts w:hint="eastAsia" w:ascii="宋体" w:hAnsi="宋体" w:eastAsia="宋体" w:cs="宋体"/>
                <w:color w:val="000000"/>
                <w:sz w:val="24"/>
                <w:szCs w:val="24"/>
                <w:highlight w:val="none"/>
                <w:lang w:eastAsia="zh-CN"/>
              </w:rPr>
            </w:r>
            <w:r/>
          </w:p>
        </w:tc>
      </w:tr>
    </w:tbl>
    <w:p>
      <w:pPr>
        <w:pStyle w:val="1134"/>
        <w:ind w:firstLine="482"/>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1、上表中各岗位人员必须为专职人员，不得兼任其他岗位且人员数量不得少于“</w:t>
      </w:r>
      <w:r>
        <w:rPr>
          <w:rFonts w:hint="eastAsia" w:ascii="宋体" w:hAnsi="宋体" w:eastAsia="宋体" w:cs="宋体"/>
          <w:bCs/>
          <w:sz w:val="24"/>
          <w:szCs w:val="24"/>
        </w:rPr>
        <w:t xml:space="preserve">人员配备基本需求表</w:t>
      </w:r>
      <w:r>
        <w:rPr>
          <w:rFonts w:hint="eastAsia" w:ascii="宋体" w:hAnsi="宋体" w:eastAsia="宋体" w:cs="宋体"/>
          <w:sz w:val="24"/>
          <w:szCs w:val="24"/>
        </w:rPr>
        <w:t xml:space="preserve">”要求，否则作无效投标处理。</w:t>
      </w:r>
      <w:r>
        <w:rPr>
          <w:rFonts w:hint="eastAsia" w:ascii="宋体" w:hAnsi="宋体" w:eastAsia="宋体" w:cs="宋体"/>
          <w:b/>
          <w:bCs/>
          <w:sz w:val="24"/>
          <w:szCs w:val="24"/>
        </w:rPr>
        <w:t xml:space="preserve">（提供</w:t>
      </w:r>
      <w:r>
        <w:rPr>
          <w:rFonts w:hint="eastAsia" w:ascii="宋体" w:hAnsi="宋体" w:eastAsia="宋体" w:cs="宋体"/>
          <w:b/>
          <w:bCs/>
          <w:sz w:val="24"/>
          <w:szCs w:val="24"/>
          <w:lang w:eastAsia="zh-CN"/>
        </w:rPr>
        <w:t xml:space="preserve">“人员配备一览表”</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加盖公章的承诺书</w:t>
      </w:r>
      <w:r>
        <w:rPr>
          <w:rFonts w:hint="eastAsia" w:ascii="宋体" w:hAnsi="宋体" w:eastAsia="宋体" w:cs="宋体"/>
          <w:b/>
          <w:bCs/>
          <w:sz w:val="24"/>
          <w:szCs w:val="24"/>
          <w:lang w:eastAsia="zh-CN"/>
        </w:rPr>
        <w:t xml:space="preserve">，否则作无效投标处理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2、拟派驻学校的人员需提供人员信息明细、有效任职资格证书、无犯罪记录证明、体检合格证明（不超过1年）等材料复印件并加盖公章。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3、服务期间维修电话保证24</w:t>
      </w:r>
      <w:r>
        <w:rPr>
          <w:rFonts w:hint="eastAsia" w:ascii="宋体" w:hAnsi="宋体" w:eastAsia="宋体" w:cs="宋体"/>
          <w:color w:val="000000"/>
          <w:sz w:val="24"/>
          <w:szCs w:val="24"/>
        </w:rPr>
        <w:t xml:space="preserve">小时接听及24小时人员在岗，半小时之内必须到达现场并立即安排维修、施工。</w:t>
      </w:r>
      <w:r>
        <w:rPr>
          <w:rFonts w:hint="eastAsia" w:ascii="宋体" w:hAnsi="宋体" w:eastAsia="宋体" w:cs="宋体"/>
          <w:b/>
          <w:color w:val="000000"/>
          <w:sz w:val="24"/>
          <w:szCs w:val="24"/>
        </w:rPr>
      </w:r>
      <w:r/>
    </w:p>
    <w:p>
      <w:pPr>
        <w:pStyle w:val="1134"/>
        <w:ind w:firstLine="482"/>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3.8</w:t>
      </w:r>
      <w:r>
        <w:rPr>
          <w:rFonts w:hint="eastAsia" w:ascii="宋体" w:hAnsi="宋体" w:eastAsia="宋体" w:cs="宋体"/>
          <w:b/>
          <w:sz w:val="24"/>
          <w:szCs w:val="24"/>
        </w:rPr>
        <w:t xml:space="preserve">考核样表</w:t>
      </w:r>
      <w:r>
        <w:rPr>
          <w:rFonts w:hint="eastAsia" w:ascii="宋体" w:hAnsi="宋体" w:eastAsia="宋体" w:cs="宋体"/>
          <w:b/>
          <w:sz w:val="24"/>
          <w:szCs w:val="24"/>
        </w:rPr>
      </w:r>
      <w:r/>
    </w:p>
    <w:p>
      <w:pPr>
        <w:pStyle w:val="1134"/>
        <w:jc w:val="center"/>
        <w:spacing w:line="360" w:lineRule="auto"/>
        <w:rPr>
          <w:rFonts w:hint="eastAsia" w:ascii="宋体" w:hAnsi="宋体" w:eastAsia="宋体" w:cs="宋体"/>
          <w:b/>
          <w:bCs/>
        </w:rPr>
      </w:pPr>
      <w:r>
        <w:rPr>
          <w:rFonts w:hint="eastAsia" w:ascii="宋体" w:hAnsi="宋体" w:eastAsia="宋体" w:cs="宋体"/>
          <w:b/>
          <w:bCs/>
          <w:sz w:val="24"/>
          <w:szCs w:val="24"/>
        </w:rPr>
        <w:t xml:space="preserve">南京信息工程大学学生宿舍维修管理月度考评表（试行）</w:t>
      </w:r>
      <w:r>
        <w:rPr>
          <w:rFonts w:hint="eastAsia" w:ascii="宋体" w:hAnsi="宋体" w:eastAsia="宋体" w:cs="宋体"/>
          <w:b/>
          <w:bCs/>
        </w:rPr>
      </w:r>
      <w:r/>
    </w:p>
    <w:tbl>
      <w:tblPr>
        <w:tblW w:w="98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4537"/>
        <w:gridCol w:w="863"/>
        <w:gridCol w:w="2826"/>
        <w:gridCol w:w="759"/>
      </w:tblGrid>
      <w:tr>
        <w:trPr>
          <w:trHeight w:val="462"/>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537"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标准内容</w:t>
            </w:r>
            <w:r>
              <w:rPr>
                <w:rFonts w:hint="eastAsia" w:ascii="宋体" w:hAnsi="宋体" w:eastAsia="宋体" w:cs="宋体"/>
                <w:sz w:val="24"/>
                <w:szCs w:val="24"/>
              </w:rPr>
            </w:r>
            <w:r/>
          </w:p>
        </w:tc>
        <w:tc>
          <w:tcPr>
            <w:tcW w:w="863"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W w:w="2826"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监管评分标准</w:t>
            </w:r>
            <w:r>
              <w:rPr>
                <w:rFonts w:hint="eastAsia" w:ascii="宋体" w:hAnsi="宋体" w:eastAsia="宋体" w:cs="宋体"/>
                <w:sz w:val="24"/>
                <w:szCs w:val="24"/>
              </w:rPr>
            </w:r>
            <w:r/>
          </w:p>
        </w:tc>
        <w:tc>
          <w:tcPr>
            <w:tcW w:w="759"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得分</w:t>
            </w:r>
            <w:r>
              <w:rPr>
                <w:rFonts w:hint="eastAsia" w:ascii="宋体" w:hAnsi="宋体" w:eastAsia="宋体" w:cs="宋体"/>
                <w:sz w:val="24"/>
                <w:szCs w:val="24"/>
              </w:rPr>
            </w:r>
            <w:r/>
          </w:p>
        </w:tc>
      </w:tr>
      <w:tr>
        <w:trPr>
          <w:trHeight w:val="563"/>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好服务范围内水电等日常安全巡查并健全安全巡查台账，发现问题立即维修；建立健全报修服务制度，做好维修及回访台账记录；每月至少开展一次全员安全学习及服务水平、维修技能培训并做好相关台账；做好材料使用和出入库登记台账。</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648"/>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员配备须满足维修任务要求，不得低于招投标要求；有行业技术要求的维修施工，维修人员需做到持证上岗；所有工作人员在岗期间，不得擅离工作岗位、脱岗、误岗，认真登记，及时安排维修；维修人员巡查和维修时必须穿工作服并佩戴工作牌。</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648"/>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材料质量满足国家质量检测合格标准，不得低于招投标要求，不得使用劣质产品或三无产品。</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45"/>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好文明施工措施，在危及人身安全处必须有明显警示标识和具体的安全防范措施；工作人员要文明上岗，微笑服务，在现场维修时，不能激化矛盾；维修人员进入无人的学生宿舍或女生宿舍内进行维修服务时，需事先征得同意，且必须有宿舍管理人员陪同（在场人员须二人以上）。</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79"/>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维修及时率高，服务质量好；学生满意度高，随机满意度测评中满意比例高于95%（含），学生评价好，无学生投诉。</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维修不及时，受到学生投诉的每次扣5分。随机满意度测评满意比例小于95%的，每低一个百分点扣5分。本项扣完为止。</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341"/>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服务范围内公共区域的设施设备保持完好，墙面无明显起鼓脱皮（局部修补需横平竖直）、地砖地板无缺损及明显空鼓、吊顶无明显缺损脱落。</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每发现一处违规扣5分。（墙面、地砖地板及吊顶从中标人入场第三个月起检查）</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706"/>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配合学校做好校内各项涉及宿舍的临时接送水/电及施工、应急抢修等工作。</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配合施工差，不能完成应急抢修工作的，本项按0分计。</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305"/>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项目经理在发生紧急突发事件时需即刻到岗。平时在校服务时间每周不少于</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天。</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项目经理不能及时应急处突的，或每周日常在岗</w:t>
            </w:r>
            <w:r>
              <w:rPr>
                <w:rFonts w:hint="eastAsia" w:ascii="宋体" w:hAnsi="宋体" w:eastAsia="宋体" w:cs="宋体"/>
                <w:sz w:val="24"/>
                <w:szCs w:val="24"/>
                <w:highlight w:val="none"/>
              </w:rPr>
              <w:t xml:space="preserve">出勤少于</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天</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出勤标准以投标人投标承诺为准</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，本项按0分计。</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305"/>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4537"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除上述要求外，严格履行招标文件及合同约定的其他要求。</w:t>
            </w: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2826"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每发现一次违规扣1分。</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W w:w="820"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4537"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86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总分</w:t>
            </w:r>
            <w:r>
              <w:rPr>
                <w:rFonts w:hint="eastAsia" w:ascii="宋体" w:hAnsi="宋体" w:eastAsia="宋体" w:cs="宋体"/>
                <w:sz w:val="24"/>
                <w:szCs w:val="24"/>
              </w:rPr>
            </w:r>
            <w:r/>
          </w:p>
        </w:tc>
        <w:tc>
          <w:tcPr>
            <w:gridSpan w:val="2"/>
            <w:tcW w:w="3585"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注：上表为月度考核表，</w:t>
      </w:r>
      <w:r>
        <w:rPr>
          <w:rFonts w:hint="eastAsia" w:ascii="宋体" w:hAnsi="宋体" w:eastAsia="宋体" w:cs="宋体"/>
          <w:sz w:val="24"/>
          <w:szCs w:val="24"/>
          <w:shd w:val="clear" w:color="auto" w:fill="ffffff"/>
        </w:rPr>
        <w:t xml:space="preserve">采购人</w:t>
      </w:r>
      <w:r>
        <w:rPr>
          <w:rFonts w:hint="eastAsia" w:ascii="宋体" w:hAnsi="宋体" w:eastAsia="宋体" w:cs="宋体"/>
          <w:sz w:val="24"/>
          <w:szCs w:val="24"/>
        </w:rPr>
        <w:t xml:space="preserve">可以根据考核情况和考核需要对考核内容做出修改。随机满意度测评即月度考核时随机抽取已完成报修单中的若干单进行回访，满意比例即为回访中学生对维修服务表示满意的数量占总抽取数量的比值。</w:t>
      </w:r>
      <w:r>
        <w:rPr>
          <w:rFonts w:hint="eastAsia" w:ascii="宋体" w:hAnsi="宋体" w:eastAsia="宋体" w:cs="宋体"/>
          <w:sz w:val="24"/>
          <w:szCs w:val="24"/>
        </w:rPr>
      </w:r>
      <w:r/>
    </w:p>
    <w:p>
      <w:pPr>
        <w:pStyle w:val="1134"/>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134"/>
        <w:spacing w:after="5"/>
        <w:rPr>
          <w:rFonts w:hint="eastAsia" w:ascii="宋体" w:hAnsi="宋体" w:eastAsia="宋体" w:cs="宋体"/>
          <w:b/>
          <w:color w:val="000000"/>
          <w:sz w:val="28"/>
          <w:szCs w:val="28"/>
          <w:highlight w:val="none"/>
        </w:rPr>
        <w:outlineLvl w:val="1"/>
      </w:pPr>
      <w:r/>
      <w:bookmarkStart w:id="114" w:name="_Toc28503"/>
      <w:r/>
      <w:bookmarkStart w:id="115" w:name="_Toc113485530"/>
      <w:r/>
      <w:bookmarkStart w:id="116" w:name="_Toc32321"/>
      <w:r>
        <w:rPr>
          <w:rFonts w:hint="eastAsia" w:ascii="宋体" w:hAnsi="宋体" w:eastAsia="宋体" w:cs="宋体"/>
          <w:b/>
          <w:color w:val="000000"/>
          <w:sz w:val="28"/>
          <w:szCs w:val="28"/>
          <w:highlight w:val="none"/>
        </w:rPr>
        <w:t xml:space="preserve">三、 商务要求：</w:t>
      </w:r>
      <w:bookmarkEnd w:id="114"/>
      <w:r/>
      <w:bookmarkEnd w:id="115"/>
      <w:r/>
      <w:bookmarkEnd w:id="116"/>
      <w:r>
        <w:rPr>
          <w:rFonts w:hint="eastAsia" w:ascii="宋体" w:hAnsi="宋体" w:eastAsia="宋体" w:cs="宋体"/>
          <w:b/>
          <w:color w:val="000000"/>
          <w:sz w:val="28"/>
          <w:szCs w:val="28"/>
          <w:highlight w:val="none"/>
        </w:rPr>
      </w:r>
      <w:r/>
    </w:p>
    <w:p>
      <w:pPr>
        <w:pStyle w:val="1134"/>
        <w:ind w:firstLine="482"/>
        <w:rPr>
          <w:rFonts w:hint="eastAsia" w:ascii="宋体" w:hAnsi="宋体" w:eastAsia="宋体" w:cs="宋体"/>
          <w:b/>
          <w:bCs/>
          <w:color w:val="000000"/>
          <w:sz w:val="24"/>
          <w:szCs w:val="24"/>
          <w:highlight w:val="none"/>
        </w:rPr>
      </w:pPr>
      <w:r>
        <w:rPr>
          <w:rFonts w:hint="eastAsia" w:ascii="宋体" w:hAnsi="宋体" w:eastAsia="宋体" w:cs="宋体"/>
          <w:b/>
          <w:sz w:val="24"/>
          <w:szCs w:val="24"/>
          <w:lang w:eastAsia="zh-CN"/>
        </w:rPr>
        <w:t xml:space="preserve">★</w:t>
      </w:r>
      <w:r>
        <w:rPr>
          <w:rFonts w:hint="eastAsia" w:ascii="宋体" w:hAnsi="宋体" w:eastAsia="宋体" w:cs="宋体"/>
          <w:b/>
          <w:color w:val="000000"/>
          <w:sz w:val="24"/>
          <w:szCs w:val="24"/>
          <w:highlight w:val="none"/>
        </w:rPr>
        <w:t xml:space="preserve">（一）</w:t>
      </w:r>
      <w:r>
        <w:rPr>
          <w:rFonts w:hint="eastAsia" w:ascii="宋体" w:hAnsi="宋体" w:eastAsia="宋体" w:cs="宋体"/>
          <w:b/>
          <w:bCs/>
          <w:color w:val="000000"/>
          <w:sz w:val="24"/>
          <w:szCs w:val="24"/>
          <w:highlight w:val="none"/>
        </w:rPr>
        <w:t xml:space="preserve">合同履约期限及</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地点：</w:t>
      </w:r>
      <w:r>
        <w:rPr>
          <w:rFonts w:hint="eastAsia" w:ascii="宋体" w:hAnsi="宋体" w:eastAsia="宋体" w:cs="宋体"/>
          <w:b/>
          <w:bCs/>
          <w:color w:val="000000"/>
          <w:sz w:val="24"/>
          <w:szCs w:val="24"/>
          <w:highlight w:val="none"/>
        </w:rPr>
      </w:r>
      <w:r/>
    </w:p>
    <w:p>
      <w:pPr>
        <w:pStyle w:val="1134"/>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.合同履约期限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1年</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年7月15日-202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年7月14日），具体时间以合同约定为准。</w:t>
      </w:r>
      <w:r>
        <w:rPr>
          <w:rFonts w:hint="eastAsia" w:ascii="宋体" w:hAnsi="宋体" w:eastAsia="宋体" w:cs="宋体"/>
          <w:bCs/>
          <w:color w:val="000000"/>
          <w:sz w:val="24"/>
          <w:szCs w:val="24"/>
          <w:highlight w:val="none"/>
        </w:rPr>
      </w:r>
      <w:r/>
    </w:p>
    <w:p>
      <w:pPr>
        <w:pStyle w:val="1134"/>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val="en-US" w:eastAsia="zh-CN"/>
        </w:rPr>
        <w:t xml:space="preserve">/服务区域</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南京信息工程大学</w:t>
      </w:r>
      <w:r>
        <w:rPr>
          <w:rFonts w:hint="eastAsia" w:ascii="宋体" w:hAnsi="宋体" w:eastAsia="宋体" w:cs="宋体"/>
          <w:bCs/>
          <w:color w:val="000000"/>
          <w:sz w:val="24"/>
          <w:szCs w:val="24"/>
          <w:highlight w:val="none"/>
          <w:lang w:val="en-US" w:eastAsia="zh-CN"/>
        </w:rPr>
        <w:t xml:space="preserve">中校区</w:t>
      </w:r>
      <w:r>
        <w:rPr>
          <w:rFonts w:hint="eastAsia" w:ascii="宋体" w:hAnsi="宋体" w:eastAsia="宋体" w:cs="宋体"/>
          <w:bCs/>
          <w:color w:val="000000"/>
          <w:sz w:val="24"/>
          <w:szCs w:val="24"/>
          <w:highlight w:val="none"/>
        </w:rPr>
        <w:t xml:space="preserve">内，学生宿舍总建筑面积约</w:t>
      </w:r>
      <w:r>
        <w:rPr>
          <w:rFonts w:hint="eastAsia" w:ascii="宋体" w:hAnsi="宋体" w:eastAsia="宋体" w:cs="宋体"/>
          <w:bCs/>
          <w:color w:val="000000"/>
          <w:sz w:val="24"/>
          <w:szCs w:val="24"/>
          <w:highlight w:val="none"/>
          <w:lang w:val="en-US" w:eastAsia="zh-CN"/>
        </w:rPr>
        <w:t xml:space="preserve">15.4</w:t>
      </w:r>
      <w:r>
        <w:rPr>
          <w:rFonts w:hint="eastAsia" w:ascii="宋体" w:hAnsi="宋体" w:eastAsia="宋体" w:cs="宋体"/>
          <w:bCs/>
          <w:color w:val="000000"/>
          <w:sz w:val="24"/>
          <w:szCs w:val="24"/>
          <w:highlight w:val="none"/>
        </w:rPr>
        <w:t xml:space="preserve">万平方米</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共计27栋学生宿舍</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34"/>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服务方式：学生宿舍维修为总价包干方式（包工包料）；</w:t>
      </w:r>
      <w:r>
        <w:rPr>
          <w:rFonts w:hint="eastAsia" w:ascii="宋体" w:hAnsi="宋体" w:eastAsia="宋体" w:cs="宋体"/>
          <w:bCs/>
          <w:color w:val="000000"/>
          <w:sz w:val="24"/>
          <w:szCs w:val="24"/>
          <w:highlight w:val="none"/>
        </w:rPr>
      </w:r>
      <w:r/>
    </w:p>
    <w:p>
      <w:pPr>
        <w:pStyle w:val="1134"/>
        <w:ind w:firstLine="482"/>
        <w:rPr>
          <w:rFonts w:hint="eastAsia" w:ascii="宋体" w:hAnsi="宋体" w:eastAsia="宋体" w:cs="宋体"/>
          <w:b/>
          <w:color w:val="000000"/>
          <w:sz w:val="24"/>
          <w:szCs w:val="24"/>
          <w:highlight w:val="none"/>
        </w:rPr>
      </w:pPr>
      <w:r>
        <w:rPr>
          <w:rFonts w:hint="eastAsia" w:ascii="宋体" w:hAnsi="宋体" w:eastAsia="宋体" w:cs="宋体"/>
          <w:b/>
          <w:sz w:val="24"/>
          <w:szCs w:val="24"/>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113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不支付预付款，对中标人实行月度考核制，每月考核一次（当期考核分值为三个月月度考核分值的均值），按每期（三个月）支付一次服务款，当期考核分值达85分（含）以上为合格，按合同支付当期合同款；当期考核分值低于85分为不合格，每低一分扣除当期合同款的1％。合同结束时，中标人应向采购人交接，交接结束且采购人签字接收后，采购人依据考核结果支付最后一次合同款。服务期满后，合同期考核合格，退还履约保证金（无息）。</w:t>
      </w:r>
      <w:r>
        <w:rPr>
          <w:rFonts w:hint="eastAsia" w:ascii="宋体" w:hAnsi="宋体" w:eastAsia="宋体" w:cs="宋体"/>
          <w:b/>
          <w:bCs w:val="0"/>
          <w:color w:val="000000"/>
          <w:sz w:val="24"/>
          <w:szCs w:val="24"/>
          <w:highlight w:val="none"/>
          <w:lang w:val="en-US" w:eastAsia="zh-CN"/>
        </w:rPr>
        <w:t xml:space="preserve">对于任何因改造、移交或延迟启用导致的服务期不满一年的宿舍楼栋，相关服务费将依据宿舍楼栋建筑面积和实际未开展服务的天数，在支付当期服务款中即时核减结算，费用的核减不视为采购人违约，采购人不承担违约责任</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若因财务管理或者国库封账需要延后的，则延期支付，具体支付时间以学校财务部门开账时间为准，不视为采购人违约，采购人不承担违约责任，中标人应当予以充分理解（遇节假日顺延付款）。</w:t>
      </w:r>
      <w:r>
        <w:rPr>
          <w:rFonts w:hint="eastAsia" w:ascii="宋体" w:hAnsi="宋体" w:eastAsia="宋体" w:cs="宋体"/>
          <w:bCs/>
          <w:color w:val="000000"/>
          <w:sz w:val="24"/>
          <w:szCs w:val="24"/>
          <w:highlight w:val="none"/>
        </w:rPr>
      </w:r>
      <w:r/>
    </w:p>
    <w:p>
      <w:pPr>
        <w:pStyle w:val="1134"/>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w:t>
      </w:r>
      <w:r>
        <w:rPr>
          <w:rFonts w:hint="eastAsia" w:ascii="宋体" w:hAnsi="宋体" w:eastAsia="宋体" w:cs="宋体"/>
          <w:b/>
          <w:sz w:val="24"/>
          <w:szCs w:val="24"/>
          <w:lang w:eastAsia="zh-CN"/>
        </w:rPr>
        <w:t xml:space="preserve">履约保证金</w:t>
      </w:r>
      <w:r>
        <w:rPr>
          <w:rFonts w:hint="eastAsia" w:ascii="宋体" w:hAnsi="宋体" w:eastAsia="宋体" w:cs="宋体"/>
          <w:b/>
          <w:sz w:val="24"/>
          <w:szCs w:val="24"/>
          <w:lang w:eastAsia="zh-CN"/>
        </w:rPr>
      </w:r>
      <w:r/>
    </w:p>
    <w:p>
      <w:pPr>
        <w:pStyle w:val="113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保证金：合同签订前，中标人向采购人支付合同价的10%作为履约保证金。中标人因考核扣款或支付违约金的，采购人有权直接从履约保证金中扣除。中标人应于扣款7天内及时补足履约保证金。中标人拒绝补足履约保证金的，采购人有权解除本合同，由此造成的全部损失由中标人自行承担。造成采购人损失的，中标人还应继续承担赔偿责任。</w:t>
      </w:r>
      <w:r>
        <w:rPr>
          <w:rFonts w:hint="eastAsia" w:ascii="宋体" w:hAnsi="宋体" w:eastAsia="宋体" w:cs="宋体"/>
          <w:bCs/>
          <w:color w:val="000000"/>
          <w:sz w:val="24"/>
          <w:szCs w:val="24"/>
          <w:highlight w:val="none"/>
        </w:rPr>
      </w:r>
      <w:r/>
    </w:p>
    <w:p>
      <w:pPr>
        <w:pStyle w:val="1134"/>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履约保证金退还：合同履行完毕后无任何服务质量及其他法律纠纷的无息返还履约保证金。</w:t>
      </w:r>
      <w:r>
        <w:rPr>
          <w:rFonts w:hint="eastAsia" w:ascii="宋体" w:hAnsi="宋体" w:eastAsia="宋体" w:cs="宋体"/>
          <w:bCs/>
          <w:color w:val="000000"/>
          <w:sz w:val="24"/>
          <w:szCs w:val="24"/>
          <w:highlight w:val="none"/>
        </w:rPr>
      </w:r>
      <w:r/>
    </w:p>
    <w:p>
      <w:pPr>
        <w:pStyle w:val="1134"/>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sz w:val="24"/>
          <w:szCs w:val="24"/>
        </w:rPr>
        <w:t xml:space="preserve">报价说明</w:t>
      </w:r>
      <w:r>
        <w:rPr>
          <w:rFonts w:hint="eastAsia" w:ascii="宋体" w:hAnsi="宋体" w:eastAsia="宋体" w:cs="宋体"/>
          <w:b/>
          <w:sz w:val="24"/>
          <w:szCs w:val="24"/>
        </w:rPr>
      </w:r>
      <w:r/>
    </w:p>
    <w:p>
      <w:pPr>
        <w:pStyle w:val="1134"/>
        <w:ind w:firstLine="480"/>
        <w:spacing w:line="360" w:lineRule="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1、本项目最高限价为1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0万元人民币</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报价应是本采购文件所包含确定的全部工作内容及本采购文件未说明但完成该项目必须包含的所有费用的价格体现。投标报价应包含但不限于人工费、机械费、材料费、已完工程保护费、间接费、措施费、管理费、风险费、人员劳保费用、意外保险及第三方责任险和人工费、各种税费、支付给员工的工资和国家强制缴纳的各种社会保障资金等以及政策性文件规定市场风险、政策调整风险的各项应有费用以及供应商认为需要的其他费用等。供应商的任何错漏、优惠、竞争性报价不得作为减轻责任、减少服务、增加收费、降低质量的理由。</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3、本次投标报价含扬尘污染防控措施及其它环保费、垃圾外运费、垃圾分类费等一切有关行政性收费，供应商须严格执行南京市人民政府令第287号《南京市扬尘污染防治管理办法》 、《市政府关于印发加强扬尘污染防控“十条措施” 的通知》（宁政发【2013】32号）文件的规定，相关费用由供应商自行报价，中标后不作调整。</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4、供应商须结合服务场地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综合考虑本项目服务范围变动等</w:t>
      </w:r>
      <w:r>
        <w:rPr>
          <w:rFonts w:hint="eastAsia" w:ascii="宋体" w:hAnsi="宋体" w:eastAsia="宋体" w:cs="宋体"/>
          <w:sz w:val="24"/>
          <w:szCs w:val="24"/>
        </w:rPr>
        <w:t xml:space="preserve">实际情况，充分考虑现场不利因素所造成的材料二次搬运、机械进退场，转移等可能增加的费用等风险。</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5、供应商在报价时应充分考虑政策性调整、市场风险等因素，中标后发生的政策变化或市场风险所引起的费用变化一律不再调整。</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6、所有材料选用优质产品，材料进场前需提供材料合格证，方可采购进场。</w:t>
      </w:r>
      <w:r>
        <w:rPr>
          <w:rFonts w:hint="eastAsia" w:ascii="宋体" w:hAnsi="宋体" w:eastAsia="宋体" w:cs="宋体"/>
          <w:b/>
          <w:bCs/>
          <w:sz w:val="24"/>
          <w:szCs w:val="24"/>
        </w:rPr>
      </w:r>
      <w:r/>
    </w:p>
    <w:p>
      <w:pPr>
        <w:pStyle w:val="1134"/>
        <w:ind w:firstLine="482"/>
        <w:spacing w:line="360" w:lineRule="auto"/>
        <w:rPr>
          <w:rFonts w:hint="eastAsia" w:ascii="宋体" w:hAnsi="宋体" w:eastAsia="宋体" w:cs="宋体"/>
          <w:b/>
          <w:bCs/>
          <w:sz w:val="24"/>
          <w:szCs w:val="24"/>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szCs w:val="24"/>
        </w:rPr>
        <w:t xml:space="preserve">售后服务</w:t>
      </w:r>
      <w:r>
        <w:rPr>
          <w:rFonts w:hint="eastAsia" w:ascii="宋体" w:hAnsi="宋体" w:eastAsia="宋体" w:cs="宋体"/>
          <w:b/>
          <w:bCs/>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1、材料质量等级要求：符合国家质量验收标准；</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2、材料维修安全要求：满足行政主管部门的要求；</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3、材料环保要求：符合环保部门的要求；</w:t>
      </w:r>
      <w:r>
        <w:rPr>
          <w:rFonts w:hint="eastAsia" w:ascii="宋体" w:hAnsi="宋体" w:eastAsia="宋体" w:cs="宋体"/>
          <w:sz w:val="24"/>
          <w:szCs w:val="24"/>
        </w:rPr>
      </w:r>
      <w:r/>
    </w:p>
    <w:p>
      <w:pPr>
        <w:pStyle w:val="1134"/>
        <w:ind w:firstLine="482"/>
        <w:jc w:val="left"/>
        <w:spacing w:line="360" w:lineRule="auto"/>
        <w:rPr>
          <w:rFonts w:hint="eastAsia" w:ascii="宋体" w:hAnsi="宋体" w:eastAsia="宋体" w:cs="宋体"/>
          <w:b/>
          <w:bCs/>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szCs w:val="24"/>
        </w:rPr>
        <w:t xml:space="preserve">撤场机制及要求</w:t>
      </w:r>
      <w:r>
        <w:rPr>
          <w:rFonts w:hint="eastAsia" w:ascii="宋体" w:hAnsi="宋体" w:eastAsia="宋体" w:cs="宋体"/>
          <w:b/>
          <w:bCs/>
          <w:sz w:val="24"/>
          <w:szCs w:val="24"/>
        </w:rPr>
      </w:r>
      <w:r/>
    </w:p>
    <w:p>
      <w:pPr>
        <w:pStyle w:val="1134"/>
        <w:ind w:firstLine="480"/>
        <w:jc w:val="left"/>
        <w:spacing w:line="360" w:lineRule="auto"/>
        <w:rPr>
          <w:rFonts w:hint="eastAsia" w:ascii="宋体" w:hAnsi="宋体" w:eastAsia="宋体" w:cs="宋体"/>
          <w:b/>
          <w:color w:val="000000"/>
          <w:sz w:val="28"/>
          <w:szCs w:val="28"/>
          <w:highlight w:val="none"/>
          <w:lang w:val="en-US" w:eastAsia="zh-CN"/>
        </w:rPr>
      </w:pPr>
      <w:r>
        <w:rPr>
          <w:rFonts w:hint="eastAsia" w:ascii="宋体" w:hAnsi="宋体" w:eastAsia="宋体" w:cs="宋体"/>
          <w:sz w:val="24"/>
          <w:szCs w:val="24"/>
        </w:rPr>
        <w:t xml:space="preserve">合同期满，或合同被采购人解除的，中标人应无条件撤离采购人所提供的所有值班室及仓库。中标人在接到采购人通知之日起3日内撤离值班室及仓库，办理完交接手续，设施设备、维修材料等拆除与搬运费用由中标人全部承担。中标人撤离时，值班室、仓库及水电设施应当符合正常安全使用后的状态，有非自然损坏的，由中标人承担维修或赔偿责任。超过3日不撤离的，设施设备由采购人作为无主物进行处置，采购人有权委托他人进行设施设备拆除和搬运，所产生的费用由中标人承担。相关费用从中标人履约保证金中扣除。</w:t>
      </w:r>
      <w:r>
        <w:rPr>
          <w:rFonts w:hint="eastAsia" w:ascii="宋体" w:hAnsi="宋体" w:eastAsia="宋体" w:cs="宋体"/>
          <w:b/>
          <w:color w:val="000000"/>
          <w:sz w:val="28"/>
          <w:szCs w:val="28"/>
          <w:highlight w:val="none"/>
          <w:lang w:val="en-US" w:eastAsia="zh-CN"/>
        </w:rPr>
      </w:r>
      <w:r/>
    </w:p>
    <w:p>
      <w:pPr>
        <w:pStyle w:val="1134"/>
        <w:ind w:firstLine="492"/>
        <w:tabs>
          <w:tab w:val="left" w:pos="105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备注</w:t>
      </w:r>
      <w:r>
        <w:rPr>
          <w:rFonts w:hint="eastAsia" w:ascii="宋体" w:hAnsi="宋体" w:eastAsia="宋体" w:cs="宋体"/>
          <w:b/>
          <w:color w:val="000000"/>
          <w:sz w:val="28"/>
          <w:szCs w:val="28"/>
          <w:highlight w:val="none"/>
        </w:rPr>
      </w:r>
      <w:r/>
    </w:p>
    <w:p>
      <w:pPr>
        <w:pStyle w:val="1134"/>
        <w:ind w:firstLine="48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4"/>
          <w:szCs w:val="24"/>
        </w:rPr>
        <w:t xml:space="preserve">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”条款为实质性条款，必须逐条响应，并按要求提供证明材料或承诺书等，否则按无效投标处理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1135"/>
        <w:ind w:firstLine="0"/>
        <w:tabs>
          <w:tab w:val="left" w:pos="1440" w:leader="none"/>
          <w:tab w:val="left" w:pos="5670" w:leader="none"/>
        </w:tabs>
        <w:rPr>
          <w:rFonts w:hint="eastAsia" w:ascii="宋体" w:hAnsi="宋体" w:eastAsia="宋体" w:cs="宋体"/>
          <w:b w:val="0"/>
          <w:color w:val="000000"/>
          <w:sz w:val="28"/>
          <w:highlight w:val="none"/>
        </w:rPr>
      </w:pPr>
      <w:r/>
      <w:bookmarkStart w:id="117" w:name="_Toc18787"/>
      <w:r>
        <w:rPr>
          <w:rFonts w:hint="eastAsia" w:ascii="宋体" w:hAnsi="宋体" w:eastAsia="宋体" w:cs="宋体"/>
          <w:color w:val="000000"/>
          <w:highlight w:val="none"/>
        </w:rPr>
        <w:t xml:space="preserve">第五章 </w:t>
      </w:r>
      <w:bookmarkEnd w:id="106"/>
      <w:r>
        <w:rPr>
          <w:rFonts w:hint="eastAsia" w:ascii="宋体" w:hAnsi="宋体" w:eastAsia="宋体" w:cs="宋体"/>
          <w:color w:val="000000"/>
          <w:highlight w:val="none"/>
        </w:rPr>
        <w:t xml:space="preserve">拟签订的合同文本</w:t>
      </w:r>
      <w:bookmarkEnd w:id="107"/>
      <w:r/>
      <w:bookmarkEnd w:id="117"/>
      <w:r>
        <w:rPr>
          <w:rFonts w:hint="eastAsia" w:ascii="宋体" w:hAnsi="宋体" w:eastAsia="宋体" w:cs="宋体"/>
          <w:b w:val="0"/>
          <w:color w:val="000000"/>
          <w:sz w:val="28"/>
          <w:highlight w:val="none"/>
        </w:rPr>
      </w:r>
      <w:r/>
    </w:p>
    <w:p>
      <w:pPr>
        <w:pStyle w:val="1134"/>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w:t>
      </w:r>
      <w:r>
        <w:rPr>
          <w:rFonts w:hint="eastAsia" w:ascii="宋体" w:hAnsi="宋体" w:eastAsia="宋体" w:cs="宋体"/>
          <w:b/>
          <w:bCs/>
          <w:i/>
          <w:iCs/>
          <w:color w:val="000000"/>
          <w:sz w:val="24"/>
          <w:szCs w:val="24"/>
          <w:highlight w:val="none"/>
          <w:lang w:val="en-US" w:eastAsia="zh-CN"/>
        </w:rPr>
        <w:t xml:space="preserve">服务</w:t>
      </w:r>
      <w:r>
        <w:rPr>
          <w:rFonts w:hint="eastAsia" w:ascii="宋体" w:hAnsi="宋体" w:eastAsia="宋体" w:cs="宋体"/>
          <w:b/>
          <w:bCs/>
          <w:i/>
          <w:iCs/>
          <w:color w:val="000000"/>
          <w:sz w:val="24"/>
          <w:szCs w:val="24"/>
          <w:highlight w:val="none"/>
        </w:rPr>
        <w:t xml:space="preserve">类采购合同参考格式，本合同内容条款在正式签署前可具体补充细化，仅作参考，最终合同以采购人法务审查通过的版本为准）</w:t>
      </w:r>
      <w:bookmarkStart w:id="118" w:name="_Toc4445"/>
      <w:r>
        <w:rPr>
          <w:rFonts w:ascii="宋体" w:hAnsi="宋体" w:eastAsia="宋体" w:cs="宋体"/>
          <w:b/>
          <w:bCs/>
          <w:i/>
          <w:iCs/>
          <w:color w:val="000000"/>
          <w:sz w:val="24"/>
          <w:szCs w:val="24"/>
          <w:highlight w:val="none"/>
        </w:rPr>
      </w:r>
      <w:r/>
    </w:p>
    <w:p>
      <w:pPr>
        <w:pStyle w:val="1134"/>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134"/>
        <w:ind w:firstLine="480"/>
        <w:spacing w:line="360" w:lineRule="auto"/>
        <w:rPr>
          <w:rFonts w:hint="eastAsia" w:ascii="宋体" w:hAnsi="宋体" w:eastAsia="宋体" w:cs="宋体"/>
          <w:sz w:val="24"/>
          <w:szCs w:val="24"/>
        </w:rPr>
      </w:pPr>
      <w:r/>
      <w:bookmarkEnd w:id="118"/>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甲方（采购人）： 南京信息工程大学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乙方（供应商）：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签订时间：   年   月   日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根据《中华人民共和国政府采购法》《中华人民共和国民法典》等法律、法规规定，按照项目名称：南京信息工程大学</w:t>
      </w:r>
      <w:r>
        <w:rPr>
          <w:rFonts w:hint="eastAsia" w:ascii="宋体" w:hAnsi="宋体" w:eastAsia="宋体" w:cs="宋体"/>
          <w:sz w:val="24"/>
          <w:szCs w:val="24"/>
          <w:lang w:val="zh-CN"/>
        </w:rPr>
        <w:t xml:space="preserve">2026-2027年度中苑宿舍维修服务</w:t>
      </w:r>
      <w:r>
        <w:rPr>
          <w:rFonts w:hint="eastAsia" w:ascii="宋体" w:hAnsi="宋体" w:eastAsia="宋体" w:cs="宋体"/>
          <w:sz w:val="24"/>
          <w:szCs w:val="24"/>
        </w:rPr>
        <w:t xml:space="preserve">（招标编号：      ）采购文件、投标（响应）文件规定条款和中标（成交）供应商承诺，甲方向乙方购置相关服务，双方同意以下内容（包括合同附件A、附件B）。</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服务内容</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1、服务期限：本项目服务期限：12个月（202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年7月15日-202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年7月14日）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具体乙方入场服务日期以甲方书面通知为准</w:t>
      </w:r>
      <w:r>
        <w:rPr>
          <w:rFonts w:hint="eastAsia" w:ascii="宋体" w:hAnsi="宋体" w:eastAsia="宋体" w:cs="宋体"/>
          <w:sz w:val="24"/>
          <w:szCs w:val="24"/>
        </w:rPr>
        <w:t xml:space="preserve">。如果任何一方需要终止或中止本合同，应提前15天书面通知对方。</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2、乙方所提供的服务必须与采购文件和承诺相一致。服务内容、时限、完成标准、服务费见合同附件A。本项目服务范围、服务区域、人员配置要求、服务要求等详见甲方采购文件第四章。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乙方在工作中因自身过错而发生任何错误或遗漏，乙方应无条件更正，而不得向甲方另外收取服务费，并就因此而对甲方造成的损失承担赔偿责任，若因甲方原因造成工作的延误，将由甲方承担相应的损失。</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4、乙方义务及承诺：</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（1）乙方接到甲方通过电话、信函传真、电子邮件、网上提交等方式提出关于附件A所列服务的请求后，在相关时限内给予响应并提供服务。若乙方未予以响应，视为乙方认可甲方要求，乙方必须按照请求执行。</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（2）乙方提供给甲方的服务，必须按照合同附件A规定的标准进行。</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在维修过程、服务过程中（包括甲方提供的值班室及仓库）不得产生安全、消防、水电安全、卫生、环保等问题。在维修中发生的安全事故、消防事故、水电事故、人身伤害事故等均由乙方负责，所造成的一切损失由乙方承担，甲方有权立即终止合同；对发生重大有影响责任事件的，乙方应承担甲方</w:t>
      </w:r>
      <w:r>
        <w:rPr>
          <w:rFonts w:hint="eastAsia" w:ascii="宋体" w:hAnsi="宋体" w:eastAsia="宋体" w:cs="宋体"/>
          <w:sz w:val="24"/>
          <w:szCs w:val="24"/>
          <w:lang w:val="en-US" w:eastAsia="zh-CN"/>
        </w:rPr>
        <w:t xml:space="preserve">及甲方学生的全部</w:t>
      </w:r>
      <w:r>
        <w:rPr>
          <w:rFonts w:hint="eastAsia" w:ascii="宋体" w:hAnsi="宋体" w:eastAsia="宋体" w:cs="宋体"/>
          <w:sz w:val="24"/>
          <w:szCs w:val="24"/>
        </w:rPr>
        <w:t xml:space="preserve">损失，如涉及</w:t>
      </w:r>
      <w:r>
        <w:rPr>
          <w:rFonts w:hint="eastAsia" w:ascii="宋体" w:hAnsi="宋体" w:eastAsia="宋体" w:cs="宋体"/>
          <w:sz w:val="24"/>
          <w:szCs w:val="24"/>
          <w:lang w:val="en-US" w:eastAsia="zh-CN"/>
        </w:rPr>
        <w:t xml:space="preserve">其他行政或刑事</w:t>
      </w:r>
      <w:r>
        <w:rPr>
          <w:rFonts w:hint="eastAsia" w:ascii="宋体" w:hAnsi="宋体" w:eastAsia="宋体" w:cs="宋体"/>
          <w:sz w:val="24"/>
          <w:szCs w:val="24"/>
        </w:rPr>
        <w:t xml:space="preserve">法律责任，所有责任由乙方承担，同时甲方有权立即终止合同；如发生损害甲方声誉的事件，甲方有权扣除部分或全部履约保证金，对甲方造成损失的，乙方承担全部赔偿责任。</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工作人员在提供服务过程中遭受的人身财产损害，由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自行承担赔偿责任，与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无关，</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不承担任何责任</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应严格执行国家相关法律、法规，严格按操作规程与操作标准执行；乙方所提供的服务不符合项目要求或乙方未响应投标文件承诺及国家有关质量标准，且拒绝整改，甲方可单方面解除合同，并由乙方赔偿甲方由此造成的全部损失。</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（5）乙方应接受甲方全面监督、指导、检查、验收和考核。拟派驻该项目的项目经理与投标时的项目经理必须一致，未经甲方同意不得随意更换，且不得兼任其他项目。项目经理须长期驻点现场，具体以</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投标承诺为准，服从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的管理，如遇突发事件，应第一时间到达现场处理。项目经理不能</w:t>
      </w:r>
      <w:r>
        <w:rPr>
          <w:rFonts w:hint="eastAsia" w:ascii="宋体" w:hAnsi="宋体" w:eastAsia="宋体" w:cs="宋体"/>
          <w:sz w:val="24"/>
          <w:szCs w:val="24"/>
          <w:lang w:val="en-US" w:eastAsia="zh-CN"/>
        </w:rPr>
        <w:t xml:space="preserve">按照投标承诺</w:t>
      </w:r>
      <w:r>
        <w:rPr>
          <w:rFonts w:hint="eastAsia" w:ascii="宋体" w:hAnsi="宋体" w:eastAsia="宋体" w:cs="宋体"/>
          <w:sz w:val="24"/>
          <w:szCs w:val="24"/>
        </w:rPr>
        <w:t xml:space="preserve">做到在现场提供服务的，需向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提前请假，项目经理或管理人员在应急处突时缺岗或每周在岗</w:t>
      </w:r>
      <w:r>
        <w:rPr>
          <w:rFonts w:hint="eastAsia" w:ascii="宋体" w:hAnsi="宋体" w:eastAsia="宋体" w:cs="宋体"/>
          <w:sz w:val="24"/>
          <w:szCs w:val="24"/>
          <w:lang w:val="en-US" w:eastAsia="zh-CN"/>
        </w:rPr>
        <w:t xml:space="preserve">天数</w:t>
      </w:r>
      <w:r>
        <w:rPr>
          <w:rFonts w:hint="eastAsia" w:ascii="宋体" w:hAnsi="宋体" w:eastAsia="宋体" w:cs="宋体"/>
          <w:sz w:val="24"/>
          <w:szCs w:val="24"/>
        </w:rPr>
        <w:t xml:space="preserve">少于</w:t>
      </w:r>
      <w:r>
        <w:rPr>
          <w:rFonts w:hint="eastAsia" w:ascii="宋体" w:hAnsi="宋体" w:eastAsia="宋体" w:cs="宋体"/>
          <w:sz w:val="24"/>
          <w:szCs w:val="24"/>
          <w:lang w:val="en-US" w:eastAsia="zh-CN"/>
        </w:rPr>
        <w:t xml:space="preserve">投标承诺时间的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有权要求</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违约责任并支付违约金，按照2000元/天从合同款中扣除，并有权随时终止合同。乙方更换项目经理需书面提交申请，且需甲方书面同意，进场服务3个月内更换项目经理的乙方需向甲方支付15000元违约金，3-6个月内更换项目经理的需支付10000元违约金，6-9个月内更换项目经理的需支付8000元违约金，9-12个月内更换项目经理的需支付6000元违约金，每次项目经理更换违约金的计算，根据前一项目经理进场服务时间，按上述规则进行重新计算。</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对于不服从甲方管理、工作态度或工作技能或工作质量较差的项目经理及现场工作人员，甲方有权要求乙方立即（2日内）调整更换，如不按时调整更换，甲方有权要求乙方承担违约责任并支付违约金，按照2000元/人/次从合同款中扣除，并有权随时终止合同</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（7）维修服务期间人员脱岗、未按照要求履行岗位职责的，甲方有权要求乙方承担违约责任并支付违约金，按照2000元/人/次从合同款中扣除；因上述原因造成</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的学生损失扩大的，</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还应承担全部赔偿责任。</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8）对出现以下情形之一的，甲方有权要求乙方承担违约责任并支付违约金，每发生一项，从合同款中扣除10000元：因维修服务不到位导致发生有较大影响的责任事件；未在甲方要求期限内完成整改的；服务人员存在违纪违法行为（如偷盗等不良行为），对学校造成影响的。对发生重大有影响责任事件的，乙方应承担甲方相应的损失，如涉及法律责任，所有责任由乙方承担，同时甲方有权立即终止合同</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乙方需按照甲方招标要求采购配备维修材料，甲方每月会对乙方的材料采购进行抽检，如发现不合格或“三无”产品，甲方有权要求乙方立即予以更换，且乙方应承担违约责任并支付违约金，每次从合同款中扣除2000元，如2次未整改到位，则可暂扣本期服务费，待整改合格后再支付；如连续两次抽检不合格或累计3次抽检不合格，甲方有权终止合同，并要求乙方承担违约责任并承担由此产生的各项损失；同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应无条件退场。</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（10）乙方就本项目购买雇主责任险、财产损失险、公众责任险、人身安全和第三方责任险等，履行合同时产生的债权债务、财产损失、人身伤害、劳动纠纷等一切问题，均由乙方承担责任，甲方不承担责任；</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乙方应在签订合同一周内提供本项目的全部维修服务人员的雇主责任险和公众责任险/第三方责任险复印件给甲方，保险期限应涵盖本合同期限，并将学校同时列为被保险人。如乙方已购买统一公众责任险覆盖至其提供服务的所有项目，则可不需另外购买，但须提供保险单复印件给甲方；</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（12）乙方自主开展各项管理或维修活动，不得侵害学校、使用人及他人的合法权益，不得利用提供管理服务的便利获取不当利益，不得擅自占用或改变公用设施的使用功能；</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（13）乙方工作人员在工作中违反操作规范或者施工中未经甲方同意或有关部门批准，随意拆改原建筑物结构及各种设备管线，致学校设备、设施等损坏，造成的损失经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或</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聘请的第三方评估后由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赔偿，</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聘请第三方的费用亦由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（14）甲方向乙方提供本项目所必需的值班室及仓库，按实收取水电、供冷供暖费用，乙方应妥善保护甲方提供的设备及家具、陈设和工程成品，如造成损失，应照原价赔偿</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（15）做好服务质量投诉处理工作，投诉的问题必须热情周到地接待受理并认真做好记录，处理结果及时反馈。不得违规开展有偿维修服务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16）考虑到安全第一因素，乙方在维修服务期内不得在甲方单位使用明火开伙做饭，办公、生活所需的任何电器使用前需到甲方管理部门备案，许可后方可使用，如有违规经教育仍不整改，甲方有权要求乙方承担违约责任并支付违约金，按照2000元/次从合同款中扣除</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（17）乙方需配合做好宿舍楼内及校内相关的其他维修、改造项目的验收和移交等</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（18）所有维修材料均应符合国家节能及认证标准的合格产品，由乙方负责。按照设备运行规律，有计划进行调整、更换易损件，减少故障发生率。运行中的设备出现了故障后，及时进行修理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（19）乙方承诺按学校要求在本项目服务范围内无偿增加维修人员完成临时维修任务</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20）对学生提出的任何合理维修问题，乙方应及时解答和处理。维修人员在服务期间需统一着装，携带工作牌（乙方自制且须有照片及乙方公章），做好安全措施，放置维修警示标识，有行业技术要求的维修工作，做到持证上岗。进入学生宿舍进行维修时，需事先征得同意后方可进入，若进入女生宿舍时且还需要在宿舍管理人员陪同下方可进入宿舍进行维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（21）乙方承诺配合学校做好宿舍楼的各种检查；配合学校做好节能管理工作。</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（22）乙方不得将本项目的服务全部或部分转包、分包给其他第三方。一经发现，甲方有权终止合同，并要求乙方按照本合同承担违约和赔偿责任。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（23）乙方不得擅自停止维修服务。若因乙方擅自停止提供相应服务造成的一切损失均由乙方承担赔偿责任。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（24）因合同期满、合同被提前解除或其他原因，乙方无条件撤场，乙方不得要求甲方对其货物投入、资金投入、人员投入等作任何经济赔偿或补偿。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（25）乙方应对其聘用人员进行安全管理。乙方提供维修服务期间发生的乙方人员人身财产损害，由乙方自行承担法律及经济赔偿责任。</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服务费及支付方式</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1、服务费：本项目服务费合计金额为人民币（含税价）（大写）：   元；（小写）：¥      元。</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b/>
          <w:bCs w:val="0"/>
          <w:sz w:val="24"/>
          <w:szCs w:val="24"/>
          <w:highlight w:val="none"/>
        </w:rPr>
      </w:pPr>
      <w:r>
        <w:rPr>
          <w:rFonts w:hint="eastAsia" w:ascii="宋体" w:hAnsi="宋体" w:eastAsia="宋体" w:cs="宋体"/>
          <w:sz w:val="24"/>
          <w:szCs w:val="24"/>
        </w:rPr>
        <w:t xml:space="preserve">服务费具体的付款方式：学生宿舍维修服务项目为总价合同，不支付预付款，对乙方实行月度考核制，每月考核一次（当期考核分值为三个月月度考核分值的均值），按每期（三个月）支付一次服务款，当期考核分值达85分（含）以上为合格，按合同支付当期合同款；当期考核分值低于85分为不合格，甲方有权要求乙方承担违约责任并支付违约金，每低一分扣除当期合同款的1％。合同结束时，乙方应向甲方交接，交接结束且甲方签字接收后，甲方依据考核结果及项目审核情况支付最后一次合同款。服务期满后，合同期考核合格，退还履约保证金（无息）。</w:t>
      </w:r>
      <w:r>
        <w:rPr>
          <w:rFonts w:hint="eastAsia" w:ascii="宋体" w:hAnsi="宋体" w:eastAsia="宋体" w:cs="宋体"/>
          <w:b/>
          <w:bCs w:val="0"/>
          <w:color w:val="000000"/>
          <w:sz w:val="24"/>
          <w:szCs w:val="24"/>
          <w:highlight w:val="none"/>
          <w:lang w:val="en-US" w:eastAsia="zh-CN"/>
        </w:rPr>
        <w:t xml:space="preserve">对于任何因改造、移交或延迟启用导致的服务期不满一年的宿舍楼栋，相关服务费将依据宿舍楼栋建筑面积和实际未开展服务的天数，在支付当期服务款中即时核减结算，费用的核减不视为甲方违约，采购人不承担违约责任。</w:t>
      </w:r>
      <w:r>
        <w:rPr>
          <w:rFonts w:hint="eastAsia" w:ascii="宋体" w:hAnsi="宋体" w:eastAsia="宋体" w:cs="宋体"/>
          <w:b/>
          <w:bCs w:val="0"/>
          <w:sz w:val="24"/>
          <w:szCs w:val="24"/>
          <w:highlight w:val="none"/>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若因财务管理或者国库封账需要延后的，则延期支付，具体支付时间以学校财务部门开账时间为准，不视为</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违约，</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不承担违约责任，乙方应当予以充分理解（遇节假日顺延付款）。</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约定服务费仅包含合同附件A中列明的工作。如果甲方要求扩大项目范围，或因甲方改变已经议定的项目内容导致乙方需重复进行项目步骤，对于增加工作部分，双方应及时协商，无论服务费是否发生变更，均需签署《项目变更补充合同》作为依据。</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3、甲乙双方一致同意项目服务费按期以人民币形式支付。在乙方发出该项目工作的服务费账单及正式有效的税务发票后30个工作日内，向乙方支付约定的服务费。</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4、有关发票方面的任何问题，甲方应在收到发票后及时书面通知乙方，乙方应及时作出解释或解决问题，以使甲方能按时付款。</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服务费应包含但不限于服务费、人工费、机械费、材料费、已完工程保护费、间接费、措施费、管理费、风险费、人员劳保费用、意外保险及第三方责任险和人工费、各种税费、支付给员工的工资和国家强制缴纳的各种社会保障资金等以及政策性文件规定市场风险、政策调整风险的各项应有费用以及供应商认为需要的其他费用等。除此之外，甲方不再承担向乙方支付任何其他费用的义务。</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bookmarkStart w:id="119" w:name="_Hlk66364726"/>
      <w:r>
        <w:rPr>
          <w:rFonts w:hint="eastAsia" w:ascii="宋体" w:hAnsi="宋体" w:eastAsia="宋体" w:cs="宋体"/>
          <w:sz w:val="24"/>
          <w:szCs w:val="24"/>
        </w:rPr>
        <w:t xml:space="preserve">第三条 交接事宜</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1.甲乙双方约定在202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  月  日前进行本项目的现场交接。</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2.乙方须现状接收，并在甲方通知进场后立即开展维修工作。</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向乙方提供本项目所需的值班室及仓库、供电供水接入点。按实收取水电（水电表由乙方提供）、供冷供暖费用。乙方应妥善保护甲方提供的设备及家具、陈设和工程成品，拍摄现状照片留存，并在交接清单上签字确认，如造成损失，应照原价赔偿；</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4.本协议终止或被解除，或本协议到期后，乙方应无条件撤离甲方所提供的</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值班室及仓库。乙方在接到甲方通知之日起3日内撤离值班室及仓库，办理完交接手续，设施设备、维修材料等拆除与搬运费用由乙方全部承担。乙方撤离时，值班室、仓库及水电设施应当符合正常安全使用后的状态，有非自然损坏的，由乙方承担维修或赔偿责任。超过3日不撤离的，设施设备由甲方作为无主物进行处置，甲方有权委托他人进行设施设备拆除和搬运，所产生的费用由乙方承担。相关费用从乙方履约保证金中扣除。</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对值班室及仓库的任何装修改造均需事先得到甲方的同意。未经甲方同意，乙方不得擅自对甲方提供的值班室及仓库进行改造。乙方不得要求任何有关值班室及仓库的装修改造的补偿，所有装修改造归甲方所有。同时，乙方应完全承担与本项目有关的全部经济与法律责任（如经济、劳工、合约纠纷、赔偿责任等）。</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履约保证金</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bookmarkEnd w:id="119"/>
      <w:r>
        <w:rPr>
          <w:rFonts w:hint="eastAsia" w:ascii="宋体" w:hAnsi="宋体" w:eastAsia="宋体" w:cs="宋体"/>
          <w:sz w:val="24"/>
          <w:szCs w:val="24"/>
        </w:rPr>
        <w:t xml:space="preserve">乙方于签订合同前向甲方支付合同金额的10%作为履约保证金，乙方因考核扣款或支付违约金的，甲方有权直接从履约保证金中扣除。乙方应于扣款7天内及时补足履约保证金。乙方拒绝补足履约保证金的，甲方有权解除本合同，由此造成的全部损失由乙方自行承担。造成甲方损失的，乙方还应继续承担赔偿责任，合同履行完毕后无任何服务质量及其他法律纠纷的无息返还履约保证金。</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合同的变更、终止与转让</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1、按照《中华人民共和国政府采购法》第50条规定，本合同一经签订，甲乙双方不得擅自变更、中止或终止。</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2、乙方不得擅自转让其应履行的合同义务。</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3、双方除非事先得到对方的书面同意或本合同另有约定，任何一方不得将本合同项下的任何权利、义务、责任转让给任何第三方。</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4、乙方逾期未完成约定义务超过7个工作日，甲方有权单方解除本合同。</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5、乙方履行本合同约定义务时，未达到甲方要求，修改或整改超过3次，仍然无法达到甲方要求，甲方有权单方解除本合同。</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违约责任</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3、乙方逾期完成服务的，乙方应按本合同约定服务费总金额每日1‰比例向甲方支付违约金，由甲方从待付款中扣除；逾期超过约定日期7个工作日不能完成服务的，甲方可解除本合同。</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因逾期完成服务或因其他违约行为导致甲方解除合同的，乙方应向甲方支付本合同约定服务费总金额10%比例的违约金，并返还甲方已经支付的全部服务费，如造成甲方损失超过违约金的，超出部分由乙方继续承担赔偿责任。</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6、本合同所指甲方损失包括但不限于甲方为维权支付的诉讼费、食宿费、差旅费、交通费、律师费等所有费用。</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7、乙方</w:t>
      </w:r>
      <w:r>
        <w:rPr>
          <w:rFonts w:hint="eastAsia" w:ascii="宋体" w:hAnsi="宋体" w:eastAsia="宋体" w:cs="宋体"/>
          <w:sz w:val="24"/>
          <w:szCs w:val="24"/>
        </w:rPr>
        <w:t xml:space="preserve">无合法正当理由，暂停或终止提供服务的，应向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支付合同总额30%的违约金，且缴纳的履约保证金全部没收。造成</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损失的，</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还应承担全部赔偿责任。</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未经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书面同意，</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擅自转包、分包的，</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应当承担违约责任。应向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支付合同总额30%的违约金，且缴纳的履约保证金全部没收。造成</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损失的，</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还应承担全部赔偿责任。</w:t>
      </w:r>
      <w:r>
        <w:rPr>
          <w:rFonts w:hint="eastAsia" w:ascii="宋体" w:hAnsi="宋体" w:eastAsia="宋体" w:cs="宋体"/>
          <w:sz w:val="24"/>
          <w:szCs w:val="24"/>
        </w:rPr>
      </w:r>
      <w:r/>
    </w:p>
    <w:p>
      <w:pPr>
        <w:pStyle w:val="1134"/>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9、因乙方未履行或未及时履行维修责任导致甲方损失或甲方损失扩大的，乙方承担全部法律及经济赔偿责任。</w:t>
      </w:r>
      <w:r>
        <w:rPr>
          <w:rFonts w:ascii="宋体" w:hAnsi="宋体" w:eastAsia="宋体" w:cs="宋体"/>
          <w:sz w:val="24"/>
          <w:szCs w:val="24"/>
          <w:lang w:val="en-US" w:eastAsia="zh-CN"/>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争议处理</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甲乙双方如对本合同约定条款的理解存在歧义或在本合同履行过程中发生争议，双方应友好协商解决，协商不能解决的，任何一方均可向甲方所在地人民法院提起诉讼。</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不可抗力</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廉政条款</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本项目招投标、合同签订、变更、履行过程中，乙方应支持甲方的廉政建设，应遵守国家法律法规、国家廉政政策以及甲方廉政建设规定。不得有向甲方人员行贿、提供不正当利益、安排不正当活动、提供不正当便利等行为。</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未遵守上述条款，被甲方相关部门或甲方上级部门认定存在违反廉政建设法律法规的，乙方应向甲方支付合同总额20%的违约金。甲方有权终止或解除合同，由此造成甲方损失的，乙方应承担全部赔偿责任。甲方还有权将乙方长期纳入不诚信供应商名单。</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在本项目招投标、合同签订、变更、履行过程中，发现甲方或甲方人员及其亲属有索贿、接受不正当利益、参与不正当活动、获得不正当便利等行为的，有权书面实名向甲方相关部门或甲方上级部门反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其他</w:t>
      </w:r>
      <w:r>
        <w:rPr>
          <w:rFonts w:hint="eastAsia" w:ascii="宋体" w:hAnsi="宋体" w:eastAsia="宋体" w:cs="宋体"/>
          <w:sz w:val="24"/>
          <w:szCs w:val="24"/>
        </w:rPr>
      </w:r>
      <w:r/>
    </w:p>
    <w:p>
      <w:pPr>
        <w:pStyle w:val="1134"/>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1、乙方委派的人员应具备法律法规要求具备的有效资格证。如因乙方人员不具备相关资质，导致造成甲方或第三人人身财产损失的，乙方承担全部法律及经济赔偿责任。</w:t>
      </w:r>
      <w:r>
        <w:rPr>
          <w:rFonts w:ascii="宋体" w:hAnsi="宋体" w:eastAsia="宋体" w:cs="宋体"/>
          <w:sz w:val="24"/>
          <w:szCs w:val="24"/>
          <w:lang w:val="en-US" w:eastAsia="zh-CN"/>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、合同附件A和合同附件B是本合同不可分割的组成部分，与本合同具有同等法律效力。</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、本合同未尽事宜，由甲乙双方负责人协商后达成书面补充协议，补充协议具备与本合同同等法律效力。</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、对本合同内容的任何修改和变更需要用书面形式，并经双方签字盖章后生效。</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签订本合同依据</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1、甲方发出的采购文件、中标（成交）通知书；</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2、乙方提供的投标（响应）文件；</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3、投标承诺书。</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本合同一式 陆 份，甲方肆份，乙方 贰 份。（如有需要可另增加）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本合同自甲乙双方签字盖章后生效。</w:t>
      </w:r>
      <w:r>
        <w:rPr>
          <w:rFonts w:hint="eastAsia" w:ascii="宋体" w:hAnsi="宋体" w:eastAsia="宋体" w:cs="宋体"/>
          <w:sz w:val="24"/>
          <w:szCs w:val="24"/>
        </w:rPr>
      </w:r>
      <w:r/>
    </w:p>
    <w:tbl>
      <w:tblPr>
        <w:tblW w:w="90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1349"/>
        </w:trPr>
        <w:tc>
          <w:tcPr>
            <w:tcW w:w="451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甲方（公章）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rPr>
                <w:rFonts w:hint="eastAsia" w:ascii="宋体" w:hAnsi="宋体" w:eastAsia="宋体" w:cs="宋体"/>
                <w:sz w:val="24"/>
                <w:szCs w:val="24"/>
              </w:rPr>
            </w:r>
            <w:r/>
          </w:p>
        </w:tc>
        <w:tc>
          <w:tcPr>
            <w:tcW w:w="4517"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乙方（公章）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rPr>
                <w:rFonts w:hint="eastAsia" w:ascii="宋体" w:hAnsi="宋体" w:eastAsia="宋体" w:cs="宋体"/>
                <w:sz w:val="24"/>
                <w:szCs w:val="24"/>
              </w:rPr>
            </w:r>
            <w:r/>
          </w:p>
        </w:tc>
      </w:tr>
      <w:tr>
        <w:trPr>
          <w:cantSplit/>
          <w:trHeight w:val="663"/>
        </w:trPr>
        <w:tc>
          <w:tcPr>
            <w:tcW w:w="451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rPr>
            </w:r>
            <w:r/>
          </w:p>
        </w:tc>
        <w:tc>
          <w:tcPr>
            <w:tcW w:w="4517"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rPr>
            </w:r>
            <w:r/>
          </w:p>
        </w:tc>
      </w:tr>
      <w:tr>
        <w:trPr>
          <w:cantSplit/>
          <w:trHeight w:val="1032"/>
        </w:trPr>
        <w:tc>
          <w:tcPr>
            <w:tcW w:w="451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w:t>
            </w:r>
            <w:r>
              <w:rPr>
                <w:rFonts w:hint="eastAsia" w:ascii="宋体" w:hAnsi="宋体" w:eastAsia="宋体" w:cs="宋体"/>
                <w:sz w:val="24"/>
                <w:szCs w:val="24"/>
              </w:rPr>
            </w:r>
            <w:r/>
          </w:p>
        </w:tc>
        <w:tc>
          <w:tcPr>
            <w:tcW w:w="4517"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w:t>
            </w:r>
            <w:r>
              <w:rPr>
                <w:rFonts w:hint="eastAsia" w:ascii="宋体" w:hAnsi="宋体" w:eastAsia="宋体" w:cs="宋体"/>
                <w:sz w:val="24"/>
                <w:szCs w:val="24"/>
              </w:rPr>
            </w:r>
            <w:r/>
          </w:p>
        </w:tc>
      </w:tr>
      <w:tr>
        <w:trPr>
          <w:cantSplit/>
          <w:trHeight w:val="720"/>
        </w:trPr>
        <w:tc>
          <w:tcPr>
            <w:tcW w:w="451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tc>
        <w:tc>
          <w:tcPr>
            <w:tcW w:w="4517"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tc>
      </w:tr>
      <w:tr>
        <w:trPr>
          <w:cantSplit/>
          <w:trHeight w:val="744"/>
        </w:trPr>
        <w:tc>
          <w:tcPr>
            <w:tcW w:w="451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电子邮箱：</w:t>
            </w:r>
            <w:r>
              <w:rPr>
                <w:rFonts w:hint="eastAsia" w:ascii="宋体" w:hAnsi="宋体" w:eastAsia="宋体" w:cs="宋体"/>
                <w:sz w:val="24"/>
                <w:szCs w:val="24"/>
              </w:rPr>
            </w:r>
            <w:r/>
          </w:p>
        </w:tc>
        <w:tc>
          <w:tcPr>
            <w:tcW w:w="4517"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电子邮箱：</w:t>
            </w:r>
            <w:r>
              <w:rPr>
                <w:rFonts w:hint="eastAsia" w:ascii="宋体" w:hAnsi="宋体" w:eastAsia="宋体" w:cs="宋体"/>
                <w:sz w:val="24"/>
                <w:szCs w:val="24"/>
              </w:rPr>
            </w:r>
            <w:r/>
          </w:p>
        </w:tc>
      </w:tr>
      <w:tr>
        <w:trPr>
          <w:cantSplit/>
          <w:trHeight w:val="799"/>
        </w:trPr>
        <w:tc>
          <w:tcPr>
            <w:tcW w:w="451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W w:w="4517"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cantSplit/>
          <w:trHeight w:val="717"/>
        </w:trPr>
        <w:tc>
          <w:tcPr>
            <w:tcW w:w="451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tc>
        <w:tc>
          <w:tcPr>
            <w:tcW w:w="4517"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tc>
      </w:tr>
    </w:tbl>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sectPr>
          <w:headerReference w:type="default" r:id="rId12"/>
          <w:footerReference w:type="default" r:id="rId18"/>
          <w:footnotePr/>
          <w:endnotePr/>
          <w:type w:val="nextPage"/>
          <w:pgSz w:w="11910" w:h="16840" w:orient="portrait"/>
          <w:pgMar w:top="1440" w:right="1080" w:bottom="1440" w:left="1080" w:header="0" w:footer="999" w:gutter="0"/>
          <w:cols w:num="1" w:sep="0" w:space="1701" w:equalWidth="1"/>
          <w:docGrid w:linePitch="360"/>
        </w:sect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附件A：</w:t>
      </w:r>
      <w:r>
        <w:rPr>
          <w:rFonts w:hint="eastAsia" w:ascii="宋体" w:hAnsi="宋体" w:eastAsia="宋体" w:cs="宋体"/>
          <w:sz w:val="24"/>
          <w:szCs w:val="24"/>
        </w:rPr>
      </w:r>
      <w:r/>
    </w:p>
    <w:tbl>
      <w:tblPr>
        <w:tblW w:w="90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544"/>
        <w:gridCol w:w="1689"/>
        <w:gridCol w:w="1406"/>
        <w:gridCol w:w="1411"/>
      </w:tblGrid>
      <w:tr>
        <w:trPr>
          <w:trHeight w:val="674"/>
        </w:trPr>
        <w:tc>
          <w:tcPr>
            <w:tcW w:w="9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54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服务内容</w:t>
            </w:r>
            <w:r>
              <w:rPr>
                <w:rFonts w:hint="eastAsia" w:ascii="宋体" w:hAnsi="宋体" w:eastAsia="宋体" w:cs="宋体"/>
                <w:sz w:val="24"/>
                <w:szCs w:val="24"/>
              </w:rPr>
            </w:r>
            <w:r/>
          </w:p>
        </w:tc>
        <w:tc>
          <w:tcPr>
            <w:tcW w:w="168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时限</w:t>
            </w:r>
            <w:r>
              <w:rPr>
                <w:rFonts w:hint="eastAsia" w:ascii="宋体" w:hAnsi="宋体" w:eastAsia="宋体" w:cs="宋体"/>
                <w:sz w:val="24"/>
                <w:szCs w:val="24"/>
              </w:rPr>
            </w:r>
            <w:r/>
          </w:p>
        </w:tc>
        <w:tc>
          <w:tcPr>
            <w:tcW w:w="140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完成标准</w:t>
            </w:r>
            <w:r>
              <w:rPr>
                <w:rFonts w:hint="eastAsia" w:ascii="宋体" w:hAnsi="宋体" w:eastAsia="宋体" w:cs="宋体"/>
                <w:sz w:val="24"/>
                <w:szCs w:val="24"/>
              </w:rPr>
            </w:r>
            <w:r/>
          </w:p>
        </w:tc>
        <w:tc>
          <w:tcPr>
            <w:tcW w:w="1411"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服务费（元）</w:t>
            </w:r>
            <w:r>
              <w:rPr>
                <w:rFonts w:hint="eastAsia" w:ascii="宋体" w:hAnsi="宋体" w:eastAsia="宋体" w:cs="宋体"/>
                <w:sz w:val="24"/>
                <w:szCs w:val="24"/>
              </w:rPr>
            </w:r>
            <w:r/>
          </w:p>
        </w:tc>
      </w:tr>
      <w:tr>
        <w:trPr>
          <w:trHeight w:val="663"/>
        </w:trPr>
        <w:tc>
          <w:tcPr>
            <w:tcW w:w="9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54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0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1"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83"/>
        </w:trPr>
        <w:tc>
          <w:tcPr>
            <w:tcW w:w="9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54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0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1"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36"/>
        </w:trPr>
        <w:tc>
          <w:tcPr>
            <w:tcW w:w="9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354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0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1"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715"/>
        </w:trPr>
        <w:tc>
          <w:tcPr>
            <w:gridSpan w:val="5"/>
            <w:tcW w:w="90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人民币合计金额（大写）：    元整；（小写）：    元整</w:t>
            </w:r>
            <w:r>
              <w:rPr>
                <w:rFonts w:hint="eastAsia" w:ascii="宋体" w:hAnsi="宋体" w:eastAsia="宋体" w:cs="宋体"/>
                <w:sz w:val="24"/>
                <w:szCs w:val="24"/>
              </w:rPr>
            </w:r>
            <w:r/>
          </w:p>
        </w:tc>
      </w:tr>
      <w:tr>
        <w:trPr>
          <w:trHeight w:val="1959"/>
        </w:trPr>
        <w:tc>
          <w:tcPr>
            <w:gridSpan w:val="2"/>
            <w:tcW w:w="4503"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甲方（公章）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rPr>
                <w:rFonts w:hint="eastAsia" w:ascii="宋体" w:hAnsi="宋体" w:eastAsia="宋体" w:cs="宋体"/>
                <w:sz w:val="24"/>
                <w:szCs w:val="24"/>
              </w:rPr>
            </w:r>
            <w:r/>
          </w:p>
        </w:tc>
        <w:tc>
          <w:tcPr>
            <w:gridSpan w:val="3"/>
            <w:tcW w:w="4506"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乙方（公章）</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rPr>
                <w:rFonts w:hint="eastAsia" w:ascii="宋体" w:hAnsi="宋体" w:eastAsia="宋体" w:cs="宋体"/>
                <w:sz w:val="24"/>
                <w:szCs w:val="24"/>
              </w:rPr>
            </w:r>
            <w:r/>
          </w:p>
        </w:tc>
      </w:tr>
    </w:tbl>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附件B：                 </w:t>
      </w:r>
      <w:r>
        <w:rPr>
          <w:rFonts w:hint="eastAsia" w:ascii="宋体" w:hAnsi="宋体" w:eastAsia="宋体" w:cs="宋体"/>
          <w:sz w:val="24"/>
          <w:szCs w:val="24"/>
        </w:rPr>
      </w:r>
      <w:r/>
    </w:p>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南京信息工程大学学生宿舍维修管理月度考评表（试行）</w:t>
      </w:r>
      <w:r>
        <w:rPr>
          <w:rFonts w:hint="eastAsia" w:ascii="宋体" w:hAnsi="宋体" w:eastAsia="宋体" w:cs="宋体"/>
          <w:sz w:val="24"/>
          <w:szCs w:val="24"/>
        </w:rPr>
      </w:r>
      <w:r/>
    </w:p>
    <w:tbl>
      <w:tblPr>
        <w:tblW w:w="98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4134"/>
        <w:gridCol w:w="783"/>
        <w:gridCol w:w="3309"/>
        <w:gridCol w:w="759"/>
      </w:tblGrid>
      <w:tr>
        <w:trPr>
          <w:trHeight w:val="496"/>
        </w:trPr>
        <w:tc>
          <w:tcPr>
            <w:tcW w:w="820" w:type="dxa"/>
            <w:vAlign w:val="center"/>
            <w:textDirection w:val="lrTb"/>
            <w:noWrap w:val="false"/>
          </w:tcPr>
          <w:p>
            <w:pPr>
              <w:pStyle w:val="1134"/>
              <w:jc w:val="cente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134" w:type="dxa"/>
            <w:vAlign w:val="center"/>
            <w:textDirection w:val="lrTb"/>
            <w:noWrap w:val="false"/>
          </w:tcPr>
          <w:p>
            <w:pPr>
              <w:pStyle w:val="1134"/>
              <w:ind w:firstLine="480"/>
              <w:jc w:val="cente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标准内容</w:t>
            </w:r>
            <w:r>
              <w:rPr>
                <w:rFonts w:hint="eastAsia" w:ascii="宋体" w:hAnsi="宋体" w:eastAsia="宋体" w:cs="宋体"/>
                <w:sz w:val="24"/>
                <w:szCs w:val="24"/>
              </w:rPr>
            </w:r>
            <w:r/>
          </w:p>
        </w:tc>
        <w:tc>
          <w:tcPr>
            <w:tcW w:w="783" w:type="dxa"/>
            <w:vAlign w:val="center"/>
            <w:textDirection w:val="lrTb"/>
            <w:noWrap w:val="false"/>
          </w:tcPr>
          <w:p>
            <w:pPr>
              <w:pStyle w:val="1134"/>
              <w:jc w:val="cente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W w:w="3309" w:type="dxa"/>
            <w:vAlign w:val="center"/>
            <w:textDirection w:val="lrTb"/>
            <w:noWrap w:val="false"/>
          </w:tcPr>
          <w:p>
            <w:pPr>
              <w:pStyle w:val="1134"/>
              <w:ind w:firstLine="480"/>
              <w:jc w:val="cente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监管评分标准</w:t>
            </w:r>
            <w:r>
              <w:rPr>
                <w:rFonts w:hint="eastAsia" w:ascii="宋体" w:hAnsi="宋体" w:eastAsia="宋体" w:cs="宋体"/>
                <w:sz w:val="24"/>
                <w:szCs w:val="24"/>
              </w:rPr>
            </w:r>
            <w:r/>
          </w:p>
        </w:tc>
        <w:tc>
          <w:tcPr>
            <w:tcW w:w="759" w:type="dxa"/>
            <w:vAlign w:val="center"/>
            <w:textDirection w:val="lrTb"/>
            <w:noWrap w:val="false"/>
          </w:tcPr>
          <w:p>
            <w:pPr>
              <w:pStyle w:val="1134"/>
              <w:jc w:val="cente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得分</w:t>
            </w:r>
            <w:r>
              <w:rPr>
                <w:rFonts w:hint="eastAsia" w:ascii="宋体" w:hAnsi="宋体" w:eastAsia="宋体" w:cs="宋体"/>
                <w:sz w:val="24"/>
                <w:szCs w:val="24"/>
              </w:rPr>
            </w:r>
            <w:r/>
          </w:p>
        </w:tc>
      </w:tr>
      <w:tr>
        <w:trPr>
          <w:trHeight w:val="563"/>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做好服务范围内水电等日常安全巡查并健全安全巡查台账，发现问题立即维修；建立健全报修服务制度，做好维修及回访台账记录；每月至少开展一次全员安全学习及服务水平、维修技能培训并做好相关台账；做好材料使用和出入库登记台账。</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48"/>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配备须满足维修任务要求，不得低于招投标要求；有行业技术要求的维修施工，维修人员需做到持证上岗；所有工作人员在岗期间，不得擅离工作岗位、脱岗、误岗，认真登记，及时安排维修；维修人员巡查和维修时必须穿工作服并佩戴工作牌。</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48"/>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材料质量满足国家质量检测合格标准，不得低于招投标要求，不得使用劣质产品或三无产品。</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45"/>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做好文明施工措施，在危及人身安全处必须有明显警示标识和具体的安全防范措施；工作人员要文明上岗，微笑服务，在现场维修时，不能激化矛盾；维修人员进入无人的学生宿舍或女生宿舍内进行维修服务时，需事先征得同意，且必须有宿舍管理人员陪同（在场人员须二人以上）。</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每发现一次违规扣5分。</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79"/>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维修及时率高，服务质量好；学生满意度高，随机满意度测评中满意比例高于95%（含），学生评价好，无学生投诉。</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25分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维修不及时，受到学生投诉的每次扣5分。随机满意度测评满意比例小于95%的，每低一个百分点扣5分。本项扣完为止。</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41"/>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服务范围内公共区域的设施设备保持完好，墙面无明显起鼓脱皮（局部修补需横平竖直）、地砖地板无缺损及明显空鼓、吊顶无明显缺损脱落。</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20分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每发现一处违规扣5分。（墙面、地砖地板及吊顶从中标人入场第三个月起检查）</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706"/>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配合学校做好校内各项涉及宿舍的临时接送水/电及施工、应急抢修等工作。</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配合施工差，不能完成应急抢修工作的，本项按0分计。</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5"/>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134"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项目经理在发生紧急突发事件时需即刻到岗。平时在校服务时间每周不少于</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天。</w:t>
            </w:r>
            <w:r>
              <w:rPr>
                <w:rFonts w:hint="eastAsia" w:ascii="宋体" w:hAnsi="宋体" w:eastAsia="宋体" w:cs="宋体"/>
                <w:sz w:val="24"/>
                <w:szCs w:val="24"/>
              </w:rPr>
            </w:r>
            <w:r/>
          </w:p>
        </w:tc>
        <w:tc>
          <w:tcPr>
            <w:tcW w:w="783" w:type="dxa"/>
            <w:vAlign w:val="center"/>
            <w:textDirection w:val="lrTb"/>
            <w:noWrap w:val="false"/>
          </w:tcPr>
          <w:p>
            <w:pPr>
              <w:pStyle w:val="1134"/>
              <w:jc w:val="center"/>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3309" w:type="dxa"/>
            <w:vAlign w:val="center"/>
            <w:textDirection w:val="lrTb"/>
            <w:noWrap w:val="false"/>
          </w:tcPr>
          <w:p>
            <w:pPr>
              <w:pStyle w:val="1134"/>
              <w:keepLines w:val="0"/>
              <w:keepNext w:val="0"/>
              <w:pageBreakBefore w:val="0"/>
              <w:spacing w:before="0"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项目经理不能及时应急处突的，或每周日常在岗出勤少于</w:t>
            </w:r>
            <w:r>
              <w:rPr>
                <w:rFonts w:hint="eastAsia" w:ascii="宋体" w:hAnsi="宋体" w:eastAsia="宋体" w:cs="宋体"/>
                <w:sz w:val="24"/>
                <w:szCs w:val="24"/>
                <w:lang w:val="en-US" w:eastAsia="zh-CN"/>
              </w:rPr>
              <w:t xml:space="preserve">4</w:t>
            </w:r>
            <w:r>
              <w:rPr>
                <w:rFonts w:hint="eastAsia" w:ascii="宋体" w:hAnsi="宋体" w:eastAsia="宋体" w:cs="宋体"/>
                <w:sz w:val="24"/>
                <w:szCs w:val="24"/>
                <w:highlight w:val="none"/>
              </w:rPr>
              <w:t xml:space="preserve">天</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出勤标准以投标人投标承诺为准</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，本</w:t>
            </w:r>
            <w:r>
              <w:rPr>
                <w:rFonts w:hint="eastAsia" w:ascii="宋体" w:hAnsi="宋体" w:eastAsia="宋体" w:cs="宋体"/>
                <w:sz w:val="24"/>
                <w:szCs w:val="24"/>
              </w:rPr>
              <w:t xml:space="preserve">项按0分计。</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5"/>
        </w:trPr>
        <w:tc>
          <w:tcPr>
            <w:tcW w:w="820" w:type="dxa"/>
            <w:vAlign w:val="center"/>
            <w:textDirection w:val="lrTb"/>
            <w:noWrap w:val="false"/>
          </w:tcPr>
          <w:p>
            <w:pPr>
              <w:pStyle w:val="113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除上述要求外，严格履行招标文件及合同约定的其他要求。</w:t>
            </w: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5分</w:t>
            </w:r>
            <w:r>
              <w:rPr>
                <w:rFonts w:hint="eastAsia" w:ascii="宋体" w:hAnsi="宋体" w:eastAsia="宋体" w:cs="宋体"/>
                <w:sz w:val="24"/>
                <w:szCs w:val="24"/>
              </w:rPr>
            </w:r>
            <w:r/>
          </w:p>
        </w:tc>
        <w:tc>
          <w:tcPr>
            <w:tcW w:w="330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每发现一次违规扣1分。</w:t>
            </w:r>
            <w:r>
              <w:rPr>
                <w:rFonts w:hint="eastAsia" w:ascii="宋体" w:hAnsi="宋体" w:eastAsia="宋体" w:cs="宋体"/>
                <w:sz w:val="24"/>
                <w:szCs w:val="24"/>
              </w:rPr>
            </w:r>
            <w:r/>
          </w:p>
        </w:tc>
        <w:tc>
          <w:tcPr>
            <w:tcW w:w="759"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W w:w="820"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134"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83" w:type="dxa"/>
            <w:vAlign w:val="center"/>
            <w:textDirection w:val="lrTb"/>
            <w:noWrap w:val="false"/>
          </w:tcPr>
          <w:p>
            <w:pPr>
              <w:pStyle w:val="1134"/>
              <w:spacing w:line="360" w:lineRule="auto"/>
              <w:rPr>
                <w:rFonts w:hint="eastAsia" w:ascii="宋体" w:hAnsi="宋体" w:eastAsia="宋体" w:cs="宋体"/>
                <w:sz w:val="24"/>
                <w:szCs w:val="24"/>
              </w:rPr>
            </w:pPr>
            <w:r>
              <w:rPr>
                <w:rFonts w:hint="eastAsia" w:ascii="宋体" w:hAnsi="宋体" w:eastAsia="宋体" w:cs="宋体"/>
                <w:sz w:val="24"/>
                <w:szCs w:val="24"/>
              </w:rPr>
              <w:t xml:space="preserve">总分</w:t>
            </w:r>
            <w:r>
              <w:rPr>
                <w:rFonts w:hint="eastAsia" w:ascii="宋体" w:hAnsi="宋体" w:eastAsia="宋体" w:cs="宋体"/>
                <w:sz w:val="24"/>
                <w:szCs w:val="24"/>
              </w:rPr>
            </w:r>
            <w:r/>
          </w:p>
        </w:tc>
        <w:tc>
          <w:tcPr>
            <w:gridSpan w:val="2"/>
            <w:tcW w:w="4068" w:type="dxa"/>
            <w:vAlign w:val="center"/>
            <w:textDirection w:val="lrTb"/>
            <w:noWrap w:val="false"/>
          </w:tcPr>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13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上表为月度考核表，采购人可以根据考核情况和考核需要对考核内容做出修改。随机满意度测评即月度考核时随机抽取已完成报修单中的若干单进行回访，满意比例即为回访中学生对维修服务表示满意的数量占总抽取数量的比值。</w:t>
      </w:r>
      <w:r>
        <w:rPr>
          <w:rFonts w:hint="eastAsia" w:ascii="宋体" w:hAnsi="宋体" w:eastAsia="宋体" w:cs="宋体"/>
          <w:sz w:val="24"/>
          <w:szCs w:val="24"/>
        </w:rPr>
      </w:r>
      <w:r/>
    </w:p>
    <w:p>
      <w:pPr>
        <w:pStyle w:val="1134"/>
        <w:spacing w:line="240" w:lineRule="auto"/>
        <w:rPr>
          <w:rFonts w:hint="eastAsia" w:ascii="宋体" w:hAnsi="宋体" w:eastAsia="宋体" w:cs="宋体"/>
          <w:color w:val="000000"/>
          <w:highlight w:val="none"/>
        </w:rPr>
        <w:sectPr>
          <w:headerReference w:type="default" r:id="rId13"/>
          <w:footerReference w:type="default" r:id="rId19"/>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20" w:name="_Toc27786"/>
      <w:r/>
      <w:bookmarkStart w:id="121" w:name="_Toc15343"/>
      <w:r/>
      <w:bookmarkStart w:id="122" w:name="OLE_LINK6"/>
      <w:r>
        <w:rPr>
          <w:rFonts w:hint="eastAsia" w:ascii="宋体" w:hAnsi="宋体" w:eastAsia="宋体" w:cs="宋体"/>
          <w:color w:val="000000"/>
          <w:highlight w:val="none"/>
        </w:rPr>
      </w:r>
      <w:r/>
    </w:p>
    <w:p>
      <w:pPr>
        <w:pStyle w:val="1135"/>
        <w:ind w:firstLine="0"/>
        <w:tabs>
          <w:tab w:val="left" w:pos="1440" w:leader="none"/>
          <w:tab w:val="left" w:pos="5670" w:leader="none"/>
        </w:tabs>
        <w:rPr>
          <w:rFonts w:hint="eastAsia" w:ascii="宋体" w:hAnsi="宋体" w:eastAsia="宋体" w:cs="宋体"/>
          <w:color w:val="000000"/>
          <w:highlight w:val="none"/>
        </w:rPr>
      </w:pPr>
      <w:r/>
      <w:bookmarkStart w:id="123" w:name="_Toc21943"/>
      <w:r>
        <w:rPr>
          <w:rFonts w:hint="eastAsia" w:ascii="宋体" w:hAnsi="宋体" w:eastAsia="宋体" w:cs="宋体"/>
          <w:color w:val="000000"/>
          <w:highlight w:val="none"/>
        </w:rPr>
        <w:t xml:space="preserve">第六章 </w:t>
      </w:r>
      <w:bookmarkEnd w:id="120"/>
      <w:r>
        <w:rPr>
          <w:rFonts w:hint="eastAsia" w:ascii="宋体" w:hAnsi="宋体" w:eastAsia="宋体" w:cs="宋体"/>
          <w:color w:val="000000"/>
          <w:highlight w:val="none"/>
        </w:rPr>
        <w:t xml:space="preserve">投标文件格式及附件</w:t>
      </w:r>
      <w:bookmarkEnd w:id="121"/>
      <w:r/>
      <w:bookmarkEnd w:id="123"/>
      <w:r>
        <w:rPr>
          <w:rFonts w:hint="eastAsia" w:ascii="宋体" w:hAnsi="宋体" w:eastAsia="宋体" w:cs="宋体"/>
          <w:color w:val="000000"/>
          <w:highlight w:val="none"/>
        </w:rPr>
      </w:r>
      <w:r/>
    </w:p>
    <w:p>
      <w:pPr>
        <w:pStyle w:val="1134"/>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134"/>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134"/>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南京信息工程大学2026-2027年度中苑宿舍维修服务</w:t>
      </w:r>
      <w:r>
        <w:rPr>
          <w:rFonts w:hint="eastAsia" w:ascii="宋体" w:hAnsi="宋体" w:eastAsia="宋体" w:cs="宋体"/>
          <w:bCs/>
          <w:color w:val="000000"/>
          <w:sz w:val="40"/>
          <w:szCs w:val="40"/>
          <w:highlight w:val="none"/>
          <w:lang w:eastAsia="zh-CN"/>
        </w:rPr>
      </w:r>
      <w:r/>
    </w:p>
    <w:p>
      <w:pPr>
        <w:pStyle w:val="1134"/>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134"/>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1134"/>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134"/>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134"/>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1134"/>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1134"/>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1134"/>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1134"/>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1134"/>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1134"/>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1174"/>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1134"/>
        <w:jc w:val="center"/>
        <w:rPr>
          <w:rFonts w:hint="eastAsia" w:ascii="宋体" w:hAnsi="宋体" w:eastAsia="宋体" w:cs="宋体"/>
          <w:b/>
          <w:bCs/>
          <w:color w:val="000000"/>
          <w:sz w:val="30"/>
          <w:szCs w:val="30"/>
          <w:highlight w:val="none"/>
        </w:rPr>
      </w:pPr>
      <w:r/>
      <w:bookmarkStart w:id="124" w:name="_Toc23512"/>
      <w:r/>
      <w:bookmarkStart w:id="125" w:name="_Toc489655320"/>
      <w:r/>
      <w:bookmarkStart w:id="126" w:name="_Toc22602"/>
      <w:r>
        <w:rPr>
          <w:rFonts w:hint="eastAsia" w:ascii="宋体" w:hAnsi="宋体" w:eastAsia="宋体" w:cs="宋体"/>
          <w:b/>
          <w:bCs/>
          <w:color w:val="000000"/>
          <w:sz w:val="30"/>
          <w:szCs w:val="30"/>
          <w:highlight w:val="none"/>
        </w:rPr>
        <w:t xml:space="preserve">评分索引表</w:t>
      </w:r>
      <w:bookmarkEnd w:id="124"/>
      <w:r/>
      <w:bookmarkEnd w:id="126"/>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13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113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113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4"/>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1134"/>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1134"/>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13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113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113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1134"/>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1134"/>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4"/>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5"/>
      <w:r/>
      <w:bookmarkStart w:id="127" w:name="_Toc19767"/>
      <w:r/>
      <w:bookmarkStart w:id="128"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27"/>
      <w:r/>
      <w:bookmarkEnd w:id="128"/>
      <w:r>
        <w:rPr>
          <w:rFonts w:hint="eastAsia" w:ascii="宋体" w:hAnsi="宋体" w:eastAsia="宋体" w:cs="宋体"/>
          <w:color w:val="000000"/>
          <w:sz w:val="32"/>
          <w:szCs w:val="32"/>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numPr>
          <w:ilvl w:val="0"/>
          <w:numId w:val="42"/>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29" w:name="_Toc3313"/>
      <w:r/>
      <w:bookmarkStart w:id="130" w:name="_Toc7351"/>
      <w:r>
        <w:rPr>
          <w:rFonts w:hint="eastAsia" w:ascii="宋体" w:hAnsi="宋体" w:eastAsia="宋体" w:cs="宋体"/>
          <w:color w:val="000000"/>
          <w:sz w:val="32"/>
          <w:szCs w:val="32"/>
          <w:highlight w:val="none"/>
        </w:rPr>
        <w:t xml:space="preserve">授权委托书</w:t>
      </w:r>
      <w:bookmarkEnd w:id="129"/>
      <w:r/>
      <w:bookmarkEnd w:id="130"/>
      <w:r>
        <w:rPr>
          <w:rFonts w:hint="eastAsia" w:ascii="宋体" w:hAnsi="宋体" w:eastAsia="宋体" w:cs="宋体"/>
          <w:color w:val="000000"/>
          <w:sz w:val="32"/>
          <w:szCs w:val="32"/>
          <w:highlight w:val="none"/>
        </w:rPr>
      </w:r>
      <w:r/>
    </w:p>
    <w:p>
      <w:pPr>
        <w:pStyle w:val="1134"/>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134"/>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1134"/>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1134"/>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113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1134"/>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134"/>
              <w:rPr>
                <w:color w:val="000000"/>
                <w:highlight w:val="none"/>
              </w:rPr>
            </w:pPr>
            <w:r>
              <w:rPr>
                <w:color w:val="000000"/>
                <w:highlight w:val="none"/>
              </w:rPr>
            </w:r>
            <w:r/>
          </w:p>
        </w:tc>
      </w:tr>
    </w:tbl>
    <w:p>
      <w:pPr>
        <w:pStyle w:val="1134"/>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1134"/>
        <w:jc w:val="center"/>
        <w:rPr>
          <w:rFonts w:hint="eastAsia" w:ascii="宋体" w:hAnsi="宋体" w:eastAsia="宋体" w:cs="宋体"/>
          <w:color w:val="000000"/>
          <w:sz w:val="32"/>
          <w:szCs w:val="32"/>
          <w:highlight w:val="none"/>
        </w:rPr>
      </w:pPr>
      <w:r/>
      <w:bookmarkStart w:id="131" w:name="_Toc23857"/>
      <w:r/>
      <w:bookmarkStart w:id="132" w:name="_Toc1942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1134"/>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1"/>
      <w:r/>
      <w:bookmarkEnd w:id="132"/>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134"/>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134"/>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134"/>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1134"/>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1134"/>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134"/>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1134"/>
              <w:jc w:val="center"/>
              <w:spacing w:before="0" w:after="0" w:line="24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合同</w:t>
            </w:r>
            <w:r>
              <w:rPr>
                <w:rFonts w:hint="eastAsia" w:ascii="宋体" w:hAnsi="宋体" w:eastAsia="宋体" w:cs="宋体"/>
                <w:b/>
                <w:bCs/>
                <w:color w:val="000000"/>
                <w:highlight w:val="none"/>
                <w:lang w:val="en-US" w:eastAsia="zh-CN"/>
              </w:rPr>
              <w:t xml:space="preserve">履约期限</w:t>
            </w:r>
            <w:r>
              <w:rPr>
                <w:rFonts w:ascii="宋体" w:hAnsi="宋体" w:eastAsia="宋体" w:cs="宋体"/>
                <w:b/>
                <w:bCs/>
                <w:color w:val="000000"/>
                <w:highlight w:val="none"/>
                <w:lang w:val="en-US" w:eastAsia="zh-CN"/>
              </w:rPr>
            </w:r>
            <w:r/>
          </w:p>
        </w:tc>
        <w:tc>
          <w:tcPr>
            <w:gridSpan w:val="3"/>
            <w:tcW w:w="7595" w:type="dxa"/>
            <w:vAlign w:val="center"/>
            <w:textDirection w:val="lrTb"/>
            <w:noWrap w:val="false"/>
          </w:tcPr>
          <w:p>
            <w:pPr>
              <w:pStyle w:val="1134"/>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1134"/>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134"/>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134"/>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1134"/>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1134"/>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1134"/>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134"/>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1134"/>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1134"/>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1134"/>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34"/>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1134"/>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1134"/>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1134"/>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1134"/>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134"/>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3" w:name="_Toc403725575"/>
      <w:r/>
      <w:bookmarkStart w:id="134" w:name="_Toc467065082"/>
      <w:r/>
      <w:bookmarkStart w:id="135" w:name="_Toc25567"/>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lang w:val="en-US" w:eastAsia="zh-CN"/>
        </w:rPr>
        <w:t xml:space="preserve">工程</w:t>
      </w:r>
      <w:r>
        <w:rPr>
          <w:rFonts w:hint="eastAsia" w:ascii="宋体" w:hAnsi="宋体" w:eastAsia="宋体" w:cs="宋体"/>
          <w:b/>
          <w:color w:val="000000"/>
          <w:sz w:val="24"/>
          <w:szCs w:val="24"/>
          <w:highlight w:val="none"/>
        </w:rPr>
        <w:t xml:space="preserve">类）</w:t>
      </w:r>
      <w:r>
        <w:rPr>
          <w:rFonts w:hint="eastAsia" w:ascii="宋体" w:hAnsi="宋体" w:eastAsia="宋体" w:cs="宋体"/>
          <w:b/>
          <w:color w:val="000000"/>
          <w:sz w:val="24"/>
          <w:szCs w:val="24"/>
          <w:highlight w:val="none"/>
        </w:rPr>
      </w:r>
      <w:r/>
    </w:p>
    <w:p>
      <w:pPr>
        <w:pStyle w:val="113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113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小型企业、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中型企业、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小型企业、</w:t>
      </w:r>
      <w:r>
        <w:rPr>
          <w:rFonts w:hint="eastAsia" w:ascii="宋体" w:hAnsi="宋体" w:eastAsia="宋体" w:cs="宋体"/>
          <w:sz w:val="24"/>
          <w:szCs w:val="32"/>
          <w:u w:val="single"/>
        </w:rPr>
        <w:t xml:space="preserve">□</w:t>
      </w:r>
      <w:r>
        <w:rPr>
          <w:rFonts w:hint="eastAsia" w:ascii="宋体" w:hAnsi="宋体" w:eastAsia="宋体" w:cs="宋体"/>
          <w:sz w:val="24"/>
          <w:szCs w:val="24"/>
          <w:u w:val="single"/>
        </w:rPr>
        <w:t xml:space="preserve">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4"/>
        <w:contextualSpacing/>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sz w:val="24"/>
          <w:szCs w:val="24"/>
        </w:rPr>
      </w:r>
      <w:r/>
    </w:p>
    <w:p>
      <w:pPr>
        <w:pStyle w:val="113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rPr>
          <w:rFonts w:hint="eastAsia" w:ascii="宋体" w:hAnsi="宋体" w:eastAsia="宋体" w:cs="宋体"/>
          <w:sz w:val="24"/>
          <w:szCs w:val="24"/>
        </w:rPr>
      </w:r>
      <w:r/>
    </w:p>
    <w:p>
      <w:pPr>
        <w:pStyle w:val="1134"/>
        <w:ind w:firstLine="42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134"/>
        <w:spacing w:line="440" w:lineRule="exact"/>
        <w:rPr>
          <w:rFonts w:hint="eastAsia" w:ascii="宋体" w:hAnsi="宋体" w:eastAsia="宋体" w:cs="宋体"/>
          <w:sz w:val="24"/>
        </w:rPr>
      </w:pPr>
      <w:r>
        <w:rPr>
          <w:rFonts w:hint="eastAsia" w:ascii="宋体" w:hAnsi="宋体" w:eastAsia="宋体" w:cs="宋体"/>
          <w:sz w:val="24"/>
        </w:rPr>
        <w:t xml:space="preserve">投标人（供应商）名称: </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1134"/>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134"/>
        <w:spacing w:line="240" w:lineRule="auto"/>
        <w:rPr>
          <w:rFonts w:hint="eastAsia" w:ascii="宋体" w:hAnsi="宋体" w:eastAsia="宋体" w:cs="宋体"/>
          <w:b/>
          <w:szCs w:val="21"/>
        </w:rPr>
      </w:pPr>
      <w:r>
        <w:rPr>
          <w:rFonts w:hint="eastAsia" w:ascii="宋体" w:hAnsi="宋体" w:eastAsia="宋体" w:cs="宋体"/>
          <w:b/>
          <w:szCs w:val="21"/>
        </w:rPr>
      </w:r>
      <w:r/>
    </w:p>
    <w:p>
      <w:pPr>
        <w:pStyle w:val="1134"/>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1134"/>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1134"/>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1134"/>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1134"/>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1134"/>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134"/>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1134"/>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1134"/>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1134"/>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1134"/>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1134"/>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134"/>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1134"/>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134"/>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8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4"/>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1134"/>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134"/>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74"/>
        <w:ind w:left="0"/>
        <w:rPr>
          <w:rFonts w:hint="eastAsia" w:ascii="宋体" w:hAnsi="宋体" w:cs="宋体"/>
          <w:color w:val="000000"/>
          <w:highlight w:val="none"/>
        </w:rPr>
      </w:pPr>
      <w:r>
        <w:rPr>
          <w:rFonts w:hint="eastAsia" w:ascii="宋体" w:hAnsi="宋体" w:cs="宋体"/>
          <w:color w:val="000000"/>
          <w:highlight w:val="none"/>
        </w:rPr>
      </w:r>
      <w:r/>
    </w:p>
    <w:p>
      <w:pPr>
        <w:pStyle w:val="1134"/>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3"/>
      <w:r/>
      <w:bookmarkEnd w:id="134"/>
      <w:r/>
      <w:bookmarkEnd w:id="135"/>
      <w:r/>
      <w:bookmarkStart w:id="136" w:name="_Toc5019"/>
      <w:r/>
      <w:bookmarkStart w:id="137" w:name="_Toc788"/>
      <w:r/>
      <w:bookmarkStart w:id="138" w:name="_Toc27811"/>
      <w:r>
        <w:rPr>
          <w:rFonts w:hint="eastAsia" w:ascii="宋体" w:hAnsi="宋体" w:eastAsia="宋体" w:cs="宋体"/>
          <w:color w:val="000000"/>
          <w:sz w:val="32"/>
          <w:szCs w:val="32"/>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1134"/>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1134"/>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134"/>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134"/>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134"/>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134"/>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134"/>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1134"/>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134"/>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1134"/>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1134"/>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1134"/>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1134"/>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1134"/>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1134"/>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1134"/>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1134"/>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1134"/>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1134"/>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1134"/>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1134"/>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1170"/>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1170"/>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1170"/>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w:t>
      </w:r>
      <w:r>
        <w:rPr>
          <w:rFonts w:hint="eastAsia" w:ascii="宋体" w:hAnsi="宋体" w:eastAsia="宋体" w:cs="宋体"/>
          <w:b/>
          <w:color w:val="000000"/>
          <w:sz w:val="24"/>
          <w:szCs w:val="24"/>
          <w:highlight w:val="none"/>
        </w:rPr>
        <w:t xml:space="preserve">经审计的财务报告复印件加盖公章装订在投标文件中，否则视为未提供)</w:t>
      </w: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1170"/>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1170"/>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1134"/>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1170"/>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1170"/>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1134"/>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36"/>
      <w:r/>
      <w:bookmarkEnd w:id="137"/>
      <w:r/>
      <w:bookmarkEnd w:id="138"/>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113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134"/>
        <w:rPr>
          <w:rFonts w:hint="eastAsia" w:ascii="宋体" w:hAnsi="宋体" w:eastAsia="宋体" w:cs="宋体"/>
          <w:color w:val="000000"/>
          <w:szCs w:val="21"/>
          <w:highlight w:val="none"/>
        </w:rPr>
      </w:pPr>
      <w:r/>
      <w:bookmarkStart w:id="139" w:name="_Toc10292"/>
      <w:r/>
      <w:bookmarkStart w:id="140" w:name="_Toc5552"/>
      <w:r/>
      <w:bookmarkStart w:id="141" w:name="_Toc11669"/>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113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1134"/>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134"/>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134"/>
        <w:spacing w:line="420" w:lineRule="exact"/>
        <w:rPr>
          <w:rFonts w:hint="eastAsia" w:ascii="宋体" w:hAnsi="宋体" w:eastAsia="宋体" w:cs="宋体"/>
          <w:b/>
          <w:color w:val="000000"/>
          <w:sz w:val="24"/>
          <w:szCs w:val="24"/>
          <w:highlight w:val="none"/>
          <w:lang w:val="zh-CN"/>
        </w:rPr>
      </w:pPr>
      <w:r/>
      <w:bookmarkStart w:id="142" w:name="_Toc23012"/>
      <w:r/>
      <w:bookmarkStart w:id="143" w:name="_Toc22168"/>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2"/>
      <w:r/>
      <w:bookmarkEnd w:id="143"/>
      <w:r>
        <w:rPr>
          <w:rFonts w:hint="eastAsia" w:ascii="宋体" w:hAnsi="宋体" w:eastAsia="宋体" w:cs="宋体"/>
          <w:b/>
          <w:color w:val="000000"/>
          <w:sz w:val="24"/>
          <w:szCs w:val="24"/>
          <w:highlight w:val="none"/>
          <w:lang w:val="zh-CN"/>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34"/>
        <w:jc w:val="center"/>
        <w:spacing w:before="0" w:after="0"/>
        <w:rPr>
          <w:rFonts w:hint="eastAsia" w:ascii="宋体" w:hAnsi="宋体" w:eastAsia="宋体" w:cs="宋体"/>
          <w:color w:val="000000"/>
          <w:sz w:val="28"/>
          <w:szCs w:val="28"/>
          <w:highlight w:val="none"/>
          <w:lang w:val="en-US"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8"/>
          <w:szCs w:val="28"/>
          <w:highlight w:val="none"/>
          <w:lang w:val="en-US" w:eastAsia="zh-CN"/>
        </w:rPr>
      </w:r>
      <w:r/>
    </w:p>
    <w:p>
      <w:pPr>
        <w:pStyle w:val="1134"/>
        <w:jc w:val="center"/>
        <w:spacing w:before="0" w:after="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承诺书（格式1）</w:t>
      </w:r>
      <w:r>
        <w:rPr>
          <w:rFonts w:hint="eastAsia" w:ascii="宋体" w:hAnsi="宋体" w:eastAsia="宋体" w:cs="宋体"/>
          <w:color w:val="000000"/>
          <w:sz w:val="28"/>
          <w:szCs w:val="28"/>
          <w:highlight w:val="none"/>
          <w:lang w:val="en-US" w:eastAsia="zh-CN"/>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lang w:val="en-US" w:eastAsia="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我方作为</w:t>
      </w:r>
      <w:r>
        <w:rPr>
          <w:rFonts w:hint="eastAsia" w:ascii="宋体" w:hAnsi="宋体" w:eastAsia="宋体" w:cs="宋体"/>
          <w:color w:val="000000"/>
          <w:sz w:val="24"/>
          <w:szCs w:val="24"/>
          <w:highlight w:val="none"/>
          <w:u w:val="single"/>
          <w:lang w:val="en-US" w:eastAsia="zh-CN"/>
        </w:rPr>
        <w:t xml:space="preserve">南京信息工程</w:t>
      </w:r>
      <w:r>
        <w:rPr>
          <w:rFonts w:hint="eastAsia" w:ascii="宋体" w:hAnsi="宋体" w:eastAsia="宋体" w:cs="宋体"/>
          <w:color w:val="000000"/>
          <w:sz w:val="24"/>
          <w:szCs w:val="24"/>
          <w:highlight w:val="none"/>
          <w:u w:val="single"/>
          <w:lang w:val="zh-CN"/>
        </w:rPr>
        <w:t xml:space="preserve">大学学生宿舍维修服务</w:t>
      </w:r>
      <w:r>
        <w:rPr>
          <w:rFonts w:hint="eastAsia" w:ascii="宋体" w:hAnsi="宋体" w:eastAsia="宋体" w:cs="宋体"/>
          <w:color w:val="000000"/>
          <w:sz w:val="24"/>
          <w:szCs w:val="24"/>
          <w:highlight w:val="none"/>
          <w:lang w:val="zh-CN"/>
        </w:rPr>
        <w:t xml:space="preserve">项目的投标人，郑重承诺如下：</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我方完全理解并接受本项目现状接收模式，对学生宿舍现有设施设备状况、使用年限、维修难点、现场条件等均已充分踏勘、全面知晓，无任何异议。</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我方承诺在接到采购人进场通知后立即组织人员、设备、材料进场，第一时间开展维修服务，不拖延、不推诿、不提出任何附加条件。</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我方保证按招标文件及合同要求，严格履行24小时维修值班、应急抢修、日常维护、集中检修等全部服务内容，确保服务及时、质量合格、保障到位。</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本承诺书自加盖我方单位公章之日起生效，具有法律效力，如违反上述承诺，我方自愿承担违约责任及一切后果。</w:t>
      </w:r>
      <w:r>
        <w:rPr>
          <w:rFonts w:hint="eastAsia" w:ascii="宋体" w:hAnsi="宋体" w:eastAsia="宋体" w:cs="宋体"/>
          <w:color w:val="000000"/>
          <w:sz w:val="24"/>
          <w:szCs w:val="24"/>
          <w:highlight w:val="none"/>
          <w:lang w:val="zh-CN"/>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34"/>
        <w:jc w:val="center"/>
        <w:spacing w:before="0" w:after="0"/>
        <w:rPr>
          <w:rFonts w:hint="eastAsia" w:ascii="宋体" w:hAnsi="宋体" w:eastAsia="宋体" w:cs="宋体"/>
          <w:color w:val="000000"/>
          <w:sz w:val="28"/>
          <w:szCs w:val="28"/>
          <w:highlight w:val="none"/>
          <w:lang w:val="en-US"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8"/>
          <w:szCs w:val="28"/>
          <w:highlight w:val="none"/>
          <w:lang w:val="en-US" w:eastAsia="zh-CN"/>
        </w:rPr>
      </w:r>
      <w:r/>
    </w:p>
    <w:p>
      <w:pPr>
        <w:pStyle w:val="1134"/>
        <w:jc w:val="center"/>
        <w:spacing w:before="0" w:after="0"/>
        <w:rPr>
          <w:rFonts w:hint="eastAsia" w:ascii="宋体" w:hAnsi="宋体" w:eastAsia="宋体" w:cs="宋体"/>
          <w:color w:val="000000"/>
          <w:sz w:val="32"/>
          <w:szCs w:val="32"/>
          <w:highlight w:val="none"/>
        </w:rPr>
      </w:pPr>
      <w:r>
        <w:rPr>
          <w:rFonts w:hint="eastAsia" w:ascii="宋体" w:hAnsi="宋体" w:eastAsia="宋体" w:cs="宋体"/>
          <w:color w:val="000000"/>
          <w:sz w:val="28"/>
          <w:szCs w:val="28"/>
          <w:highlight w:val="none"/>
          <w:lang w:val="en-US" w:eastAsia="zh-CN"/>
        </w:rPr>
        <w:t xml:space="preserve">承诺书（格式2）</w:t>
      </w:r>
      <w:r>
        <w:rPr>
          <w:rFonts w:hint="eastAsia" w:ascii="宋体" w:hAnsi="宋体" w:eastAsia="宋体" w:cs="宋体"/>
          <w:color w:val="000000"/>
          <w:sz w:val="32"/>
          <w:szCs w:val="32"/>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南京信息工程大学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lang w:val="en-US" w:eastAsia="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我方已详细阅读并完全理解招标文件中关于沁园 42 栋、沁园 43 栋新建学生宿舍维修服务的相关要求，现郑重承诺如下：</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我方已知悉沁园 42、43栋为新建学生宿舍，计划于2026年交付使用，目前暂未明确是否安排学生入住。</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若该两栋宿舍正式启用，我方承诺</w:t>
      </w:r>
      <w:r>
        <w:rPr>
          <w:rFonts w:hint="eastAsia" w:ascii="宋体" w:hAnsi="宋体" w:eastAsia="宋体" w:cs="宋体"/>
          <w:color w:val="000000"/>
          <w:sz w:val="24"/>
          <w:szCs w:val="24"/>
          <w:highlight w:val="none"/>
          <w:lang w:val="en-US" w:eastAsia="zh-CN"/>
        </w:rPr>
        <w:t xml:space="preserve">在本项目服务期限内，</w:t>
      </w:r>
      <w:r>
        <w:rPr>
          <w:rFonts w:hint="eastAsia" w:ascii="宋体" w:hAnsi="宋体" w:eastAsia="宋体" w:cs="宋体"/>
          <w:color w:val="000000"/>
          <w:sz w:val="24"/>
          <w:szCs w:val="24"/>
          <w:highlight w:val="none"/>
          <w:lang w:val="zh-CN"/>
        </w:rPr>
        <w:t xml:space="preserve">无条件承担其非建筑工程质量范围内的日常维修服务，包括但不限于：下水疏通、电路检修、门锁维修更换等。</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属于建筑工程质量保修范围内的维修项目（如结构、渗漏、安装质量等），由原工程施工单位承担，我方不承担维修责任、不收取费用，我方仅负责配合协调、现场见证。属于非工程质保范围的日常维修（如下水疏通、电路检修、门锁维修与更换、配件更换、小故障处理等），由我方负责，相关费用已包含在投标报价中，采购人不另行支付。我方无条件配合区分质保与日常维修范围，服从学校统一调度。</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上述维修服务所产生的全部费用已包含在本次投标报价中，合同履行期间不向采购人另行收取任何费用。</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我方保证按招标文件及合同约定的服务标准、响应时效、质量要求提供维修服务，服从学校统一管理。</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本承诺为不可撤销承诺，加盖公章后生效，作为合同有效组成部分，若我方违反承诺，自愿承担相应违约责任。</w:t>
      </w:r>
      <w:r>
        <w:rPr>
          <w:rFonts w:hint="eastAsia" w:ascii="宋体" w:hAnsi="宋体" w:eastAsia="宋体" w:cs="宋体"/>
          <w:color w:val="000000"/>
          <w:sz w:val="24"/>
          <w:szCs w:val="24"/>
          <w:highlight w:val="none"/>
          <w:lang w:val="zh-CN"/>
        </w:rPr>
        <w:br w:type="textWrapping" w:clear="all"/>
      </w:r>
      <w:r>
        <w:rPr>
          <w:rFonts w:hint="eastAsia" w:ascii="宋体" w:hAnsi="宋体" w:eastAsia="宋体" w:cs="宋体"/>
          <w:color w:val="000000"/>
          <w:sz w:val="24"/>
          <w:szCs w:val="24"/>
          <w:highlight w:val="none"/>
          <w:lang w:val="zh-CN"/>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ind w:firstLine="640"/>
        <w:spacing w:before="0" w:after="0" w:line="440" w:lineRule="exac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39"/>
      <w:r/>
      <w:bookmarkEnd w:id="140"/>
      <w:r/>
      <w:bookmarkEnd w:id="141"/>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113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113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113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113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113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134"/>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4"/>
        <w:numPr>
          <w:ilvl w:val="0"/>
          <w:numId w:val="43"/>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4" w:name="_Toc29152"/>
      <w:r/>
      <w:bookmarkStart w:id="145" w:name="_Toc25254"/>
      <w:r/>
      <w:bookmarkStart w:id="146" w:name="_Toc12952"/>
      <w:r/>
      <w:bookmarkStart w:id="147" w:name="_Toc12051"/>
      <w:r>
        <w:rPr>
          <w:rFonts w:hint="eastAsia" w:ascii="宋体" w:hAnsi="宋体" w:eastAsia="宋体" w:cs="宋体"/>
          <w:color w:val="000000"/>
          <w:sz w:val="32"/>
          <w:szCs w:val="32"/>
          <w:highlight w:val="none"/>
        </w:rPr>
      </w:r>
      <w:r/>
    </w:p>
    <w:p>
      <w:pPr>
        <w:pStyle w:val="1134"/>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44"/>
      <w:r/>
      <w:bookmarkEnd w:id="145"/>
      <w:r/>
      <w:bookmarkEnd w:id="146"/>
      <w:r/>
      <w:bookmarkEnd w:id="147"/>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1134"/>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4"/>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4"/>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11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48" w:name="_Toc478493367"/>
      <w:r/>
      <w:bookmarkStart w:id="149" w:name="_Toc30172"/>
      <w:r/>
      <w:bookmarkStart w:id="150" w:name="_Toc448874878"/>
      <w:r/>
      <w:bookmarkStart w:id="151" w:name="_Toc3055"/>
      <w:r/>
      <w:bookmarkStart w:id="152" w:name="_Toc5435"/>
      <w:r/>
      <w:bookmarkStart w:id="153" w:name="_Toc17430"/>
      <w:r>
        <w:rPr>
          <w:rFonts w:hint="eastAsia" w:ascii="宋体" w:hAnsi="宋体" w:eastAsia="宋体" w:cs="宋体"/>
          <w:color w:val="000000"/>
          <w:sz w:val="24"/>
          <w:szCs w:val="24"/>
          <w:highlight w:val="none"/>
        </w:rPr>
      </w:r>
      <w:r/>
    </w:p>
    <w:p>
      <w:pPr>
        <w:pStyle w:val="1134"/>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134"/>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48"/>
      <w:r/>
      <w:bookmarkEnd w:id="149"/>
      <w:r/>
      <w:bookmarkEnd w:id="150"/>
      <w:r/>
      <w:bookmarkEnd w:id="151"/>
      <w:r/>
      <w:bookmarkEnd w:id="152"/>
      <w:r/>
      <w:bookmarkEnd w:id="153"/>
      <w:r>
        <w:rPr>
          <w:rFonts w:hint="eastAsia" w:ascii="宋体" w:hAnsi="宋体" w:eastAsia="宋体" w:cs="宋体"/>
          <w:b/>
          <w:bCs/>
          <w:color w:val="000000"/>
          <w:sz w:val="32"/>
          <w:szCs w:val="32"/>
          <w:highlight w:val="none"/>
        </w:rPr>
      </w:r>
      <w:r/>
    </w:p>
    <w:p>
      <w:pPr>
        <w:pStyle w:val="1134"/>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1134"/>
        <w:numPr>
          <w:ilvl w:val="0"/>
          <w:numId w:val="44"/>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1134"/>
        <w:numPr>
          <w:ilvl w:val="0"/>
          <w:numId w:val="44"/>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11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134"/>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授权代表（签字或盖章）：</w:t>
      </w:r>
      <w:r>
        <w:rPr>
          <w:rFonts w:hint="eastAsia" w:ascii="宋体" w:hAnsi="宋体" w:eastAsia="宋体" w:cs="宋体"/>
          <w:color w:val="000000"/>
          <w:sz w:val="24"/>
          <w:szCs w:val="24"/>
          <w:highlight w:val="none"/>
        </w:rPr>
      </w:r>
      <w:r/>
    </w:p>
    <w:p>
      <w:pPr>
        <w:pStyle w:val="1134"/>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4"/>
        <w:jc w:val="center"/>
        <w:rPr>
          <w:rFonts w:hint="eastAsia" w:ascii="宋体" w:hAnsi="宋体" w:eastAsia="宋体" w:cs="宋体"/>
          <w:color w:val="000000"/>
          <w:highlight w:val="none"/>
        </w:rPr>
      </w:pPr>
      <w:r/>
      <w:bookmarkStart w:id="154" w:name="_Toc8684"/>
      <w:r/>
      <w:bookmarkStart w:id="155" w:name="_Toc9040"/>
      <w:r>
        <w:rPr>
          <w:rFonts w:hint="eastAsia" w:ascii="宋体" w:hAnsi="宋体" w:eastAsia="宋体" w:cs="宋体"/>
          <w:color w:val="000000"/>
          <w:highlight w:val="none"/>
        </w:rPr>
        <w:br w:type="page" w:clear="all"/>
      </w:r>
      <w:bookmarkStart w:id="156" w:name="_Toc1628"/>
      <w:r>
        <w:rPr>
          <w:rFonts w:hint="eastAsia" w:ascii="宋体" w:hAnsi="宋体" w:eastAsia="宋体" w:cs="宋体"/>
          <w:color w:val="000000"/>
          <w:sz w:val="32"/>
          <w:szCs w:val="32"/>
          <w:highlight w:val="none"/>
        </w:rPr>
        <w:t xml:space="preserve">9.人员配备、资质及人员管理</w:t>
      </w:r>
      <w:bookmarkEnd w:id="154"/>
      <w:r/>
      <w:bookmarkEnd w:id="156"/>
      <w:r>
        <w:rPr>
          <w:rFonts w:hint="eastAsia" w:ascii="宋体" w:hAnsi="宋体" w:eastAsia="宋体" w:cs="宋体"/>
          <w:color w:val="000000"/>
          <w:highlight w:val="none"/>
        </w:rPr>
      </w:r>
      <w:r/>
    </w:p>
    <w:p>
      <w:pPr>
        <w:pStyle w:val="1134"/>
        <w:ind w:firstLine="465"/>
        <w:jc w:val="center"/>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100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945"/>
        <w:gridCol w:w="933"/>
        <w:gridCol w:w="1466"/>
        <w:gridCol w:w="1597"/>
        <w:gridCol w:w="1354"/>
      </w:tblGrid>
      <w:tr>
        <w:trPr>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933"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lang w:val="en-US" w:eastAsia="zh-CN"/>
              </w:rPr>
              <w:framePr w:vAnchor="text" w:hAnchor="page" w:x="1241" w:y="375"/>
            </w:pPr>
            <w:r>
              <w:rPr>
                <w:rFonts w:hint="eastAsia" w:ascii="宋体" w:hAnsi="宋体" w:eastAsia="宋体" w:cs="宋体"/>
                <w:color w:val="000000"/>
                <w:sz w:val="24"/>
                <w:szCs w:val="24"/>
                <w:highlight w:val="none"/>
                <w:lang w:val="en-US" w:eastAsia="zh-CN"/>
              </w:rPr>
              <w:t xml:space="preserve">性别</w:t>
            </w:r>
            <w:r>
              <w:rPr>
                <w:rFonts w:hint="eastAsia" w:ascii="宋体" w:hAnsi="宋体" w:eastAsia="宋体" w:cs="宋体"/>
                <w:color w:val="000000"/>
                <w:sz w:val="24"/>
                <w:szCs w:val="24"/>
                <w:highlight w:val="none"/>
                <w:lang w:val="en-US" w:eastAsia="zh-CN"/>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客服/仓储</w:t>
            </w:r>
            <w:r>
              <w:rPr>
                <w:rFonts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客服/仓储</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一线技术员工</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低压电工</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lang w:eastAsia="zh-CN"/>
              </w:rPr>
              <w:framePr w:vAnchor="text" w:hAnchor="page" w:x="1241" w:y="375"/>
            </w:pPr>
            <w:r>
              <w:rPr>
                <w:rFonts w:hint="eastAsia" w:ascii="宋体" w:hAnsi="宋体" w:eastAsia="宋体" w:cs="宋体"/>
                <w:color w:val="000000"/>
                <w:sz w:val="24"/>
                <w:szCs w:val="24"/>
                <w:highlight w:val="none"/>
              </w:rPr>
              <w:t xml:space="preserve">一线技术员工</w:t>
            </w:r>
            <w:r>
              <w:rPr>
                <w:rFonts w:hint="eastAsia" w:ascii="宋体" w:hAnsi="宋体" w:eastAsia="宋体" w:cs="宋体"/>
                <w:color w:val="000000"/>
                <w:sz w:val="24"/>
                <w:szCs w:val="24"/>
                <w:highlight w:val="none"/>
              </w:rPr>
              <w:br w:type="textWrapping" w:clear="all"/>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高压电工</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lang w:val="en-US" w:eastAsia="zh-CN"/>
              </w:rPr>
              <w:framePr w:vAnchor="text" w:hAnchor="page" w:x="1241" w:y="375"/>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一线技术员工</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lang w:val="en-US" w:eastAsia="zh-CN"/>
              </w:rPr>
              <w:framePr w:vAnchor="text" w:hAnchor="page" w:x="1241" w:y="375"/>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一线技术员工</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lang w:val="en-US" w:eastAsia="zh-CN"/>
              </w:rPr>
              <w:framePr w:vAnchor="text" w:hAnchor="page" w:x="1241" w:y="375"/>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一线技术员工</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lang w:eastAsia="zh-CN"/>
              </w:rPr>
              <w:framePr w:vAnchor="text" w:hAnchor="page" w:x="1241" w:y="375"/>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04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45"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933" w:type="dxa"/>
            <w:vAlign w:val="top"/>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597"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354" w:type="dxa"/>
            <w:vAlign w:val="center"/>
            <w:textDirection w:val="lrTb"/>
            <w:noWrap w:val="false"/>
          </w:tcPr>
          <w:p>
            <w:pPr>
              <w:pStyle w:val="1134"/>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113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1134"/>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我司承诺：</w:t>
      </w:r>
      <w:r>
        <w:rPr>
          <w:rFonts w:hint="eastAsia" w:ascii="宋体" w:hAnsi="宋体" w:eastAsia="宋体" w:cs="宋体"/>
          <w:b/>
          <w:bCs/>
          <w:color w:val="000000"/>
          <w:szCs w:val="21"/>
          <w:highlight w:val="none"/>
        </w:rPr>
        <w:t xml:space="preserve">上表中各岗位人员为专职人员，不得兼任其他岗位且人员数量不得少于</w:t>
      </w:r>
      <w:r>
        <w:rPr>
          <w:rFonts w:hint="eastAsia" w:ascii="宋体" w:hAnsi="宋体" w:eastAsia="宋体" w:cs="宋体"/>
          <w:b/>
          <w:bCs/>
          <w:color w:val="000000"/>
          <w:szCs w:val="21"/>
          <w:highlight w:val="none"/>
          <w:lang w:val="en-US" w:eastAsia="zh-CN"/>
        </w:rPr>
        <w:t xml:space="preserve">招标文件</w:t>
      </w:r>
      <w:r>
        <w:rPr>
          <w:rFonts w:hint="eastAsia" w:ascii="宋体" w:hAnsi="宋体" w:eastAsia="宋体" w:cs="宋体"/>
          <w:b/>
          <w:bCs/>
          <w:color w:val="000000"/>
          <w:szCs w:val="21"/>
          <w:highlight w:val="none"/>
        </w:rPr>
        <w:t xml:space="preserve">“人员配备基本需求表”要求</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r>
      <w:r/>
    </w:p>
    <w:p>
      <w:pPr>
        <w:pStyle w:val="1134"/>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1134"/>
        <w:rPr>
          <w:rFonts w:hint="eastAsia" w:ascii="宋体" w:hAnsi="宋体" w:eastAsia="宋体" w:cs="宋体"/>
          <w:color w:val="000000"/>
          <w:sz w:val="32"/>
          <w:szCs w:val="32"/>
          <w:highlight w:val="none"/>
        </w:rPr>
      </w:pPr>
      <w:r>
        <w:rPr>
          <w:rFonts w:hint="eastAsia" w:ascii="宋体" w:hAnsi="宋体" w:eastAsia="宋体" w:cs="宋体"/>
          <w:color w:val="000000"/>
          <w:sz w:val="24"/>
          <w:szCs w:val="24"/>
          <w:highlight w:val="none"/>
        </w:rPr>
        <w:t xml:space="preserve">日期：  年  月  日</w:t>
      </w:r>
      <w:bookmarkEnd w:id="122"/>
      <w:r/>
      <w:bookmarkEnd w:id="155"/>
      <w:r>
        <w:rPr>
          <w:rFonts w:hint="eastAsia" w:ascii="宋体" w:hAnsi="宋体" w:eastAsia="宋体" w:cs="宋体"/>
          <w:color w:val="000000"/>
          <w:sz w:val="32"/>
          <w:szCs w:val="32"/>
          <w:highlight w:val="none"/>
        </w:rPr>
      </w:r>
      <w:r/>
    </w:p>
    <w:p>
      <w:pPr>
        <w:pStyle w:val="1134"/>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1134"/>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或评分方法</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34"/>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3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1134"/>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
  </w:p>
  <w:p>
    <w:pPr>
      <w:pStyle w:val="11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
  </w:p>
  <w:p>
    <w:pPr>
      <w:pStyle w:val="11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
  </w:p>
  <w:p>
    <w:pPr>
      <w:pStyle w:val="11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186"/>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13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186"/>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1134"/>
                    </w:pPr>
                    <w:r/>
                    <w:r/>
                  </w:p>
                </w:txbxContent>
              </v:textbox>
            </v:shape>
          </w:pict>
        </mc:Fallback>
      </mc:AlternateContent>
    </w:r>
    <w:r/>
  </w:p>
  <w:p>
    <w:pPr>
      <w:pStyle w:val="11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34"/>
                    </w:pPr>
                    <w:r/>
                    <w:r/>
                  </w:p>
                </w:txbxContent>
              </v:textbox>
            </v:shape>
          </w:pict>
        </mc:Fallback>
      </mc:AlternateContent>
    </w:r>
    <w:r>
      <w:rPr>
        <w:sz w:val="20"/>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3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34"/>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
  </w:p>
  <w:p>
    <w:pPr>
      <w:pStyle w:val="11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right"/>
      <w:rPr>
        <w:rFonts w:hint="eastAsia" w:eastAsia="宋体"/>
        <w:b/>
        <w:bCs/>
        <w:color w:val="243f61"/>
        <w:sz w:val="15"/>
        <w:szCs w:val="13"/>
        <w:lang w:eastAsia="zh-CN"/>
      </w:rPr>
    </w:pPr>
    <w:r/>
    <w:bookmarkStart w:id="157"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57"/>
    <w:r>
      <w:rPr>
        <w:rFonts w:hint="eastAsia" w:ascii="宋体" w:hAnsi="宋体" w:eastAsia="宋体" w:cs="宋体"/>
        <w:b/>
        <w:bCs/>
        <w:color w:val="243f61"/>
        <w:sz w:val="22"/>
        <w:szCs w:val="21"/>
        <w:lang w:eastAsia="zh-CN"/>
      </w:rPr>
      <w:t xml:space="preserve">0675-266JOC004350</w:t>
    </w:r>
    <w:r>
      <w:rPr>
        <w:rFonts w:hint="eastAsia" w:eastAsia="宋体"/>
        <w:b/>
        <w:bCs/>
        <w:color w:val="243f61"/>
        <w:sz w:val="15"/>
        <w:szCs w:val="13"/>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firstLine="36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13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13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134"/>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3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13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13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pStyle w:val="11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pStyle w:val="11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448"/>
      <w:isLgl w:val="false"/>
      <w:suff w:val="tab"/>
      <w:lvlText w:val=""/>
      <w:lvlJc w:val="left"/>
      <w:pPr>
        <w:pStyle w:val="1134"/>
        <w:ind w:left="420" w:hanging="420"/>
        <w:tabs>
          <w:tab w:val="num" w:pos="420" w:leader="none"/>
        </w:tabs>
      </w:pPr>
      <w:rPr>
        <w:rFonts w:ascii="Wingdings" w:hAnsi="Wingdings"/>
      </w:rPr>
    </w:lvl>
    <w:lvl w:ilvl="1">
      <w:start w:val="1"/>
      <w:numFmt w:val="decimal"/>
      <w:isLgl w:val="false"/>
      <w:suff w:val="tab"/>
      <w:lvlText w:val="（%2）"/>
      <w:lvlJc w:val="left"/>
      <w:pPr>
        <w:pStyle w:val="1134"/>
        <w:ind w:left="1500" w:hanging="1080"/>
        <w:tabs>
          <w:tab w:val="num" w:pos="1500" w:leader="none"/>
        </w:tabs>
      </w:pPr>
      <w:rPr>
        <w:rFonts w:hint="eastAsia"/>
      </w:rPr>
    </w:lvl>
    <w:lvl w:ilvl="2">
      <w:start w:val="1"/>
      <w:numFmt w:val="decimal"/>
      <w:isLgl w:val="false"/>
      <w:suff w:val="tab"/>
      <w:lvlText w:val="（%3）"/>
      <w:lvlJc w:val="left"/>
      <w:pPr>
        <w:pStyle w:val="1134"/>
        <w:ind w:left="1560" w:hanging="720"/>
        <w:tabs>
          <w:tab w:val="num" w:pos="1560" w:leader="none"/>
        </w:tabs>
      </w:pPr>
      <w:rPr>
        <w:rFonts w:hint="eastAsia"/>
      </w:rPr>
    </w:lvl>
    <w:lvl w:ilvl="3">
      <w:start w:val="1"/>
      <w:numFmt w:val="decimal"/>
      <w:isLgl w:val="false"/>
      <w:suff w:val="tab"/>
      <w:lvlText w:val="%4."/>
      <w:lvlJc w:val="left"/>
      <w:pPr>
        <w:pStyle w:val="1134"/>
        <w:ind w:left="1680" w:hanging="420"/>
        <w:tabs>
          <w:tab w:val="num" w:pos="1680" w:leader="none"/>
        </w:tabs>
      </w:pPr>
    </w:lvl>
    <w:lvl w:ilvl="4">
      <w:start w:val="1"/>
      <w:numFmt w:val="lowerLetter"/>
      <w:isLgl w:val="false"/>
      <w:suff w:val="tab"/>
      <w:lvlText w:val="%5)"/>
      <w:lvlJc w:val="left"/>
      <w:pPr>
        <w:pStyle w:val="1134"/>
        <w:ind w:left="2100" w:hanging="420"/>
        <w:tabs>
          <w:tab w:val="num" w:pos="2100" w:leader="none"/>
        </w:tabs>
      </w:pPr>
    </w:lvl>
    <w:lvl w:ilvl="5">
      <w:start w:val="1"/>
      <w:numFmt w:val="lowerRoman"/>
      <w:isLgl w:val="false"/>
      <w:suff w:val="tab"/>
      <w:lvlText w:val="%6."/>
      <w:lvlJc w:val="right"/>
      <w:pPr>
        <w:pStyle w:val="1134"/>
        <w:ind w:left="2520" w:hanging="420"/>
        <w:tabs>
          <w:tab w:val="num" w:pos="2520" w:leader="none"/>
        </w:tabs>
      </w:pPr>
    </w:lvl>
    <w:lvl w:ilvl="6">
      <w:start w:val="1"/>
      <w:numFmt w:val="decimal"/>
      <w:isLgl w:val="false"/>
      <w:suff w:val="tab"/>
      <w:lvlText w:val="%7."/>
      <w:lvlJc w:val="left"/>
      <w:pPr>
        <w:pStyle w:val="1134"/>
        <w:ind w:left="2940" w:hanging="420"/>
        <w:tabs>
          <w:tab w:val="num" w:pos="2940" w:leader="none"/>
        </w:tabs>
      </w:pPr>
    </w:lvl>
    <w:lvl w:ilvl="7">
      <w:start w:val="1"/>
      <w:numFmt w:val="lowerLetter"/>
      <w:isLgl w:val="false"/>
      <w:suff w:val="tab"/>
      <w:lvlText w:val="%8)"/>
      <w:lvlJc w:val="left"/>
      <w:pPr>
        <w:pStyle w:val="1134"/>
        <w:ind w:left="3360" w:hanging="420"/>
        <w:tabs>
          <w:tab w:val="num" w:pos="3360" w:leader="none"/>
        </w:tabs>
      </w:pPr>
    </w:lvl>
    <w:lvl w:ilvl="8">
      <w:start w:val="1"/>
      <w:numFmt w:val="lowerRoman"/>
      <w:isLgl w:val="false"/>
      <w:suff w:val="tab"/>
      <w:lvlText w:val="%9."/>
      <w:lvlJc w:val="right"/>
      <w:pPr>
        <w:pStyle w:val="1134"/>
        <w:ind w:left="3780" w:hanging="420"/>
        <w:tabs>
          <w:tab w:val="num" w:pos="3780" w:leader="none"/>
        </w:tabs>
      </w:pPr>
    </w:lvl>
  </w:abstractNum>
  <w:abstractNum w:abstractNumId="19">
    <w:multiLevelType w:val="hybridMultilevel"/>
    <w:lvl w:ilvl="0">
      <w:start w:val="1"/>
      <w:numFmt w:val="decimal"/>
      <w:pStyle w:val="1516"/>
      <w:isLgl w:val="false"/>
      <w:suff w:val="tab"/>
      <w:lvlText w:val="(%1)"/>
      <w:lvlJc w:val="left"/>
      <w:pPr>
        <w:pStyle w:val="113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134"/>
        <w:ind w:left="840" w:hanging="420"/>
        <w:tabs>
          <w:tab w:val="num" w:pos="840" w:leader="none"/>
        </w:tabs>
      </w:pPr>
    </w:lvl>
    <w:lvl w:ilvl="2">
      <w:start w:val="1"/>
      <w:numFmt w:val="lowerRoman"/>
      <w:isLgl w:val="false"/>
      <w:suff w:val="tab"/>
      <w:lvlText w:val="%3."/>
      <w:lvlJc w:val="right"/>
      <w:pPr>
        <w:pStyle w:val="1134"/>
        <w:ind w:left="1260" w:hanging="420"/>
        <w:tabs>
          <w:tab w:val="num" w:pos="1260" w:leader="none"/>
        </w:tabs>
      </w:pPr>
    </w:lvl>
    <w:lvl w:ilvl="3">
      <w:start w:val="1"/>
      <w:numFmt w:val="decimal"/>
      <w:isLgl w:val="false"/>
      <w:suff w:val="tab"/>
      <w:lvlText w:val="%4."/>
      <w:lvlJc w:val="left"/>
      <w:pPr>
        <w:pStyle w:val="1134"/>
        <w:ind w:left="1680" w:hanging="420"/>
        <w:tabs>
          <w:tab w:val="num" w:pos="1680" w:leader="none"/>
        </w:tabs>
      </w:pPr>
    </w:lvl>
    <w:lvl w:ilvl="4">
      <w:start w:val="1"/>
      <w:numFmt w:val="lowerLetter"/>
      <w:pStyle w:val="1500"/>
      <w:isLgl w:val="false"/>
      <w:suff w:val="tab"/>
      <w:lvlText w:val="%5)"/>
      <w:lvlJc w:val="left"/>
      <w:pPr>
        <w:pStyle w:val="1134"/>
        <w:ind w:left="2100" w:hanging="420"/>
        <w:tabs>
          <w:tab w:val="num" w:pos="2100" w:leader="none"/>
        </w:tabs>
      </w:pPr>
    </w:lvl>
    <w:lvl w:ilvl="5">
      <w:start w:val="1"/>
      <w:numFmt w:val="lowerRoman"/>
      <w:isLgl w:val="false"/>
      <w:suff w:val="tab"/>
      <w:lvlText w:val="%6."/>
      <w:lvlJc w:val="right"/>
      <w:pPr>
        <w:pStyle w:val="1134"/>
        <w:ind w:left="2520" w:hanging="420"/>
        <w:tabs>
          <w:tab w:val="num" w:pos="2520" w:leader="none"/>
        </w:tabs>
      </w:pPr>
    </w:lvl>
    <w:lvl w:ilvl="6">
      <w:start w:val="1"/>
      <w:numFmt w:val="decimal"/>
      <w:isLgl w:val="false"/>
      <w:suff w:val="tab"/>
      <w:lvlText w:val="%7."/>
      <w:lvlJc w:val="left"/>
      <w:pPr>
        <w:pStyle w:val="1134"/>
        <w:ind w:left="2940" w:hanging="420"/>
        <w:tabs>
          <w:tab w:val="num" w:pos="2940" w:leader="none"/>
        </w:tabs>
      </w:pPr>
    </w:lvl>
    <w:lvl w:ilvl="7">
      <w:start w:val="1"/>
      <w:numFmt w:val="lowerLetter"/>
      <w:isLgl w:val="false"/>
      <w:suff w:val="tab"/>
      <w:lvlText w:val="%8)"/>
      <w:lvlJc w:val="left"/>
      <w:pPr>
        <w:pStyle w:val="1134"/>
        <w:ind w:left="3360" w:hanging="420"/>
        <w:tabs>
          <w:tab w:val="num" w:pos="3360" w:leader="none"/>
        </w:tabs>
      </w:pPr>
    </w:lvl>
    <w:lvl w:ilvl="8">
      <w:start w:val="1"/>
      <w:numFmt w:val="lowerRoman"/>
      <w:isLgl w:val="false"/>
      <w:suff w:val="tab"/>
      <w:lvlText w:val="%9."/>
      <w:lvlJc w:val="right"/>
      <w:pPr>
        <w:pStyle w:val="1134"/>
        <w:ind w:left="3780" w:hanging="420"/>
        <w:tabs>
          <w:tab w:val="num" w:pos="3780" w:leader="none"/>
        </w:tabs>
      </w:pPr>
    </w:lvl>
  </w:abstractNum>
  <w:abstractNum w:abstractNumId="20">
    <w:multiLevelType w:val="hybridMultilevel"/>
    <w:lvl w:ilvl="0">
      <w:start w:val="1"/>
      <w:numFmt w:val="bullet"/>
      <w:pStyle w:val="1397"/>
      <w:isLgl w:val="false"/>
      <w:suff w:val="tab"/>
      <w:lvlText w:val=""/>
      <w:lvlJc w:val="left"/>
      <w:pPr>
        <w:pStyle w:val="113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359"/>
      <w:isLgl w:val="false"/>
      <w:suff w:val="tab"/>
      <w:lvlText w:val="%1"/>
      <w:lvlJc w:val="left"/>
      <w:pPr>
        <w:pStyle w:val="1134"/>
        <w:ind w:left="567" w:hanging="567"/>
        <w:tabs>
          <w:tab w:val="num" w:pos="567" w:leader="none"/>
        </w:tabs>
      </w:pPr>
      <w:rPr>
        <w:rFonts w:hint="eastAsia"/>
      </w:rPr>
    </w:lvl>
    <w:lvl w:ilvl="1">
      <w:start w:val="1"/>
      <w:numFmt w:val="decimal"/>
      <w:pStyle w:val="1468"/>
      <w:isLgl w:val="false"/>
      <w:suff w:val="tab"/>
      <w:lvlText w:val="%1.%2"/>
      <w:lvlJc w:val="left"/>
      <w:pPr>
        <w:pStyle w:val="1134"/>
        <w:ind w:left="567" w:hanging="283"/>
        <w:tabs>
          <w:tab w:val="num" w:pos="1004" w:leader="none"/>
        </w:tabs>
      </w:pPr>
      <w:rPr>
        <w:rFonts w:hint="eastAsia"/>
      </w:rPr>
    </w:lvl>
    <w:lvl w:ilvl="2">
      <w:start w:val="1"/>
      <w:numFmt w:val="decimal"/>
      <w:pStyle w:val="1469"/>
      <w:isLgl w:val="false"/>
      <w:suff w:val="tab"/>
      <w:lvlText w:val="%1.%2.%3"/>
      <w:lvlJc w:val="left"/>
      <w:pPr>
        <w:pStyle w:val="1134"/>
        <w:ind w:left="1134" w:hanging="567"/>
        <w:tabs>
          <w:tab w:val="num" w:pos="1647" w:leader="none"/>
        </w:tabs>
      </w:pPr>
      <w:rPr>
        <w:rFonts w:hint="eastAsia"/>
      </w:rPr>
    </w:lvl>
    <w:lvl w:ilvl="3">
      <w:start w:val="1"/>
      <w:numFmt w:val="decimal"/>
      <w:isLgl w:val="false"/>
      <w:suff w:val="tab"/>
      <w:lvlText w:val="%1.%2.%3.%4"/>
      <w:lvlJc w:val="left"/>
      <w:pPr>
        <w:pStyle w:val="1134"/>
        <w:ind w:left="2851" w:hanging="708"/>
        <w:tabs>
          <w:tab w:val="num" w:pos="3223" w:leader="none"/>
        </w:tabs>
      </w:pPr>
      <w:rPr>
        <w:rFonts w:hint="eastAsia"/>
      </w:rPr>
    </w:lvl>
    <w:lvl w:ilvl="4">
      <w:start w:val="1"/>
      <w:numFmt w:val="decimal"/>
      <w:isLgl w:val="false"/>
      <w:suff w:val="tab"/>
      <w:lvlText w:val="%1.%2.%3.%4.%5"/>
      <w:lvlJc w:val="left"/>
      <w:pPr>
        <w:pStyle w:val="1134"/>
        <w:ind w:left="3418" w:hanging="850"/>
        <w:tabs>
          <w:tab w:val="num" w:pos="3648" w:leader="none"/>
        </w:tabs>
      </w:pPr>
      <w:rPr>
        <w:rFonts w:hint="eastAsia"/>
      </w:rPr>
    </w:lvl>
    <w:lvl w:ilvl="5">
      <w:start w:val="1"/>
      <w:numFmt w:val="decimal"/>
      <w:isLgl w:val="false"/>
      <w:suff w:val="tab"/>
      <w:lvlText w:val="%1.%2.%3.%4.%5.%6"/>
      <w:lvlJc w:val="left"/>
      <w:pPr>
        <w:pStyle w:val="1134"/>
        <w:ind w:left="4127" w:hanging="1134"/>
        <w:tabs>
          <w:tab w:val="num" w:pos="4433" w:leader="none"/>
        </w:tabs>
      </w:pPr>
      <w:rPr>
        <w:rFonts w:hint="eastAsia"/>
      </w:rPr>
    </w:lvl>
    <w:lvl w:ilvl="6">
      <w:start w:val="1"/>
      <w:numFmt w:val="decimal"/>
      <w:isLgl w:val="false"/>
      <w:suff w:val="tab"/>
      <w:lvlText w:val="%1.%2.%3.%4.%5.%6.%7"/>
      <w:lvlJc w:val="left"/>
      <w:pPr>
        <w:pStyle w:val="1134"/>
        <w:ind w:left="4694" w:hanging="1276"/>
        <w:tabs>
          <w:tab w:val="num" w:pos="4858" w:leader="none"/>
        </w:tabs>
      </w:pPr>
      <w:rPr>
        <w:rFonts w:hint="eastAsia"/>
      </w:rPr>
    </w:lvl>
    <w:lvl w:ilvl="7">
      <w:start w:val="1"/>
      <w:numFmt w:val="decimal"/>
      <w:isLgl w:val="false"/>
      <w:suff w:val="tab"/>
      <w:lvlText w:val="%1.%2.%3.%4.%5.%6.%7.%8"/>
      <w:lvlJc w:val="left"/>
      <w:pPr>
        <w:pStyle w:val="1134"/>
        <w:ind w:left="5261" w:hanging="1418"/>
        <w:tabs>
          <w:tab w:val="num" w:pos="5643" w:leader="none"/>
        </w:tabs>
      </w:pPr>
      <w:rPr>
        <w:rFonts w:hint="eastAsia"/>
      </w:rPr>
    </w:lvl>
    <w:lvl w:ilvl="8">
      <w:start w:val="1"/>
      <w:numFmt w:val="decimal"/>
      <w:isLgl w:val="false"/>
      <w:suff w:val="tab"/>
      <w:lvlText w:val="%1.%2.%3.%4.%5.%6.%7.%8.%9"/>
      <w:lvlJc w:val="left"/>
      <w:pPr>
        <w:pStyle w:val="1134"/>
        <w:ind w:left="5969" w:hanging="1700"/>
        <w:tabs>
          <w:tab w:val="num" w:pos="6429" w:leader="none"/>
        </w:tabs>
      </w:pPr>
      <w:rPr>
        <w:rFonts w:hint="eastAsia"/>
      </w:rPr>
    </w:lvl>
  </w:abstractNum>
  <w:abstractNum w:abstractNumId="22">
    <w:multiLevelType w:val="hybridMultilevel"/>
    <w:lvl w:ilvl="0">
      <w:start w:val="7"/>
      <w:numFmt w:val="decimal"/>
      <w:isLgl w:val="false"/>
      <w:suff w:val="tab"/>
      <w:lvlText w:val="%1."/>
      <w:lvlJc w:val="left"/>
      <w:pPr>
        <w:pStyle w:val="11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1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pStyle w:val="1134"/>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24.%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2.%1"/>
      <w:lvlJc w:val="left"/>
      <w:pPr>
        <w:pStyle w:val="113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3.%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5.%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2.%1"/>
      <w:lvlJc w:val="left"/>
      <w:pPr>
        <w:pStyle w:val="113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nothing"/>
      <w:lvlText w:val="%1、"/>
      <w:lvlJc w:val="left"/>
      <w:pPr>
        <w:pStyle w:val="1134"/>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9.2.%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22.2.2.%1"/>
      <w:lvlJc w:val="left"/>
      <w:pPr>
        <w:pStyle w:val="113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1"/>
      <w:lvlJc w:val="left"/>
      <w:pPr>
        <w:pStyle w:val="113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6.%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1.%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20.%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3.%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1134"/>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4.%1"/>
      <w:lvlJc w:val="left"/>
      <w:pPr>
        <w:pStyle w:val="1134"/>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20"/>
  </w:num>
  <w:num w:numId="3">
    <w:abstractNumId w:val="18"/>
  </w:num>
  <w:num w:numId="4">
    <w:abstractNumId w:val="19"/>
  </w:num>
  <w:num w:numId="5">
    <w:abstractNumId w:val="6"/>
  </w:num>
  <w:num w:numId="6">
    <w:abstractNumId w:val="11"/>
  </w:num>
  <w:num w:numId="7">
    <w:abstractNumId w:val="40"/>
  </w:num>
  <w:num w:numId="8">
    <w:abstractNumId w:val="41"/>
  </w:num>
  <w:num w:numId="9">
    <w:abstractNumId w:val="0"/>
  </w:num>
  <w:num w:numId="10">
    <w:abstractNumId w:val="2"/>
  </w:num>
  <w:num w:numId="11">
    <w:abstractNumId w:val="14"/>
  </w:num>
  <w:num w:numId="12">
    <w:abstractNumId w:val="7"/>
  </w:num>
  <w:num w:numId="13">
    <w:abstractNumId w:val="30"/>
  </w:num>
  <w:num w:numId="14">
    <w:abstractNumId w:val="37"/>
  </w:num>
  <w:num w:numId="15">
    <w:abstractNumId w:val="9"/>
  </w:num>
  <w:num w:numId="16">
    <w:abstractNumId w:val="31"/>
  </w:num>
  <w:num w:numId="17">
    <w:abstractNumId w:val="38"/>
  </w:num>
  <w:num w:numId="18">
    <w:abstractNumId w:val="43"/>
  </w:num>
  <w:num w:numId="19">
    <w:abstractNumId w:val="15"/>
  </w:num>
  <w:num w:numId="20">
    <w:abstractNumId w:val="3"/>
  </w:num>
  <w:num w:numId="21">
    <w:abstractNumId w:val="13"/>
  </w:num>
  <w:num w:numId="22">
    <w:abstractNumId w:val="35"/>
  </w:num>
  <w:num w:numId="23">
    <w:abstractNumId w:val="36"/>
  </w:num>
  <w:num w:numId="24">
    <w:abstractNumId w:val="33"/>
  </w:num>
  <w:num w:numId="25">
    <w:abstractNumId w:val="39"/>
  </w:num>
  <w:num w:numId="26">
    <w:abstractNumId w:val="12"/>
  </w:num>
  <w:num w:numId="27">
    <w:abstractNumId w:val="8"/>
  </w:num>
  <w:num w:numId="28">
    <w:abstractNumId w:val="29"/>
  </w:num>
  <w:num w:numId="29">
    <w:abstractNumId w:val="26"/>
  </w:num>
  <w:num w:numId="30">
    <w:abstractNumId w:val="24"/>
  </w:num>
  <w:num w:numId="31">
    <w:abstractNumId w:val="1"/>
  </w:num>
  <w:num w:numId="32">
    <w:abstractNumId w:val="42"/>
  </w:num>
  <w:num w:numId="33">
    <w:abstractNumId w:val="34"/>
  </w:num>
  <w:num w:numId="34">
    <w:abstractNumId w:val="32"/>
  </w:num>
  <w:num w:numId="35">
    <w:abstractNumId w:val="4"/>
  </w:num>
  <w:num w:numId="36">
    <w:abstractNumId w:val="27"/>
  </w:num>
  <w:num w:numId="37">
    <w:abstractNumId w:val="10"/>
  </w:num>
  <w:num w:numId="38">
    <w:abstractNumId w:val="25"/>
  </w:num>
  <w:num w:numId="39">
    <w:abstractNumId w:val="28"/>
  </w:num>
  <w:num w:numId="40">
    <w:abstractNumId w:val="5"/>
  </w:num>
  <w:num w:numId="41">
    <w:abstractNumId w:val="16"/>
  </w:num>
  <w:num w:numId="42">
    <w:abstractNumId w:val="17"/>
  </w:num>
  <w:num w:numId="43">
    <w:abstractNumId w:val="22"/>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8">
    <w:name w:val="Heading 1"/>
    <w:basedOn w:val="1134"/>
    <w:next w:val="1134"/>
    <w:link w:val="959"/>
    <w:uiPriority w:val="9"/>
    <w:qFormat/>
    <w:pPr>
      <w:keepLines/>
      <w:keepNext/>
      <w:spacing w:before="480" w:after="200"/>
      <w:outlineLvl w:val="0"/>
    </w:pPr>
    <w:rPr>
      <w:rFonts w:ascii="Arial" w:hAnsi="Arial" w:eastAsia="Arial" w:cs="Arial"/>
      <w:sz w:val="40"/>
      <w:szCs w:val="40"/>
    </w:rPr>
  </w:style>
  <w:style w:type="character" w:styleId="959">
    <w:name w:val="Heading 1 Char"/>
    <w:link w:val="958"/>
    <w:uiPriority w:val="9"/>
    <w:rPr>
      <w:rFonts w:ascii="Arial" w:hAnsi="Arial" w:eastAsia="Arial" w:cs="Arial"/>
      <w:sz w:val="40"/>
      <w:szCs w:val="40"/>
    </w:rPr>
  </w:style>
  <w:style w:type="paragraph" w:styleId="960">
    <w:name w:val="Heading 2"/>
    <w:basedOn w:val="1134"/>
    <w:next w:val="1134"/>
    <w:link w:val="961"/>
    <w:uiPriority w:val="9"/>
    <w:unhideWhenUsed/>
    <w:qFormat/>
    <w:pPr>
      <w:keepLines/>
      <w:keepNext/>
      <w:spacing w:before="360" w:after="200"/>
      <w:outlineLvl w:val="1"/>
    </w:pPr>
    <w:rPr>
      <w:rFonts w:ascii="Arial" w:hAnsi="Arial" w:eastAsia="Arial" w:cs="Arial"/>
      <w:sz w:val="34"/>
    </w:rPr>
  </w:style>
  <w:style w:type="character" w:styleId="961">
    <w:name w:val="Heading 2 Char"/>
    <w:link w:val="960"/>
    <w:uiPriority w:val="9"/>
    <w:rPr>
      <w:rFonts w:ascii="Arial" w:hAnsi="Arial" w:eastAsia="Arial" w:cs="Arial"/>
      <w:sz w:val="34"/>
    </w:rPr>
  </w:style>
  <w:style w:type="paragraph" w:styleId="962">
    <w:name w:val="Heading 3"/>
    <w:basedOn w:val="1134"/>
    <w:next w:val="1134"/>
    <w:link w:val="963"/>
    <w:uiPriority w:val="9"/>
    <w:unhideWhenUsed/>
    <w:qFormat/>
    <w:pPr>
      <w:keepLines/>
      <w:keepNext/>
      <w:spacing w:before="320" w:after="200"/>
      <w:outlineLvl w:val="2"/>
    </w:pPr>
    <w:rPr>
      <w:rFonts w:ascii="Arial" w:hAnsi="Arial" w:eastAsia="Arial" w:cs="Arial"/>
      <w:sz w:val="30"/>
      <w:szCs w:val="30"/>
    </w:rPr>
  </w:style>
  <w:style w:type="character" w:styleId="963">
    <w:name w:val="Heading 3 Char"/>
    <w:link w:val="962"/>
    <w:uiPriority w:val="9"/>
    <w:rPr>
      <w:rFonts w:ascii="Arial" w:hAnsi="Arial" w:eastAsia="Arial" w:cs="Arial"/>
      <w:sz w:val="30"/>
      <w:szCs w:val="30"/>
    </w:rPr>
  </w:style>
  <w:style w:type="paragraph" w:styleId="964">
    <w:name w:val="Heading 4"/>
    <w:basedOn w:val="1134"/>
    <w:next w:val="1134"/>
    <w:link w:val="965"/>
    <w:uiPriority w:val="9"/>
    <w:unhideWhenUsed/>
    <w:qFormat/>
    <w:pPr>
      <w:keepLines/>
      <w:keepNext/>
      <w:spacing w:before="320" w:after="200"/>
      <w:outlineLvl w:val="3"/>
    </w:pPr>
    <w:rPr>
      <w:rFonts w:ascii="Arial" w:hAnsi="Arial" w:eastAsia="Arial" w:cs="Arial"/>
      <w:b/>
      <w:bCs/>
      <w:sz w:val="26"/>
      <w:szCs w:val="26"/>
    </w:rPr>
  </w:style>
  <w:style w:type="character" w:styleId="965">
    <w:name w:val="Heading 4 Char"/>
    <w:link w:val="964"/>
    <w:uiPriority w:val="9"/>
    <w:rPr>
      <w:rFonts w:ascii="Arial" w:hAnsi="Arial" w:eastAsia="Arial" w:cs="Arial"/>
      <w:b/>
      <w:bCs/>
      <w:sz w:val="26"/>
      <w:szCs w:val="26"/>
    </w:rPr>
  </w:style>
  <w:style w:type="paragraph" w:styleId="966">
    <w:name w:val="Heading 5"/>
    <w:basedOn w:val="1134"/>
    <w:next w:val="1134"/>
    <w:link w:val="967"/>
    <w:uiPriority w:val="9"/>
    <w:unhideWhenUsed/>
    <w:qFormat/>
    <w:pPr>
      <w:keepLines/>
      <w:keepNext/>
      <w:spacing w:before="320" w:after="200"/>
      <w:outlineLvl w:val="4"/>
    </w:pPr>
    <w:rPr>
      <w:rFonts w:ascii="Arial" w:hAnsi="Arial" w:eastAsia="Arial" w:cs="Arial"/>
      <w:b/>
      <w:bCs/>
      <w:sz w:val="24"/>
      <w:szCs w:val="24"/>
    </w:rPr>
  </w:style>
  <w:style w:type="character" w:styleId="967">
    <w:name w:val="Heading 5 Char"/>
    <w:link w:val="966"/>
    <w:uiPriority w:val="9"/>
    <w:rPr>
      <w:rFonts w:ascii="Arial" w:hAnsi="Arial" w:eastAsia="Arial" w:cs="Arial"/>
      <w:b/>
      <w:bCs/>
      <w:sz w:val="24"/>
      <w:szCs w:val="24"/>
    </w:rPr>
  </w:style>
  <w:style w:type="paragraph" w:styleId="968">
    <w:name w:val="Heading 6"/>
    <w:basedOn w:val="1134"/>
    <w:next w:val="1134"/>
    <w:link w:val="969"/>
    <w:uiPriority w:val="9"/>
    <w:unhideWhenUsed/>
    <w:qFormat/>
    <w:pPr>
      <w:keepLines/>
      <w:keepNext/>
      <w:spacing w:before="320" w:after="200"/>
      <w:outlineLvl w:val="5"/>
    </w:pPr>
    <w:rPr>
      <w:rFonts w:ascii="Arial" w:hAnsi="Arial" w:eastAsia="Arial" w:cs="Arial"/>
      <w:b/>
      <w:bCs/>
      <w:sz w:val="22"/>
      <w:szCs w:val="22"/>
    </w:rPr>
  </w:style>
  <w:style w:type="character" w:styleId="969">
    <w:name w:val="Heading 6 Char"/>
    <w:link w:val="968"/>
    <w:uiPriority w:val="9"/>
    <w:rPr>
      <w:rFonts w:ascii="Arial" w:hAnsi="Arial" w:eastAsia="Arial" w:cs="Arial"/>
      <w:b/>
      <w:bCs/>
      <w:sz w:val="22"/>
      <w:szCs w:val="22"/>
    </w:rPr>
  </w:style>
  <w:style w:type="paragraph" w:styleId="970">
    <w:name w:val="Heading 7"/>
    <w:basedOn w:val="1134"/>
    <w:next w:val="1134"/>
    <w:link w:val="971"/>
    <w:uiPriority w:val="9"/>
    <w:unhideWhenUsed/>
    <w:qFormat/>
    <w:pPr>
      <w:keepLines/>
      <w:keepNext/>
      <w:spacing w:before="320" w:after="200"/>
      <w:outlineLvl w:val="6"/>
    </w:pPr>
    <w:rPr>
      <w:rFonts w:ascii="Arial" w:hAnsi="Arial" w:eastAsia="Arial" w:cs="Arial"/>
      <w:b/>
      <w:bCs/>
      <w:i/>
      <w:iCs/>
      <w:sz w:val="22"/>
      <w:szCs w:val="22"/>
    </w:rPr>
  </w:style>
  <w:style w:type="character" w:styleId="971">
    <w:name w:val="Heading 7 Char"/>
    <w:link w:val="970"/>
    <w:uiPriority w:val="9"/>
    <w:rPr>
      <w:rFonts w:ascii="Arial" w:hAnsi="Arial" w:eastAsia="Arial" w:cs="Arial"/>
      <w:b/>
      <w:bCs/>
      <w:i/>
      <w:iCs/>
      <w:sz w:val="22"/>
      <w:szCs w:val="22"/>
    </w:rPr>
  </w:style>
  <w:style w:type="paragraph" w:styleId="972">
    <w:name w:val="Heading 8"/>
    <w:basedOn w:val="1134"/>
    <w:next w:val="1134"/>
    <w:link w:val="973"/>
    <w:uiPriority w:val="9"/>
    <w:unhideWhenUsed/>
    <w:qFormat/>
    <w:pPr>
      <w:keepLines/>
      <w:keepNext/>
      <w:spacing w:before="320" w:after="200"/>
      <w:outlineLvl w:val="7"/>
    </w:pPr>
    <w:rPr>
      <w:rFonts w:ascii="Arial" w:hAnsi="Arial" w:eastAsia="Arial" w:cs="Arial"/>
      <w:i/>
      <w:iCs/>
      <w:sz w:val="22"/>
      <w:szCs w:val="22"/>
    </w:rPr>
  </w:style>
  <w:style w:type="character" w:styleId="973">
    <w:name w:val="Heading 8 Char"/>
    <w:link w:val="972"/>
    <w:uiPriority w:val="9"/>
    <w:rPr>
      <w:rFonts w:ascii="Arial" w:hAnsi="Arial" w:eastAsia="Arial" w:cs="Arial"/>
      <w:i/>
      <w:iCs/>
      <w:sz w:val="22"/>
      <w:szCs w:val="22"/>
    </w:rPr>
  </w:style>
  <w:style w:type="paragraph" w:styleId="974">
    <w:name w:val="Heading 9"/>
    <w:basedOn w:val="1134"/>
    <w:next w:val="1134"/>
    <w:link w:val="975"/>
    <w:uiPriority w:val="9"/>
    <w:unhideWhenUsed/>
    <w:qFormat/>
    <w:pPr>
      <w:keepLines/>
      <w:keepNext/>
      <w:spacing w:before="320" w:after="200"/>
      <w:outlineLvl w:val="8"/>
    </w:pPr>
    <w:rPr>
      <w:rFonts w:ascii="Arial" w:hAnsi="Arial" w:eastAsia="Arial" w:cs="Arial"/>
      <w:i/>
      <w:iCs/>
      <w:sz w:val="21"/>
      <w:szCs w:val="21"/>
    </w:rPr>
  </w:style>
  <w:style w:type="character" w:styleId="975">
    <w:name w:val="Heading 9 Char"/>
    <w:link w:val="974"/>
    <w:uiPriority w:val="9"/>
    <w:rPr>
      <w:rFonts w:ascii="Arial" w:hAnsi="Arial" w:eastAsia="Arial" w:cs="Arial"/>
      <w:i/>
      <w:iCs/>
      <w:sz w:val="21"/>
      <w:szCs w:val="21"/>
    </w:rPr>
  </w:style>
  <w:style w:type="paragraph" w:styleId="976">
    <w:name w:val="Title"/>
    <w:basedOn w:val="1134"/>
    <w:next w:val="1134"/>
    <w:link w:val="977"/>
    <w:uiPriority w:val="10"/>
    <w:qFormat/>
    <w:pPr>
      <w:contextualSpacing/>
      <w:spacing w:before="300" w:after="200"/>
    </w:pPr>
    <w:rPr>
      <w:sz w:val="48"/>
      <w:szCs w:val="48"/>
    </w:rPr>
  </w:style>
  <w:style w:type="character" w:styleId="977">
    <w:name w:val="Title Char"/>
    <w:link w:val="976"/>
    <w:uiPriority w:val="10"/>
    <w:rPr>
      <w:sz w:val="48"/>
      <w:szCs w:val="48"/>
    </w:rPr>
  </w:style>
  <w:style w:type="paragraph" w:styleId="978">
    <w:name w:val="Subtitle"/>
    <w:basedOn w:val="1134"/>
    <w:next w:val="1134"/>
    <w:link w:val="979"/>
    <w:uiPriority w:val="11"/>
    <w:qFormat/>
    <w:pPr>
      <w:spacing w:before="200" w:after="200"/>
    </w:pPr>
    <w:rPr>
      <w:sz w:val="24"/>
      <w:szCs w:val="24"/>
    </w:rPr>
  </w:style>
  <w:style w:type="character" w:styleId="979">
    <w:name w:val="Subtitle Char"/>
    <w:link w:val="978"/>
    <w:uiPriority w:val="11"/>
    <w:rPr>
      <w:sz w:val="24"/>
      <w:szCs w:val="24"/>
    </w:rPr>
  </w:style>
  <w:style w:type="paragraph" w:styleId="980">
    <w:name w:val="Quote"/>
    <w:basedOn w:val="1134"/>
    <w:next w:val="1134"/>
    <w:link w:val="981"/>
    <w:uiPriority w:val="29"/>
    <w:qFormat/>
    <w:pPr>
      <w:ind w:left="720" w:right="720"/>
    </w:pPr>
    <w:rPr>
      <w:i/>
    </w:rPr>
  </w:style>
  <w:style w:type="character" w:styleId="981">
    <w:name w:val="Quote Char"/>
    <w:link w:val="980"/>
    <w:uiPriority w:val="29"/>
    <w:rPr>
      <w:i/>
    </w:rPr>
  </w:style>
  <w:style w:type="paragraph" w:styleId="982">
    <w:name w:val="Intense Quote"/>
    <w:basedOn w:val="1134"/>
    <w:next w:val="1134"/>
    <w:link w:val="9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name w:val="Intense Quote Char"/>
    <w:link w:val="982"/>
    <w:uiPriority w:val="30"/>
    <w:rPr>
      <w:i/>
    </w:rPr>
  </w:style>
  <w:style w:type="paragraph" w:styleId="984">
    <w:name w:val="Header"/>
    <w:basedOn w:val="1134"/>
    <w:link w:val="985"/>
    <w:uiPriority w:val="99"/>
    <w:unhideWhenUsed/>
    <w:pPr>
      <w:spacing w:after="0" w:line="240" w:lineRule="auto"/>
      <w:tabs>
        <w:tab w:val="center" w:pos="7143" w:leader="none"/>
        <w:tab w:val="right" w:pos="14287" w:leader="none"/>
      </w:tabs>
    </w:pPr>
  </w:style>
  <w:style w:type="character" w:styleId="985">
    <w:name w:val="Header Char"/>
    <w:link w:val="984"/>
    <w:uiPriority w:val="99"/>
  </w:style>
  <w:style w:type="paragraph" w:styleId="986">
    <w:name w:val="Footer"/>
    <w:basedOn w:val="1134"/>
    <w:link w:val="989"/>
    <w:uiPriority w:val="99"/>
    <w:unhideWhenUsed/>
    <w:pPr>
      <w:spacing w:after="0" w:line="240" w:lineRule="auto"/>
      <w:tabs>
        <w:tab w:val="center" w:pos="7143" w:leader="none"/>
        <w:tab w:val="right" w:pos="14287" w:leader="none"/>
      </w:tabs>
    </w:pPr>
  </w:style>
  <w:style w:type="character" w:styleId="987">
    <w:name w:val="Footer Char"/>
    <w:link w:val="986"/>
    <w:uiPriority w:val="99"/>
  </w:style>
  <w:style w:type="paragraph" w:styleId="988">
    <w:name w:val="Caption"/>
    <w:basedOn w:val="1134"/>
    <w:next w:val="1134"/>
    <w:uiPriority w:val="35"/>
    <w:semiHidden/>
    <w:unhideWhenUsed/>
    <w:qFormat/>
    <w:pPr>
      <w:spacing w:line="276" w:lineRule="auto"/>
    </w:pPr>
    <w:rPr>
      <w:b/>
      <w:bCs/>
      <w:color w:val="4f81bd" w:themeColor="accent1"/>
      <w:sz w:val="18"/>
      <w:szCs w:val="18"/>
    </w:rPr>
  </w:style>
  <w:style w:type="character" w:styleId="989">
    <w:name w:val="Caption Char"/>
    <w:basedOn w:val="988"/>
    <w:link w:val="986"/>
    <w:uiPriority w:val="99"/>
  </w:style>
  <w:style w:type="table" w:styleId="9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6">
    <w:name w:val="Hyperlink"/>
    <w:uiPriority w:val="99"/>
    <w:unhideWhenUsed/>
    <w:rPr>
      <w:color w:val="0000ff" w:themeColor="hyperlink"/>
      <w:u w:val="single"/>
    </w:rPr>
  </w:style>
  <w:style w:type="paragraph" w:styleId="1117">
    <w:name w:val="footnote text"/>
    <w:basedOn w:val="1134"/>
    <w:link w:val="1118"/>
    <w:uiPriority w:val="99"/>
    <w:semiHidden/>
    <w:unhideWhenUsed/>
    <w:pPr>
      <w:spacing w:after="40" w:line="240" w:lineRule="auto"/>
    </w:pPr>
    <w:rPr>
      <w:sz w:val="18"/>
    </w:rPr>
  </w:style>
  <w:style w:type="character" w:styleId="1118">
    <w:name w:val="Footnote Text Char"/>
    <w:link w:val="1117"/>
    <w:uiPriority w:val="99"/>
    <w:rPr>
      <w:sz w:val="18"/>
    </w:rPr>
  </w:style>
  <w:style w:type="character" w:styleId="1119">
    <w:name w:val="footnote reference"/>
    <w:uiPriority w:val="99"/>
    <w:unhideWhenUsed/>
    <w:rPr>
      <w:vertAlign w:val="superscript"/>
    </w:rPr>
  </w:style>
  <w:style w:type="paragraph" w:styleId="1120">
    <w:name w:val="endnote text"/>
    <w:basedOn w:val="1134"/>
    <w:link w:val="1121"/>
    <w:uiPriority w:val="99"/>
    <w:semiHidden/>
    <w:unhideWhenUsed/>
    <w:pPr>
      <w:spacing w:after="0" w:line="240" w:lineRule="auto"/>
    </w:pPr>
    <w:rPr>
      <w:sz w:val="20"/>
    </w:rPr>
  </w:style>
  <w:style w:type="character" w:styleId="1121">
    <w:name w:val="Endnote Text Char"/>
    <w:link w:val="1120"/>
    <w:uiPriority w:val="99"/>
    <w:rPr>
      <w:sz w:val="20"/>
    </w:rPr>
  </w:style>
  <w:style w:type="character" w:styleId="1122">
    <w:name w:val="endnote reference"/>
    <w:uiPriority w:val="99"/>
    <w:semiHidden/>
    <w:unhideWhenUsed/>
    <w:rPr>
      <w:vertAlign w:val="superscript"/>
    </w:rPr>
  </w:style>
  <w:style w:type="paragraph" w:styleId="1123">
    <w:name w:val="toc 1"/>
    <w:basedOn w:val="1134"/>
    <w:next w:val="1134"/>
    <w:uiPriority w:val="39"/>
    <w:unhideWhenUsed/>
    <w:pPr>
      <w:ind w:left="0" w:right="0" w:firstLine="0"/>
      <w:spacing w:after="57"/>
    </w:pPr>
  </w:style>
  <w:style w:type="paragraph" w:styleId="1124">
    <w:name w:val="toc 2"/>
    <w:basedOn w:val="1134"/>
    <w:next w:val="1134"/>
    <w:uiPriority w:val="39"/>
    <w:unhideWhenUsed/>
    <w:pPr>
      <w:ind w:left="283" w:right="0" w:firstLine="0"/>
      <w:spacing w:after="57"/>
    </w:pPr>
  </w:style>
  <w:style w:type="paragraph" w:styleId="1125">
    <w:name w:val="toc 3"/>
    <w:basedOn w:val="1134"/>
    <w:next w:val="1134"/>
    <w:uiPriority w:val="39"/>
    <w:unhideWhenUsed/>
    <w:pPr>
      <w:ind w:left="567" w:right="0" w:firstLine="0"/>
      <w:spacing w:after="57"/>
    </w:pPr>
  </w:style>
  <w:style w:type="paragraph" w:styleId="1126">
    <w:name w:val="toc 4"/>
    <w:basedOn w:val="1134"/>
    <w:next w:val="1134"/>
    <w:uiPriority w:val="39"/>
    <w:unhideWhenUsed/>
    <w:pPr>
      <w:ind w:left="850" w:right="0" w:firstLine="0"/>
      <w:spacing w:after="57"/>
    </w:pPr>
  </w:style>
  <w:style w:type="paragraph" w:styleId="1127">
    <w:name w:val="toc 5"/>
    <w:basedOn w:val="1134"/>
    <w:next w:val="1134"/>
    <w:uiPriority w:val="39"/>
    <w:unhideWhenUsed/>
    <w:pPr>
      <w:ind w:left="1134" w:right="0" w:firstLine="0"/>
      <w:spacing w:after="57"/>
    </w:pPr>
  </w:style>
  <w:style w:type="paragraph" w:styleId="1128">
    <w:name w:val="toc 6"/>
    <w:basedOn w:val="1134"/>
    <w:next w:val="1134"/>
    <w:uiPriority w:val="39"/>
    <w:unhideWhenUsed/>
    <w:pPr>
      <w:ind w:left="1417" w:right="0" w:firstLine="0"/>
      <w:spacing w:after="57"/>
    </w:pPr>
  </w:style>
  <w:style w:type="paragraph" w:styleId="1129">
    <w:name w:val="toc 7"/>
    <w:basedOn w:val="1134"/>
    <w:next w:val="1134"/>
    <w:uiPriority w:val="39"/>
    <w:unhideWhenUsed/>
    <w:pPr>
      <w:ind w:left="1701" w:right="0" w:firstLine="0"/>
      <w:spacing w:after="57"/>
    </w:pPr>
  </w:style>
  <w:style w:type="paragraph" w:styleId="1130">
    <w:name w:val="toc 8"/>
    <w:basedOn w:val="1134"/>
    <w:next w:val="1134"/>
    <w:uiPriority w:val="39"/>
    <w:unhideWhenUsed/>
    <w:pPr>
      <w:ind w:left="1984" w:right="0" w:firstLine="0"/>
      <w:spacing w:after="57"/>
    </w:pPr>
  </w:style>
  <w:style w:type="paragraph" w:styleId="1131">
    <w:name w:val="toc 9"/>
    <w:basedOn w:val="1134"/>
    <w:next w:val="1134"/>
    <w:uiPriority w:val="39"/>
    <w:unhideWhenUsed/>
    <w:pPr>
      <w:ind w:left="2268" w:right="0" w:firstLine="0"/>
      <w:spacing w:after="57"/>
    </w:pPr>
  </w:style>
  <w:style w:type="paragraph" w:styleId="1132">
    <w:name w:val="TOC Heading"/>
    <w:uiPriority w:val="39"/>
    <w:unhideWhenUsed/>
  </w:style>
  <w:style w:type="paragraph" w:styleId="1133">
    <w:name w:val="table of figures"/>
    <w:basedOn w:val="1134"/>
    <w:next w:val="1134"/>
    <w:uiPriority w:val="99"/>
    <w:unhideWhenUsed/>
    <w:pPr>
      <w:spacing w:after="0" w:afterAutospacing="0"/>
    </w:pPr>
  </w:style>
  <w:style w:type="paragraph" w:styleId="1134" w:default="1">
    <w:name w:val="Normal"/>
    <w:next w:val="1138"/>
    <w:link w:val="1134"/>
    <w:qFormat/>
    <w:pPr>
      <w:jc w:val="both"/>
      <w:spacing w:before="120" w:after="120" w:line="360" w:lineRule="auto"/>
      <w:widowControl w:val="off"/>
    </w:pPr>
    <w:rPr>
      <w:rFonts w:eastAsia="微软雅黑"/>
      <w:sz w:val="21"/>
      <w:lang w:val="en-US" w:eastAsia="zh-CN" w:bidi="ar-SA"/>
    </w:rPr>
  </w:style>
  <w:style w:type="paragraph" w:styleId="1135">
    <w:name w:val="标题 1"/>
    <w:basedOn w:val="1134"/>
    <w:next w:val="1134"/>
    <w:link w:val="114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136">
    <w:name w:val="标题 2"/>
    <w:basedOn w:val="1134"/>
    <w:next w:val="1134"/>
    <w:link w:val="1148"/>
    <w:qFormat/>
    <w:pPr>
      <w:jc w:val="left"/>
      <w:keepLines/>
      <w:keepNext/>
      <w:outlineLvl w:val="1"/>
    </w:pPr>
    <w:rPr>
      <w:rFonts w:ascii="宋体" w:hAnsi="宋体"/>
      <w:b/>
      <w:sz w:val="28"/>
      <w:szCs w:val="24"/>
    </w:rPr>
  </w:style>
  <w:style w:type="paragraph" w:styleId="1137">
    <w:name w:val="标题 3"/>
    <w:basedOn w:val="1134"/>
    <w:next w:val="1134"/>
    <w:link w:val="1149"/>
    <w:qFormat/>
    <w:pPr>
      <w:keepLines/>
      <w:keepNext/>
      <w:spacing w:line="390" w:lineRule="atLeast"/>
      <w:shd w:val="clear" w:color="auto" w:fill="ffffff"/>
      <w:outlineLvl w:val="2"/>
    </w:pPr>
    <w:rPr>
      <w:rFonts w:ascii="宋体" w:hAnsi="宋体"/>
      <w:b/>
      <w:sz w:val="24"/>
      <w:szCs w:val="21"/>
    </w:rPr>
  </w:style>
  <w:style w:type="paragraph" w:styleId="1138">
    <w:name w:val="标题 4"/>
    <w:basedOn w:val="1134"/>
    <w:next w:val="1134"/>
    <w:link w:val="1146"/>
    <w:qFormat/>
    <w:pPr>
      <w:keepLines/>
      <w:keepNext/>
      <w:spacing w:before="120" w:after="120"/>
      <w:outlineLvl w:val="3"/>
    </w:pPr>
    <w:rPr>
      <w:rFonts w:ascii="Arial" w:hAnsi="Arial" w:eastAsia="黑体"/>
      <w:b/>
      <w:sz w:val="28"/>
    </w:rPr>
  </w:style>
  <w:style w:type="paragraph" w:styleId="1139">
    <w:name w:val="标题 5"/>
    <w:basedOn w:val="1134"/>
    <w:next w:val="1134"/>
    <w:link w:val="1150"/>
    <w:qFormat/>
    <w:pPr>
      <w:keepNext/>
      <w:spacing w:before="145" w:after="145"/>
      <w:outlineLvl w:val="4"/>
    </w:pPr>
    <w:rPr>
      <w:rFonts w:ascii="黑体" w:eastAsia="黑体"/>
      <w:b/>
      <w:color w:val="000000"/>
      <w:sz w:val="28"/>
    </w:rPr>
  </w:style>
  <w:style w:type="paragraph" w:styleId="1140">
    <w:name w:val="标题 6"/>
    <w:basedOn w:val="1134"/>
    <w:next w:val="1134"/>
    <w:link w:val="1151"/>
    <w:qFormat/>
    <w:pPr>
      <w:keepLines/>
      <w:keepNext/>
      <w:spacing w:before="240" w:after="64" w:line="320" w:lineRule="auto"/>
      <w:outlineLvl w:val="5"/>
    </w:pPr>
    <w:rPr>
      <w:rFonts w:ascii="Arial" w:hAnsi="Arial" w:eastAsia="黑体"/>
      <w:b/>
      <w:bCs/>
      <w:sz w:val="24"/>
      <w:szCs w:val="24"/>
    </w:rPr>
  </w:style>
  <w:style w:type="paragraph" w:styleId="1141">
    <w:name w:val="标题 7"/>
    <w:basedOn w:val="1134"/>
    <w:next w:val="1134"/>
    <w:link w:val="1152"/>
    <w:qFormat/>
    <w:pPr>
      <w:keepLines/>
      <w:keepNext/>
      <w:spacing w:before="240" w:after="64" w:line="320" w:lineRule="auto"/>
      <w:outlineLvl w:val="6"/>
    </w:pPr>
    <w:rPr>
      <w:rFonts w:eastAsia="宋体"/>
      <w:b/>
      <w:bCs/>
      <w:sz w:val="24"/>
      <w:szCs w:val="24"/>
    </w:rPr>
  </w:style>
  <w:style w:type="paragraph" w:styleId="1142">
    <w:name w:val="标题 8"/>
    <w:basedOn w:val="1134"/>
    <w:next w:val="1134"/>
    <w:link w:val="1153"/>
    <w:qFormat/>
    <w:pPr>
      <w:keepLines/>
      <w:keepNext/>
      <w:spacing w:before="240" w:after="64" w:line="320" w:lineRule="auto"/>
      <w:outlineLvl w:val="7"/>
    </w:pPr>
    <w:rPr>
      <w:rFonts w:ascii="Arial" w:hAnsi="Arial" w:eastAsia="黑体"/>
      <w:sz w:val="24"/>
      <w:szCs w:val="24"/>
    </w:rPr>
  </w:style>
  <w:style w:type="paragraph" w:styleId="1143">
    <w:name w:val="标题 9"/>
    <w:basedOn w:val="1134"/>
    <w:next w:val="1134"/>
    <w:link w:val="1154"/>
    <w:qFormat/>
    <w:pPr>
      <w:keepLines/>
      <w:keepNext/>
      <w:spacing w:before="240" w:after="64" w:line="320" w:lineRule="auto"/>
      <w:outlineLvl w:val="8"/>
    </w:pPr>
    <w:rPr>
      <w:rFonts w:ascii="Arial" w:hAnsi="Arial" w:eastAsia="黑体"/>
      <w:szCs w:val="21"/>
    </w:rPr>
  </w:style>
  <w:style w:type="character" w:styleId="1144">
    <w:name w:val="默认段落字体"/>
    <w:next w:val="1144"/>
    <w:link w:val="1134"/>
    <w:rPr>
      <w:rFonts w:ascii="Times New Roman" w:hAnsi="Times New Roman" w:eastAsia="宋体" w:cs="Times New Roman"/>
    </w:rPr>
  </w:style>
  <w:style w:type="table" w:styleId="1145">
    <w:name w:val="普通表格"/>
    <w:next w:val="1145"/>
    <w:link w:val="1134"/>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146">
    <w:name w:val="标题 4 字符"/>
    <w:next w:val="1146"/>
    <w:link w:val="1138"/>
    <w:rPr>
      <w:rFonts w:ascii="Arial" w:hAnsi="Arial" w:eastAsia="黑体" w:cs="Times New Roman"/>
      <w:b/>
      <w:sz w:val="28"/>
      <w:lang w:val="en-US" w:eastAsia="zh-CN" w:bidi="ar-SA"/>
    </w:rPr>
  </w:style>
  <w:style w:type="character" w:styleId="1147">
    <w:name w:val="标题 1 字符"/>
    <w:next w:val="1147"/>
    <w:link w:val="1135"/>
    <w:rPr>
      <w:rFonts w:ascii="黑体" w:hAnsi="Times New Roman" w:eastAsia="微软雅黑" w:cs="Times New Roman"/>
      <w:b/>
      <w:sz w:val="32"/>
      <w:szCs w:val="28"/>
    </w:rPr>
  </w:style>
  <w:style w:type="character" w:styleId="1148">
    <w:name w:val="标题 2 字符"/>
    <w:next w:val="1148"/>
    <w:link w:val="1136"/>
    <w:rPr>
      <w:rFonts w:ascii="宋体" w:hAnsi="宋体" w:eastAsia="微软雅黑" w:cs="Times New Roman"/>
      <w:b/>
      <w:sz w:val="28"/>
      <w:szCs w:val="24"/>
    </w:rPr>
  </w:style>
  <w:style w:type="character" w:styleId="1149">
    <w:name w:val="标题 3 字符"/>
    <w:next w:val="1149"/>
    <w:link w:val="1137"/>
    <w:rPr>
      <w:rFonts w:ascii="宋体" w:hAnsi="宋体" w:eastAsia="微软雅黑" w:cs="Times New Roman"/>
      <w:b/>
      <w:sz w:val="24"/>
      <w:szCs w:val="21"/>
      <w:shd w:val="clear" w:color="auto" w:fill="ffffff"/>
    </w:rPr>
  </w:style>
  <w:style w:type="character" w:styleId="1150">
    <w:name w:val="标题 5 字符"/>
    <w:next w:val="1150"/>
    <w:link w:val="1139"/>
    <w:rPr>
      <w:rFonts w:ascii="黑体" w:hAnsi="Times New Roman" w:eastAsia="黑体" w:cs="Times New Roman"/>
      <w:b/>
      <w:color w:val="000000"/>
      <w:sz w:val="28"/>
      <w:lang w:val="en-US" w:eastAsia="zh-CN" w:bidi="ar-SA"/>
    </w:rPr>
  </w:style>
  <w:style w:type="character" w:styleId="1151">
    <w:name w:val="标题 6 字符"/>
    <w:next w:val="1151"/>
    <w:link w:val="1140"/>
    <w:rPr>
      <w:rFonts w:ascii="Arial" w:hAnsi="Arial" w:eastAsia="黑体" w:cs="Times New Roman"/>
      <w:b/>
      <w:bCs/>
      <w:sz w:val="24"/>
      <w:szCs w:val="24"/>
      <w:lang w:val="en-US" w:eastAsia="zh-CN" w:bidi="ar-SA"/>
    </w:rPr>
  </w:style>
  <w:style w:type="character" w:styleId="1152">
    <w:name w:val="标题 7 字符"/>
    <w:next w:val="1152"/>
    <w:link w:val="1141"/>
    <w:rPr>
      <w:rFonts w:ascii="Times New Roman" w:hAnsi="Times New Roman" w:eastAsia="宋体" w:cs="Times New Roman"/>
      <w:b/>
      <w:bCs/>
      <w:sz w:val="24"/>
      <w:szCs w:val="24"/>
      <w:lang w:val="en-US" w:eastAsia="zh-CN" w:bidi="ar-SA"/>
    </w:rPr>
  </w:style>
  <w:style w:type="character" w:styleId="1153">
    <w:name w:val="标题 8 字符"/>
    <w:next w:val="1153"/>
    <w:link w:val="1142"/>
    <w:rPr>
      <w:rFonts w:ascii="Arial" w:hAnsi="Arial" w:eastAsia="黑体" w:cs="Times New Roman"/>
      <w:sz w:val="24"/>
      <w:szCs w:val="24"/>
      <w:lang w:val="en-US" w:eastAsia="zh-CN" w:bidi="ar-SA"/>
    </w:rPr>
  </w:style>
  <w:style w:type="character" w:styleId="1154">
    <w:name w:val="标题 9 字符"/>
    <w:next w:val="1154"/>
    <w:link w:val="1143"/>
    <w:rPr>
      <w:rFonts w:ascii="Arial" w:hAnsi="Arial" w:eastAsia="黑体" w:cs="Times New Roman"/>
      <w:sz w:val="21"/>
      <w:szCs w:val="21"/>
      <w:lang w:val="en-US" w:eastAsia="zh-CN" w:bidi="ar-SA"/>
    </w:rPr>
  </w:style>
  <w:style w:type="paragraph" w:styleId="1155">
    <w:name w:val="列表 3"/>
    <w:basedOn w:val="1134"/>
    <w:next w:val="1155"/>
    <w:link w:val="1134"/>
    <w:pPr>
      <w:ind w:left="1260" w:hanging="420"/>
    </w:pPr>
    <w:rPr>
      <w:rFonts w:ascii="Times New Roman" w:hAnsi="Times New Roman" w:eastAsia="宋体" w:cs="Times New Roman"/>
    </w:rPr>
  </w:style>
  <w:style w:type="paragraph" w:styleId="1156">
    <w:name w:val="目录 7"/>
    <w:basedOn w:val="1134"/>
    <w:next w:val="1134"/>
    <w:link w:val="1134"/>
    <w:pPr>
      <w:ind w:left="1680"/>
      <w:jc w:val="left"/>
      <w:spacing w:before="0" w:after="0"/>
    </w:pPr>
    <w:rPr>
      <w:rFonts w:ascii="Calibri" w:hAnsi="Calibri" w:eastAsia="宋体" w:cs="Times New Roman"/>
      <w:sz w:val="18"/>
      <w:szCs w:val="18"/>
    </w:rPr>
  </w:style>
  <w:style w:type="paragraph" w:styleId="1157">
    <w:name w:val="列表编号 2"/>
    <w:basedOn w:val="1134"/>
    <w:next w:val="1157"/>
    <w:link w:val="1134"/>
    <w:pPr>
      <w:ind w:left="1440" w:hanging="1440"/>
      <w:spacing w:line="360" w:lineRule="auto"/>
      <w:tabs>
        <w:tab w:val="left" w:pos="1440" w:leader="none"/>
      </w:tabs>
    </w:pPr>
    <w:rPr>
      <w:rFonts w:ascii="Times New Roman" w:hAnsi="Times New Roman" w:eastAsia="宋体" w:cs="Times New Roman"/>
      <w:sz w:val="24"/>
      <w:szCs w:val="24"/>
    </w:rPr>
  </w:style>
  <w:style w:type="paragraph" w:styleId="1158">
    <w:name w:val="索引 8"/>
    <w:basedOn w:val="1134"/>
    <w:next w:val="1134"/>
    <w:link w:val="1134"/>
    <w:pPr>
      <w:ind w:left="2940"/>
    </w:pPr>
    <w:rPr>
      <w:rFonts w:ascii="Times New Roman" w:hAnsi="Times New Roman" w:eastAsia="宋体" w:cs="Times New Roman"/>
    </w:rPr>
  </w:style>
  <w:style w:type="paragraph" w:styleId="1159">
    <w:name w:val="列表编号"/>
    <w:basedOn w:val="1134"/>
    <w:next w:val="1159"/>
    <w:link w:val="1134"/>
    <w:pPr>
      <w:ind w:left="2952" w:hanging="432"/>
      <w:tabs>
        <w:tab w:val="left" w:pos="2952" w:leader="none"/>
      </w:tabs>
    </w:pPr>
    <w:rPr>
      <w:rFonts w:ascii="Times New Roman" w:hAnsi="Times New Roman" w:eastAsia="宋体" w:cs="Times New Roman"/>
      <w:szCs w:val="24"/>
    </w:rPr>
  </w:style>
  <w:style w:type="paragraph" w:styleId="1160">
    <w:name w:val="正文缩进"/>
    <w:basedOn w:val="1134"/>
    <w:next w:val="1160"/>
    <w:link w:val="1134"/>
    <w:pPr>
      <w:ind w:firstLine="420"/>
    </w:pPr>
    <w:rPr>
      <w:rFonts w:ascii="Times New Roman" w:hAnsi="Times New Roman" w:eastAsia="宋体" w:cs="Times New Roman"/>
    </w:rPr>
  </w:style>
  <w:style w:type="paragraph" w:styleId="1161">
    <w:name w:val="索引 5"/>
    <w:basedOn w:val="1134"/>
    <w:next w:val="1134"/>
    <w:link w:val="1134"/>
    <w:pPr>
      <w:ind w:left="1680"/>
    </w:pPr>
    <w:rPr>
      <w:rFonts w:ascii="Times New Roman" w:hAnsi="Times New Roman" w:eastAsia="宋体" w:cs="Times New Roman"/>
    </w:rPr>
  </w:style>
  <w:style w:type="paragraph" w:styleId="1162">
    <w:name w:val="文档结构图"/>
    <w:basedOn w:val="1134"/>
    <w:next w:val="1162"/>
    <w:link w:val="1163"/>
    <w:pPr>
      <w:shd w:val="clear" w:color="auto" w:fill="000080"/>
    </w:pPr>
    <w:rPr>
      <w:rFonts w:eastAsia="宋体"/>
    </w:rPr>
  </w:style>
  <w:style w:type="character" w:styleId="1163">
    <w:name w:val="文档结构图 字符"/>
    <w:next w:val="1163"/>
    <w:link w:val="1162"/>
    <w:rPr>
      <w:rFonts w:ascii="Times New Roman" w:hAnsi="Times New Roman" w:eastAsia="宋体" w:cs="Times New Roman"/>
      <w:sz w:val="21"/>
      <w:lang w:val="en-US" w:eastAsia="zh-CN" w:bidi="ar-SA"/>
    </w:rPr>
  </w:style>
  <w:style w:type="paragraph" w:styleId="1164">
    <w:name w:val="引文目录标题"/>
    <w:basedOn w:val="1134"/>
    <w:next w:val="1134"/>
    <w:link w:val="1134"/>
    <w:uiPriority w:val="99"/>
    <w:qFormat/>
    <w:pPr>
      <w:spacing w:before="120"/>
    </w:pPr>
    <w:rPr>
      <w:rFonts w:ascii="Cambria" w:hAnsi="Cambria"/>
      <w:sz w:val="24"/>
    </w:rPr>
  </w:style>
  <w:style w:type="paragraph" w:styleId="1165">
    <w:name w:val="批注文字"/>
    <w:basedOn w:val="1134"/>
    <w:next w:val="1165"/>
    <w:link w:val="1166"/>
    <w:pPr>
      <w:jc w:val="left"/>
    </w:pPr>
    <w:rPr>
      <w:rFonts w:hint="eastAsia" w:ascii="微软雅黑" w:hAnsi="微软雅黑"/>
    </w:rPr>
  </w:style>
  <w:style w:type="character" w:styleId="1166">
    <w:name w:val="批注文字 字符"/>
    <w:next w:val="1166"/>
    <w:link w:val="1165"/>
    <w:rPr>
      <w:rFonts w:hint="eastAsia" w:ascii="微软雅黑" w:hAnsi="微软雅黑" w:eastAsia="微软雅黑" w:cs="微软雅黑"/>
      <w:sz w:val="21"/>
    </w:rPr>
  </w:style>
  <w:style w:type="paragraph" w:styleId="1167">
    <w:name w:val="索引 6"/>
    <w:basedOn w:val="1134"/>
    <w:next w:val="1134"/>
    <w:link w:val="1134"/>
    <w:pPr>
      <w:ind w:left="2100"/>
    </w:pPr>
    <w:rPr>
      <w:rFonts w:ascii="Times New Roman" w:hAnsi="Times New Roman" w:eastAsia="宋体" w:cs="Times New Roman"/>
    </w:rPr>
  </w:style>
  <w:style w:type="paragraph" w:styleId="1168">
    <w:name w:val="称呼"/>
    <w:basedOn w:val="1134"/>
    <w:next w:val="1134"/>
    <w:link w:val="1134"/>
    <w:rPr>
      <w:rFonts w:ascii="仿宋_GB2312" w:hAnsi="Times New Roman" w:eastAsia="仿宋_GB2312" w:cs="Times New Roman"/>
      <w:sz w:val="28"/>
    </w:rPr>
  </w:style>
  <w:style w:type="paragraph" w:styleId="1169">
    <w:name w:val="正文文本 3"/>
    <w:basedOn w:val="1134"/>
    <w:next w:val="1169"/>
    <w:link w:val="1134"/>
    <w:rPr>
      <w:rFonts w:ascii="仿宋_GB2312" w:hAnsi="Arial" w:eastAsia="仿宋_GB2312" w:cs="Times New Roman"/>
      <w:sz w:val="32"/>
    </w:rPr>
  </w:style>
  <w:style w:type="paragraph" w:styleId="1170">
    <w:name w:val="正文文本"/>
    <w:basedOn w:val="1134"/>
    <w:next w:val="1170"/>
    <w:link w:val="1134"/>
    <w:rPr>
      <w:rFonts w:ascii="楷体_GB2312" w:hAnsi="Arial" w:eastAsia="楷体_GB2312" w:cs="Times New Roman"/>
      <w:sz w:val="28"/>
    </w:rPr>
  </w:style>
  <w:style w:type="paragraph" w:styleId="1171">
    <w:name w:val="正文文本缩进"/>
    <w:basedOn w:val="1134"/>
    <w:next w:val="1171"/>
    <w:link w:val="1172"/>
    <w:pPr>
      <w:ind w:firstLine="645"/>
    </w:pPr>
    <w:rPr>
      <w:rFonts w:ascii="楷体_GB2312" w:eastAsia="楷体_GB2312"/>
      <w:sz w:val="32"/>
    </w:rPr>
  </w:style>
  <w:style w:type="character" w:styleId="1172">
    <w:name w:val="正文文本缩进 字符"/>
    <w:next w:val="1172"/>
    <w:link w:val="1171"/>
    <w:rPr>
      <w:rFonts w:ascii="楷体_GB2312" w:hAnsi="Times New Roman" w:eastAsia="楷体_GB2312" w:cs="Times New Roman"/>
      <w:sz w:val="32"/>
      <w:lang w:val="en-US" w:eastAsia="zh-CN" w:bidi="ar-SA"/>
    </w:rPr>
  </w:style>
  <w:style w:type="paragraph" w:styleId="1173">
    <w:name w:val="文本块"/>
    <w:basedOn w:val="1134"/>
    <w:next w:val="1173"/>
    <w:link w:val="1134"/>
    <w:pPr>
      <w:ind w:left="1440" w:right="1440"/>
      <w:spacing w:after="120"/>
    </w:pPr>
    <w:rPr>
      <w:rFonts w:ascii="Times New Roman" w:hAnsi="Times New Roman" w:eastAsia="宋体" w:cs="Times New Roman"/>
    </w:rPr>
  </w:style>
  <w:style w:type="paragraph" w:styleId="1174">
    <w:name w:val="索引 4"/>
    <w:basedOn w:val="1134"/>
    <w:next w:val="1134"/>
    <w:link w:val="1134"/>
    <w:pPr>
      <w:ind w:left="1260"/>
    </w:pPr>
    <w:rPr>
      <w:rFonts w:ascii="Times New Roman" w:hAnsi="Times New Roman" w:eastAsia="宋体" w:cs="Times New Roman"/>
    </w:rPr>
  </w:style>
  <w:style w:type="paragraph" w:styleId="1175">
    <w:name w:val="目录 5"/>
    <w:basedOn w:val="1134"/>
    <w:next w:val="1134"/>
    <w:link w:val="1134"/>
    <w:pPr>
      <w:ind w:left="1120"/>
      <w:jc w:val="left"/>
      <w:spacing w:before="0" w:after="0"/>
    </w:pPr>
    <w:rPr>
      <w:rFonts w:ascii="Calibri" w:hAnsi="Calibri" w:eastAsia="宋体" w:cs="Times New Roman"/>
      <w:sz w:val="18"/>
      <w:szCs w:val="18"/>
    </w:rPr>
  </w:style>
  <w:style w:type="paragraph" w:styleId="1176">
    <w:name w:val="目录 3"/>
    <w:basedOn w:val="1134"/>
    <w:next w:val="1134"/>
    <w:link w:val="1134"/>
    <w:pPr>
      <w:ind w:left="560"/>
      <w:jc w:val="left"/>
      <w:spacing w:before="0" w:after="0"/>
    </w:pPr>
    <w:rPr>
      <w:rFonts w:ascii="Calibri" w:hAnsi="Calibri" w:eastAsia="宋体" w:cs="Times New Roman"/>
      <w:i/>
      <w:iCs/>
      <w:sz w:val="20"/>
    </w:rPr>
  </w:style>
  <w:style w:type="paragraph" w:styleId="1177">
    <w:name w:val="纯文本"/>
    <w:basedOn w:val="1134"/>
    <w:next w:val="1177"/>
    <w:link w:val="1178"/>
    <w:rPr>
      <w:rFonts w:ascii="宋体" w:hAnsi="Courier New" w:eastAsia="宋体"/>
    </w:rPr>
  </w:style>
  <w:style w:type="character" w:styleId="1178">
    <w:name w:val="纯文本 字符"/>
    <w:next w:val="1178"/>
    <w:link w:val="1177"/>
    <w:rPr>
      <w:rFonts w:ascii="宋体" w:hAnsi="Courier New" w:eastAsia="宋体" w:cs="Times New Roman"/>
      <w:sz w:val="21"/>
      <w:lang w:val="en-US" w:eastAsia="zh-CN" w:bidi="ar-SA"/>
    </w:rPr>
  </w:style>
  <w:style w:type="paragraph" w:styleId="1179">
    <w:name w:val="目录 8"/>
    <w:basedOn w:val="1134"/>
    <w:next w:val="1134"/>
    <w:link w:val="1134"/>
    <w:pPr>
      <w:ind w:left="1960"/>
      <w:jc w:val="left"/>
      <w:spacing w:before="0" w:after="0"/>
    </w:pPr>
    <w:rPr>
      <w:rFonts w:ascii="Calibri" w:hAnsi="Calibri" w:eastAsia="宋体" w:cs="Times New Roman"/>
      <w:sz w:val="18"/>
      <w:szCs w:val="18"/>
    </w:rPr>
  </w:style>
  <w:style w:type="paragraph" w:styleId="1180">
    <w:name w:val="索引 3"/>
    <w:basedOn w:val="1134"/>
    <w:next w:val="1134"/>
    <w:link w:val="1134"/>
    <w:pPr>
      <w:ind w:left="840"/>
    </w:pPr>
    <w:rPr>
      <w:rFonts w:ascii="Times New Roman" w:hAnsi="Times New Roman" w:eastAsia="宋体" w:cs="Times New Roman"/>
    </w:rPr>
  </w:style>
  <w:style w:type="paragraph" w:styleId="1181">
    <w:name w:val="日期"/>
    <w:basedOn w:val="1134"/>
    <w:next w:val="1134"/>
    <w:link w:val="1134"/>
    <w:pPr>
      <w:ind w:left="100"/>
    </w:pPr>
    <w:rPr>
      <w:rFonts w:ascii="Times New Roman" w:hAnsi="Times New Roman" w:eastAsia="宋体" w:cs="Times New Roman"/>
      <w:sz w:val="28"/>
    </w:rPr>
  </w:style>
  <w:style w:type="paragraph" w:styleId="1182">
    <w:name w:val="正文文本缩进 2"/>
    <w:basedOn w:val="1134"/>
    <w:next w:val="1182"/>
    <w:link w:val="1183"/>
    <w:pPr>
      <w:ind w:left="630" w:firstLine="645"/>
    </w:pPr>
    <w:rPr>
      <w:rFonts w:ascii="Arial" w:hAnsi="Arial" w:eastAsia="仿宋_GB2312"/>
      <w:sz w:val="32"/>
    </w:rPr>
  </w:style>
  <w:style w:type="character" w:styleId="1183">
    <w:name w:val="正文文本缩进 2 字符"/>
    <w:next w:val="1183"/>
    <w:link w:val="1182"/>
    <w:rPr>
      <w:rFonts w:ascii="Arial" w:hAnsi="Arial" w:eastAsia="仿宋_GB2312" w:cs="Times New Roman"/>
      <w:sz w:val="32"/>
      <w:lang w:val="en-US" w:eastAsia="zh-CN" w:bidi="ar-SA"/>
    </w:rPr>
  </w:style>
  <w:style w:type="paragraph" w:styleId="1184">
    <w:name w:val="尾注文本"/>
    <w:basedOn w:val="1134"/>
    <w:next w:val="1184"/>
    <w:link w:val="1134"/>
    <w:pPr>
      <w:jc w:val="left"/>
    </w:pPr>
    <w:rPr>
      <w:rFonts w:ascii="Times New Roman" w:hAnsi="Times New Roman" w:eastAsia="宋体" w:cs="Times New Roman"/>
      <w:sz w:val="20"/>
      <w:szCs w:val="24"/>
    </w:rPr>
  </w:style>
  <w:style w:type="paragraph" w:styleId="1185">
    <w:name w:val="批注框文本"/>
    <w:basedOn w:val="1134"/>
    <w:next w:val="1185"/>
    <w:link w:val="1134"/>
    <w:rPr>
      <w:rFonts w:ascii="Times New Roman" w:hAnsi="Times New Roman" w:eastAsia="宋体" w:cs="Times New Roman"/>
      <w:sz w:val="18"/>
      <w:szCs w:val="18"/>
    </w:rPr>
  </w:style>
  <w:style w:type="paragraph" w:styleId="1186">
    <w:name w:val="页脚"/>
    <w:basedOn w:val="1134"/>
    <w:next w:val="1186"/>
    <w:link w:val="1187"/>
    <w:pPr>
      <w:jc w:val="left"/>
      <w:tabs>
        <w:tab w:val="center" w:pos="4153" w:leader="none"/>
        <w:tab w:val="right" w:pos="8306" w:leader="none"/>
      </w:tabs>
    </w:pPr>
    <w:rPr>
      <w:rFonts w:eastAsia="宋体"/>
      <w:sz w:val="18"/>
    </w:rPr>
  </w:style>
  <w:style w:type="character" w:styleId="1187">
    <w:name w:val="页脚 字符"/>
    <w:next w:val="1187"/>
    <w:link w:val="1186"/>
    <w:rPr>
      <w:rFonts w:ascii="Times New Roman" w:hAnsi="Times New Roman" w:eastAsia="宋体" w:cs="Times New Roman"/>
      <w:sz w:val="18"/>
    </w:rPr>
  </w:style>
  <w:style w:type="paragraph" w:styleId="1188">
    <w:name w:val="寄信人地址"/>
    <w:basedOn w:val="1134"/>
    <w:next w:val="1188"/>
    <w:link w:val="1134"/>
    <w:rPr>
      <w:rFonts w:ascii="Arial" w:hAnsi="Arial" w:eastAsia="宋体" w:cs="Times New Roman"/>
    </w:rPr>
  </w:style>
  <w:style w:type="paragraph" w:styleId="1189">
    <w:name w:val="页眉"/>
    <w:basedOn w:val="1134"/>
    <w:next w:val="1189"/>
    <w:link w:val="1134"/>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190">
    <w:name w:val="签名"/>
    <w:basedOn w:val="1134"/>
    <w:next w:val="1190"/>
    <w:link w:val="1134"/>
    <w:pPr>
      <w:jc w:val="center"/>
      <w:spacing w:after="600" w:line="312" w:lineRule="atLeast"/>
    </w:pPr>
    <w:rPr>
      <w:rFonts w:ascii="Times New Roman" w:hAnsi="Times New Roman" w:eastAsia="仿宋_GB2312" w:cs="Times New Roman"/>
      <w:sz w:val="24"/>
    </w:rPr>
  </w:style>
  <w:style w:type="paragraph" w:styleId="1191">
    <w:name w:val="目录 1"/>
    <w:basedOn w:val="1134"/>
    <w:next w:val="1134"/>
    <w:link w:val="1134"/>
    <w:pPr>
      <w:jc w:val="left"/>
    </w:pPr>
    <w:rPr>
      <w:rFonts w:ascii="Calibri" w:hAnsi="Calibri" w:eastAsia="宋体" w:cs="Times New Roman"/>
      <w:b/>
      <w:bCs/>
      <w:caps/>
      <w:sz w:val="20"/>
    </w:rPr>
  </w:style>
  <w:style w:type="paragraph" w:styleId="1192">
    <w:name w:val="目录 4"/>
    <w:basedOn w:val="1134"/>
    <w:next w:val="1134"/>
    <w:link w:val="1134"/>
    <w:pPr>
      <w:ind w:left="840"/>
      <w:jc w:val="left"/>
      <w:spacing w:before="0" w:after="0"/>
    </w:pPr>
    <w:rPr>
      <w:rFonts w:ascii="Calibri" w:hAnsi="Calibri" w:eastAsia="宋体" w:cs="Times New Roman"/>
      <w:sz w:val="18"/>
      <w:szCs w:val="18"/>
    </w:rPr>
  </w:style>
  <w:style w:type="paragraph" w:styleId="1193">
    <w:name w:val="索引标题"/>
    <w:basedOn w:val="1134"/>
    <w:next w:val="1194"/>
    <w:link w:val="1134"/>
    <w:rPr>
      <w:rFonts w:ascii="Times New Roman" w:hAnsi="Times New Roman" w:eastAsia="宋体" w:cs="Times New Roman"/>
    </w:rPr>
  </w:style>
  <w:style w:type="paragraph" w:styleId="1194">
    <w:name w:val="索引 1"/>
    <w:basedOn w:val="1134"/>
    <w:next w:val="1134"/>
    <w:link w:val="1134"/>
    <w:rPr>
      <w:rFonts w:ascii="仿宋_GB2312" w:hAnsi="宋体" w:eastAsia="仿宋_GB2312" w:cs="Times New Roman"/>
      <w:sz w:val="30"/>
      <w:szCs w:val="24"/>
    </w:rPr>
  </w:style>
  <w:style w:type="paragraph" w:styleId="1195">
    <w:name w:val="副标题"/>
    <w:basedOn w:val="1134"/>
    <w:next w:val="1134"/>
    <w:link w:val="1134"/>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96">
    <w:name w:val="脚注文本"/>
    <w:basedOn w:val="1134"/>
    <w:next w:val="1196"/>
    <w:link w:val="1134"/>
    <w:pPr>
      <w:jc w:val="left"/>
    </w:pPr>
    <w:rPr>
      <w:rFonts w:ascii="Times New Roman" w:hAnsi="Times New Roman" w:eastAsia="宋体" w:cs="Times New Roman"/>
      <w:sz w:val="18"/>
      <w:szCs w:val="18"/>
    </w:rPr>
  </w:style>
  <w:style w:type="paragraph" w:styleId="1197">
    <w:name w:val="目录 6"/>
    <w:basedOn w:val="1134"/>
    <w:next w:val="1134"/>
    <w:link w:val="1134"/>
    <w:pPr>
      <w:ind w:left="1400"/>
      <w:jc w:val="left"/>
      <w:spacing w:before="0" w:after="0"/>
    </w:pPr>
    <w:rPr>
      <w:rFonts w:ascii="Calibri" w:hAnsi="Calibri" w:eastAsia="宋体" w:cs="Times New Roman"/>
      <w:sz w:val="18"/>
      <w:szCs w:val="18"/>
    </w:rPr>
  </w:style>
  <w:style w:type="paragraph" w:styleId="1198">
    <w:name w:val="正文文本缩进 3"/>
    <w:basedOn w:val="1134"/>
    <w:next w:val="1198"/>
    <w:link w:val="1199"/>
    <w:pPr>
      <w:ind w:left="645" w:firstLine="645"/>
    </w:pPr>
    <w:rPr>
      <w:rFonts w:ascii="Arial" w:hAnsi="Arial" w:eastAsia="仿宋_GB2312"/>
      <w:color w:val="ffff00"/>
      <w:sz w:val="32"/>
    </w:rPr>
  </w:style>
  <w:style w:type="character" w:styleId="1199">
    <w:name w:val="正文文本缩进 3 字符"/>
    <w:next w:val="1199"/>
    <w:link w:val="1198"/>
    <w:rPr>
      <w:rFonts w:ascii="Arial" w:hAnsi="Arial" w:eastAsia="仿宋_GB2312" w:cs="Times New Roman"/>
      <w:color w:val="ffff00"/>
      <w:sz w:val="32"/>
      <w:lang w:val="en-US" w:eastAsia="zh-CN" w:bidi="ar-SA"/>
    </w:rPr>
  </w:style>
  <w:style w:type="paragraph" w:styleId="1200">
    <w:name w:val="索引 7"/>
    <w:basedOn w:val="1134"/>
    <w:next w:val="1134"/>
    <w:link w:val="1134"/>
    <w:pPr>
      <w:ind w:left="2520"/>
    </w:pPr>
    <w:rPr>
      <w:rFonts w:ascii="Times New Roman" w:hAnsi="Times New Roman" w:eastAsia="宋体" w:cs="Times New Roman"/>
    </w:rPr>
  </w:style>
  <w:style w:type="paragraph" w:styleId="1201">
    <w:name w:val="索引 9"/>
    <w:basedOn w:val="1134"/>
    <w:next w:val="1134"/>
    <w:link w:val="1134"/>
    <w:pPr>
      <w:ind w:left="3360"/>
    </w:pPr>
    <w:rPr>
      <w:rFonts w:ascii="Times New Roman" w:hAnsi="Times New Roman" w:eastAsia="宋体" w:cs="Times New Roman"/>
    </w:rPr>
  </w:style>
  <w:style w:type="paragraph" w:styleId="1202">
    <w:name w:val="图表目录"/>
    <w:basedOn w:val="1134"/>
    <w:next w:val="1134"/>
    <w:link w:val="1134"/>
    <w:pPr>
      <w:ind w:left="840" w:hanging="420"/>
    </w:pPr>
    <w:rPr>
      <w:rFonts w:ascii="Times New Roman" w:hAnsi="Times New Roman" w:eastAsia="宋体" w:cs="Times New Roman"/>
    </w:rPr>
  </w:style>
  <w:style w:type="paragraph" w:styleId="1203">
    <w:name w:val="目录 2"/>
    <w:basedOn w:val="1134"/>
    <w:next w:val="1134"/>
    <w:link w:val="1134"/>
    <w:pPr>
      <w:ind w:left="280"/>
      <w:jc w:val="left"/>
      <w:spacing w:before="0" w:after="0"/>
    </w:pPr>
    <w:rPr>
      <w:rFonts w:ascii="Calibri" w:hAnsi="Calibri" w:eastAsia="宋体" w:cs="Times New Roman"/>
      <w:smallCaps/>
      <w:sz w:val="20"/>
    </w:rPr>
  </w:style>
  <w:style w:type="paragraph" w:styleId="1204">
    <w:name w:val="目录 9"/>
    <w:basedOn w:val="1134"/>
    <w:next w:val="1134"/>
    <w:link w:val="1134"/>
    <w:pPr>
      <w:ind w:left="2240"/>
      <w:jc w:val="left"/>
      <w:spacing w:before="0" w:after="0"/>
    </w:pPr>
    <w:rPr>
      <w:rFonts w:ascii="Calibri" w:hAnsi="Calibri" w:eastAsia="宋体" w:cs="Times New Roman"/>
      <w:sz w:val="18"/>
      <w:szCs w:val="18"/>
    </w:rPr>
  </w:style>
  <w:style w:type="paragraph" w:styleId="1205">
    <w:name w:val="正文文本 2"/>
    <w:basedOn w:val="1134"/>
    <w:next w:val="1205"/>
    <w:link w:val="1134"/>
    <w:pPr>
      <w:jc w:val="center"/>
      <w:widowControl/>
    </w:pPr>
    <w:rPr>
      <w:rFonts w:ascii="楷体_GB2312" w:hAnsi="Times New Roman" w:eastAsia="楷体_GB2312" w:cs="Times New Roman"/>
      <w:sz w:val="28"/>
    </w:rPr>
  </w:style>
  <w:style w:type="paragraph" w:styleId="1206">
    <w:name w:val="HTML 预设格式"/>
    <w:basedOn w:val="1134"/>
    <w:next w:val="1206"/>
    <w:link w:val="120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07">
    <w:name w:val="HTML 预设格式 字符"/>
    <w:next w:val="1207"/>
    <w:link w:val="1206"/>
    <w:rPr>
      <w:rFonts w:ascii="黑体" w:hAnsi="Courier New" w:eastAsia="黑体" w:cs="Courier New"/>
      <w:lang w:val="en-US" w:eastAsia="zh-CN" w:bidi="ar-SA"/>
    </w:rPr>
  </w:style>
  <w:style w:type="paragraph" w:styleId="1208">
    <w:name w:val="普通(网站)"/>
    <w:basedOn w:val="1134"/>
    <w:next w:val="1208"/>
    <w:link w:val="1134"/>
    <w:pPr>
      <w:jc w:val="left"/>
      <w:spacing w:before="100" w:beforeAutospacing="1" w:after="100" w:afterAutospacing="1"/>
      <w:widowControl/>
    </w:pPr>
    <w:rPr>
      <w:rFonts w:ascii="Arial" w:hAnsi="Arial" w:eastAsia="Arial Unicode MS" w:cs="Arial"/>
      <w:sz w:val="24"/>
      <w:szCs w:val="24"/>
    </w:rPr>
  </w:style>
  <w:style w:type="paragraph" w:styleId="1209">
    <w:name w:val="索引 2"/>
    <w:basedOn w:val="1134"/>
    <w:next w:val="1134"/>
    <w:link w:val="1134"/>
    <w:pPr>
      <w:ind w:left="420"/>
    </w:pPr>
    <w:rPr>
      <w:rFonts w:ascii="Times New Roman" w:hAnsi="Times New Roman" w:eastAsia="宋体" w:cs="Times New Roman"/>
    </w:rPr>
  </w:style>
  <w:style w:type="paragraph" w:styleId="1210">
    <w:name w:val="标题"/>
    <w:basedOn w:val="1134"/>
    <w:next w:val="1210"/>
    <w:link w:val="1211"/>
    <w:qFormat/>
    <w:pPr>
      <w:jc w:val="center"/>
      <w:spacing w:line="480" w:lineRule="auto"/>
      <w:widowControl/>
    </w:pPr>
    <w:rPr>
      <w:rFonts w:ascii="微软雅黑" w:hAnsi="微软雅黑"/>
      <w:sz w:val="36"/>
      <w:szCs w:val="24"/>
      <w:lang w:val="zh-CN"/>
    </w:rPr>
  </w:style>
  <w:style w:type="character" w:styleId="1211">
    <w:name w:val="标题 字符"/>
    <w:next w:val="1211"/>
    <w:link w:val="1210"/>
    <w:rPr>
      <w:rFonts w:ascii="微软雅黑" w:hAnsi="微软雅黑" w:eastAsia="微软雅黑" w:cs="Times New Roman"/>
      <w:sz w:val="36"/>
      <w:szCs w:val="24"/>
      <w:lang w:val="zh-CN"/>
    </w:rPr>
  </w:style>
  <w:style w:type="paragraph" w:styleId="1212">
    <w:name w:val="批注主题"/>
    <w:basedOn w:val="1165"/>
    <w:next w:val="1165"/>
    <w:link w:val="1213"/>
    <w:rPr>
      <w:rFonts w:ascii="Times New Roman" w:hAnsi="Times New Roman" w:eastAsia="宋体"/>
      <w:b/>
      <w:bCs/>
    </w:rPr>
  </w:style>
  <w:style w:type="character" w:styleId="1213">
    <w:name w:val="批注主题 字符"/>
    <w:next w:val="1213"/>
    <w:link w:val="1212"/>
    <w:rPr>
      <w:rFonts w:ascii="Times New Roman" w:hAnsi="Times New Roman" w:eastAsia="宋体" w:cs="Times New Roman"/>
      <w:b/>
      <w:bCs/>
      <w:sz w:val="21"/>
      <w:lang w:val="en-US" w:eastAsia="zh-CN" w:bidi="ar-SA"/>
    </w:rPr>
  </w:style>
  <w:style w:type="paragraph" w:styleId="1214">
    <w:name w:val="正文首行缩进"/>
    <w:basedOn w:val="1170"/>
    <w:next w:val="1215"/>
    <w:link w:val="1134"/>
    <w:pPr>
      <w:ind w:firstLine="420"/>
      <w:spacing w:after="120"/>
    </w:pPr>
    <w:rPr>
      <w:rFonts w:ascii="Times New Roman" w:hAnsi="Times New Roman" w:eastAsia="宋体" w:cs="Times New Roman"/>
      <w:sz w:val="21"/>
      <w:szCs w:val="24"/>
    </w:rPr>
  </w:style>
  <w:style w:type="paragraph" w:styleId="1215">
    <w:name w:val="正文首行缩进 2"/>
    <w:basedOn w:val="1171"/>
    <w:next w:val="1215"/>
    <w:link w:val="1134"/>
    <w:pPr>
      <w:ind w:left="420" w:firstLine="420"/>
      <w:spacing w:after="120" w:line="240" w:lineRule="auto"/>
    </w:pPr>
    <w:rPr>
      <w:rFonts w:ascii="Times New Roman" w:hAnsi="Times New Roman" w:eastAsia="宋体" w:cs="Times New Roman"/>
      <w:sz w:val="21"/>
    </w:rPr>
  </w:style>
  <w:style w:type="table" w:styleId="1216">
    <w:name w:val="网格型"/>
    <w:basedOn w:val="1145"/>
    <w:next w:val="1216"/>
    <w:link w:val="1134"/>
    <w:pPr>
      <w:jc w:val="both"/>
      <w:widowControl w:val="off"/>
    </w:pPr>
    <w:rPr>
      <w:rFonts w:ascii="Times New Roman" w:hAnsi="Times New Roman" w:eastAsia="宋体" w:cs="Times New Roman"/>
    </w:rPr>
    <w:tblPr/>
  </w:style>
  <w:style w:type="character" w:styleId="1217">
    <w:name w:val="要点"/>
    <w:next w:val="1217"/>
    <w:link w:val="1134"/>
    <w:qFormat/>
    <w:rPr>
      <w:rFonts w:ascii="Times New Roman" w:hAnsi="Times New Roman" w:eastAsia="宋体" w:cs="Times New Roman"/>
      <w:b/>
      <w:bCs/>
    </w:rPr>
  </w:style>
  <w:style w:type="character" w:styleId="1218">
    <w:name w:val="尾注引用"/>
    <w:next w:val="1218"/>
    <w:link w:val="1134"/>
    <w:rPr>
      <w:rFonts w:ascii="Times New Roman" w:hAnsi="Times New Roman" w:eastAsia="宋体" w:cs="Times New Roman"/>
      <w:b w:val="0"/>
      <w:bCs w:val="0"/>
      <w:i w:val="0"/>
      <w:iCs w:val="0"/>
      <w:vertAlign w:val="superscript"/>
    </w:rPr>
  </w:style>
  <w:style w:type="character" w:styleId="1219">
    <w:name w:val="页码"/>
    <w:next w:val="1219"/>
    <w:link w:val="1134"/>
    <w:rPr>
      <w:rFonts w:ascii="Times New Roman" w:hAnsi="Times New Roman" w:eastAsia="宋体" w:cs="Times New Roman"/>
    </w:rPr>
  </w:style>
  <w:style w:type="character" w:styleId="1220">
    <w:name w:val="已访问的超链接"/>
    <w:next w:val="1220"/>
    <w:link w:val="1134"/>
    <w:rPr>
      <w:rFonts w:ascii="Times New Roman" w:hAnsi="Times New Roman" w:eastAsia="宋体" w:cs="Times New Roman"/>
      <w:color w:val="0076be"/>
      <w:u w:val="none"/>
    </w:rPr>
  </w:style>
  <w:style w:type="character" w:styleId="1221">
    <w:name w:val="强调"/>
    <w:next w:val="1221"/>
    <w:link w:val="1134"/>
    <w:qFormat/>
    <w:rPr>
      <w:rFonts w:ascii="Times New Roman" w:hAnsi="Times New Roman" w:eastAsia="宋体" w:cs="Times New Roman"/>
      <w:b/>
      <w:bCs/>
      <w:i/>
      <w:iCs/>
      <w:spacing w:val="10"/>
      <w:shd w:val="clear" w:color="auto" w:fill="auto"/>
    </w:rPr>
  </w:style>
  <w:style w:type="character" w:styleId="1222">
    <w:name w:val="行号"/>
    <w:next w:val="1222"/>
    <w:link w:val="1134"/>
    <w:rPr>
      <w:rFonts w:ascii="Times New Roman" w:hAnsi="Times New Roman" w:eastAsia="宋体" w:cs="Times New Roman"/>
    </w:rPr>
  </w:style>
  <w:style w:type="character" w:styleId="1223">
    <w:name w:val="HTML 定义"/>
    <w:next w:val="1223"/>
    <w:link w:val="1134"/>
    <w:rPr>
      <w:rFonts w:ascii="Times New Roman" w:hAnsi="Times New Roman" w:eastAsia="宋体" w:cs="Times New Roman"/>
      <w:b w:val="0"/>
      <w:i w:val="0"/>
    </w:rPr>
  </w:style>
  <w:style w:type="character" w:styleId="1224">
    <w:name w:val="HTML 打字机"/>
    <w:next w:val="1224"/>
    <w:link w:val="1134"/>
    <w:rPr>
      <w:rFonts w:ascii="宋体" w:hAnsi="宋体" w:eastAsia="宋体" w:cs="宋体"/>
      <w:b w:val="0"/>
      <w:bCs w:val="0"/>
      <w:i w:val="0"/>
      <w:iCs w:val="0"/>
      <w:sz w:val="24"/>
      <w:szCs w:val="24"/>
    </w:rPr>
  </w:style>
  <w:style w:type="character" w:styleId="1225">
    <w:name w:val="HTML 缩写"/>
    <w:next w:val="1225"/>
    <w:link w:val="1134"/>
    <w:rPr>
      <w:rFonts w:ascii="Times New Roman" w:hAnsi="Times New Roman" w:eastAsia="宋体" w:cs="Times New Roman"/>
    </w:rPr>
  </w:style>
  <w:style w:type="character" w:styleId="1226">
    <w:name w:val="HTML 变量"/>
    <w:next w:val="1226"/>
    <w:link w:val="1134"/>
    <w:rPr>
      <w:rFonts w:ascii="Times New Roman" w:hAnsi="Times New Roman" w:eastAsia="宋体" w:cs="Times New Roman"/>
      <w:b w:val="0"/>
      <w:i w:val="0"/>
    </w:rPr>
  </w:style>
  <w:style w:type="character" w:styleId="1227">
    <w:name w:val="超链接"/>
    <w:next w:val="1227"/>
    <w:link w:val="1134"/>
    <w:rPr>
      <w:rFonts w:ascii="Times New Roman" w:hAnsi="Times New Roman" w:eastAsia="宋体" w:cs="Times New Roman"/>
      <w:color w:val="0076be"/>
      <w:u w:val="none"/>
    </w:rPr>
  </w:style>
  <w:style w:type="character" w:styleId="1228">
    <w:name w:val="HTML 代码"/>
    <w:next w:val="1228"/>
    <w:link w:val="1134"/>
    <w:rPr>
      <w:rFonts w:ascii="Courier New" w:hAnsi="Courier New" w:eastAsia="宋体" w:cs="Times New Roman"/>
      <w:b w:val="0"/>
      <w:i w:val="0"/>
      <w:sz w:val="20"/>
    </w:rPr>
  </w:style>
  <w:style w:type="character" w:styleId="1229">
    <w:name w:val="批注引用"/>
    <w:next w:val="1229"/>
    <w:link w:val="1134"/>
    <w:rPr>
      <w:rFonts w:ascii="Times New Roman" w:hAnsi="Times New Roman" w:eastAsia="宋体" w:cs="Times New Roman"/>
      <w:sz w:val="21"/>
    </w:rPr>
  </w:style>
  <w:style w:type="character" w:styleId="1230">
    <w:name w:val="HTML 引文"/>
    <w:next w:val="1230"/>
    <w:link w:val="1134"/>
    <w:rPr>
      <w:rFonts w:ascii="Times New Roman" w:hAnsi="Times New Roman" w:eastAsia="宋体" w:cs="Times New Roman"/>
      <w:b w:val="0"/>
      <w:i w:val="0"/>
    </w:rPr>
  </w:style>
  <w:style w:type="character" w:styleId="1231">
    <w:name w:val="脚注引用"/>
    <w:next w:val="1231"/>
    <w:link w:val="1134"/>
    <w:rPr>
      <w:rFonts w:ascii="Times New Roman" w:hAnsi="Times New Roman" w:eastAsia="宋体" w:cs="Times New Roman"/>
      <w:vertAlign w:val="superscript"/>
    </w:rPr>
  </w:style>
  <w:style w:type="character" w:styleId="1232">
    <w:name w:val="HTML 样本"/>
    <w:next w:val="1232"/>
    <w:link w:val="1134"/>
    <w:rPr>
      <w:rFonts w:ascii="Courier New" w:hAnsi="宋体" w:eastAsia="宋体" w:cs="Courier New"/>
      <w:b w:val="0"/>
      <w:bCs w:val="0"/>
      <w:i w:val="0"/>
      <w:iCs w:val="0"/>
    </w:rPr>
  </w:style>
  <w:style w:type="paragraph" w:styleId="1233">
    <w:name w:val="BodyText1I1"/>
    <w:basedOn w:val="1234"/>
    <w:next w:val="1134"/>
    <w:link w:val="1134"/>
    <w:qFormat/>
    <w:pPr>
      <w:ind w:firstLine="420"/>
      <w:spacing w:after="120"/>
    </w:pPr>
    <w:rPr>
      <w:sz w:val="24"/>
    </w:rPr>
  </w:style>
  <w:style w:type="paragraph" w:styleId="1234">
    <w:name w:val="BodyText1"/>
    <w:basedOn w:val="1134"/>
    <w:next w:val="1234"/>
    <w:link w:val="1134"/>
    <w:qFormat/>
    <w:rPr>
      <w:sz w:val="32"/>
    </w:rPr>
  </w:style>
  <w:style w:type="paragraph" w:styleId="1235">
    <w:name w:val="Default"/>
    <w:next w:val="1235"/>
    <w:link w:val="1134"/>
    <w:pPr>
      <w:widowControl w:val="off"/>
    </w:pPr>
    <w:rPr>
      <w:rFonts w:ascii="宋体" w:cs="宋体"/>
      <w:color w:val="000000"/>
      <w:sz w:val="24"/>
      <w:szCs w:val="24"/>
      <w:lang w:val="en-US" w:eastAsia="zh-CN" w:bidi="ar-SA"/>
    </w:rPr>
  </w:style>
  <w:style w:type="paragraph" w:styleId="1236">
    <w:name w:val="一级条标题"/>
    <w:basedOn w:val="1237"/>
    <w:next w:val="1238"/>
    <w:link w:val="1134"/>
    <w:qFormat/>
    <w:pPr>
      <w:outlineLvl w:val="2"/>
    </w:pPr>
    <w:rPr>
      <w:rFonts w:ascii="Calibri" w:hAnsi="Calibri" w:eastAsia="黑体" w:cs="Times New Roman"/>
      <w:sz w:val="21"/>
      <w:szCs w:val="21"/>
      <w:lang w:val="en-US" w:eastAsia="zh-CN" w:bidi="ar-SA"/>
    </w:rPr>
  </w:style>
  <w:style w:type="paragraph" w:styleId="1237">
    <w:name w:val="章标题"/>
    <w:next w:val="1238"/>
    <w:link w:val="1134"/>
    <w:pPr>
      <w:jc w:val="both"/>
      <w:spacing w:before="156" w:after="156"/>
      <w:outlineLvl w:val="1"/>
    </w:pPr>
    <w:rPr>
      <w:rFonts w:eastAsia="黑体"/>
      <w:sz w:val="21"/>
      <w:lang w:val="en-US" w:eastAsia="zh-CN" w:bidi="ar-SA"/>
    </w:rPr>
  </w:style>
  <w:style w:type="paragraph" w:styleId="1238">
    <w:name w:val="段"/>
    <w:next w:val="1134"/>
    <w:link w:val="1134"/>
    <w:pPr>
      <w:ind w:firstLine="200"/>
      <w:jc w:val="both"/>
    </w:pPr>
    <w:rPr>
      <w:rFonts w:ascii="宋体"/>
      <w:sz w:val="21"/>
      <w:lang w:val="en-US" w:eastAsia="zh-CN" w:bidi="ar-SA"/>
    </w:rPr>
  </w:style>
  <w:style w:type="paragraph" w:styleId="1239">
    <w:name w:val="[Normal]"/>
    <w:next w:val="1239"/>
    <w:link w:val="1134"/>
    <w:rPr>
      <w:rFonts w:ascii="方正仿宋简体" w:hAnsi="方正仿宋简体" w:eastAsia="方正仿宋简体" w:cs="Courier New"/>
      <w:sz w:val="24"/>
      <w:szCs w:val="22"/>
      <w:lang w:val="zh-CN" w:eastAsia="zh-CN" w:bidi="ar-SA"/>
    </w:rPr>
  </w:style>
  <w:style w:type="character" w:styleId="1240">
    <w:name w:val="font01"/>
    <w:next w:val="1240"/>
    <w:link w:val="1134"/>
    <w:rPr>
      <w:rFonts w:hint="eastAsia" w:ascii="宋体" w:hAnsi="宋体" w:eastAsia="宋体" w:cs="宋体"/>
      <w:color w:val="000000"/>
      <w:sz w:val="22"/>
      <w:szCs w:val="22"/>
      <w:u w:val="none"/>
    </w:rPr>
  </w:style>
  <w:style w:type="character" w:styleId="1241">
    <w:name w:val="书籍标题"/>
    <w:next w:val="1241"/>
    <w:link w:val="1134"/>
    <w:qFormat/>
    <w:rPr>
      <w:rFonts w:ascii="Times New Roman" w:hAnsi="Times New Roman" w:eastAsia="宋体" w:cs="Times New Roman"/>
      <w:i/>
      <w:iCs/>
      <w:smallCaps/>
      <w:spacing w:val="5"/>
    </w:rPr>
  </w:style>
  <w:style w:type="character" w:styleId="1242">
    <w:name w:val="纯文本 Char Char Char1"/>
    <w:next w:val="1242"/>
    <w:link w:val="1134"/>
    <w:rPr>
      <w:rFonts w:ascii="宋体" w:hAnsi="Courier New" w:eastAsia="宋体" w:cs="Times New Roman"/>
      <w:sz w:val="21"/>
      <w:szCs w:val="21"/>
      <w:lang w:val="en-US" w:eastAsia="zh-CN" w:bidi="ar-SA"/>
    </w:rPr>
  </w:style>
  <w:style w:type="character" w:styleId="1243">
    <w:name w:val="纯文本 Char1"/>
    <w:next w:val="1243"/>
    <w:link w:val="1134"/>
    <w:rPr>
      <w:rFonts w:ascii="宋体" w:hAnsi="Courier New" w:eastAsia="宋体" w:cs="Courier New"/>
      <w:sz w:val="21"/>
      <w:szCs w:val="21"/>
    </w:rPr>
  </w:style>
  <w:style w:type="character" w:styleId="1244">
    <w:name w:val="不明显参考"/>
    <w:next w:val="1244"/>
    <w:link w:val="1134"/>
    <w:qFormat/>
    <w:rPr>
      <w:rFonts w:ascii="Times New Roman" w:hAnsi="Times New Roman" w:eastAsia="宋体" w:cs="Times New Roman"/>
      <w:smallCaps/>
    </w:rPr>
  </w:style>
  <w:style w:type="character" w:styleId="1245">
    <w:name w:val="标准小四 Char Char"/>
    <w:next w:val="1245"/>
    <w:link w:val="1134"/>
    <w:rPr>
      <w:rFonts w:ascii="Arial" w:hAnsi="Arial" w:eastAsia="宋体" w:cs="Times New Roman"/>
      <w:sz w:val="24"/>
      <w:szCs w:val="21"/>
      <w:lang w:val="en-US" w:eastAsia="zh-CN" w:bidi="ar-SA"/>
    </w:rPr>
  </w:style>
  <w:style w:type="character" w:styleId="1246">
    <w:name w:val="style131"/>
    <w:next w:val="1246"/>
    <w:link w:val="1134"/>
    <w:rPr>
      <w:rFonts w:ascii="Times New Roman" w:hAnsi="Times New Roman" w:eastAsia="宋体" w:cs="Times New Roman"/>
      <w:sz w:val="18"/>
      <w:szCs w:val="18"/>
    </w:rPr>
  </w:style>
  <w:style w:type="character" w:styleId="1247">
    <w:name w:val=" Char Char24"/>
    <w:next w:val="1247"/>
    <w:link w:val="1134"/>
    <w:rPr>
      <w:rFonts w:ascii="Times New Roman" w:hAnsi="Times New Roman" w:eastAsia="宋体" w:cs="Times New Roman"/>
      <w:b/>
      <w:bCs/>
      <w:sz w:val="28"/>
      <w:szCs w:val="28"/>
    </w:rPr>
  </w:style>
  <w:style w:type="character" w:styleId="1248">
    <w:name w:val=" Char Char23"/>
    <w:next w:val="1248"/>
    <w:link w:val="1134"/>
    <w:rPr>
      <w:rFonts w:ascii="Arial" w:hAnsi="Arial" w:eastAsia="黑体" w:cs="Times New Roman"/>
      <w:b/>
      <w:bCs/>
      <w:sz w:val="24"/>
      <w:szCs w:val="24"/>
    </w:rPr>
  </w:style>
  <w:style w:type="character" w:styleId="1249">
    <w:name w:val="t1"/>
    <w:next w:val="1249"/>
    <w:link w:val="1134"/>
    <w:rPr>
      <w:rFonts w:ascii="Times New Roman" w:hAnsi="Times New Roman" w:eastAsia="宋体" w:cs="Times New Roman"/>
      <w:vanish w:val="0"/>
    </w:rPr>
  </w:style>
  <w:style w:type="character" w:styleId="1250">
    <w:name w:val="concon"/>
    <w:next w:val="1250"/>
    <w:link w:val="1134"/>
    <w:rPr>
      <w:rFonts w:ascii="Times New Roman" w:hAnsi="Times New Roman" w:eastAsia="宋体" w:cs="Times New Roman"/>
      <w:b w:val="0"/>
      <w:bCs w:val="0"/>
      <w:i w:val="0"/>
      <w:iCs w:val="0"/>
    </w:rPr>
  </w:style>
  <w:style w:type="character" w:styleId="1251">
    <w:name w:val="Title1 Char,H1 Char,Normal + Font: Helvetica Char,Bold Char,Space Before 12 pt Char,Not Bold Char,h1 Char,H11 Char,H12 Char,H111 Char,H13 Char,H112 Char,1 Char,h:1 Char,h:1app Char,level 1 Char,Level 1 Head Char,heading 1 Char,Huvudrubrik Char,章 Char"/>
    <w:next w:val="1251"/>
    <w:link w:val="1134"/>
    <w:rPr>
      <w:rFonts w:ascii="Times New Roman" w:hAnsi="Times New Roman" w:eastAsia="宋体" w:cs="Times New Roman"/>
      <w:b/>
      <w:bCs/>
      <w:sz w:val="44"/>
      <w:szCs w:val="44"/>
      <w:lang w:val="en-US" w:eastAsia="zh-CN" w:bidi="ar-SA"/>
    </w:rPr>
  </w:style>
  <w:style w:type="character" w:styleId="1252">
    <w:name w:val=" Char Char25"/>
    <w:next w:val="1252"/>
    <w:link w:val="1134"/>
    <w:rPr>
      <w:rFonts w:ascii="Arial" w:hAnsi="Arial" w:eastAsia="黑体" w:cs="Times New Roman"/>
      <w:b/>
      <w:sz w:val="28"/>
    </w:rPr>
  </w:style>
  <w:style w:type="character" w:styleId="1253">
    <w:name w:val=" Char Char20"/>
    <w:next w:val="1253"/>
    <w:link w:val="1134"/>
    <w:rPr>
      <w:rFonts w:ascii="Arial" w:hAnsi="Arial" w:eastAsia="黑体" w:cs="Times New Roman"/>
      <w:sz w:val="21"/>
      <w:szCs w:val="21"/>
    </w:rPr>
  </w:style>
  <w:style w:type="character" w:styleId="1254">
    <w:name w:val="小四 段落 宋体 Char Char Char Char Char"/>
    <w:next w:val="1254"/>
    <w:link w:val="1134"/>
    <w:rPr>
      <w:rFonts w:ascii="Times New Roman" w:hAnsi="Times New Roman" w:eastAsia="宋体" w:cs="Times New Roman"/>
      <w:sz w:val="24"/>
      <w:szCs w:val="24"/>
      <w:lang w:val="en-US" w:eastAsia="zh-CN" w:bidi="ar-SA"/>
    </w:rPr>
  </w:style>
  <w:style w:type="character" w:styleId="1255">
    <w:name w:val="style13"/>
    <w:next w:val="1255"/>
    <w:link w:val="1134"/>
    <w:rPr>
      <w:rFonts w:ascii="Times New Roman" w:hAnsi="Times New Roman" w:eastAsia="宋体" w:cs="Times New Roman"/>
      <w:sz w:val="18"/>
      <w:szCs w:val="18"/>
    </w:rPr>
  </w:style>
  <w:style w:type="character" w:styleId="1256">
    <w:name w:val="2nd level Char,h2 Char,2 Char,Header 2 Char,l2 Char,Titre2 Char,Head 2 Char,H2 Char,Heading 2 Hidden Char,Heading 2 CCBS Char,heading 2 Char,第一章 标题 2 Char,ISO1 Char,UNDERRUBRIK 1-2 Char,Underrubrik1 Char,prop2 Char,Level 2 Topic Heading Char,H21 Char"/>
    <w:next w:val="1256"/>
    <w:link w:val="1134"/>
    <w:rPr>
      <w:rFonts w:ascii="Arial" w:hAnsi="Arial" w:eastAsia="黑体" w:cs="Times New Roman"/>
      <w:b/>
      <w:bCs/>
      <w:sz w:val="32"/>
      <w:szCs w:val="32"/>
      <w:lang w:val="en-US" w:eastAsia="zh-CN" w:bidi="ar-SA"/>
    </w:rPr>
  </w:style>
  <w:style w:type="character" w:styleId="1257">
    <w:name w:val="l-selected"/>
    <w:next w:val="1257"/>
    <w:link w:val="1134"/>
    <w:rPr>
      <w:rFonts w:ascii="Times New Roman" w:hAnsi="Times New Roman" w:eastAsia="宋体" w:cs="Times New Roman"/>
      <w:color w:val="355686"/>
      <w:shd w:val="clear" w:color="auto" w:fill="ffffff"/>
    </w:rPr>
  </w:style>
  <w:style w:type="character" w:styleId="1258">
    <w:name w:val=" Char Char21"/>
    <w:next w:val="1258"/>
    <w:link w:val="1134"/>
    <w:rPr>
      <w:rFonts w:ascii="Arial" w:hAnsi="Arial" w:eastAsia="黑体" w:cs="Times New Roman"/>
      <w:sz w:val="24"/>
      <w:szCs w:val="24"/>
    </w:rPr>
  </w:style>
  <w:style w:type="character" w:styleId="1259">
    <w:name w:val="content"/>
    <w:next w:val="1259"/>
    <w:link w:val="1134"/>
    <w:rPr>
      <w:rFonts w:ascii="Times New Roman" w:hAnsi="Times New Roman" w:eastAsia="宋体" w:cs="Times New Roman"/>
    </w:rPr>
  </w:style>
  <w:style w:type="character" w:styleId="1260">
    <w:name w:val="l-open"/>
    <w:next w:val="1260"/>
    <w:link w:val="1134"/>
    <w:rPr>
      <w:rFonts w:ascii="Times New Roman" w:hAnsi="Times New Roman" w:eastAsia="宋体" w:cs="Times New Roman"/>
    </w:rPr>
  </w:style>
  <w:style w:type="character" w:styleId="1261">
    <w:name w:val="title_emph1"/>
    <w:next w:val="1261"/>
    <w:link w:val="1134"/>
    <w:rPr>
      <w:rFonts w:ascii="Arial" w:hAnsi="Times New Roman" w:eastAsia="宋体" w:cs="Arial"/>
      <w:b/>
      <w:bCs/>
      <w:i w:val="0"/>
      <w:iCs w:val="0"/>
      <w:sz w:val="18"/>
      <w:szCs w:val="18"/>
    </w:rPr>
  </w:style>
  <w:style w:type="character" w:styleId="1262">
    <w:name w:val="textcontents"/>
    <w:next w:val="1262"/>
    <w:link w:val="1134"/>
    <w:rPr>
      <w:rFonts w:ascii="Times New Roman" w:hAnsi="Times New Roman" w:eastAsia="宋体" w:cs="Times New Roman"/>
    </w:rPr>
  </w:style>
  <w:style w:type="character" w:styleId="1263">
    <w:name w:val="正文 + 宋体 Char,小四 Char,黑色 Char,行距: 1.5 倍行距 Char"/>
    <w:next w:val="1263"/>
    <w:link w:val="1134"/>
    <w:rPr>
      <w:rFonts w:ascii="Times New Roman" w:hAnsi="Times New Roman" w:eastAsia="宋体" w:cs="Times New Roman"/>
      <w:sz w:val="21"/>
      <w:szCs w:val="24"/>
      <w:lang w:val="en-US" w:eastAsia="zh-CN" w:bidi="ar-SA"/>
    </w:rPr>
  </w:style>
  <w:style w:type="character" w:styleId="1264">
    <w:name w:val="param-value"/>
    <w:next w:val="1264"/>
    <w:link w:val="1134"/>
    <w:rPr>
      <w:rFonts w:ascii="Times New Roman" w:hAnsi="Times New Roman" w:eastAsia="宋体" w:cs="Times New Roman"/>
    </w:rPr>
  </w:style>
  <w:style w:type="character" w:styleId="1265">
    <w:name w:val=" Char Char2"/>
    <w:next w:val="1265"/>
    <w:link w:val="1134"/>
    <w:rPr>
      <w:rFonts w:ascii="宋体" w:hAnsi="Courier New" w:eastAsia="宋体" w:cs="Times New Roman"/>
      <w:sz w:val="21"/>
      <w:szCs w:val="21"/>
      <w:lang w:val="en-US" w:eastAsia="zh-CN" w:bidi="ar-SA"/>
    </w:rPr>
  </w:style>
  <w:style w:type="character" w:styleId="1266">
    <w:name w:val="小四 段落 宋体 Char Char Char Char1"/>
    <w:next w:val="1266"/>
    <w:link w:val="1134"/>
    <w:rPr>
      <w:rFonts w:ascii="Times New Roman" w:hAnsi="Times New Roman" w:eastAsia="宋体" w:cs="Times New Roman"/>
      <w:sz w:val="24"/>
      <w:szCs w:val="24"/>
      <w:lang w:val="en-US" w:eastAsia="zh-CN" w:bidi="ar-SA"/>
    </w:rPr>
  </w:style>
  <w:style w:type="character" w:styleId="1267">
    <w:name w:val=" Char Char28"/>
    <w:next w:val="1267"/>
    <w:link w:val="1134"/>
    <w:rPr>
      <w:rFonts w:ascii="Arial" w:hAnsi="Arial" w:eastAsia="黑体" w:cs="Arial"/>
      <w:b/>
      <w:bCs/>
      <w:sz w:val="32"/>
      <w:szCs w:val="32"/>
    </w:rPr>
  </w:style>
  <w:style w:type="character" w:styleId="1268">
    <w:name w:val="普通文字1 Char,普通文字2 Char,普通文字3 Char,普通文字4 Char,普通文字5 Char,普通文字6 Char,普通文字11 Char,普通文字21 Char,普通文字31 Char,普通文字41 Char,普通文字7 Char Char,普通文字 Char1,普通文字 Char Char"/>
    <w:next w:val="1268"/>
    <w:link w:val="1134"/>
    <w:rPr>
      <w:rFonts w:ascii="宋体" w:hAnsi="Times New Roman" w:eastAsia="宋体" w:cs="Times New Roman"/>
      <w:b w:val="0"/>
      <w:bCs w:val="0"/>
      <w:i w:val="0"/>
      <w:iCs w:val="0"/>
      <w:sz w:val="21"/>
      <w:szCs w:val="21"/>
      <w:lang w:val="en-US" w:eastAsia="zh-CN" w:bidi="ar-SA"/>
    </w:rPr>
  </w:style>
  <w:style w:type="character" w:styleId="1269">
    <w:name w:val="font31"/>
    <w:next w:val="1269"/>
    <w:link w:val="1134"/>
    <w:rPr>
      <w:rFonts w:hint="eastAsia" w:ascii="宋体" w:hAnsi="宋体" w:eastAsia="宋体" w:cs="宋体"/>
      <w:i w:val="0"/>
      <w:iCs w:val="0"/>
      <w:color w:val="000000"/>
      <w:sz w:val="18"/>
      <w:szCs w:val="18"/>
      <w:u w:val="none"/>
    </w:rPr>
  </w:style>
  <w:style w:type="character" w:styleId="1270">
    <w:name w:val="￥正文 Char"/>
    <w:next w:val="1270"/>
    <w:link w:val="1271"/>
    <w:rPr>
      <w:rFonts w:ascii="Times New Roman" w:hAnsi="Times New Roman" w:eastAsia="宋体" w:cs="Times New Roman"/>
      <w:sz w:val="24"/>
    </w:rPr>
  </w:style>
  <w:style w:type="paragraph" w:styleId="1271">
    <w:name w:val="￥正文"/>
    <w:basedOn w:val="1134"/>
    <w:next w:val="1271"/>
    <w:link w:val="1270"/>
    <w:pPr>
      <w:ind w:firstLine="200"/>
      <w:spacing w:before="0" w:after="0"/>
    </w:pPr>
    <w:rPr>
      <w:rFonts w:eastAsia="宋体"/>
      <w:sz w:val="24"/>
    </w:rPr>
  </w:style>
  <w:style w:type="character" w:styleId="1272">
    <w:name w:val="已访问的超链接1"/>
    <w:next w:val="1272"/>
    <w:link w:val="1134"/>
    <w:rPr>
      <w:rFonts w:ascii="Times New Roman" w:hAnsi="Times New Roman" w:eastAsia="宋体" w:cs="Times New Roman"/>
      <w:b w:val="0"/>
      <w:bCs w:val="0"/>
      <w:i w:val="0"/>
      <w:iCs w:val="0"/>
      <w:color w:val="000000"/>
      <w:u w:val="none"/>
    </w:rPr>
  </w:style>
  <w:style w:type="character" w:styleId="1273">
    <w:name w:val="小四 段落 宋体 Char Char Char1"/>
    <w:next w:val="1273"/>
    <w:link w:val="1134"/>
    <w:rPr>
      <w:rFonts w:ascii="宋体" w:hAnsi="宋体" w:eastAsia="宋体" w:cs="Times New Roman"/>
      <w:sz w:val="24"/>
      <w:szCs w:val="24"/>
      <w:lang w:val="en-US" w:eastAsia="zh-CN" w:bidi="ar-SA"/>
    </w:rPr>
  </w:style>
  <w:style w:type="character" w:styleId="1274">
    <w:name w:val="批注文字 Char"/>
    <w:next w:val="1274"/>
    <w:link w:val="1134"/>
    <w:rPr>
      <w:rFonts w:ascii="Times New Roman" w:hAnsi="Times New Roman" w:eastAsia="宋体" w:cs="Times New Roman"/>
      <w:sz w:val="21"/>
      <w:lang w:val="en-US" w:eastAsia="zh-CN" w:bidi="ar-SA"/>
    </w:rPr>
  </w:style>
  <w:style w:type="character" w:styleId="127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5"/>
    <w:link w:val="1134"/>
    <w:rPr>
      <w:rFonts w:ascii="Times New Roman" w:hAnsi="Times New Roman" w:eastAsia="宋体" w:cs="Times New Roman"/>
      <w:b/>
      <w:bCs/>
      <w:sz w:val="32"/>
      <w:szCs w:val="32"/>
      <w:lang w:val="en-US" w:eastAsia="zh-CN" w:bidi="ar-SA"/>
    </w:rPr>
  </w:style>
  <w:style w:type="character" w:styleId="1276">
    <w:name w:val="标准文本 Char"/>
    <w:next w:val="1276"/>
    <w:link w:val="1134"/>
    <w:rPr>
      <w:rFonts w:ascii="Times New Roman" w:hAnsi="Times New Roman" w:eastAsia="宋体" w:cs="宋体"/>
      <w:sz w:val="24"/>
      <w:szCs w:val="24"/>
      <w:lang w:val="en-US" w:eastAsia="zh-CN" w:bidi="ar-SA"/>
    </w:rPr>
  </w:style>
  <w:style w:type="character" w:styleId="1277">
    <w:name w:val="point_normal1"/>
    <w:next w:val="1277"/>
    <w:link w:val="1134"/>
    <w:rPr>
      <w:rFonts w:ascii="Arial" w:hAnsi="Arial" w:eastAsia="宋体" w:cs="Arial"/>
      <w:sz w:val="18"/>
      <w:szCs w:val="18"/>
    </w:rPr>
  </w:style>
  <w:style w:type="character" w:styleId="1278">
    <w:name w:val="font101"/>
    <w:next w:val="1278"/>
    <w:link w:val="1134"/>
    <w:rPr>
      <w:rFonts w:hint="eastAsia" w:ascii="宋体" w:hAnsi="宋体" w:eastAsia="宋体" w:cs="宋体"/>
      <w:i w:val="0"/>
      <w:iCs w:val="0"/>
      <w:color w:val="000000"/>
      <w:sz w:val="16"/>
      <w:szCs w:val="16"/>
      <w:u w:val="none"/>
    </w:rPr>
  </w:style>
  <w:style w:type="character" w:styleId="1279">
    <w:name w:val="subtitle1"/>
    <w:next w:val="1279"/>
    <w:link w:val="1134"/>
    <w:rPr>
      <w:rFonts w:ascii="Georgia" w:hAnsi="Georgia" w:eastAsia="宋体" w:cs="Times New Roman"/>
      <w:b/>
      <w:bCs/>
      <w:i w:val="0"/>
      <w:iCs w:val="0"/>
      <w:color w:val="666666"/>
      <w:sz w:val="18"/>
      <w:szCs w:val="18"/>
    </w:rPr>
  </w:style>
  <w:style w:type="character" w:styleId="1280">
    <w:name w:val="l-selected2"/>
    <w:next w:val="1280"/>
    <w:link w:val="1134"/>
    <w:rPr>
      <w:rFonts w:ascii="Times New Roman" w:hAnsi="Times New Roman" w:eastAsia="宋体" w:cs="Times New Roman"/>
      <w:color w:val="355686"/>
      <w:shd w:val="clear" w:color="auto" w:fill="ffffff"/>
    </w:rPr>
  </w:style>
  <w:style w:type="character" w:styleId="1281">
    <w:name w:val="标题 Char1"/>
    <w:next w:val="1281"/>
    <w:link w:val="1134"/>
    <w:rPr>
      <w:rFonts w:ascii="Cambria" w:hAnsi="Times New Roman" w:eastAsia="宋体" w:cs="Times New Roman"/>
      <w:b/>
      <w:bCs/>
      <w:i w:val="0"/>
      <w:iCs w:val="0"/>
      <w:sz w:val="32"/>
      <w:szCs w:val="32"/>
    </w:rPr>
  </w:style>
  <w:style w:type="character" w:styleId="1282">
    <w:name w:val="小四 段落 宋体 Char1"/>
    <w:next w:val="1282"/>
    <w:link w:val="1134"/>
    <w:rPr>
      <w:rFonts w:ascii="Times New Roman" w:hAnsi="Times New Roman" w:eastAsia="宋体" w:cs="Times New Roman"/>
      <w:sz w:val="24"/>
      <w:szCs w:val="24"/>
      <w:lang w:val="en-US" w:eastAsia="zh-CN" w:bidi="ar-SA"/>
    </w:rPr>
  </w:style>
  <w:style w:type="character" w:styleId="128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83"/>
    <w:link w:val="1134"/>
    <w:rPr>
      <w:rFonts w:ascii="Times New Roman" w:hAnsi="Times New Roman" w:eastAsia="宋体" w:cs="Times New Roman"/>
      <w:sz w:val="21"/>
      <w:lang w:val="en-US" w:eastAsia="zh-CN" w:bidi="ar-SA"/>
    </w:rPr>
  </w:style>
  <w:style w:type="character" w:styleId="1284">
    <w:name w:val="标题 3 Char Char"/>
    <w:next w:val="1284"/>
    <w:link w:val="1134"/>
    <w:rPr>
      <w:rFonts w:ascii="Times New Roman" w:hAnsi="Times New Roman" w:eastAsia="仿宋_GB2312" w:cs="Times New Roman"/>
      <w:b/>
      <w:bCs/>
      <w:sz w:val="28"/>
      <w:szCs w:val="32"/>
      <w:lang w:val="en-US" w:eastAsia="zh-CN" w:bidi="ar-SA"/>
    </w:rPr>
  </w:style>
  <w:style w:type="character" w:styleId="1285">
    <w:name w:val="不明显强调"/>
    <w:next w:val="1285"/>
    <w:link w:val="1134"/>
    <w:qFormat/>
    <w:rPr>
      <w:rFonts w:ascii="Times New Roman" w:hAnsi="Times New Roman" w:eastAsia="宋体" w:cs="Times New Roman"/>
      <w:i/>
      <w:iCs/>
    </w:rPr>
  </w:style>
  <w:style w:type="character" w:styleId="1286">
    <w:name w:val=" Char Char26"/>
    <w:next w:val="1286"/>
    <w:link w:val="1134"/>
    <w:rPr>
      <w:rFonts w:ascii="Times New Roman" w:hAnsi="Times New Roman" w:eastAsia="宋体" w:cs="Times New Roman"/>
      <w:b/>
      <w:bCs/>
      <w:sz w:val="32"/>
      <w:szCs w:val="32"/>
    </w:rPr>
  </w:style>
  <w:style w:type="character" w:styleId="1287">
    <w:name w:val="l-over"/>
    <w:next w:val="1287"/>
    <w:link w:val="1134"/>
    <w:rPr>
      <w:rFonts w:ascii="Times New Roman" w:hAnsi="Times New Roman" w:eastAsia="宋体" w:cs="Times New Roman"/>
    </w:rPr>
  </w:style>
  <w:style w:type="character" w:styleId="1288">
    <w:name w:val="样式 首行缩进:  2 字符 Char"/>
    <w:next w:val="1288"/>
    <w:link w:val="1134"/>
    <w:rPr>
      <w:rFonts w:ascii="Times New Roman" w:hAnsi="Times New Roman" w:eastAsia="宋体" w:cs="宋体"/>
      <w:sz w:val="24"/>
      <w:lang w:val="en-US" w:eastAsia="zh-CN" w:bidi="ar-SA"/>
    </w:rPr>
  </w:style>
  <w:style w:type="character" w:styleId="1289">
    <w:name w:val="新图表正文 Char Char"/>
    <w:next w:val="1289"/>
    <w:link w:val="1290"/>
    <w:rPr>
      <w:rFonts w:ascii="宋体" w:hAnsi="宋体"/>
      <w:sz w:val="18"/>
      <w:szCs w:val="21"/>
      <w:lang w:val="en-US" w:eastAsia="zh-CN" w:bidi="ar-SA"/>
    </w:rPr>
  </w:style>
  <w:style w:type="paragraph" w:styleId="1290">
    <w:name w:val="新图表正文"/>
    <w:next w:val="1290"/>
    <w:link w:val="1289"/>
    <w:pPr>
      <w:jc w:val="both"/>
    </w:pPr>
    <w:rPr>
      <w:rFonts w:ascii="宋体" w:hAnsi="宋体"/>
      <w:sz w:val="18"/>
      <w:szCs w:val="21"/>
      <w:lang w:val="en-US" w:eastAsia="zh-CN" w:bidi="ar-SA"/>
    </w:rPr>
  </w:style>
  <w:style w:type="character" w:styleId="1291">
    <w:name w:val="listbenefit"/>
    <w:next w:val="1291"/>
    <w:link w:val="1134"/>
    <w:rPr>
      <w:rFonts w:ascii="Times New Roman" w:hAnsi="Times New Roman" w:eastAsia="宋体" w:cs="Times New Roman"/>
      <w:b w:val="0"/>
      <w:bCs w:val="0"/>
      <w:i w:val="0"/>
      <w:iCs w:val="0"/>
    </w:rPr>
  </w:style>
  <w:style w:type="character" w:styleId="1292">
    <w:name w:val="列出段落 Char,Bullet List Char,numbered Char,FooterText Char,List Paragraph1 Char,Paragraphe de liste1 Char"/>
    <w:next w:val="1292"/>
    <w:link w:val="1293"/>
    <w:rPr>
      <w:rFonts w:ascii="Arial" w:hAnsi="Arial" w:eastAsia="黑体" w:cs="Times New Roman"/>
      <w:sz w:val="24"/>
      <w:szCs w:val="24"/>
      <w:lang w:eastAsia="en-US"/>
    </w:rPr>
  </w:style>
  <w:style w:type="paragraph" w:styleId="1293">
    <w:name w:val="列出段落1"/>
    <w:basedOn w:val="1134"/>
    <w:next w:val="1293"/>
    <w:link w:val="1292"/>
    <w:pPr>
      <w:contextualSpacing/>
      <w:ind w:left="720"/>
      <w:jc w:val="left"/>
      <w:widowControl/>
    </w:pPr>
    <w:rPr>
      <w:rFonts w:ascii="Arial" w:hAnsi="Arial" w:eastAsia="黑体"/>
      <w:sz w:val="24"/>
      <w:szCs w:val="24"/>
      <w:lang w:eastAsia="en-US"/>
    </w:rPr>
  </w:style>
  <w:style w:type="character" w:styleId="1294">
    <w:name w:val="正文缩进 Char1"/>
    <w:next w:val="1294"/>
    <w:link w:val="1295"/>
    <w:rPr>
      <w:rFonts w:ascii="Times New Roman" w:hAnsi="Times New Roman" w:eastAsia="宋体" w:cs="Times New Roman"/>
      <w:lang w:bidi="ar-SA"/>
    </w:rPr>
  </w:style>
  <w:style w:type="paragraph" w:styleId="1295">
    <w:name w:val="Normal Indent1"/>
    <w:basedOn w:val="1134"/>
    <w:next w:val="1295"/>
    <w:link w:val="1294"/>
    <w:pPr>
      <w:ind w:firstLine="420"/>
    </w:pPr>
    <w:rPr>
      <w:rFonts w:eastAsia="宋体"/>
      <w:sz w:val="20"/>
    </w:rPr>
  </w:style>
  <w:style w:type="character" w:styleId="1296">
    <w:name w:val="font81"/>
    <w:next w:val="1296"/>
    <w:link w:val="1134"/>
    <w:rPr>
      <w:rFonts w:hint="eastAsia" w:ascii="宋体" w:hAnsi="宋体" w:eastAsia="宋体" w:cs="宋体"/>
      <w:i w:val="0"/>
      <w:iCs w:val="0"/>
      <w:color w:val="000000"/>
      <w:sz w:val="16"/>
      <w:szCs w:val="16"/>
      <w:u w:val="none"/>
    </w:rPr>
  </w:style>
  <w:style w:type="character" w:styleId="1297">
    <w:name w:val="ih151"/>
    <w:next w:val="1297"/>
    <w:link w:val="1134"/>
    <w:rPr>
      <w:rFonts w:ascii="Times New Roman" w:hAnsi="Times New Roman" w:eastAsia="宋体" w:cs="Times New Roman"/>
      <w:b w:val="0"/>
      <w:bCs w:val="0"/>
      <w:i w:val="0"/>
      <w:iCs w:val="0"/>
      <w:caps w:val="0"/>
      <w:smallCaps w:val="0"/>
      <w:color w:val="666666"/>
      <w:sz w:val="18"/>
      <w:szCs w:val="18"/>
      <w:u w:val="none"/>
    </w:rPr>
  </w:style>
  <w:style w:type="character" w:styleId="1298">
    <w:name w:val="纯文本 Char Char Char"/>
    <w:next w:val="1298"/>
    <w:link w:val="1134"/>
    <w:rPr>
      <w:rFonts w:ascii="宋体" w:hAnsi="Courier New" w:eastAsia="宋体" w:cs="Times New Roman"/>
      <w:sz w:val="21"/>
      <w:szCs w:val="21"/>
      <w:lang w:val="en-US" w:eastAsia="zh-CN" w:bidi="ar-SA"/>
    </w:rPr>
  </w:style>
  <w:style w:type="character" w:styleId="1299">
    <w:name w:val="引用 字符"/>
    <w:next w:val="1299"/>
    <w:link w:val="1300"/>
    <w:rPr>
      <w:rFonts w:ascii="Calibri" w:hAnsi="Calibri" w:eastAsia="宋体" w:cs="Times New Roman"/>
      <w:i/>
      <w:iCs/>
      <w:sz w:val="22"/>
      <w:szCs w:val="22"/>
      <w:lang w:val="en-US" w:eastAsia="en-US" w:bidi="en-US"/>
    </w:rPr>
  </w:style>
  <w:style w:type="paragraph" w:styleId="1300">
    <w:name w:val="引用"/>
    <w:basedOn w:val="1134"/>
    <w:next w:val="1134"/>
    <w:link w:val="1299"/>
    <w:qFormat/>
    <w:pPr>
      <w:ind w:left="360" w:right="360"/>
      <w:jc w:val="left"/>
      <w:spacing w:before="200" w:line="276" w:lineRule="auto"/>
      <w:widowControl/>
    </w:pPr>
    <w:rPr>
      <w:rFonts w:ascii="Calibri" w:hAnsi="Calibri" w:eastAsia="宋体"/>
      <w:i/>
      <w:iCs/>
      <w:sz w:val="22"/>
      <w:szCs w:val="22"/>
      <w:lang w:eastAsia="en-US" w:bidi="en-US"/>
    </w:rPr>
  </w:style>
  <w:style w:type="character" w:styleId="1301">
    <w:name w:val="font91"/>
    <w:next w:val="1301"/>
    <w:link w:val="1134"/>
    <w:rPr>
      <w:rFonts w:ascii="Arial" w:hAnsi="Arial" w:eastAsia="宋体" w:cs="Arial"/>
      <w:i w:val="0"/>
      <w:iCs w:val="0"/>
      <w:color w:val="000000"/>
      <w:sz w:val="16"/>
      <w:szCs w:val="16"/>
      <w:u w:val="none"/>
    </w:rPr>
  </w:style>
  <w:style w:type="character" w:styleId="1302">
    <w:name w:val="3zw"/>
    <w:next w:val="1302"/>
    <w:link w:val="1134"/>
    <w:rPr>
      <w:rFonts w:ascii="Times New Roman" w:hAnsi="Times New Roman" w:eastAsia="宋体" w:cs="Times New Roman"/>
    </w:rPr>
  </w:style>
  <w:style w:type="character" w:styleId="1303">
    <w:name w:val="样式 首行缩进:  2 字符 Char Char"/>
    <w:next w:val="1303"/>
    <w:link w:val="1304"/>
    <w:rPr>
      <w:rFonts w:ascii="Times New Roman" w:hAnsi="Times New Roman" w:eastAsia="宋体" w:cs="宋体"/>
      <w:sz w:val="24"/>
      <w:lang w:val="en-US" w:eastAsia="zh-CN" w:bidi="ar-SA"/>
    </w:rPr>
  </w:style>
  <w:style w:type="paragraph" w:styleId="1304">
    <w:name w:val="样式 首行缩进:  2 字符"/>
    <w:basedOn w:val="1134"/>
    <w:next w:val="1304"/>
    <w:link w:val="1303"/>
    <w:pPr>
      <w:ind w:firstLine="480"/>
      <w:spacing w:line="360" w:lineRule="auto"/>
    </w:pPr>
    <w:rPr>
      <w:rFonts w:eastAsia="宋体" w:cs="宋体"/>
      <w:sz w:val="24"/>
    </w:rPr>
  </w:style>
  <w:style w:type="character" w:styleId="1305">
    <w:name w:val="A2"/>
    <w:next w:val="1305"/>
    <w:link w:val="1134"/>
    <w:rPr>
      <w:rFonts w:ascii="Times New Roman" w:hAnsi="Times New Roman" w:eastAsia="宋体" w:cs="Helvetica"/>
      <w:color w:val="000000"/>
      <w:sz w:val="18"/>
      <w:szCs w:val="18"/>
    </w:rPr>
  </w:style>
  <w:style w:type="character" w:styleId="1306">
    <w:name w:val=" Char Char27"/>
    <w:next w:val="1306"/>
    <w:link w:val="1134"/>
    <w:rPr>
      <w:rFonts w:ascii="Times New Roman" w:hAnsi="Times New Roman" w:eastAsia="宋体" w:cs="Times New Roman"/>
      <w:b/>
      <w:bCs/>
      <w:sz w:val="44"/>
      <w:szCs w:val="44"/>
    </w:rPr>
  </w:style>
  <w:style w:type="character" w:styleId="1307">
    <w:name w:val="无间隔 字符"/>
    <w:next w:val="1307"/>
    <w:link w:val="1308"/>
    <w:rPr>
      <w:rFonts w:eastAsia="微软雅黑"/>
      <w:sz w:val="24"/>
      <w:szCs w:val="22"/>
      <w:lang w:val="en-US" w:eastAsia="zh-CN" w:bidi="ar-SA"/>
    </w:rPr>
  </w:style>
  <w:style w:type="paragraph" w:styleId="1308">
    <w:name w:val="无间隔"/>
    <w:next w:val="1308"/>
    <w:link w:val="1307"/>
    <w:qFormat/>
    <w:pPr>
      <w:jc w:val="both"/>
      <w:widowControl w:val="off"/>
    </w:pPr>
    <w:rPr>
      <w:rFonts w:eastAsia="微软雅黑"/>
      <w:sz w:val="24"/>
      <w:szCs w:val="22"/>
      <w:lang w:val="en-US" w:eastAsia="zh-CN" w:bidi="ar-SA"/>
    </w:rPr>
  </w:style>
  <w:style w:type="character" w:styleId="1309">
    <w:name w:val="标准文本 Char Char"/>
    <w:next w:val="1309"/>
    <w:link w:val="1134"/>
    <w:rPr>
      <w:rFonts w:ascii="Times New Roman" w:hAnsi="Times New Roman" w:eastAsia="宋体" w:cs="宋体"/>
      <w:sz w:val="24"/>
      <w:szCs w:val="24"/>
      <w:lang w:val="en-US" w:eastAsia="zh-CN" w:bidi="ar-SA"/>
    </w:rPr>
  </w:style>
  <w:style w:type="character" w:styleId="1310">
    <w:name w:val=" Char Char29"/>
    <w:next w:val="1310"/>
    <w:link w:val="1134"/>
    <w:rPr>
      <w:rFonts w:ascii="Times New Roman" w:hAnsi="Times New Roman" w:eastAsia="宋体" w:cs="Times New Roman"/>
      <w:b/>
      <w:bCs/>
      <w:sz w:val="44"/>
      <w:szCs w:val="44"/>
    </w:rPr>
  </w:style>
  <w:style w:type="character" w:styleId="1311">
    <w:name w:val="标准小四 Char"/>
    <w:next w:val="1311"/>
    <w:link w:val="1134"/>
    <w:rPr>
      <w:rFonts w:ascii="Arial" w:hAnsi="Arial" w:eastAsia="宋体" w:cs="Times New Roman"/>
      <w:sz w:val="24"/>
      <w:szCs w:val="21"/>
      <w:lang w:val="en-US" w:eastAsia="zh-CN" w:bidi="ar-SA"/>
    </w:rPr>
  </w:style>
  <w:style w:type="character" w:styleId="1312">
    <w:name w:val="华宇段落1 Char Char Char"/>
    <w:next w:val="1312"/>
    <w:link w:val="1134"/>
    <w:rPr>
      <w:rFonts w:ascii="Times New Roman" w:hAnsi="Times New Roman" w:eastAsia="宋体" w:cs="Times New Roman"/>
      <w:bCs/>
      <w:sz w:val="24"/>
      <w:szCs w:val="24"/>
      <w:lang w:val="en-US" w:eastAsia="zh-CN" w:bidi="ar-SA"/>
    </w:rPr>
  </w:style>
  <w:style w:type="character" w:styleId="1313">
    <w:name w:val="样式 非加粗"/>
    <w:next w:val="1313"/>
    <w:link w:val="1134"/>
    <w:rPr>
      <w:rFonts w:ascii="Times New Roman" w:hAnsi="Times New Roman" w:eastAsia="宋体" w:cs="Times New Roman"/>
      <w:sz w:val="28"/>
    </w:rPr>
  </w:style>
  <w:style w:type="character" w:styleId="1314">
    <w:name w:val="小四 段落 宋体 Char Char Char Char Char Char Char Char"/>
    <w:next w:val="1314"/>
    <w:link w:val="1134"/>
    <w:rPr>
      <w:rFonts w:ascii="Times New Roman" w:hAnsi="Times New Roman" w:eastAsia="宋体" w:cs="Times New Roman"/>
      <w:sz w:val="24"/>
      <w:szCs w:val="24"/>
      <w:lang w:val="en-US" w:eastAsia="zh-CN" w:bidi="ar-SA"/>
    </w:rPr>
  </w:style>
  <w:style w:type="character" w:styleId="1315">
    <w:name w:val="华宇段落1 Char Char"/>
    <w:next w:val="1315"/>
    <w:link w:val="1134"/>
    <w:rPr>
      <w:rFonts w:ascii="Times New Roman" w:hAnsi="Times New Roman" w:eastAsia="宋体" w:cs="Times New Roman"/>
      <w:bCs/>
      <w:sz w:val="24"/>
      <w:szCs w:val="24"/>
      <w:lang w:val="en-US" w:eastAsia="zh-CN" w:bidi="ar-SA"/>
    </w:rPr>
  </w:style>
  <w:style w:type="character" w:styleId="1316">
    <w:name w:val="小四 段落 宋体 Char Char Char Char Char Char"/>
    <w:next w:val="1316"/>
    <w:link w:val="1134"/>
    <w:rPr>
      <w:rFonts w:ascii="Times New Roman" w:hAnsi="Times New Roman" w:eastAsia="宋体" w:cs="Times New Roman"/>
      <w:sz w:val="24"/>
      <w:szCs w:val="24"/>
      <w:lang w:val="en-US" w:eastAsia="zh-CN" w:bidi="ar-SA"/>
    </w:rPr>
  </w:style>
  <w:style w:type="character" w:styleId="1317">
    <w:name w:val="表格抬头 Char"/>
    <w:next w:val="1317"/>
    <w:link w:val="1318"/>
    <w:rPr>
      <w:rFonts w:ascii="黑体" w:hAnsi="Times New Roman" w:eastAsia="黑体" w:cs="Times New Roman"/>
      <w:b/>
      <w:sz w:val="21"/>
      <w:lang w:bidi="ar-SA"/>
    </w:rPr>
  </w:style>
  <w:style w:type="paragraph" w:styleId="1318">
    <w:name w:val="表格抬头"/>
    <w:basedOn w:val="1134"/>
    <w:next w:val="1318"/>
    <w:link w:val="1317"/>
    <w:pPr>
      <w:jc w:val="center"/>
    </w:pPr>
    <w:rPr>
      <w:rFonts w:ascii="黑体" w:eastAsia="黑体"/>
      <w:b/>
    </w:rPr>
  </w:style>
  <w:style w:type="character" w:styleId="1319">
    <w:name w:val=" Char Char22"/>
    <w:next w:val="1319"/>
    <w:link w:val="1134"/>
    <w:rPr>
      <w:rFonts w:ascii="Times New Roman" w:hAnsi="Times New Roman" w:eastAsia="宋体" w:cs="Times New Roman"/>
      <w:b/>
      <w:bCs/>
      <w:sz w:val="24"/>
      <w:szCs w:val="24"/>
    </w:rPr>
  </w:style>
  <w:style w:type="character" w:styleId="1320">
    <w:name w:val="样式 宋体 小四"/>
    <w:next w:val="1320"/>
    <w:link w:val="1134"/>
    <w:rPr>
      <w:rFonts w:ascii="宋体" w:hAnsi="宋体" w:eastAsia="宋体" w:cs="Times New Roman"/>
      <w:sz w:val="24"/>
    </w:rPr>
  </w:style>
  <w:style w:type="character" w:styleId="1321">
    <w:name w:val="明显引用 字符"/>
    <w:next w:val="1321"/>
    <w:link w:val="1322"/>
    <w:rPr>
      <w:rFonts w:ascii="Calibri" w:hAnsi="Calibri" w:eastAsia="宋体" w:cs="Times New Roman"/>
      <w:b/>
      <w:bCs/>
      <w:i/>
      <w:iCs/>
      <w:sz w:val="22"/>
      <w:szCs w:val="22"/>
      <w:lang w:val="en-US" w:eastAsia="en-US" w:bidi="en-US"/>
    </w:rPr>
  </w:style>
  <w:style w:type="paragraph" w:styleId="1322">
    <w:name w:val="明显引用"/>
    <w:basedOn w:val="1134"/>
    <w:next w:val="1134"/>
    <w:link w:val="1321"/>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323">
    <w:name w:val="明显强调"/>
    <w:next w:val="1323"/>
    <w:link w:val="1134"/>
    <w:qFormat/>
    <w:rPr>
      <w:rFonts w:ascii="Times New Roman" w:hAnsi="Times New Roman" w:eastAsia="宋体" w:cs="Times New Roman"/>
      <w:b/>
      <w:bCs/>
    </w:rPr>
  </w:style>
  <w:style w:type="character" w:styleId="1324">
    <w:name w:val="标题 3 Char,h3 Char,3rd level Char,3 Char,标题4 Char,Heading 3 - old Char,标题 3 Char1,正文 + 小三 Char,H3 Char,sect1.2.3 Char,BOD 0 Char,l3 Char,CT Char,Level 3 Head Char,3rd lev...] Char Char,heading 3 Char,123456 Char,F Char Char,Map Char,H31 Char,level_3 Char"/>
    <w:next w:val="1324"/>
    <w:link w:val="1134"/>
    <w:rPr>
      <w:rFonts w:ascii="宋体" w:hAnsi="宋体" w:eastAsia="宋体" w:cs="Times New Roman"/>
      <w:b/>
      <w:bCs/>
      <w:sz w:val="24"/>
      <w:szCs w:val="32"/>
      <w:lang w:val="en-US" w:eastAsia="zh-CN" w:bidi="ar-SA"/>
    </w:rPr>
  </w:style>
  <w:style w:type="character" w:styleId="1325">
    <w:name w:val="normalfont1"/>
    <w:next w:val="1325"/>
    <w:link w:val="1134"/>
    <w:rPr>
      <w:rFonts w:ascii="ˎ̥" w:hAnsi="ˎ̥" w:eastAsia="宋体" w:cs="Times New Roman"/>
      <w:sz w:val="18"/>
      <w:szCs w:val="18"/>
      <w:u w:val="none"/>
    </w:rPr>
  </w:style>
  <w:style w:type="character" w:styleId="1326">
    <w:name w:val="111111 Char"/>
    <w:next w:val="1326"/>
    <w:link w:val="1327"/>
    <w:rPr>
      <w:rFonts w:ascii="宋体" w:hAnsi="宋体" w:eastAsia="黑体" w:cs="宋体"/>
      <w:b/>
      <w:bCs/>
      <w:sz w:val="21"/>
      <w:szCs w:val="21"/>
      <w:lang w:val="en-US" w:eastAsia="zh-CN" w:bidi="ar-SA"/>
    </w:rPr>
  </w:style>
  <w:style w:type="paragraph" w:styleId="1327">
    <w:name w:val="111111"/>
    <w:basedOn w:val="1134"/>
    <w:next w:val="1327"/>
    <w:link w:val="1326"/>
    <w:pPr>
      <w:jc w:val="center"/>
      <w:spacing w:before="120" w:after="120"/>
    </w:pPr>
    <w:rPr>
      <w:rFonts w:ascii="宋体" w:hAnsi="宋体" w:eastAsia="黑体" w:cs="宋体"/>
      <w:b/>
      <w:bCs/>
      <w:szCs w:val="21"/>
    </w:rPr>
  </w:style>
  <w:style w:type="character" w:styleId="1328">
    <w:name w:val="apple-converted-space"/>
    <w:next w:val="1328"/>
    <w:link w:val="1134"/>
    <w:rPr>
      <w:rFonts w:ascii="Times New Roman" w:hAnsi="Times New Roman" w:eastAsia="宋体" w:cs="Times New Roman"/>
    </w:rPr>
  </w:style>
  <w:style w:type="character" w:styleId="1329">
    <w:name w:val="纯文本 Char Char"/>
    <w:next w:val="1329"/>
    <w:link w:val="1134"/>
    <w:rPr>
      <w:rFonts w:ascii="宋体" w:hAnsi="Courier New" w:eastAsia="宋体" w:cs="Times New Roman"/>
      <w:sz w:val="21"/>
      <w:szCs w:val="21"/>
      <w:lang w:val="en-US" w:eastAsia="zh-CN" w:bidi="ar-SA"/>
    </w:rPr>
  </w:style>
  <w:style w:type="character" w:styleId="1330">
    <w:name w:val="NormalCharacter1"/>
    <w:next w:val="1330"/>
    <w:link w:val="1134"/>
    <w:rPr>
      <w:rFonts w:ascii="Times New Roman" w:hAnsi="Times New Roman" w:eastAsia="宋体" w:cs="Times New Roman"/>
      <w:sz w:val="21"/>
      <w:szCs w:val="22"/>
      <w:lang w:val="en-US" w:eastAsia="zh-CN" w:bidi="ar-SA"/>
    </w:rPr>
  </w:style>
  <w:style w:type="character" w:styleId="1331">
    <w:name w:val=" Char Char17"/>
    <w:next w:val="1331"/>
    <w:link w:val="1134"/>
    <w:rPr>
      <w:rFonts w:ascii="宋体" w:hAnsi="Courier New" w:eastAsia="宋体" w:cs="Times New Roman"/>
      <w:sz w:val="21"/>
      <w:szCs w:val="21"/>
    </w:rPr>
  </w:style>
  <w:style w:type="character" w:styleId="1332">
    <w:name w:val="明显参考"/>
    <w:next w:val="1332"/>
    <w:link w:val="1134"/>
    <w:qFormat/>
    <w:rPr>
      <w:rFonts w:ascii="Times New Roman" w:hAnsi="Times New Roman" w:eastAsia="宋体" w:cs="Times New Roman"/>
      <w:smallCaps/>
      <w:spacing w:val="5"/>
      <w:u w:val="single"/>
    </w:rPr>
  </w:style>
  <w:style w:type="character" w:styleId="1333">
    <w:name w:val="h Char Char"/>
    <w:next w:val="1333"/>
    <w:link w:val="1134"/>
    <w:rPr>
      <w:rFonts w:ascii="Times New Roman" w:hAnsi="Times New Roman" w:eastAsia="宋体" w:cs="Times New Roman"/>
      <w:b w:val="0"/>
      <w:bCs w:val="0"/>
      <w:i w:val="0"/>
      <w:iCs w:val="0"/>
      <w:sz w:val="18"/>
      <w:szCs w:val="18"/>
      <w:lang w:val="en-US" w:eastAsia="zh-CN" w:bidi="ar-SA"/>
    </w:rPr>
  </w:style>
  <w:style w:type="character" w:styleId="1334">
    <w:name w:val="case31"/>
    <w:next w:val="1334"/>
    <w:link w:val="1134"/>
    <w:rPr>
      <w:rFonts w:ascii="Times New Roman" w:hAnsi="Times New Roman" w:eastAsia="宋体" w:cs="Times New Roman"/>
      <w:b w:val="0"/>
      <w:bCs w:val="0"/>
      <w:i w:val="0"/>
      <w:iCs w:val="0"/>
      <w:sz w:val="21"/>
      <w:szCs w:val="21"/>
    </w:rPr>
  </w:style>
  <w:style w:type="character" w:styleId="1335">
    <w:name w:val="para_small"/>
    <w:next w:val="1335"/>
    <w:link w:val="1134"/>
    <w:rPr>
      <w:rFonts w:ascii="Times New Roman" w:hAnsi="Times New Roman" w:eastAsia="宋体" w:cs="Times New Roman"/>
    </w:rPr>
  </w:style>
  <w:style w:type="character" w:styleId="1336">
    <w:name w:val="content_lineheight1"/>
    <w:next w:val="1336"/>
    <w:link w:val="1134"/>
    <w:rPr>
      <w:rFonts w:ascii="Times New Roman" w:hAnsi="Times New Roman" w:eastAsia="宋体" w:cs="Times New Roman"/>
    </w:rPr>
  </w:style>
  <w:style w:type="paragraph" w:styleId="1337">
    <w:name w:val=" Char Char Char Char Char Char Char Char Char Char Char Char Char Char"/>
    <w:basedOn w:val="1134"/>
    <w:next w:val="1337"/>
    <w:link w:val="1134"/>
    <w:rPr>
      <w:rFonts w:ascii="Tahoma" w:hAnsi="Tahoma" w:eastAsia="宋体" w:cs="Times New Roman"/>
      <w:sz w:val="24"/>
    </w:rPr>
  </w:style>
  <w:style w:type="paragraph" w:styleId="1338">
    <w:name w:val="xl58"/>
    <w:basedOn w:val="1134"/>
    <w:next w:val="1338"/>
    <w:link w:val="113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339">
    <w:name w:val="正文缩进2字符"/>
    <w:basedOn w:val="1134"/>
    <w:next w:val="1339"/>
    <w:link w:val="1134"/>
    <w:pPr>
      <w:ind w:firstLine="200"/>
      <w:spacing w:line="300" w:lineRule="auto"/>
    </w:pPr>
    <w:rPr>
      <w:rFonts w:ascii="仿宋_GB2312" w:hAnsi="Times New Roman" w:eastAsia="仿宋_GB2312" w:cs="Times New Roman"/>
      <w:sz w:val="32"/>
      <w:szCs w:val="32"/>
    </w:rPr>
  </w:style>
  <w:style w:type="paragraph" w:styleId="1340">
    <w:name w:val="正文表标题"/>
    <w:next w:val="1238"/>
    <w:link w:val="1134"/>
    <w:pPr>
      <w:ind w:left="900" w:hanging="420"/>
      <w:jc w:val="center"/>
      <w:tabs>
        <w:tab w:val="left" w:pos="900" w:leader="none"/>
      </w:tabs>
    </w:pPr>
    <w:rPr>
      <w:rFonts w:ascii="黑体" w:eastAsia="黑体"/>
      <w:sz w:val="21"/>
      <w:lang w:val="en-US" w:eastAsia="zh-CN" w:bidi="ar-SA"/>
    </w:rPr>
  </w:style>
  <w:style w:type="paragraph" w:styleId="1341">
    <w:name w:val=" Char Char1 Char Char Char Char1 Char Char Char Char Char Char"/>
    <w:basedOn w:val="1134"/>
    <w:next w:val="1341"/>
    <w:link w:val="1134"/>
    <w:rPr>
      <w:rFonts w:ascii="Tahoma" w:hAnsi="Tahoma" w:eastAsia="宋体" w:cs="Times New Roman"/>
      <w:sz w:val="24"/>
    </w:rPr>
  </w:style>
  <w:style w:type="paragraph" w:styleId="1342">
    <w:name w:val="段落"/>
    <w:basedOn w:val="1134"/>
    <w:next w:val="1342"/>
    <w:link w:val="1134"/>
    <w:pPr>
      <w:ind w:firstLine="480"/>
      <w:spacing w:line="460" w:lineRule="exact"/>
    </w:pPr>
    <w:rPr>
      <w:rFonts w:ascii="Times New Roman" w:hAnsi="Times New Roman" w:eastAsia="宋体" w:cs="Times New Roman"/>
      <w:sz w:val="24"/>
    </w:rPr>
  </w:style>
  <w:style w:type="paragraph" w:styleId="1343">
    <w:name w:val=" Char Char"/>
    <w:basedOn w:val="1134"/>
    <w:next w:val="1343"/>
    <w:link w:val="1134"/>
    <w:rPr>
      <w:rFonts w:ascii="Tahoma" w:hAnsi="Tahoma" w:eastAsia="宋体" w:cs="Times New Roman"/>
      <w:sz w:val="24"/>
    </w:rPr>
  </w:style>
  <w:style w:type="paragraph" w:styleId="1344">
    <w:name w:val="xl44"/>
    <w:basedOn w:val="1134"/>
    <w:next w:val="1344"/>
    <w:link w:val="113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345">
    <w:name w:val="flNote"/>
    <w:basedOn w:val="1134"/>
    <w:next w:val="1345"/>
    <w:link w:val="1134"/>
    <w:pPr>
      <w:jc w:val="center"/>
      <w:spacing w:before="567" w:line="360" w:lineRule="atLeast"/>
    </w:pPr>
    <w:rPr>
      <w:rFonts w:ascii="Times New Roman" w:hAnsi="Times New Roman" w:eastAsia="黑体" w:cs="Times New Roman"/>
      <w:b/>
      <w:sz w:val="24"/>
    </w:rPr>
  </w:style>
  <w:style w:type="paragraph" w:styleId="1346">
    <w:name w:val="正文文本 New New"/>
    <w:basedOn w:val="1134"/>
    <w:next w:val="1346"/>
    <w:link w:val="1134"/>
    <w:pPr>
      <w:ind w:firstLine="200"/>
      <w:spacing w:before="60" w:after="60" w:line="360" w:lineRule="auto"/>
      <w:widowControl/>
    </w:pPr>
    <w:rPr>
      <w:rFonts w:ascii="Times New Roman" w:hAnsi="Times New Roman" w:eastAsia="华文楷体" w:cs="Times New Roman"/>
      <w:sz w:val="24"/>
      <w:szCs w:val="24"/>
    </w:rPr>
  </w:style>
  <w:style w:type="paragraph" w:styleId="1347">
    <w:name w:val=" Char1"/>
    <w:basedOn w:val="1134"/>
    <w:next w:val="1347"/>
    <w:link w:val="1134"/>
    <w:pPr>
      <w:jc w:val="left"/>
      <w:spacing w:after="160" w:line="240" w:lineRule="exact"/>
      <w:widowControl/>
    </w:pPr>
    <w:rPr>
      <w:rFonts w:ascii="Verdana" w:hAnsi="Verdana" w:eastAsia="仿宋_GB2312" w:cs="Times New Roman"/>
      <w:sz w:val="24"/>
      <w:lang w:eastAsia="en-US"/>
    </w:rPr>
  </w:style>
  <w:style w:type="paragraph" w:styleId="1348">
    <w:name w:val="xl30"/>
    <w:basedOn w:val="1134"/>
    <w:next w:val="1348"/>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49">
    <w:name w:val="列表内容"/>
    <w:basedOn w:val="1134"/>
    <w:next w:val="1134"/>
    <w:link w:val="1134"/>
    <w:pPr>
      <w:ind w:left="840" w:hanging="420"/>
      <w:jc w:val="left"/>
      <w:widowControl/>
      <w:tabs>
        <w:tab w:val="left" w:pos="840" w:leader="none"/>
      </w:tabs>
    </w:pPr>
    <w:rPr>
      <w:rFonts w:ascii="Times New Roman" w:hAnsi="Times New Roman" w:eastAsia="宋体" w:cs="Times New Roman"/>
      <w:sz w:val="18"/>
      <w:szCs w:val="24"/>
    </w:rPr>
  </w:style>
  <w:style w:type="paragraph" w:styleId="1350">
    <w:name w:val="样式 样式 首行缩进:  0.74 厘米 行距: 1.5 倍行距 + 段后: 0.5 行"/>
    <w:basedOn w:val="1134"/>
    <w:next w:val="1350"/>
    <w:link w:val="1134"/>
    <w:pPr>
      <w:ind w:firstLine="420"/>
      <w:spacing w:line="360" w:lineRule="auto"/>
    </w:pPr>
    <w:rPr>
      <w:rFonts w:ascii="楷体_GB2312" w:hAnsi="Times New Roman" w:eastAsia="楷体_GB2312" w:cs="Times New Roman"/>
      <w:bCs/>
      <w:sz w:val="24"/>
    </w:rPr>
  </w:style>
  <w:style w:type="paragraph" w:styleId="1351">
    <w:name w:val="文档正文"/>
    <w:basedOn w:val="1134"/>
    <w:next w:val="1351"/>
    <w:link w:val="1134"/>
    <w:pPr>
      <w:spacing w:line="360" w:lineRule="auto"/>
    </w:pPr>
    <w:rPr>
      <w:rFonts w:ascii="宋体" w:hAnsi="宋体" w:eastAsia="宋体" w:cs="Times New Roman"/>
      <w:b/>
      <w:bCs/>
      <w:szCs w:val="24"/>
    </w:rPr>
  </w:style>
  <w:style w:type="paragraph" w:styleId="1352">
    <w:name w:val="_Style 1"/>
    <w:basedOn w:val="1134"/>
    <w:next w:val="1352"/>
    <w:link w:val="1134"/>
    <w:pPr>
      <w:ind w:firstLine="420"/>
    </w:pPr>
    <w:rPr>
      <w:rFonts w:ascii="Calibri" w:hAnsi="Calibri" w:eastAsia="宋体" w:cs="Times New Roman"/>
      <w:szCs w:val="22"/>
    </w:rPr>
  </w:style>
  <w:style w:type="paragraph" w:styleId="1353">
    <w:name w:val="马刚标题3"/>
    <w:basedOn w:val="1134"/>
    <w:next w:val="1134"/>
    <w:link w:val="1134"/>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354">
    <w:name w:val="马刚标题4"/>
    <w:basedOn w:val="1353"/>
    <w:next w:val="1134"/>
    <w:link w:val="1134"/>
    <w:pPr>
      <w:spacing w:before="100" w:after="40"/>
      <w:tabs>
        <w:tab w:val="left" w:pos="1050" w:leader="none"/>
      </w:tabs>
      <w:outlineLvl w:val="3"/>
    </w:pPr>
    <w:rPr>
      <w:rFonts w:ascii="Times New Roman" w:hAnsi="Times New Roman" w:eastAsia="宋体" w:cs="Times New Roman"/>
      <w:b w:val="0"/>
    </w:rPr>
  </w:style>
  <w:style w:type="paragraph" w:styleId="1355">
    <w:name w:val="四号正文"/>
    <w:basedOn w:val="1134"/>
    <w:next w:val="1355"/>
    <w:link w:val="1134"/>
    <w:pPr>
      <w:ind w:firstLine="560"/>
      <w:spacing w:before="0" w:after="0"/>
    </w:pPr>
    <w:rPr>
      <w:rFonts w:ascii="Times New Roman" w:hAnsi="Times New Roman" w:eastAsia="宋体" w:cs="Times New Roman"/>
      <w:sz w:val="28"/>
      <w:szCs w:val="28"/>
    </w:rPr>
  </w:style>
  <w:style w:type="paragraph" w:styleId="1356">
    <w:name w:val="flName"/>
    <w:basedOn w:val="1345"/>
    <w:next w:val="1356"/>
    <w:link w:val="1134"/>
    <w:pPr>
      <w:spacing w:before="0" w:line="113" w:lineRule="atLeast"/>
    </w:pPr>
    <w:rPr>
      <w:rFonts w:ascii="Times New Roman" w:hAnsi="Times New Roman" w:eastAsia="宋体" w:cs="Times New Roman"/>
    </w:rPr>
  </w:style>
  <w:style w:type="paragraph" w:styleId="1357">
    <w:name w:val="表格内容"/>
    <w:basedOn w:val="1134"/>
    <w:next w:val="1357"/>
    <w:link w:val="1134"/>
    <w:pPr>
      <w:jc w:val="center"/>
      <w:spacing w:before="60" w:line="300" w:lineRule="auto"/>
      <w:widowControl/>
    </w:pPr>
    <w:rPr>
      <w:rFonts w:ascii="Times New Roman" w:hAnsi="Times New Roman" w:eastAsia="宋体" w:cs="Times New Roman"/>
    </w:rPr>
  </w:style>
  <w:style w:type="paragraph" w:styleId="1358">
    <w:name w:val="丁华正文"/>
    <w:basedOn w:val="1198"/>
    <w:next w:val="1358"/>
    <w:link w:val="1134"/>
    <w:pPr>
      <w:ind w:left="0" w:firstLine="510"/>
      <w:spacing w:line="360" w:lineRule="auto"/>
    </w:pPr>
    <w:rPr>
      <w:rFonts w:ascii="Times New Roman" w:hAnsi="Times New Roman" w:eastAsia="宋体" w:cs="Times New Roman"/>
      <w:color w:val="000000"/>
      <w:sz w:val="24"/>
      <w:szCs w:val="16"/>
    </w:rPr>
  </w:style>
  <w:style w:type="paragraph" w:styleId="1359">
    <w:name w:val="丁华标题1"/>
    <w:basedOn w:val="1135"/>
    <w:next w:val="1358"/>
    <w:link w:val="1134"/>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360">
    <w:name w:val=" Char1 Char Char Char"/>
    <w:basedOn w:val="1134"/>
    <w:next w:val="1360"/>
    <w:link w:val="1134"/>
    <w:rPr>
      <w:rFonts w:ascii="Tahoma" w:hAnsi="Tahoma" w:eastAsia="宋体" w:cs="Times New Roman"/>
      <w:sz w:val="24"/>
    </w:rPr>
  </w:style>
  <w:style w:type="paragraph" w:styleId="1361">
    <w:name w:val="正文 + 宋体"/>
    <w:basedOn w:val="1134"/>
    <w:next w:val="1361"/>
    <w:link w:val="1134"/>
    <w:pPr>
      <w:ind w:firstLine="420"/>
      <w:spacing w:line="360" w:lineRule="auto"/>
    </w:pPr>
    <w:rPr>
      <w:rFonts w:ascii="Times New Roman" w:hAnsi="Times New Roman" w:eastAsia="宋体" w:cs="Times New Roman"/>
      <w:szCs w:val="24"/>
    </w:rPr>
  </w:style>
  <w:style w:type="paragraph" w:styleId="1362">
    <w:name w:val="二级标题"/>
    <w:basedOn w:val="1134"/>
    <w:next w:val="1362"/>
    <w:link w:val="1134"/>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363">
    <w:name w:val="Char Char Char Char Char Char Char Char Char Char Char"/>
    <w:basedOn w:val="1134"/>
    <w:next w:val="1363"/>
    <w:link w:val="1134"/>
    <w:rPr>
      <w:rFonts w:ascii="Tahoma" w:hAnsi="Tahoma" w:eastAsia="宋体" w:cs="Tahoma"/>
      <w:sz w:val="24"/>
    </w:rPr>
  </w:style>
  <w:style w:type="paragraph" w:styleId="1364">
    <w:name w:val="xl49"/>
    <w:basedOn w:val="1134"/>
    <w:next w:val="1364"/>
    <w:link w:val="1134"/>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365">
    <w:name w:val="Char Char1"/>
    <w:basedOn w:val="1134"/>
    <w:next w:val="1365"/>
    <w:link w:val="1134"/>
    <w:rPr>
      <w:rFonts w:ascii="Tahoma" w:hAnsi="Tahoma" w:eastAsia="宋体" w:cs="Tahoma"/>
      <w:sz w:val="24"/>
    </w:rPr>
  </w:style>
  <w:style w:type="paragraph" w:styleId="1366">
    <w:name w:val="List Paragraph"/>
    <w:basedOn w:val="1134"/>
    <w:next w:val="1366"/>
    <w:link w:val="1134"/>
    <w:pPr>
      <w:contextualSpacing/>
      <w:ind w:left="720"/>
      <w:jc w:val="left"/>
      <w:widowControl/>
    </w:pPr>
    <w:rPr>
      <w:rFonts w:ascii="Arial" w:hAnsi="Arial" w:eastAsia="黑体" w:cs="Times New Roman"/>
      <w:sz w:val="24"/>
      <w:szCs w:val="24"/>
      <w:lang w:eastAsia="en-US"/>
    </w:rPr>
  </w:style>
  <w:style w:type="paragraph" w:styleId="1367">
    <w:name w:val="样式"/>
    <w:basedOn w:val="1134"/>
    <w:next w:val="1367"/>
    <w:link w:val="1134"/>
    <w:pPr>
      <w:spacing w:before="120" w:after="120" w:line="360" w:lineRule="auto"/>
    </w:pPr>
    <w:rPr>
      <w:rFonts w:ascii="宋体" w:hAnsi="Times New Roman" w:eastAsia="宋体" w:cs="Times New Roman"/>
      <w:sz w:val="24"/>
    </w:rPr>
  </w:style>
  <w:style w:type="paragraph" w:styleId="1368">
    <w:name w:val="font14"/>
    <w:basedOn w:val="1134"/>
    <w:next w:val="1368"/>
    <w:link w:val="1134"/>
    <w:pPr>
      <w:jc w:val="left"/>
      <w:spacing w:before="100" w:beforeAutospacing="1" w:after="100" w:afterAutospacing="1"/>
      <w:widowControl/>
    </w:pPr>
    <w:rPr>
      <w:rFonts w:ascii="Times New Roman" w:hAnsi="Times New Roman" w:eastAsia="宋体" w:cs="Times New Roman"/>
      <w:sz w:val="36"/>
      <w:szCs w:val="36"/>
    </w:rPr>
  </w:style>
  <w:style w:type="paragraph" w:styleId="1369">
    <w:name w:val="正文 首行缩进:  2 字符 Char Char"/>
    <w:basedOn w:val="1134"/>
    <w:next w:val="1369"/>
    <w:link w:val="1134"/>
    <w:pPr>
      <w:ind w:firstLine="480"/>
      <w:spacing w:line="360" w:lineRule="auto"/>
    </w:pPr>
    <w:rPr>
      <w:rFonts w:ascii="楷体_GB2312" w:hAnsi="Times New Roman" w:eastAsia="楷体_GB2312" w:cs="Times New Roman"/>
      <w:bCs/>
      <w:sz w:val="24"/>
      <w:szCs w:val="24"/>
    </w:rPr>
  </w:style>
  <w:style w:type="paragraph" w:styleId="1370">
    <w:name w:val="样式1"/>
    <w:basedOn w:val="1134"/>
    <w:next w:val="1370"/>
    <w:link w:val="1134"/>
    <w:pPr>
      <w:ind w:firstLine="480"/>
      <w:spacing w:line="300" w:lineRule="auto"/>
    </w:pPr>
    <w:rPr>
      <w:rFonts w:ascii="Times New Roman" w:hAnsi="Times New Roman" w:eastAsia="宋体" w:cs="Times New Roman"/>
      <w:sz w:val="24"/>
      <w:szCs w:val="24"/>
    </w:rPr>
  </w:style>
  <w:style w:type="paragraph" w:styleId="1371">
    <w:name w:val="Char Char Char Char Char"/>
    <w:basedOn w:val="1134"/>
    <w:next w:val="1371"/>
    <w:link w:val="1134"/>
    <w:rPr>
      <w:rFonts w:ascii="Tahoma" w:hAnsi="Tahoma" w:eastAsia="宋体" w:cs="Tahoma"/>
      <w:sz w:val="24"/>
    </w:rPr>
  </w:style>
  <w:style w:type="paragraph" w:styleId="1372">
    <w:name w:val="xl31"/>
    <w:basedOn w:val="1134"/>
    <w:next w:val="1372"/>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73">
    <w:name w:val="正文 首行缩进:  2 字符 Char"/>
    <w:basedOn w:val="1134"/>
    <w:next w:val="1373"/>
    <w:link w:val="1134"/>
    <w:pPr>
      <w:ind w:firstLine="480"/>
      <w:spacing w:line="360" w:lineRule="auto"/>
    </w:pPr>
    <w:rPr>
      <w:rFonts w:ascii="Times New Roman" w:hAnsi="Times New Roman" w:eastAsia="宋体" w:cs="宋体"/>
      <w:sz w:val="24"/>
    </w:rPr>
  </w:style>
  <w:style w:type="paragraph" w:styleId="1374">
    <w:name w:val=" Char Char Char Char Char Char Char Char Char Char Char"/>
    <w:basedOn w:val="1134"/>
    <w:next w:val="1374"/>
    <w:link w:val="1134"/>
    <w:rPr>
      <w:rFonts w:ascii="Tahoma" w:hAnsi="Tahoma" w:eastAsia="宋体" w:cs="Times New Roman"/>
      <w:sz w:val="24"/>
    </w:rPr>
  </w:style>
  <w:style w:type="paragraph" w:styleId="1375">
    <w:name w:val="列出段落"/>
    <w:basedOn w:val="1134"/>
    <w:next w:val="1375"/>
    <w:link w:val="1134"/>
    <w:qFormat/>
    <w:pPr>
      <w:ind w:firstLine="420"/>
    </w:pPr>
    <w:rPr>
      <w:rFonts w:ascii="Times New Roman" w:hAnsi="Times New Roman" w:eastAsia="宋体" w:cs="Times New Roman"/>
      <w:szCs w:val="24"/>
    </w:rPr>
  </w:style>
  <w:style w:type="paragraph" w:styleId="1376">
    <w:name w:val="No Spacing"/>
    <w:next w:val="1376"/>
    <w:link w:val="1134"/>
    <w:pPr>
      <w:jc w:val="both"/>
      <w:widowControl w:val="off"/>
    </w:pPr>
    <w:rPr>
      <w:rFonts w:eastAsia="微软雅黑"/>
      <w:sz w:val="24"/>
      <w:szCs w:val="22"/>
      <w:lang w:val="en-US" w:eastAsia="zh-CN" w:bidi="ar-SA"/>
    </w:rPr>
  </w:style>
  <w:style w:type="paragraph" w:styleId="1377">
    <w:name w:val="retrait3"/>
    <w:basedOn w:val="1134"/>
    <w:next w:val="1377"/>
    <w:link w:val="1134"/>
    <w:pPr>
      <w:ind w:left="851"/>
      <w:jc w:val="left"/>
      <w:spacing w:before="20" w:after="20"/>
      <w:widowControl/>
    </w:pPr>
    <w:rPr>
      <w:rFonts w:ascii="Arial" w:hAnsi="Arial" w:eastAsia="宋体" w:cs="Times New Roman"/>
      <w:sz w:val="24"/>
      <w:lang w:val="en-GB"/>
    </w:rPr>
  </w:style>
  <w:style w:type="paragraph" w:styleId="1378">
    <w:name w:val="tableau"/>
    <w:basedOn w:val="1134"/>
    <w:next w:val="1378"/>
    <w:link w:val="1134"/>
    <w:pPr>
      <w:jc w:val="center"/>
      <w:spacing w:before="20" w:after="20"/>
      <w:widowControl/>
    </w:pPr>
    <w:rPr>
      <w:rFonts w:ascii="Arial" w:hAnsi="Arial" w:eastAsia="宋体" w:cs="Times New Roman"/>
      <w:sz w:val="16"/>
      <w:lang w:val="en-GB" w:eastAsia="en-US"/>
    </w:rPr>
  </w:style>
  <w:style w:type="paragraph" w:styleId="1379">
    <w:name w:val="xl36"/>
    <w:basedOn w:val="1134"/>
    <w:next w:val="1379"/>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80">
    <w:name w:val="Char Char1 Char Char Char Char"/>
    <w:basedOn w:val="1162"/>
    <w:next w:val="1380"/>
    <w:link w:val="1134"/>
    <w:pPr>
      <w:ind w:left="357"/>
      <w:jc w:val="left"/>
      <w:spacing w:line="436" w:lineRule="exact"/>
      <w:outlineLvl w:val="3"/>
    </w:pPr>
    <w:rPr>
      <w:rFonts w:ascii="Tahoma" w:hAnsi="Tahoma" w:eastAsia="宋体" w:cs="Tahoma"/>
      <w:b/>
      <w:sz w:val="24"/>
      <w:szCs w:val="24"/>
    </w:rPr>
  </w:style>
  <w:style w:type="paragraph" w:styleId="1381">
    <w:name w:val="_Style 42"/>
    <w:basedOn w:val="1134"/>
    <w:next w:val="1170"/>
    <w:link w:val="1134"/>
    <w:rPr>
      <w:rFonts w:ascii="楷体_GB2312" w:hAnsi="Arial" w:eastAsia="楷体_GB2312" w:cs="Times New Roman"/>
      <w:sz w:val="28"/>
    </w:rPr>
  </w:style>
  <w:style w:type="paragraph" w:styleId="1382">
    <w:name w:val="xl28"/>
    <w:basedOn w:val="1134"/>
    <w:next w:val="1382"/>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83">
    <w:name w:val="正文格式"/>
    <w:basedOn w:val="1134"/>
    <w:next w:val="1383"/>
    <w:link w:val="1134"/>
    <w:pPr>
      <w:ind w:left="178" w:right="44" w:hanging="178"/>
      <w:jc w:val="left"/>
      <w:spacing w:before="78" w:line="360" w:lineRule="auto"/>
      <w:widowControl/>
    </w:pPr>
    <w:rPr>
      <w:rFonts w:ascii="宋体" w:hAnsi="宋体" w:eastAsia="宋体" w:cs="Times New Roman"/>
      <w:bCs/>
      <w:szCs w:val="21"/>
    </w:rPr>
  </w:style>
  <w:style w:type="paragraph" w:styleId="1384">
    <w:name w:val="项目符号，一级"/>
    <w:basedOn w:val="1383"/>
    <w:next w:val="1383"/>
    <w:link w:val="1134"/>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385">
    <w:name w:val="xl37"/>
    <w:basedOn w:val="1134"/>
    <w:next w:val="1385"/>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86">
    <w:name w:val="项目符号，二级"/>
    <w:basedOn w:val="1383"/>
    <w:next w:val="1383"/>
    <w:link w:val="1134"/>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387">
    <w:name w:val="xl59"/>
    <w:basedOn w:val="1134"/>
    <w:next w:val="1387"/>
    <w:link w:val="113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88">
    <w:name w:val="小四 段落 宋体 Char"/>
    <w:basedOn w:val="1159"/>
    <w:next w:val="1388"/>
    <w:link w:val="1134"/>
    <w:pPr>
      <w:ind w:left="0" w:right="-33" w:firstLine="600"/>
      <w:jc w:val="left"/>
      <w:tabs>
        <w:tab w:val="clear" w:pos="2952" w:leader="none"/>
      </w:tabs>
    </w:pPr>
    <w:rPr>
      <w:rFonts w:ascii="仿宋_GB2312" w:hAnsi="Times New Roman" w:eastAsia="仿宋_GB2312" w:cs="Times New Roman"/>
      <w:sz w:val="30"/>
      <w:szCs w:val="30"/>
    </w:rPr>
  </w:style>
  <w:style w:type="paragraph" w:styleId="1389">
    <w:name w:val="xl60"/>
    <w:basedOn w:val="1134"/>
    <w:next w:val="1389"/>
    <w:link w:val="113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90">
    <w:name w:val="Char Char Char Char Char Char Char Char Char Char Char Char Char"/>
    <w:basedOn w:val="1134"/>
    <w:next w:val="1390"/>
    <w:link w:val="1134"/>
    <w:pPr>
      <w:jc w:val="left"/>
      <w:spacing w:after="160" w:line="240" w:lineRule="exact"/>
      <w:widowControl/>
    </w:pPr>
    <w:rPr>
      <w:rFonts w:ascii="Times New Roman" w:hAnsi="Times New Roman" w:eastAsia="宋体" w:cs="Times New Roman"/>
      <w:szCs w:val="24"/>
    </w:rPr>
  </w:style>
  <w:style w:type="paragraph" w:styleId="1391">
    <w:name w:val="表头_5"/>
    <w:basedOn w:val="1134"/>
    <w:next w:val="1391"/>
    <w:link w:val="1134"/>
    <w:pPr>
      <w:spacing w:line="360" w:lineRule="auto"/>
    </w:pPr>
    <w:rPr>
      <w:rFonts w:ascii="Times New Roman" w:hAnsi="Times New Roman" w:eastAsia="宋体" w:cs="Times New Roman"/>
      <w:b/>
      <w:bCs/>
      <w:sz w:val="28"/>
      <w:szCs w:val="21"/>
    </w:rPr>
  </w:style>
  <w:style w:type="paragraph" w:styleId="1392">
    <w:name w:val="样式 标题 3H3sect1.2.3BOD 0Heading 3 - oldh3l3CTLevel 3 Head..."/>
    <w:basedOn w:val="1137"/>
    <w:next w:val="1392"/>
    <w:link w:val="1134"/>
    <w:pPr>
      <w:jc w:val="left"/>
      <w:spacing w:before="156" w:after="156"/>
    </w:pPr>
    <w:rPr>
      <w:rFonts w:ascii="Times New Roman" w:hAnsi="Times New Roman" w:eastAsia="宋体" w:cs="宋体"/>
      <w:bCs/>
      <w:sz w:val="30"/>
    </w:rPr>
  </w:style>
  <w:style w:type="paragraph" w:styleId="1393">
    <w:name w:val="样式2"/>
    <w:basedOn w:val="1134"/>
    <w:next w:val="1393"/>
    <w:link w:val="1134"/>
    <w:pPr>
      <w:ind w:left="200"/>
      <w:spacing w:line="360" w:lineRule="auto"/>
    </w:pPr>
    <w:rPr>
      <w:rFonts w:ascii="宋体" w:hAnsi="宋体" w:eastAsia="宋体" w:cs="Times New Roman"/>
      <w:b/>
      <w:sz w:val="24"/>
      <w:szCs w:val="24"/>
    </w:rPr>
  </w:style>
  <w:style w:type="paragraph" w:styleId="1394">
    <w:name w:val=" Char Char Char Char Char Char Char"/>
    <w:basedOn w:val="1134"/>
    <w:next w:val="1394"/>
    <w:link w:val="1134"/>
    <w:rPr>
      <w:rFonts w:ascii="Tahoma" w:hAnsi="Tahoma" w:eastAsia="宋体" w:cs="Times New Roman"/>
      <w:sz w:val="24"/>
    </w:rPr>
  </w:style>
  <w:style w:type="paragraph" w:styleId="1395">
    <w:name w:val="Default Text"/>
    <w:basedOn w:val="1134"/>
    <w:next w:val="1395"/>
    <w:link w:val="1134"/>
    <w:pPr>
      <w:jc w:val="left"/>
      <w:widowControl/>
    </w:pPr>
    <w:rPr>
      <w:rFonts w:ascii="Times New Roman" w:hAnsi="Times New Roman" w:eastAsia="宋体" w:cs="Times New Roman"/>
      <w:sz w:val="24"/>
      <w:lang w:eastAsia="en-US"/>
    </w:rPr>
  </w:style>
  <w:style w:type="paragraph" w:styleId="1396">
    <w:name w:val="Char Char Char Char Char Char Char Char Char Char Char Char Char Char Char Char Char Char Char Char Char Char Char"/>
    <w:basedOn w:val="1134"/>
    <w:next w:val="1396"/>
    <w:link w:val="1134"/>
    <w:rPr>
      <w:rFonts w:ascii="Tahoma" w:hAnsi="Tahoma" w:eastAsia="宋体" w:cs="Tahoma"/>
      <w:sz w:val="24"/>
    </w:rPr>
  </w:style>
  <w:style w:type="paragraph" w:styleId="1397">
    <w:name w:val="Bullets L1"/>
    <w:basedOn w:val="1134"/>
    <w:next w:val="1397"/>
    <w:link w:val="1134"/>
    <w:pPr>
      <w:numPr>
        <w:ilvl w:val="0"/>
        <w:numId w:val="2"/>
      </w:numPr>
      <w:jc w:val="left"/>
      <w:spacing w:before="60" w:after="60"/>
      <w:widowControl/>
      <w:tabs>
        <w:tab w:val="left" w:pos="360" w:leader="none"/>
      </w:tabs>
    </w:pPr>
    <w:rPr>
      <w:rFonts w:ascii="Arial" w:hAnsi="Arial" w:eastAsia="宋体" w:cs="Times New Roman"/>
      <w:sz w:val="20"/>
    </w:rPr>
  </w:style>
  <w:style w:type="paragraph" w:styleId="1398">
    <w:name w:val=" Char Char Char Char Char Char Char Char Char Char Char Char Char"/>
    <w:basedOn w:val="1162"/>
    <w:next w:val="1398"/>
    <w:link w:val="1134"/>
    <w:rPr>
      <w:rFonts w:ascii="Tahoma" w:hAnsi="Tahoma" w:eastAsia="宋体" w:cs="Times New Roman"/>
      <w:sz w:val="24"/>
      <w:szCs w:val="24"/>
    </w:rPr>
  </w:style>
  <w:style w:type="paragraph" w:styleId="1399">
    <w:name w:val="默认段落字体 Para Char"/>
    <w:basedOn w:val="1134"/>
    <w:next w:val="1399"/>
    <w:link w:val="1134"/>
    <w:rPr>
      <w:rFonts w:ascii="Times New Roman" w:hAnsi="Times New Roman" w:eastAsia="宋体" w:cs="Times New Roman"/>
      <w:sz w:val="24"/>
      <w:szCs w:val="24"/>
    </w:rPr>
  </w:style>
  <w:style w:type="paragraph" w:styleId="1400">
    <w:name w:val="标准小四"/>
    <w:basedOn w:val="1134"/>
    <w:next w:val="1400"/>
    <w:link w:val="1134"/>
    <w:pPr>
      <w:ind w:firstLine="480"/>
      <w:spacing w:line="360" w:lineRule="auto"/>
    </w:pPr>
    <w:rPr>
      <w:rFonts w:ascii="Arial" w:hAnsi="Arial" w:eastAsia="宋体" w:cs="Times New Roman"/>
      <w:sz w:val="24"/>
      <w:szCs w:val="21"/>
    </w:rPr>
  </w:style>
  <w:style w:type="paragraph" w:styleId="1401">
    <w:name w:val="马刚标题1"/>
    <w:basedOn w:val="1135"/>
    <w:next w:val="1134"/>
    <w:link w:val="1134"/>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402">
    <w:name w:val="font13"/>
    <w:basedOn w:val="1134"/>
    <w:next w:val="1402"/>
    <w:link w:val="1134"/>
    <w:pPr>
      <w:jc w:val="left"/>
      <w:spacing w:before="100" w:beforeAutospacing="1" w:after="100" w:afterAutospacing="1"/>
      <w:widowControl/>
    </w:pPr>
    <w:rPr>
      <w:rFonts w:ascii="Times New Roman" w:hAnsi="Times New Roman" w:eastAsia="宋体" w:cs="Times New Roman"/>
      <w:i/>
      <w:iCs/>
      <w:sz w:val="36"/>
      <w:szCs w:val="36"/>
    </w:rPr>
  </w:style>
  <w:style w:type="paragraph" w:styleId="1403">
    <w:name w:val="font11"/>
    <w:basedOn w:val="1134"/>
    <w:next w:val="1403"/>
    <w:link w:val="1134"/>
    <w:pPr>
      <w:jc w:val="left"/>
      <w:spacing w:before="100" w:beforeAutospacing="1" w:after="100" w:afterAutospacing="1"/>
      <w:widowControl/>
    </w:pPr>
    <w:rPr>
      <w:rFonts w:ascii="Times New Roman" w:hAnsi="Times New Roman" w:eastAsia="宋体" w:cs="Times New Roman"/>
      <w:b/>
      <w:bCs/>
      <w:sz w:val="18"/>
      <w:szCs w:val="18"/>
    </w:rPr>
  </w:style>
  <w:style w:type="paragraph" w:styleId="1404">
    <w:name w:val="00-表格的正文"/>
    <w:basedOn w:val="1134"/>
    <w:next w:val="1404"/>
    <w:link w:val="1134"/>
    <w:pPr>
      <w:jc w:val="left"/>
      <w:spacing w:line="440" w:lineRule="exact"/>
    </w:pPr>
    <w:rPr>
      <w:rFonts w:ascii="楷体" w:hAnsi="楷体" w:eastAsia="宋体" w:cs="Times New Roman"/>
      <w:color w:val="000000"/>
      <w:sz w:val="20"/>
      <w:szCs w:val="24"/>
    </w:rPr>
  </w:style>
  <w:style w:type="paragraph" w:styleId="1405">
    <w:name w:val="a0"/>
    <w:basedOn w:val="1134"/>
    <w:next w:val="1405"/>
    <w:link w:val="1134"/>
    <w:pPr>
      <w:spacing w:before="100" w:beforeAutospacing="1" w:after="100" w:afterAutospacing="1"/>
      <w:widowControl/>
    </w:pPr>
    <w:rPr>
      <w:rFonts w:ascii="宋体" w:hAnsi="宋体" w:eastAsia="宋体" w:cs="宋体"/>
      <w:sz w:val="24"/>
      <w:szCs w:val="24"/>
    </w:rPr>
  </w:style>
  <w:style w:type="paragraph" w:styleId="1406">
    <w:name w:val="xl32"/>
    <w:basedOn w:val="1134"/>
    <w:next w:val="1406"/>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07">
    <w:name w:val="Char Char Char Char Char Char Char Char"/>
    <w:basedOn w:val="1134"/>
    <w:next w:val="1407"/>
    <w:link w:val="1134"/>
    <w:rPr>
      <w:rFonts w:ascii="Tahoma" w:hAnsi="Tahoma" w:eastAsia="宋体" w:cs="Tahoma"/>
      <w:sz w:val="24"/>
    </w:rPr>
  </w:style>
  <w:style w:type="paragraph" w:styleId="1408">
    <w:name w:val="正文文本 21"/>
    <w:basedOn w:val="1134"/>
    <w:next w:val="1408"/>
    <w:link w:val="1134"/>
    <w:pPr>
      <w:ind w:left="720" w:hanging="720"/>
      <w:widowControl/>
    </w:pPr>
    <w:rPr>
      <w:rFonts w:ascii="Times New Roman" w:hAnsi="Times New Roman" w:eastAsia="宋体" w:cs="Times New Roman"/>
      <w:sz w:val="24"/>
      <w:lang w:val="en-GB"/>
    </w:rPr>
  </w:style>
  <w:style w:type="paragraph" w:styleId="1409">
    <w:name w:val="项目符号：一级"/>
    <w:basedOn w:val="1383"/>
    <w:next w:val="1383"/>
    <w:link w:val="1134"/>
    <w:pPr>
      <w:ind w:right="-134"/>
    </w:pPr>
    <w:rPr>
      <w:rFonts w:ascii="Times New Roman" w:hAnsi="Times New Roman" w:eastAsia="宋体" w:cs="Times New Roman"/>
      <w:bCs w:val="0"/>
    </w:rPr>
  </w:style>
  <w:style w:type="paragraph" w:styleId="1410">
    <w:name w:val="符号与编号 Char"/>
    <w:basedOn w:val="1134"/>
    <w:next w:val="1410"/>
    <w:link w:val="1134"/>
    <w:pPr>
      <w:ind w:left="720"/>
      <w:spacing w:after="156" w:line="400" w:lineRule="atLeast"/>
      <w:tabs>
        <w:tab w:val="left" w:pos="720" w:leader="none"/>
      </w:tabs>
    </w:pPr>
    <w:rPr>
      <w:rFonts w:ascii="Times New Roman" w:hAnsi="Times New Roman" w:eastAsia="宋体" w:cs="Times New Roman"/>
      <w:sz w:val="24"/>
      <w:szCs w:val="24"/>
    </w:rPr>
  </w:style>
  <w:style w:type="paragraph" w:styleId="1411">
    <w:name w:val="a"/>
    <w:basedOn w:val="1134"/>
    <w:next w:val="1411"/>
    <w:link w:val="1134"/>
    <w:pPr>
      <w:spacing w:before="100" w:beforeAutospacing="1" w:after="100" w:afterAutospacing="1"/>
      <w:widowControl/>
    </w:pPr>
    <w:rPr>
      <w:rFonts w:ascii="宋体" w:hAnsi="宋体" w:eastAsia="宋体" w:cs="宋体"/>
      <w:sz w:val="24"/>
      <w:szCs w:val="24"/>
    </w:rPr>
  </w:style>
  <w:style w:type="paragraph" w:styleId="1412">
    <w:name w:val="xl57"/>
    <w:basedOn w:val="1134"/>
    <w:next w:val="1412"/>
    <w:link w:val="113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413">
    <w:name w:val="正文1"/>
    <w:basedOn w:val="1134"/>
    <w:next w:val="1134"/>
    <w:link w:val="1134"/>
    <w:pPr>
      <w:ind w:firstLine="510"/>
      <w:spacing w:before="156" w:line="360" w:lineRule="auto"/>
    </w:pPr>
    <w:rPr>
      <w:rFonts w:ascii="Times New Roman" w:hAnsi="Times New Roman" w:eastAsia="宋体" w:cs="Times New Roman"/>
      <w:sz w:val="24"/>
    </w:rPr>
  </w:style>
  <w:style w:type="paragraph" w:styleId="1414">
    <w:name w:val="Char Char Char"/>
    <w:basedOn w:val="1134"/>
    <w:next w:val="1414"/>
    <w:link w:val="1134"/>
    <w:rPr>
      <w:rFonts w:ascii="Tahoma" w:hAnsi="Tahoma" w:eastAsia="宋体" w:cs="Times New Roman"/>
      <w:sz w:val="24"/>
    </w:rPr>
  </w:style>
  <w:style w:type="paragraph" w:styleId="1415">
    <w:name w:val="行文"/>
    <w:basedOn w:val="1134"/>
    <w:next w:val="1415"/>
    <w:link w:val="1134"/>
    <w:pPr>
      <w:ind w:firstLine="624"/>
      <w:spacing w:before="0" w:after="0" w:line="480" w:lineRule="exact"/>
    </w:pPr>
    <w:rPr>
      <w:rFonts w:ascii="Times New Roman" w:hAnsi="Times New Roman" w:eastAsia="仿宋_GB2312" w:cs="Times New Roman"/>
      <w:spacing w:val="8"/>
      <w:sz w:val="30"/>
    </w:rPr>
  </w:style>
  <w:style w:type="paragraph" w:styleId="1416">
    <w:name w:val="font7"/>
    <w:basedOn w:val="1134"/>
    <w:next w:val="1416"/>
    <w:link w:val="1134"/>
    <w:pPr>
      <w:jc w:val="left"/>
      <w:spacing w:before="100" w:beforeAutospacing="1" w:after="100" w:afterAutospacing="1"/>
      <w:widowControl/>
    </w:pPr>
    <w:rPr>
      <w:rFonts w:hint="eastAsia" w:ascii="宋体" w:hAnsi="宋体" w:eastAsia="宋体" w:cs="Times New Roman"/>
      <w:b/>
      <w:bCs/>
      <w:sz w:val="24"/>
      <w:szCs w:val="24"/>
    </w:rPr>
  </w:style>
  <w:style w:type="paragraph" w:styleId="1417">
    <w:name w:val=" Char Char Char Char Char Char Char Char"/>
    <w:basedOn w:val="1134"/>
    <w:next w:val="1417"/>
    <w:link w:val="1134"/>
    <w:rPr>
      <w:rFonts w:ascii="Tahoma" w:hAnsi="Tahoma" w:eastAsia="宋体" w:cs="Times New Roman"/>
      <w:sz w:val="24"/>
    </w:rPr>
  </w:style>
  <w:style w:type="paragraph" w:styleId="1418">
    <w:name w:val="样式 正文缩进2字符 + 左侧:  2 字符 首行缩进:  2 字符"/>
    <w:basedOn w:val="1134"/>
    <w:next w:val="1418"/>
    <w:link w:val="1134"/>
    <w:pPr>
      <w:ind w:firstLine="480"/>
      <w:spacing w:line="360" w:lineRule="auto"/>
    </w:pPr>
    <w:rPr>
      <w:rFonts w:ascii="Times New Roman" w:hAnsi="Times New Roman" w:eastAsia="宋体" w:cs="宋体"/>
      <w:bCs/>
      <w:sz w:val="24"/>
      <w:szCs w:val="20"/>
    </w:rPr>
  </w:style>
  <w:style w:type="paragraph" w:styleId="1419">
    <w:name w:val="表格内文字"/>
    <w:basedOn w:val="1134"/>
    <w:next w:val="1419"/>
    <w:link w:val="1134"/>
    <w:pPr>
      <w:spacing w:line="300" w:lineRule="atLeast"/>
    </w:pPr>
    <w:rPr>
      <w:rFonts w:ascii="Times New Roman" w:hAnsi="Times New Roman" w:eastAsia="宋体" w:cs="Times New Roman"/>
      <w:sz w:val="18"/>
      <w:szCs w:val="24"/>
    </w:rPr>
  </w:style>
  <w:style w:type="paragraph" w:styleId="1420">
    <w:name w:val="xl46"/>
    <w:basedOn w:val="1134"/>
    <w:next w:val="1420"/>
    <w:link w:val="1134"/>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421">
    <w:name w:val=" Char Char Char Char"/>
    <w:basedOn w:val="1134"/>
    <w:next w:val="1421"/>
    <w:link w:val="1134"/>
    <w:pPr>
      <w:jc w:val="center"/>
      <w:spacing w:after="160" w:line="240" w:lineRule="exact"/>
      <w:widowControl/>
    </w:pPr>
    <w:rPr>
      <w:rFonts w:ascii="黑体" w:hAnsi="Verdana" w:eastAsia="黑体" w:cs="Times New Roman"/>
      <w:sz w:val="32"/>
      <w:szCs w:val="32"/>
      <w:lang w:eastAsia="en-US"/>
    </w:rPr>
  </w:style>
  <w:style w:type="paragraph" w:styleId="1422">
    <w:name w:val="Normal1"/>
    <w:basedOn w:val="1134"/>
    <w:next w:val="1422"/>
    <w:link w:val="1134"/>
    <w:rPr>
      <w:rFonts w:ascii="Calibri" w:hAnsi="Calibri" w:eastAsia="Calibri" w:cs="宋体"/>
      <w:lang w:val="zh-CN"/>
    </w:rPr>
  </w:style>
  <w:style w:type="paragraph" w:styleId="1423">
    <w:name w:val="样式 小四 行距: 固定值 25 磅8"/>
    <w:basedOn w:val="1134"/>
    <w:next w:val="1134"/>
    <w:link w:val="1134"/>
    <w:pPr>
      <w:ind w:firstLine="464"/>
      <w:spacing w:line="500" w:lineRule="exact"/>
    </w:pPr>
    <w:rPr>
      <w:rFonts w:ascii="Times New Roman" w:hAnsi="Times New Roman" w:eastAsia="宋体" w:cs="宋体"/>
      <w:sz w:val="24"/>
    </w:rPr>
  </w:style>
  <w:style w:type="paragraph" w:styleId="1424">
    <w:name w:val=" Char Char1"/>
    <w:basedOn w:val="1134"/>
    <w:next w:val="1424"/>
    <w:link w:val="1134"/>
    <w:rPr>
      <w:rFonts w:ascii="Tahoma" w:hAnsi="Tahoma" w:eastAsia="宋体" w:cs="Times New Roman"/>
      <w:sz w:val="24"/>
    </w:rPr>
  </w:style>
  <w:style w:type="paragraph" w:styleId="1425">
    <w:name w:val="af17cgridlangnp1033langf"/>
    <w:next w:val="1425"/>
    <w:link w:val="1134"/>
    <w:pPr>
      <w:ind w:left="567" w:firstLine="510"/>
      <w:jc w:val="both"/>
      <w:spacing w:before="156" w:line="360" w:lineRule="atLeast"/>
      <w:widowControl w:val="off"/>
    </w:pPr>
    <w:rPr>
      <w:lang w:val="en-US" w:eastAsia="zh-CN" w:bidi="ar-SA"/>
    </w:rPr>
  </w:style>
  <w:style w:type="paragraph" w:styleId="1426">
    <w:name w:val="华宇段落1 Char"/>
    <w:basedOn w:val="1134"/>
    <w:next w:val="1426"/>
    <w:link w:val="1134"/>
    <w:pPr>
      <w:ind w:firstLine="200"/>
      <w:spacing w:line="360" w:lineRule="auto"/>
    </w:pPr>
    <w:rPr>
      <w:rFonts w:ascii="Times New Roman" w:hAnsi="Times New Roman" w:eastAsia="宋体" w:cs="Times New Roman"/>
      <w:bCs/>
      <w:sz w:val="24"/>
      <w:szCs w:val="24"/>
    </w:rPr>
  </w:style>
  <w:style w:type="paragraph" w:styleId="1427">
    <w:name w:val="正文lzq"/>
    <w:basedOn w:val="1134"/>
    <w:next w:val="1427"/>
    <w:link w:val="1134"/>
    <w:pPr>
      <w:ind w:firstLine="480"/>
      <w:spacing w:line="360" w:lineRule="auto"/>
    </w:pPr>
    <w:rPr>
      <w:rFonts w:ascii="Times New Roman" w:hAnsi="Times New Roman" w:eastAsia="宋体" w:cs="Times New Roman"/>
      <w:sz w:val="24"/>
    </w:rPr>
  </w:style>
  <w:style w:type="paragraph" w:styleId="1428">
    <w:name w:val="正文--表格内正文"/>
    <w:basedOn w:val="1134"/>
    <w:next w:val="1428"/>
    <w:link w:val="1134"/>
    <w:pPr>
      <w:jc w:val="center"/>
      <w:spacing w:before="156" w:line="0" w:lineRule="atLeast"/>
    </w:pPr>
    <w:rPr>
      <w:rFonts w:ascii="宋体" w:hAnsi="宋体" w:eastAsia="宋体" w:cs="Times New Roman"/>
      <w:color w:val="000000"/>
      <w:sz w:val="24"/>
      <w:szCs w:val="24"/>
    </w:rPr>
  </w:style>
  <w:style w:type="paragraph" w:styleId="1429">
    <w:name w:val="xl25"/>
    <w:basedOn w:val="1134"/>
    <w:next w:val="1429"/>
    <w:link w:val="1134"/>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430">
    <w:name w:val="xl34"/>
    <w:basedOn w:val="1134"/>
    <w:next w:val="1430"/>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1">
    <w:name w:val="表格1"/>
    <w:basedOn w:val="1134"/>
    <w:next w:val="1431"/>
    <w:link w:val="1134"/>
    <w:rPr>
      <w:rFonts w:ascii="宋体" w:hAnsi="Times New Roman" w:eastAsia="宋体" w:cs="Times New Roman"/>
      <w:szCs w:val="21"/>
    </w:rPr>
  </w:style>
  <w:style w:type="paragraph" w:styleId="1432">
    <w:name w:val="xl55"/>
    <w:basedOn w:val="1134"/>
    <w:next w:val="1432"/>
    <w:link w:val="113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433">
    <w:name w:val=" Char Char Char"/>
    <w:basedOn w:val="1162"/>
    <w:next w:val="1433"/>
    <w:link w:val="1134"/>
    <w:pPr>
      <w:spacing w:line="436" w:lineRule="exact"/>
    </w:pPr>
    <w:rPr>
      <w:rFonts w:ascii="Times New Roman" w:hAnsi="Times New Roman" w:eastAsia="宋体" w:cs="Times New Roman"/>
      <w:szCs w:val="24"/>
    </w:rPr>
  </w:style>
  <w:style w:type="paragraph" w:styleId="1434">
    <w:name w:val="表蕊"/>
    <w:basedOn w:val="1134"/>
    <w:next w:val="1434"/>
    <w:link w:val="1134"/>
    <w:pPr>
      <w:jc w:val="left"/>
      <w:spacing w:line="320" w:lineRule="atLeast"/>
    </w:pPr>
    <w:rPr>
      <w:rFonts w:ascii="Times New Roman" w:hAnsi="Times New Roman" w:eastAsia="楷体_GB2312" w:cs="Times New Roman"/>
      <w:spacing w:val="-10"/>
    </w:rPr>
  </w:style>
  <w:style w:type="paragraph" w:styleId="1435">
    <w:name w:val="样式 段后: 0.25 行"/>
    <w:basedOn w:val="1134"/>
    <w:next w:val="1435"/>
    <w:link w:val="1134"/>
    <w:pPr>
      <w:ind w:firstLine="420"/>
      <w:jc w:val="left"/>
      <w:spacing w:after="78" w:line="300" w:lineRule="auto"/>
      <w:widowControl/>
    </w:pPr>
    <w:rPr>
      <w:rFonts w:ascii="Arial" w:hAnsi="Arial" w:eastAsia="宋体" w:cs="宋体"/>
      <w:sz w:val="22"/>
      <w:lang w:eastAsia="en-US" w:bidi="en-US"/>
    </w:rPr>
  </w:style>
  <w:style w:type="paragraph" w:styleId="1436">
    <w:name w:val="xl35"/>
    <w:basedOn w:val="1134"/>
    <w:next w:val="1436"/>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437">
    <w:name w:val="Char Char1 Char Char Char Char Char Char Char"/>
    <w:basedOn w:val="1134"/>
    <w:next w:val="1437"/>
    <w:link w:val="1134"/>
    <w:rPr>
      <w:rFonts w:ascii="Tahoma" w:hAnsi="Tahoma" w:eastAsia="宋体" w:cs="Tahoma"/>
      <w:sz w:val="24"/>
    </w:rPr>
  </w:style>
  <w:style w:type="paragraph" w:styleId="1438">
    <w:name w:val="00-合正"/>
    <w:basedOn w:val="1134"/>
    <w:next w:val="1438"/>
    <w:link w:val="1134"/>
    <w:pPr>
      <w:ind w:firstLine="200"/>
      <w:jc w:val="left"/>
      <w:spacing w:line="560" w:lineRule="exact"/>
    </w:pPr>
    <w:rPr>
      <w:rFonts w:ascii="楷体" w:hAnsi="楷体" w:eastAsia="楷体" w:cs="Times New Roman"/>
      <w:color w:val="000000"/>
      <w:sz w:val="28"/>
      <w:szCs w:val="24"/>
    </w:rPr>
  </w:style>
  <w:style w:type="paragraph" w:styleId="1439">
    <w:name w:val="xl48"/>
    <w:basedOn w:val="1134"/>
    <w:next w:val="1439"/>
    <w:link w:val="1134"/>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440">
    <w:name w:val="xl47"/>
    <w:basedOn w:val="1134"/>
    <w:next w:val="1440"/>
    <w:link w:val="11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41">
    <w:name w:val="Char Char Char Char Char Char Char Char Char Char Char1 Char Char Char1"/>
    <w:basedOn w:val="1134"/>
    <w:next w:val="1441"/>
    <w:link w:val="1134"/>
    <w:pPr>
      <w:ind w:firstLine="200"/>
      <w:jc w:val="left"/>
    </w:pPr>
    <w:rPr>
      <w:rFonts w:ascii="Tahoma" w:hAnsi="Tahoma" w:eastAsia="宋体" w:cs="Times New Roman"/>
      <w:sz w:val="24"/>
      <w:szCs w:val="24"/>
    </w:rPr>
  </w:style>
  <w:style w:type="paragraph" w:styleId="1442">
    <w:name w:val="一级标题"/>
    <w:basedOn w:val="1134"/>
    <w:next w:val="1442"/>
    <w:link w:val="1134"/>
    <w:pPr>
      <w:ind w:left="900" w:hanging="420"/>
      <w:spacing w:line="360" w:lineRule="auto"/>
      <w:tabs>
        <w:tab w:val="left" w:pos="903" w:leader="none"/>
      </w:tabs>
    </w:pPr>
    <w:rPr>
      <w:rFonts w:ascii="Arial" w:hAnsi="Arial" w:eastAsia="宋体" w:cs="Arial"/>
      <w:sz w:val="24"/>
    </w:rPr>
  </w:style>
  <w:style w:type="paragraph" w:styleId="1443">
    <w:name w:val="Char Char Char Char Char Char Char Char Char Char Char Char Char Char Char Char Char Char Char Char Char"/>
    <w:basedOn w:val="1134"/>
    <w:next w:val="1443"/>
    <w:link w:val="1134"/>
    <w:rPr>
      <w:rFonts w:ascii="Tahoma" w:hAnsi="Tahoma" w:eastAsia="宋体" w:cs="Tahoma"/>
      <w:sz w:val="24"/>
    </w:rPr>
  </w:style>
  <w:style w:type="paragraph" w:styleId="1444">
    <w:name w:val="xl38"/>
    <w:basedOn w:val="1134"/>
    <w:next w:val="1444"/>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45">
    <w:name w:val="xl40"/>
    <w:basedOn w:val="1134"/>
    <w:next w:val="1445"/>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46">
    <w:name w:val="普通正文"/>
    <w:basedOn w:val="1134"/>
    <w:next w:val="1446"/>
    <w:link w:val="1134"/>
    <w:pPr>
      <w:ind w:firstLine="480"/>
      <w:jc w:val="left"/>
    </w:pPr>
    <w:rPr>
      <w:rFonts w:ascii="Arial" w:hAnsi="Arial" w:eastAsia="宋体" w:cs="Times New Roman"/>
      <w:sz w:val="24"/>
      <w:szCs w:val="24"/>
    </w:rPr>
  </w:style>
  <w:style w:type="paragraph" w:styleId="1447">
    <w:name w:val="Char Char Char Char Char Char Char Char Char Char Char Char Char Char"/>
    <w:basedOn w:val="1134"/>
    <w:next w:val="1447"/>
    <w:link w:val="1134"/>
    <w:rPr>
      <w:rFonts w:ascii="Tahoma" w:hAnsi="Tahoma" w:eastAsia="宋体" w:cs="Tahoma"/>
      <w:sz w:val="24"/>
    </w:rPr>
  </w:style>
  <w:style w:type="paragraph" w:styleId="1448">
    <w:name w:val="标题6"/>
    <w:basedOn w:val="1139"/>
    <w:next w:val="1448"/>
    <w:link w:val="1134"/>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449">
    <w:name w:val="符号与编号 Char Char"/>
    <w:basedOn w:val="1134"/>
    <w:next w:val="1449"/>
    <w:link w:val="1134"/>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450">
    <w:name w:val="公文正文"/>
    <w:basedOn w:val="1171"/>
    <w:next w:val="1450"/>
    <w:link w:val="1134"/>
    <w:pPr>
      <w:ind w:firstLine="200"/>
    </w:pPr>
    <w:rPr>
      <w:rFonts w:ascii="仿宋_GB2312" w:hAnsi="宋体" w:eastAsia="仿宋_GB2312" w:cs="Times New Roman"/>
      <w:sz w:val="28"/>
      <w:szCs w:val="24"/>
    </w:rPr>
  </w:style>
  <w:style w:type="paragraph" w:styleId="1451">
    <w:name w:val="Pa6"/>
    <w:basedOn w:val="1134"/>
    <w:next w:val="1134"/>
    <w:link w:val="1134"/>
    <w:pPr>
      <w:jc w:val="left"/>
      <w:spacing w:line="241" w:lineRule="atLeast"/>
    </w:pPr>
    <w:rPr>
      <w:rFonts w:ascii="汉仪大黑简" w:hAnsi="Times New Roman" w:eastAsia="汉仪大黑简" w:cs="Times New Roman"/>
      <w:sz w:val="24"/>
      <w:szCs w:val="24"/>
    </w:rPr>
  </w:style>
  <w:style w:type="paragraph" w:styleId="1452">
    <w:name w:val="修订"/>
    <w:next w:val="1452"/>
    <w:link w:val="1134"/>
    <w:rPr>
      <w:sz w:val="21"/>
      <w:szCs w:val="24"/>
      <w:lang w:val="en-US" w:eastAsia="zh-CN" w:bidi="ar-SA"/>
    </w:rPr>
  </w:style>
  <w:style w:type="paragraph" w:styleId="1453">
    <w:name w:val="标准文本"/>
    <w:basedOn w:val="1134"/>
    <w:next w:val="1453"/>
    <w:link w:val="1134"/>
    <w:pPr>
      <w:ind w:firstLine="480"/>
      <w:spacing w:line="360" w:lineRule="auto"/>
    </w:pPr>
    <w:rPr>
      <w:rFonts w:ascii="Times New Roman" w:hAnsi="Times New Roman" w:eastAsia="宋体" w:cs="宋体"/>
      <w:sz w:val="24"/>
      <w:szCs w:val="24"/>
    </w:rPr>
  </w:style>
  <w:style w:type="paragraph" w:styleId="1454">
    <w:name w:val="公文标题 2"/>
    <w:basedOn w:val="1134"/>
    <w:next w:val="1450"/>
    <w:link w:val="1134"/>
    <w:pPr>
      <w:outlineLvl w:val="1"/>
    </w:pPr>
    <w:rPr>
      <w:rFonts w:ascii="仿宋_GB2312" w:hAnsi="宋体" w:eastAsia="仿宋_GB2312" w:cs="Times New Roman"/>
      <w:sz w:val="28"/>
      <w:szCs w:val="24"/>
    </w:rPr>
  </w:style>
  <w:style w:type="paragraph" w:styleId="1455">
    <w:name w:val="font12"/>
    <w:basedOn w:val="1134"/>
    <w:next w:val="1455"/>
    <w:link w:val="1134"/>
    <w:pPr>
      <w:jc w:val="left"/>
      <w:spacing w:before="100" w:beforeAutospacing="1" w:after="100" w:afterAutospacing="1"/>
      <w:widowControl/>
    </w:pPr>
    <w:rPr>
      <w:rFonts w:ascii="宋体" w:hAnsi="宋体" w:eastAsia="宋体" w:cs="宋体"/>
      <w:sz w:val="36"/>
      <w:szCs w:val="36"/>
    </w:rPr>
  </w:style>
  <w:style w:type="paragraph" w:styleId="1456">
    <w:name w:val="正文 + Arial Char"/>
    <w:basedOn w:val="1134"/>
    <w:next w:val="1456"/>
    <w:link w:val="1134"/>
    <w:pPr>
      <w:ind w:left="315" w:hanging="315"/>
      <w:spacing w:line="300" w:lineRule="auto"/>
      <w:widowControl/>
      <w:tabs>
        <w:tab w:val="left" w:pos="315" w:leader="none"/>
      </w:tabs>
    </w:pPr>
    <w:rPr>
      <w:rFonts w:ascii="Arial" w:hAnsi="Arial" w:eastAsia="宋体" w:cs="Arial"/>
      <w:b/>
      <w:color w:val="000000"/>
    </w:rPr>
  </w:style>
  <w:style w:type="paragraph" w:styleId="1457">
    <w:name w:val="我的正文"/>
    <w:basedOn w:val="1134"/>
    <w:next w:val="1457"/>
    <w:link w:val="1134"/>
    <w:pPr>
      <w:ind w:firstLine="420"/>
      <w:jc w:val="left"/>
      <w:spacing w:line="360" w:lineRule="auto"/>
      <w:widowControl/>
    </w:pPr>
    <w:rPr>
      <w:rFonts w:ascii="宋体" w:hAnsi="宋体" w:eastAsia="宋体" w:cs="宋体"/>
      <w:szCs w:val="21"/>
    </w:rPr>
  </w:style>
  <w:style w:type="paragraph" w:styleId="1458">
    <w:name w:val="xl24"/>
    <w:basedOn w:val="1134"/>
    <w:next w:val="1458"/>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9">
    <w:name w:val="标题4，章节第四层"/>
    <w:basedOn w:val="1134"/>
    <w:next w:val="1134"/>
    <w:link w:val="1134"/>
    <w:pPr>
      <w:spacing w:line="360" w:lineRule="auto"/>
      <w:tabs>
        <w:tab w:val="left" w:pos="0" w:leader="none"/>
      </w:tabs>
      <w:outlineLvl w:val="3"/>
    </w:pPr>
    <w:rPr>
      <w:rFonts w:ascii="宋体" w:hAnsi="宋体" w:eastAsia="宋体" w:cs="Times New Roman"/>
      <w:b/>
      <w:sz w:val="24"/>
      <w:szCs w:val="24"/>
    </w:rPr>
  </w:style>
  <w:style w:type="paragraph" w:styleId="1460">
    <w:name w:val="font10"/>
    <w:basedOn w:val="1134"/>
    <w:next w:val="1460"/>
    <w:link w:val="1134"/>
    <w:pPr>
      <w:jc w:val="left"/>
      <w:spacing w:before="100" w:beforeAutospacing="1" w:after="100" w:afterAutospacing="1"/>
      <w:widowControl/>
    </w:pPr>
    <w:rPr>
      <w:rFonts w:ascii="楷体_GB2312" w:hAnsi="宋体" w:eastAsia="楷体_GB2312" w:cs="宋体"/>
      <w:b/>
      <w:bCs/>
      <w:sz w:val="18"/>
      <w:szCs w:val="18"/>
    </w:rPr>
  </w:style>
  <w:style w:type="paragraph" w:styleId="1461">
    <w:name w:val="样式 加点正文 + 段前: 0.5 行 段后: 0.5 行1"/>
    <w:basedOn w:val="1134"/>
    <w:next w:val="1461"/>
    <w:link w:val="1134"/>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462">
    <w:name w:val="xl42"/>
    <w:basedOn w:val="1134"/>
    <w:next w:val="1462"/>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63">
    <w:name w:val="font5"/>
    <w:basedOn w:val="1134"/>
    <w:next w:val="1463"/>
    <w:link w:val="1134"/>
    <w:pPr>
      <w:jc w:val="left"/>
      <w:spacing w:before="100" w:beforeAutospacing="1" w:after="100" w:afterAutospacing="1"/>
      <w:widowControl/>
    </w:pPr>
    <w:rPr>
      <w:rFonts w:ascii="宋体" w:hAnsi="宋体" w:eastAsia="宋体" w:cs="宋体"/>
      <w:sz w:val="18"/>
      <w:szCs w:val="18"/>
    </w:rPr>
  </w:style>
  <w:style w:type="paragraph" w:styleId="1464">
    <w:name w:val="xl41"/>
    <w:basedOn w:val="1134"/>
    <w:next w:val="1464"/>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65">
    <w:name w:val="p0"/>
    <w:basedOn w:val="1134"/>
    <w:next w:val="1465"/>
    <w:link w:val="1134"/>
    <w:pPr>
      <w:jc w:val="left"/>
      <w:spacing w:before="100" w:beforeAutospacing="1" w:after="100" w:afterAutospacing="1"/>
      <w:widowControl/>
    </w:pPr>
    <w:rPr>
      <w:rFonts w:ascii="宋体" w:hAnsi="宋体" w:eastAsia="宋体" w:cs="宋体"/>
      <w:sz w:val="24"/>
      <w:szCs w:val="24"/>
    </w:rPr>
  </w:style>
  <w:style w:type="paragraph" w:styleId="1466">
    <w:name w:val="xl52"/>
    <w:basedOn w:val="1134"/>
    <w:next w:val="1466"/>
    <w:link w:val="113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67">
    <w:name w:val="小四 段落 宋体 Char Char Char"/>
    <w:basedOn w:val="1159"/>
    <w:next w:val="1467"/>
    <w:link w:val="1134"/>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468">
    <w:name w:val="丁华标题2"/>
    <w:basedOn w:val="1136"/>
    <w:next w:val="1358"/>
    <w:link w:val="1134"/>
    <w:pPr>
      <w:numPr>
        <w:ilvl w:val="1"/>
        <w:numId w:val="1"/>
      </w:numPr>
      <w:spacing w:line="415" w:lineRule="auto"/>
      <w:tabs>
        <w:tab w:val="left" w:pos="1004" w:leader="none"/>
      </w:tabs>
    </w:pPr>
    <w:rPr>
      <w:rFonts w:ascii="Arial" w:hAnsi="Arial" w:eastAsia="黑体" w:cs="Times New Roman"/>
      <w:b w:val="0"/>
      <w:sz w:val="28"/>
      <w:szCs w:val="20"/>
    </w:rPr>
  </w:style>
  <w:style w:type="paragraph" w:styleId="1469">
    <w:name w:val="丁华标题3"/>
    <w:basedOn w:val="1468"/>
    <w:next w:val="1358"/>
    <w:link w:val="1134"/>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470">
    <w:name w:val="Char Char"/>
    <w:basedOn w:val="1134"/>
    <w:next w:val="1470"/>
    <w:link w:val="1134"/>
    <w:rPr>
      <w:rFonts w:ascii="Tahoma" w:hAnsi="Tahoma" w:eastAsia="宋体" w:cs="Tahoma"/>
      <w:sz w:val="24"/>
    </w:rPr>
  </w:style>
  <w:style w:type="paragraph" w:styleId="1471">
    <w:name w:val="Char Char Char Char Char Char Char"/>
    <w:basedOn w:val="1134"/>
    <w:next w:val="1471"/>
    <w:link w:val="1134"/>
    <w:pPr>
      <w:jc w:val="left"/>
    </w:pPr>
    <w:rPr>
      <w:rFonts w:ascii="Tahoma" w:hAnsi="Tahoma" w:eastAsia="宋体" w:cs="Times New Roman"/>
      <w:sz w:val="24"/>
    </w:rPr>
  </w:style>
  <w:style w:type="paragraph" w:styleId="1472">
    <w:name w:val=" Char Char Char Char Char Char Char Char Char Char Char Char Char Char Char Char Char Char Char Char Char"/>
    <w:basedOn w:val="1134"/>
    <w:next w:val="1472"/>
    <w:link w:val="1134"/>
    <w:rPr>
      <w:rFonts w:ascii="Tahoma" w:hAnsi="Tahoma" w:eastAsia="宋体" w:cs="Times New Roman"/>
      <w:sz w:val="24"/>
    </w:rPr>
  </w:style>
  <w:style w:type="paragraph" w:styleId="1473">
    <w:name w:val="小四 段落 宋体"/>
    <w:basedOn w:val="1159"/>
    <w:next w:val="1473"/>
    <w:link w:val="1134"/>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474">
    <w:name w:val="正文2"/>
    <w:basedOn w:val="1134"/>
    <w:next w:val="1474"/>
    <w:link w:val="1134"/>
    <w:pPr>
      <w:ind w:firstLine="510"/>
      <w:spacing w:before="156" w:line="360" w:lineRule="auto"/>
    </w:pPr>
    <w:rPr>
      <w:rFonts w:ascii="Times New Roman" w:hAnsi="Times New Roman" w:eastAsia="宋体" w:cs="Times New Roman"/>
      <w:sz w:val="24"/>
    </w:rPr>
  </w:style>
  <w:style w:type="paragraph" w:styleId="1475">
    <w:name w:val="插图"/>
    <w:basedOn w:val="1134"/>
    <w:next w:val="1475"/>
    <w:link w:val="1134"/>
    <w:pPr>
      <w:jc w:val="center"/>
      <w:tabs>
        <w:tab w:val="left" w:pos="1620" w:leader="none"/>
      </w:tabs>
    </w:pPr>
    <w:rPr>
      <w:rFonts w:ascii="Times New Roman" w:hAnsi="Times New Roman" w:eastAsia="宋体" w:cs="Times New Roman"/>
      <w:bCs/>
      <w:color w:val="000000"/>
      <w:szCs w:val="22"/>
    </w:rPr>
  </w:style>
  <w:style w:type="paragraph" w:styleId="1476">
    <w:name w:val="Char1"/>
    <w:basedOn w:val="1134"/>
    <w:next w:val="1476"/>
    <w:link w:val="1134"/>
    <w:rPr>
      <w:rFonts w:ascii="仿宋_GB2312" w:hAnsi="宋体" w:eastAsia="仿宋_GB2312" w:cs="宋体"/>
      <w:b/>
      <w:sz w:val="32"/>
      <w:szCs w:val="32"/>
    </w:rPr>
  </w:style>
  <w:style w:type="paragraph" w:styleId="1477">
    <w:name w:val=" Char Char Char Char Char"/>
    <w:basedOn w:val="1134"/>
    <w:next w:val="1477"/>
    <w:link w:val="1134"/>
    <w:rPr>
      <w:rFonts w:ascii="Tahoma" w:hAnsi="Tahoma" w:eastAsia="宋体" w:cs="Times New Roman"/>
      <w:sz w:val="24"/>
    </w:rPr>
  </w:style>
  <w:style w:type="paragraph" w:styleId="1478">
    <w:name w:val="zw"/>
    <w:basedOn w:val="1134"/>
    <w:next w:val="1478"/>
    <w:link w:val="1134"/>
    <w:pPr>
      <w:ind w:firstLine="480"/>
      <w:jc w:val="left"/>
      <w:spacing w:line="360" w:lineRule="auto"/>
      <w:widowControl/>
    </w:pPr>
    <w:rPr>
      <w:rFonts w:ascii="宋体" w:hAnsi="宋体" w:eastAsia="宋体" w:cs="Times New Roman"/>
      <w:bCs/>
      <w:sz w:val="24"/>
    </w:rPr>
  </w:style>
  <w:style w:type="paragraph" w:styleId="1479">
    <w:name w:val="xl56"/>
    <w:basedOn w:val="1134"/>
    <w:next w:val="1479"/>
    <w:link w:val="113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80">
    <w:name w:val="正文 New New New New New New New New New New New New New New"/>
    <w:next w:val="1480"/>
    <w:link w:val="1134"/>
    <w:pPr>
      <w:jc w:val="both"/>
      <w:widowControl w:val="off"/>
    </w:pPr>
    <w:rPr>
      <w:rFonts w:hint="eastAsia"/>
      <w:sz w:val="21"/>
      <w:lang w:val="en-US" w:eastAsia="zh-CN" w:bidi="ar-SA"/>
    </w:rPr>
  </w:style>
  <w:style w:type="paragraph" w:styleId="1481">
    <w:name w:val="xl50"/>
    <w:basedOn w:val="1134"/>
    <w:next w:val="1481"/>
    <w:link w:val="1134"/>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82">
    <w:name w:val="Char Char Char Char"/>
    <w:basedOn w:val="1162"/>
    <w:next w:val="1482"/>
    <w:link w:val="1134"/>
    <w:pPr>
      <w:spacing w:line="360" w:lineRule="auto"/>
    </w:pPr>
    <w:rPr>
      <w:rFonts w:ascii="Tahoma" w:hAnsi="Tahoma" w:eastAsia="宋体" w:cs="Times New Roman"/>
      <w:sz w:val="24"/>
      <w:szCs w:val="24"/>
    </w:rPr>
  </w:style>
  <w:style w:type="paragraph" w:styleId="1483">
    <w:name w:val="样式 样式 首行缩进:  2 字符 + 行距: 1.5 倍行距"/>
    <w:basedOn w:val="1134"/>
    <w:next w:val="1483"/>
    <w:link w:val="1134"/>
    <w:pPr>
      <w:ind w:firstLine="470"/>
      <w:spacing w:line="360" w:lineRule="auto"/>
    </w:pPr>
    <w:rPr>
      <w:rFonts w:ascii="Times New Roman" w:hAnsi="Times New Roman" w:eastAsia="宋体" w:cs="Times New Roman"/>
      <w:sz w:val="24"/>
    </w:rPr>
  </w:style>
  <w:style w:type="paragraph" w:styleId="1484">
    <w:name w:val="标题1，章节第一层"/>
    <w:basedOn w:val="1383"/>
    <w:next w:val="1383"/>
    <w:link w:val="1134"/>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485">
    <w:name w:val="标题3"/>
    <w:basedOn w:val="1137"/>
    <w:next w:val="1485"/>
    <w:link w:val="1134"/>
    <w:pPr>
      <w:keepLines w:val="0"/>
      <w:keepNext w:val="0"/>
      <w:spacing w:before="0" w:after="0" w:line="360" w:lineRule="auto"/>
    </w:pPr>
    <w:rPr>
      <w:rFonts w:ascii="Times New Roman" w:hAnsi="Times New Roman" w:eastAsia="仿宋_GB2312" w:cs="Times New Roman"/>
      <w:b w:val="0"/>
      <w:bCs/>
      <w:sz w:val="30"/>
      <w:szCs w:val="32"/>
    </w:rPr>
  </w:style>
  <w:style w:type="paragraph" w:styleId="1486">
    <w:name w:val="font9"/>
    <w:basedOn w:val="1134"/>
    <w:next w:val="1486"/>
    <w:link w:val="1134"/>
    <w:pPr>
      <w:jc w:val="left"/>
      <w:spacing w:before="100" w:beforeAutospacing="1" w:after="100" w:afterAutospacing="1"/>
      <w:widowControl/>
    </w:pPr>
    <w:rPr>
      <w:rFonts w:ascii="Times New Roman" w:hAnsi="Times New Roman" w:eastAsia="宋体" w:cs="Times New Roman"/>
      <w:b/>
      <w:bCs/>
      <w:sz w:val="20"/>
    </w:rPr>
  </w:style>
  <w:style w:type="paragraph" w:styleId="1487">
    <w:name w:val=" Char Char Char Char Char Char Char Char Char"/>
    <w:basedOn w:val="1134"/>
    <w:next w:val="1487"/>
    <w:link w:val="1134"/>
    <w:pPr>
      <w:ind w:left="360" w:hanging="360"/>
      <w:tabs>
        <w:tab w:val="left" w:pos="360" w:leader="none"/>
      </w:tabs>
    </w:pPr>
    <w:rPr>
      <w:rFonts w:ascii="Times New Roman" w:hAnsi="Times New Roman" w:eastAsia="宋体" w:cs="Times New Roman"/>
      <w:sz w:val="24"/>
      <w:szCs w:val="24"/>
    </w:rPr>
  </w:style>
  <w:style w:type="paragraph" w:styleId="1488">
    <w:name w:val="样式 段后: 0.5 行 左  0.75 字符"/>
    <w:basedOn w:val="1134"/>
    <w:next w:val="1488"/>
    <w:link w:val="1134"/>
    <w:pPr>
      <w:ind w:firstLine="420"/>
      <w:spacing w:line="360" w:lineRule="auto"/>
      <w:widowControl/>
    </w:pPr>
    <w:rPr>
      <w:rFonts w:ascii="Times New Roman" w:hAnsi="Arial" w:eastAsia="宋体" w:cs="Arial"/>
      <w:szCs w:val="21"/>
    </w:rPr>
  </w:style>
  <w:style w:type="paragraph" w:styleId="1489">
    <w:name w:val="font8"/>
    <w:basedOn w:val="1134"/>
    <w:next w:val="1489"/>
    <w:link w:val="1134"/>
    <w:pPr>
      <w:jc w:val="left"/>
      <w:spacing w:before="100" w:beforeAutospacing="1" w:after="100" w:afterAutospacing="1"/>
      <w:widowControl/>
    </w:pPr>
    <w:rPr>
      <w:rFonts w:ascii="宋体" w:hAnsi="宋体" w:eastAsia="宋体" w:cs="宋体"/>
      <w:b/>
      <w:bCs/>
      <w:i/>
      <w:iCs/>
      <w:sz w:val="20"/>
    </w:rPr>
  </w:style>
  <w:style w:type="paragraph" w:styleId="1490">
    <w:name w:val="标题 4宋体"/>
    <w:basedOn w:val="1138"/>
    <w:next w:val="1490"/>
    <w:link w:val="1134"/>
    <w:pPr>
      <w:jc w:val="left"/>
      <w:keepLines w:val="0"/>
      <w:spacing w:before="0" w:after="0" w:line="360" w:lineRule="auto"/>
    </w:pPr>
    <w:rPr>
      <w:rFonts w:ascii="宋体" w:hAnsi="宋体" w:eastAsia="宋体" w:cs="Times New Roman"/>
      <w:bCs/>
      <w:color w:val="000000"/>
      <w:sz w:val="24"/>
    </w:rPr>
  </w:style>
  <w:style w:type="paragraph" w:styleId="1491">
    <w:name w:val="小四 段落 宋体 Char Char"/>
    <w:basedOn w:val="1134"/>
    <w:next w:val="1491"/>
    <w:link w:val="1134"/>
    <w:pPr>
      <w:ind w:firstLine="480"/>
      <w:spacing w:line="360" w:lineRule="auto"/>
    </w:pPr>
    <w:rPr>
      <w:rFonts w:ascii="宋体" w:hAnsi="宋体" w:eastAsia="宋体" w:cs="Times New Roman"/>
      <w:sz w:val="24"/>
      <w:szCs w:val="24"/>
    </w:rPr>
  </w:style>
  <w:style w:type="paragraph" w:styleId="1492">
    <w:name w:val="纯文本1"/>
    <w:basedOn w:val="1134"/>
    <w:next w:val="1492"/>
    <w:link w:val="1134"/>
    <w:rPr>
      <w:rFonts w:ascii="宋体" w:hAnsi="宋体" w:eastAsia="楷体_GB2312" w:cs="宋体"/>
      <w:sz w:val="28"/>
    </w:rPr>
  </w:style>
  <w:style w:type="paragraph" w:styleId="1493">
    <w:name w:val="xl27"/>
    <w:basedOn w:val="1134"/>
    <w:next w:val="1493"/>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94">
    <w:name w:val="标题5，章节第五层"/>
    <w:basedOn w:val="1134"/>
    <w:next w:val="1134"/>
    <w:link w:val="1134"/>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95">
    <w:name w:val="content_lineheight"/>
    <w:basedOn w:val="1134"/>
    <w:next w:val="1495"/>
    <w:link w:val="1134"/>
    <w:pPr>
      <w:jc w:val="left"/>
      <w:spacing w:before="100" w:beforeAutospacing="1" w:after="100" w:afterAutospacing="1"/>
      <w:widowControl/>
    </w:pPr>
    <w:rPr>
      <w:rFonts w:ascii="宋体" w:hAnsi="宋体" w:eastAsia="宋体" w:cs="Times New Roman"/>
      <w:sz w:val="24"/>
      <w:szCs w:val="24"/>
    </w:rPr>
  </w:style>
  <w:style w:type="paragraph" w:styleId="1496">
    <w:name w:val="Pa5"/>
    <w:basedOn w:val="1134"/>
    <w:next w:val="1134"/>
    <w:link w:val="1134"/>
    <w:pPr>
      <w:jc w:val="left"/>
      <w:spacing w:line="241" w:lineRule="atLeast"/>
    </w:pPr>
    <w:rPr>
      <w:rFonts w:ascii="汉仪大黑简" w:hAnsi="Times New Roman" w:eastAsia="汉仪大黑简" w:cs="Times New Roman"/>
      <w:sz w:val="24"/>
      <w:szCs w:val="24"/>
    </w:rPr>
  </w:style>
  <w:style w:type="paragraph" w:styleId="1497">
    <w:name w:val="xl63"/>
    <w:basedOn w:val="1134"/>
    <w:next w:val="1497"/>
    <w:link w:val="1134"/>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98">
    <w:name w:val="小四 段落 宋体 Char Char Char Char"/>
    <w:basedOn w:val="1134"/>
    <w:next w:val="1498"/>
    <w:link w:val="1134"/>
    <w:pPr>
      <w:ind w:right="-33" w:firstLine="480"/>
      <w:jc w:val="left"/>
      <w:spacing w:line="360" w:lineRule="auto"/>
    </w:pPr>
    <w:rPr>
      <w:rFonts w:ascii="Times New Roman" w:hAnsi="Times New Roman" w:eastAsia="宋体" w:cs="Times New Roman"/>
      <w:sz w:val="24"/>
      <w:szCs w:val="24"/>
    </w:rPr>
  </w:style>
  <w:style w:type="paragraph" w:styleId="1499">
    <w:name w:val="列出段落2"/>
    <w:basedOn w:val="1134"/>
    <w:next w:val="1499"/>
    <w:link w:val="1134"/>
    <w:pPr>
      <w:ind w:left="720"/>
      <w:jc w:val="left"/>
      <w:widowControl/>
    </w:pPr>
    <w:rPr>
      <w:rFonts w:ascii="Arial" w:hAnsi="Arial" w:eastAsia="黑体" w:cs="Arial"/>
      <w:sz w:val="24"/>
      <w:szCs w:val="24"/>
      <w:lang w:eastAsia="en-US"/>
    </w:rPr>
  </w:style>
  <w:style w:type="paragraph" w:styleId="1500">
    <w:name w:val="标题2，章节第二层"/>
    <w:basedOn w:val="1134"/>
    <w:next w:val="1383"/>
    <w:link w:val="1134"/>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501">
    <w:name w:val="Test2"/>
    <w:basedOn w:val="1136"/>
    <w:next w:val="1501"/>
    <w:link w:val="1134"/>
    <w:pPr>
      <w:jc w:val="center"/>
      <w:spacing w:before="156" w:after="156" w:line="480" w:lineRule="exact"/>
      <w:widowControl/>
    </w:pPr>
    <w:rPr>
      <w:rFonts w:ascii="黑体" w:hAnsi="Arial" w:eastAsia="黑体" w:cs="Times New Roman"/>
      <w:bCs/>
      <w:sz w:val="24"/>
    </w:rPr>
  </w:style>
  <w:style w:type="paragraph" w:styleId="1502">
    <w:name w:val="样式 样式 标题 3H3sect1.2.3BOD 0Heading 3 - oldh3l3CTLevel 3 Head... +..."/>
    <w:basedOn w:val="1134"/>
    <w:next w:val="1502"/>
    <w:link w:val="1134"/>
    <w:pPr>
      <w:jc w:val="left"/>
      <w:keepLines/>
      <w:keepNext/>
      <w:spacing w:before="156" w:after="156"/>
      <w:outlineLvl w:val="2"/>
    </w:pPr>
    <w:rPr>
      <w:rFonts w:ascii="Times New Roman" w:hAnsi="Times New Roman" w:eastAsia="宋体" w:cs="宋体"/>
      <w:b/>
      <w:bCs/>
      <w:sz w:val="24"/>
    </w:rPr>
  </w:style>
  <w:style w:type="paragraph" w:styleId="1503">
    <w:name w:val="Char Char Char Char Char Char Char1 Char"/>
    <w:basedOn w:val="1134"/>
    <w:next w:val="1503"/>
    <w:link w:val="1134"/>
    <w:rPr>
      <w:rFonts w:ascii="Tahoma" w:hAnsi="Tahoma" w:eastAsia="宋体" w:cs="Tahoma"/>
      <w:sz w:val="24"/>
    </w:rPr>
  </w:style>
  <w:style w:type="paragraph" w:styleId="1504">
    <w:name w:val="xl51"/>
    <w:basedOn w:val="1134"/>
    <w:next w:val="1504"/>
    <w:link w:val="113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505">
    <w:name w:val="qw"/>
    <w:next w:val="1505"/>
    <w:link w:val="1134"/>
    <w:pPr>
      <w:jc w:val="both"/>
      <w:spacing w:line="312" w:lineRule="atLeast"/>
      <w:widowControl w:val="off"/>
    </w:pPr>
    <w:rPr>
      <w:rFonts w:ascii="宋体"/>
      <w:sz w:val="24"/>
      <w:lang w:val="en-US" w:eastAsia="zh-CN" w:bidi="ar-SA"/>
    </w:rPr>
  </w:style>
  <w:style w:type="paragraph" w:styleId="1506">
    <w:name w:val="xl26"/>
    <w:basedOn w:val="1134"/>
    <w:next w:val="1506"/>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507">
    <w:name w:val="1"/>
    <w:basedOn w:val="1134"/>
    <w:next w:val="1205"/>
    <w:link w:val="1134"/>
    <w:pPr>
      <w:spacing w:line="360" w:lineRule="auto"/>
    </w:pPr>
    <w:rPr>
      <w:rFonts w:ascii="Times New Roman" w:hAnsi="Times New Roman" w:eastAsia="仿宋_GB2312" w:cs="Times New Roman"/>
      <w:sz w:val="24"/>
      <w:szCs w:val="24"/>
    </w:rPr>
  </w:style>
  <w:style w:type="paragraph" w:styleId="1508">
    <w:name w:val=" Char"/>
    <w:basedOn w:val="1134"/>
    <w:next w:val="1508"/>
    <w:link w:val="1134"/>
    <w:pPr>
      <w:spacing w:after="156" w:line="360" w:lineRule="auto"/>
    </w:pPr>
    <w:rPr>
      <w:rFonts w:ascii="Tahoma" w:hAnsi="Tahoma" w:eastAsia="宋体" w:cs="Times New Roman"/>
      <w:sz w:val="24"/>
    </w:rPr>
  </w:style>
  <w:style w:type="paragraph" w:styleId="1509">
    <w:name w:val="Body Text 21"/>
    <w:basedOn w:val="1134"/>
    <w:next w:val="1509"/>
    <w:link w:val="1134"/>
    <w:pPr>
      <w:ind w:left="720" w:hanging="720"/>
      <w:widowControl/>
    </w:pPr>
    <w:rPr>
      <w:rFonts w:ascii="Times New Roman" w:hAnsi="Times New Roman" w:eastAsia="宋体" w:cs="Times New Roman"/>
      <w:sz w:val="24"/>
      <w:lang w:val="en-GB"/>
    </w:rPr>
  </w:style>
  <w:style w:type="paragraph" w:styleId="1510">
    <w:name w:val="大标题"/>
    <w:basedOn w:val="1134"/>
    <w:next w:val="1134"/>
    <w:link w:val="1134"/>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511">
    <w:name w:val="xl43"/>
    <w:basedOn w:val="1134"/>
    <w:next w:val="1511"/>
    <w:link w:val="11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512">
    <w:name w:val="font6"/>
    <w:basedOn w:val="1134"/>
    <w:next w:val="1512"/>
    <w:link w:val="1134"/>
    <w:pPr>
      <w:jc w:val="left"/>
      <w:spacing w:before="100" w:beforeAutospacing="1" w:after="100" w:afterAutospacing="1"/>
      <w:widowControl/>
    </w:pPr>
    <w:rPr>
      <w:rFonts w:ascii="宋体" w:hAnsi="宋体" w:eastAsia="宋体" w:cs="宋体"/>
      <w:b/>
      <w:bCs/>
      <w:sz w:val="20"/>
    </w:rPr>
  </w:style>
  <w:style w:type="paragraph" w:styleId="1513">
    <w:name w:val="Char Char1 Char"/>
    <w:basedOn w:val="1134"/>
    <w:next w:val="1513"/>
    <w:link w:val="1134"/>
    <w:pPr>
      <w:jc w:val="left"/>
      <w:spacing w:after="160" w:line="240" w:lineRule="exact"/>
      <w:widowControl/>
    </w:pPr>
    <w:rPr>
      <w:rFonts w:ascii="Verdana" w:hAnsi="Verdana" w:eastAsia="宋体" w:cs="Times New Roman"/>
      <w:sz w:val="20"/>
      <w:lang w:eastAsia="en-US"/>
    </w:rPr>
  </w:style>
  <w:style w:type="paragraph" w:styleId="1514">
    <w:name w:val="Body Text 22"/>
    <w:basedOn w:val="1134"/>
    <w:next w:val="1514"/>
    <w:link w:val="1134"/>
    <w:pPr>
      <w:ind w:left="720" w:hanging="720"/>
      <w:widowControl/>
    </w:pPr>
    <w:rPr>
      <w:rFonts w:ascii="Times New Roman" w:hAnsi="Times New Roman" w:eastAsia="宋体" w:cs="Times New Roman"/>
      <w:sz w:val="24"/>
      <w:lang w:val="en-GB"/>
    </w:rPr>
  </w:style>
  <w:style w:type="paragraph" w:styleId="1515">
    <w:name w:val="xl54"/>
    <w:basedOn w:val="1134"/>
    <w:next w:val="1515"/>
    <w:link w:val="113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516">
    <w:name w:val="Item Step in Table"/>
    <w:next w:val="1516"/>
    <w:link w:val="1134"/>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517">
    <w:name w:val=" Char Char1 Char"/>
    <w:basedOn w:val="1134"/>
    <w:next w:val="1517"/>
    <w:link w:val="1134"/>
    <w:pPr>
      <w:jc w:val="left"/>
      <w:spacing w:after="160" w:line="240" w:lineRule="exact"/>
      <w:widowControl/>
    </w:pPr>
    <w:rPr>
      <w:rFonts w:ascii="Verdana" w:hAnsi="Verdana" w:eastAsia="宋体" w:cs="Times New Roman"/>
      <w:sz w:val="20"/>
      <w:lang w:eastAsia="en-US"/>
    </w:rPr>
  </w:style>
  <w:style w:type="paragraph" w:styleId="1518">
    <w:name w:val="部分1"/>
    <w:basedOn w:val="1134"/>
    <w:next w:val="1518"/>
    <w:link w:val="1134"/>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519">
    <w:name w:val="Item List Char Char"/>
    <w:next w:val="1519"/>
    <w:link w:val="1134"/>
    <w:pPr>
      <w:jc w:val="both"/>
      <w:spacing w:line="288" w:lineRule="auto"/>
    </w:pPr>
    <w:rPr>
      <w:rFonts w:ascii="Arial" w:hAnsi="Arial" w:cs="Arial"/>
      <w:b/>
      <w:bCs/>
      <w:sz w:val="21"/>
      <w:szCs w:val="28"/>
      <w:lang w:val="en-US" w:eastAsia="zh-CN" w:bidi="ar-SA"/>
    </w:rPr>
  </w:style>
  <w:style w:type="paragraph" w:styleId="1520">
    <w:name w:val="中等深浅网格 1 - 强调文字颜色 21"/>
    <w:basedOn w:val="1134"/>
    <w:next w:val="1520"/>
    <w:link w:val="1134"/>
    <w:pPr>
      <w:ind w:firstLine="420"/>
    </w:pPr>
    <w:rPr>
      <w:rFonts w:ascii="Calibri" w:hAnsi="Calibri" w:eastAsia="宋体" w:cs="Times New Roman"/>
      <w:szCs w:val="22"/>
    </w:rPr>
  </w:style>
  <w:style w:type="paragraph" w:styleId="1521">
    <w:name w:val="Normal2"/>
    <w:basedOn w:val="1134"/>
    <w:next w:val="1521"/>
    <w:link w:val="1134"/>
    <w:rPr>
      <w:rFonts w:ascii="Calibri" w:hAnsi="Calibri" w:eastAsia="Calibri" w:cs="宋体"/>
      <w:lang w:val="zh-CN"/>
    </w:rPr>
  </w:style>
  <w:style w:type="paragraph" w:styleId="1522">
    <w:name w:val=" Char Char Char Char Char Char Char Char Char Char Char Char Char Char Char Char Char Char Char Char Char Char Char"/>
    <w:basedOn w:val="1134"/>
    <w:next w:val="1522"/>
    <w:link w:val="1134"/>
    <w:rPr>
      <w:rFonts w:ascii="Tahoma" w:hAnsi="Tahoma" w:eastAsia="宋体" w:cs="Times New Roman"/>
      <w:sz w:val="24"/>
    </w:rPr>
  </w:style>
  <w:style w:type="paragraph" w:styleId="1523">
    <w:name w:val="样式3"/>
    <w:basedOn w:val="1134"/>
    <w:next w:val="1134"/>
    <w:link w:val="1134"/>
    <w:pPr>
      <w:spacing w:line="360" w:lineRule="auto"/>
    </w:pPr>
    <w:rPr>
      <w:rFonts w:ascii="Times New Roman" w:hAnsi="Times New Roman" w:eastAsia="宋体" w:cs="Times New Roman"/>
    </w:rPr>
  </w:style>
  <w:style w:type="paragraph" w:styleId="1524">
    <w:name w:val="样式 标题 2第一章 标题 2Heading 2 HiddenHeading 2 CCBSheading 2H2h2..."/>
    <w:basedOn w:val="1136"/>
    <w:next w:val="1524"/>
    <w:link w:val="1134"/>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525">
    <w:name w:val="xl61"/>
    <w:basedOn w:val="1134"/>
    <w:next w:val="1525"/>
    <w:link w:val="1134"/>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526">
    <w:name w:val="xl53"/>
    <w:basedOn w:val="1134"/>
    <w:next w:val="1526"/>
    <w:link w:val="113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527">
    <w:name w:val="xl62"/>
    <w:basedOn w:val="1134"/>
    <w:next w:val="1527"/>
    <w:link w:val="113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528">
    <w:name w:val="条1"/>
    <w:basedOn w:val="1134"/>
    <w:next w:val="1528"/>
    <w:link w:val="1134"/>
    <w:pPr>
      <w:ind w:left="780" w:hanging="360"/>
      <w:spacing w:before="156" w:line="360" w:lineRule="auto"/>
      <w:tabs>
        <w:tab w:val="left" w:pos="780" w:leader="none"/>
      </w:tabs>
    </w:pPr>
    <w:rPr>
      <w:rFonts w:ascii="Times New Roman" w:hAnsi="Times New Roman" w:eastAsia="黑体" w:cs="Times New Roman"/>
      <w:sz w:val="24"/>
    </w:rPr>
  </w:style>
  <w:style w:type="paragraph" w:styleId="1529">
    <w:name w:val="样式4 Char"/>
    <w:basedOn w:val="1134"/>
    <w:next w:val="1529"/>
    <w:link w:val="1134"/>
    <w:pPr>
      <w:ind w:firstLine="480"/>
      <w:jc w:val="left"/>
      <w:spacing w:line="360" w:lineRule="auto"/>
      <w:widowControl/>
    </w:pPr>
    <w:rPr>
      <w:rFonts w:ascii="Times New Roman" w:hAnsi="Times New Roman" w:eastAsia="宋体" w:cs="宋体"/>
      <w:color w:val="000000"/>
      <w:sz w:val="24"/>
      <w:szCs w:val="24"/>
    </w:rPr>
  </w:style>
  <w:style w:type="paragraph" w:styleId="1530">
    <w:name w:val="Char Char Char Char Char Char"/>
    <w:basedOn w:val="1134"/>
    <w:next w:val="1530"/>
    <w:link w:val="1134"/>
    <w:rPr>
      <w:rFonts w:ascii="Tahoma" w:hAnsi="Tahoma" w:eastAsia="宋体" w:cs="Tahoma"/>
      <w:sz w:val="24"/>
    </w:rPr>
  </w:style>
  <w:style w:type="paragraph" w:styleId="1531">
    <w:name w:val="7"/>
    <w:basedOn w:val="1134"/>
    <w:next w:val="1208"/>
    <w:link w:val="1134"/>
    <w:pPr>
      <w:jc w:val="left"/>
      <w:spacing w:before="100" w:beforeAutospacing="1" w:after="100" w:afterAutospacing="1"/>
      <w:widowControl/>
    </w:pPr>
    <w:rPr>
      <w:rFonts w:ascii="宋体" w:hAnsi="宋体" w:eastAsia="宋体" w:cs="Times New Roman"/>
      <w:sz w:val="24"/>
    </w:rPr>
  </w:style>
  <w:style w:type="paragraph" w:styleId="1532">
    <w:name w:val="普通文字"/>
    <w:basedOn w:val="1134"/>
    <w:next w:val="1134"/>
    <w:link w:val="1134"/>
    <w:rPr>
      <w:rFonts w:ascii="宋体" w:hAnsi="宋体" w:eastAsia="宋体" w:cs="宋体"/>
      <w:sz w:val="24"/>
    </w:rPr>
  </w:style>
  <w:style w:type="paragraph" w:styleId="1533">
    <w:name w:val="Char1 Char Char Char"/>
    <w:basedOn w:val="1134"/>
    <w:next w:val="1533"/>
    <w:link w:val="1134"/>
    <w:rPr>
      <w:rFonts w:ascii="Tahoma" w:hAnsi="Tahoma" w:eastAsia="宋体" w:cs="Tahoma"/>
      <w:sz w:val="24"/>
    </w:rPr>
  </w:style>
  <w:style w:type="paragraph" w:styleId="1534">
    <w:name w:val="Char2 Char Char Char Char Char Char1"/>
    <w:basedOn w:val="1134"/>
    <w:next w:val="1534"/>
    <w:link w:val="1134"/>
    <w:pPr>
      <w:ind w:hanging="425"/>
      <w:keepNext/>
      <w:spacing w:before="80" w:after="80"/>
      <w:widowControl/>
      <w:tabs>
        <w:tab w:val="left" w:pos="425" w:leader="none"/>
      </w:tabs>
    </w:pPr>
    <w:rPr>
      <w:rFonts w:ascii="Arial" w:hAnsi="Arial" w:eastAsia="宋体" w:cs="Arial"/>
      <w:sz w:val="20"/>
    </w:rPr>
  </w:style>
  <w:style w:type="paragraph" w:styleId="1535">
    <w:name w:val="默认段落字体 Para Char Char Char Char Char Char Char"/>
    <w:basedOn w:val="1134"/>
    <w:next w:val="1535"/>
    <w:link w:val="1134"/>
    <w:rPr>
      <w:rFonts w:ascii="Times New Roman" w:hAnsi="Times New Roman" w:eastAsia="宋体" w:cs="Times New Roman"/>
    </w:rPr>
  </w:style>
  <w:style w:type="paragraph" w:styleId="1536">
    <w:name w:val="正文文本缩进1"/>
    <w:basedOn w:val="1134"/>
    <w:next w:val="1536"/>
    <w:link w:val="1134"/>
    <w:pPr>
      <w:ind w:left="420"/>
      <w:spacing w:after="120"/>
    </w:pPr>
    <w:rPr>
      <w:rFonts w:ascii="Times New Roman" w:hAnsi="Times New Roman" w:eastAsia="宋体" w:cs="Times New Roman"/>
      <w:szCs w:val="24"/>
    </w:rPr>
  </w:style>
  <w:style w:type="paragraph" w:styleId="1537">
    <w:name w:val="Table Text Char"/>
    <w:next w:val="1537"/>
    <w:link w:val="1134"/>
    <w:pPr>
      <w:spacing w:before="80" w:after="80"/>
    </w:pPr>
    <w:rPr>
      <w:rFonts w:ascii="Arial" w:hAnsi="Arial" w:cs="Arial"/>
      <w:sz w:val="18"/>
      <w:szCs w:val="28"/>
      <w:lang w:val="en-US" w:eastAsia="zh-CN" w:bidi="ar-SA"/>
    </w:rPr>
  </w:style>
  <w:style w:type="paragraph" w:styleId="1538">
    <w:name w:val="方案正文"/>
    <w:basedOn w:val="1134"/>
    <w:next w:val="1538"/>
    <w:link w:val="1134"/>
    <w:pPr>
      <w:ind w:firstLine="359"/>
      <w:jc w:val="left"/>
      <w:spacing w:before="156" w:line="360" w:lineRule="auto"/>
    </w:pPr>
    <w:rPr>
      <w:rFonts w:ascii="Arial" w:hAnsi="Arial" w:eastAsia="宋体" w:cs="宋体"/>
      <w:sz w:val="24"/>
      <w:szCs w:val="21"/>
    </w:rPr>
  </w:style>
  <w:style w:type="paragraph" w:styleId="1539">
    <w:name w:val="Char Char Char Char Char Char Char Char Char"/>
    <w:basedOn w:val="1134"/>
    <w:next w:val="1539"/>
    <w:link w:val="1134"/>
    <w:pPr>
      <w:ind w:left="200" w:hanging="200"/>
      <w:tabs>
        <w:tab w:val="left" w:pos="360" w:leader="none"/>
      </w:tabs>
    </w:pPr>
    <w:rPr>
      <w:rFonts w:ascii="Times New Roman" w:hAnsi="Times New Roman" w:eastAsia="宋体" w:cs="Times New Roman"/>
      <w:sz w:val="24"/>
      <w:szCs w:val="24"/>
    </w:rPr>
  </w:style>
  <w:style w:type="paragraph" w:styleId="1540">
    <w:name w:val="Char"/>
    <w:basedOn w:val="1134"/>
    <w:next w:val="1540"/>
    <w:link w:val="1134"/>
    <w:rPr>
      <w:rFonts w:ascii="Tahoma" w:hAnsi="Tahoma" w:eastAsia="宋体" w:cs="仿宋_GB2312"/>
      <w:sz w:val="24"/>
      <w:szCs w:val="28"/>
    </w:rPr>
  </w:style>
  <w:style w:type="paragraph" w:styleId="1541">
    <w:name w:val="标题3，章节第三层"/>
    <w:basedOn w:val="1134"/>
    <w:next w:val="1383"/>
    <w:link w:val="1134"/>
    <w:pPr>
      <w:spacing w:before="78" w:line="300" w:lineRule="auto"/>
      <w:outlineLvl w:val="2"/>
    </w:pPr>
    <w:rPr>
      <w:rFonts w:ascii="Arial" w:hAnsi="Arial" w:eastAsia="华文细黑" w:cs="Times New Roman"/>
      <w:sz w:val="30"/>
      <w:szCs w:val="24"/>
    </w:rPr>
  </w:style>
  <w:style w:type="paragraph" w:styleId="1542">
    <w:name w:val="表格文字"/>
    <w:basedOn w:val="1134"/>
    <w:next w:val="1542"/>
    <w:link w:val="1134"/>
    <w:pPr>
      <w:ind w:firstLine="200"/>
      <w:jc w:val="left"/>
      <w:spacing w:line="360" w:lineRule="auto"/>
    </w:pPr>
    <w:rPr>
      <w:rFonts w:ascii="Arial" w:hAnsi="Arial" w:eastAsia="宋体" w:cs="Times New Roman"/>
      <w:sz w:val="24"/>
    </w:rPr>
  </w:style>
  <w:style w:type="paragraph" w:styleId="1543">
    <w:name w:val="xl45"/>
    <w:basedOn w:val="1134"/>
    <w:next w:val="1543"/>
    <w:link w:val="1134"/>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544">
    <w:name w:val="正文 居中"/>
    <w:basedOn w:val="1134"/>
    <w:next w:val="1544"/>
    <w:link w:val="1134"/>
    <w:pPr>
      <w:jc w:val="center"/>
      <w:spacing w:line="360" w:lineRule="auto"/>
    </w:pPr>
    <w:rPr>
      <w:rFonts w:ascii="Times New Roman" w:hAnsi="Times New Roman" w:eastAsia="宋体" w:cs="Times New Roman"/>
      <w:sz w:val="24"/>
    </w:rPr>
  </w:style>
  <w:style w:type="paragraph" w:styleId="1545">
    <w:name w:val="表格"/>
    <w:basedOn w:val="1134"/>
    <w:next w:val="1545"/>
    <w:link w:val="1134"/>
    <w:pPr>
      <w:ind w:firstLine="21"/>
    </w:pPr>
    <w:rPr>
      <w:rFonts w:ascii="宋体" w:hAnsi="宋体" w:eastAsia="宋体" w:cs="宋体"/>
      <w:sz w:val="20"/>
    </w:rPr>
  </w:style>
  <w:style w:type="paragraph" w:styleId="1546">
    <w:name w:val="greytypebeni"/>
    <w:basedOn w:val="1134"/>
    <w:next w:val="1546"/>
    <w:link w:val="1134"/>
    <w:pPr>
      <w:jc w:val="left"/>
      <w:widowControl/>
    </w:pPr>
    <w:rPr>
      <w:rFonts w:ascii="宋体" w:hAnsi="宋体" w:eastAsia="宋体" w:cs="宋体"/>
      <w:sz w:val="24"/>
      <w:szCs w:val="24"/>
    </w:rPr>
  </w:style>
  <w:style w:type="paragraph" w:styleId="1547">
    <w:name w:val="flType"/>
    <w:basedOn w:val="1356"/>
    <w:next w:val="1547"/>
    <w:link w:val="1134"/>
    <w:pPr>
      <w:spacing w:after="284"/>
    </w:pPr>
    <w:rPr>
      <w:rFonts w:ascii="Times New Roman" w:hAnsi="Times New Roman" w:eastAsia="宋体" w:cs="Times New Roman"/>
      <w:b/>
    </w:rPr>
  </w:style>
  <w:style w:type="paragraph" w:styleId="1548">
    <w:name w:val="符号与编号"/>
    <w:basedOn w:val="1134"/>
    <w:next w:val="1548"/>
    <w:link w:val="1134"/>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549">
    <w:name w:val="xl33"/>
    <w:basedOn w:val="1134"/>
    <w:next w:val="1549"/>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550">
    <w:name w:val="段 Char"/>
    <w:next w:val="1550"/>
    <w:link w:val="1134"/>
    <w:pPr>
      <w:ind w:firstLine="200"/>
      <w:jc w:val="both"/>
    </w:pPr>
    <w:rPr>
      <w:rFonts w:ascii="宋体"/>
      <w:sz w:val="21"/>
      <w:lang w:val="en-US" w:eastAsia="zh-CN" w:bidi="ar-SA"/>
    </w:rPr>
  </w:style>
  <w:style w:type="paragraph" w:styleId="1551">
    <w:name w:val="论文正文"/>
    <w:basedOn w:val="1182"/>
    <w:next w:val="1551"/>
    <w:link w:val="1134"/>
    <w:pPr>
      <w:ind w:left="0" w:firstLine="200"/>
      <w:jc w:val="left"/>
      <w:spacing w:line="360" w:lineRule="auto"/>
    </w:pPr>
    <w:rPr>
      <w:rFonts w:ascii="Times New Roman" w:hAnsi="Times New Roman" w:eastAsia="宋体" w:cs="Times New Roman"/>
      <w:sz w:val="28"/>
      <w:szCs w:val="24"/>
    </w:rPr>
  </w:style>
  <w:style w:type="paragraph" w:styleId="1552">
    <w:name w:val="默认段落字体 Para Char Char Char Char Char Char Char Char Char1 Char Char Char Char Char Char Char"/>
    <w:basedOn w:val="1162"/>
    <w:next w:val="1552"/>
    <w:link w:val="1134"/>
    <w:rPr>
      <w:rFonts w:ascii="Times New Roman" w:hAnsi="Times New Roman" w:eastAsia="宋体" w:cs="Times New Roman"/>
    </w:rPr>
  </w:style>
  <w:style w:type="paragraph" w:styleId="1553">
    <w:name w:val="二级条标题"/>
    <w:basedOn w:val="1134"/>
    <w:next w:val="1238"/>
    <w:link w:val="1134"/>
    <w:pPr>
      <w:ind w:hanging="420"/>
      <w:widowControl/>
      <w:tabs>
        <w:tab w:val="left" w:pos="2240" w:leader="none"/>
      </w:tabs>
      <w:outlineLvl w:val="3"/>
    </w:pPr>
    <w:rPr>
      <w:rFonts w:ascii="Times New Roman" w:hAnsi="Times New Roman" w:eastAsia="黑体" w:cs="Times New Roman"/>
    </w:rPr>
  </w:style>
  <w:style w:type="paragraph" w:styleId="1554">
    <w:name w:val="xl29"/>
    <w:basedOn w:val="1134"/>
    <w:next w:val="1554"/>
    <w:link w:val="11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555">
    <w:name w:val="TOC 71"/>
    <w:next w:val="1134"/>
    <w:link w:val="1134"/>
    <w:qFormat/>
    <w:pPr>
      <w:ind w:left="2550"/>
      <w:jc w:val="both"/>
    </w:pPr>
    <w:rPr>
      <w:sz w:val="21"/>
      <w:szCs w:val="22"/>
      <w:lang w:val="en-US" w:eastAsia="zh-CN" w:bidi="ar-SA"/>
    </w:rPr>
  </w:style>
  <w:style w:type="paragraph" w:styleId="1556">
    <w:name w:val="xl39"/>
    <w:basedOn w:val="1134"/>
    <w:next w:val="1556"/>
    <w:link w:val="11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7">
    <w:name w:val="A."/>
    <w:basedOn w:val="1134"/>
    <w:next w:val="1557"/>
    <w:link w:val="1134"/>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558">
    <w:name w:val="font61"/>
    <w:next w:val="1558"/>
    <w:link w:val="1134"/>
    <w:rPr>
      <w:rFonts w:ascii="Times New Roman" w:hAnsi="Times New Roman" w:eastAsia="宋体" w:cs="Times New Roman"/>
      <w:color w:val="000000"/>
      <w:sz w:val="22"/>
      <w:szCs w:val="22"/>
      <w:u w:val="none"/>
    </w:rPr>
  </w:style>
  <w:style w:type="character" w:styleId="1559">
    <w:name w:val="font51"/>
    <w:next w:val="1559"/>
    <w:link w:val="1134"/>
    <w:rPr>
      <w:rFonts w:hint="eastAsia" w:ascii="宋体" w:hAnsi="宋体" w:eastAsia="宋体" w:cs="宋体"/>
      <w:color w:val="000000"/>
      <w:sz w:val="22"/>
      <w:szCs w:val="22"/>
      <w:u w:val="none"/>
      <w:vertAlign w:val="subscript"/>
    </w:rPr>
  </w:style>
  <w:style w:type="character" w:styleId="1560">
    <w:name w:val="font41"/>
    <w:next w:val="1560"/>
    <w:link w:val="1134"/>
    <w:rPr>
      <w:rFonts w:hint="eastAsia" w:ascii="宋体" w:hAnsi="宋体" w:eastAsia="宋体" w:cs="宋体"/>
      <w:color w:val="000000"/>
      <w:sz w:val="22"/>
      <w:szCs w:val="22"/>
      <w:u w:val="none"/>
    </w:rPr>
  </w:style>
  <w:style w:type="character" w:styleId="1561">
    <w:name w:val="font71"/>
    <w:next w:val="1561"/>
    <w:link w:val="1134"/>
    <w:rPr>
      <w:rFonts w:ascii="Times New Roman" w:hAnsi="Times New Roman" w:eastAsia="宋体" w:cs="Times New Roman"/>
      <w:color w:val="000000"/>
      <w:sz w:val="22"/>
      <w:szCs w:val="22"/>
      <w:u w:val="none"/>
    </w:rPr>
  </w:style>
  <w:style w:type="character" w:styleId="1562">
    <w:name w:val="font21"/>
    <w:next w:val="1562"/>
    <w:link w:val="1134"/>
    <w:rPr>
      <w:rFonts w:ascii="Times New Roman" w:hAnsi="Times New Roman" w:eastAsia="宋体" w:cs="Times New Roman"/>
      <w:color w:val="000000"/>
      <w:sz w:val="22"/>
      <w:szCs w:val="22"/>
      <w:u w:val="none"/>
      <w:vertAlign w:val="superscript"/>
    </w:rPr>
  </w:style>
  <w:style w:type="paragraph" w:styleId="1563">
    <w:name w:val="06列出段落"/>
    <w:basedOn w:val="1134"/>
    <w:next w:val="1375"/>
    <w:link w:val="1134"/>
    <w:pPr>
      <w:ind w:firstLine="420"/>
    </w:pPr>
    <w:rPr>
      <w:rFonts w:ascii="Calibri" w:hAnsi="Calibri" w:eastAsia="宋体" w:cs="Times New Roman"/>
    </w:rPr>
  </w:style>
  <w:style w:type="paragraph" w:styleId="1564">
    <w:name w:val="彩色列表 - 强调文字颜色 11"/>
    <w:basedOn w:val="1134"/>
    <w:next w:val="1564"/>
    <w:link w:val="1134"/>
    <w:qFormat/>
    <w:pPr>
      <w:contextualSpacing/>
      <w:ind w:left="720"/>
      <w:jc w:val="left"/>
      <w:spacing w:before="100" w:after="100" w:line="276" w:lineRule="auto"/>
      <w:widowControl/>
    </w:pPr>
    <w:rPr>
      <w:rFonts w:ascii="Arial" w:hAnsi="Arial" w:cs="Arial"/>
      <w:color w:val="0f0f0f"/>
      <w:sz w:val="20"/>
      <w:lang w:eastAsia="en-US"/>
    </w:rPr>
  </w:style>
  <w:style w:type="paragraph" w:styleId="1565">
    <w:name w:val="讲话正文"/>
    <w:basedOn w:val="1134"/>
    <w:next w:val="1565"/>
    <w:link w:val="1134"/>
    <w:qFormat/>
    <w:pPr>
      <w:ind w:firstLine="200"/>
      <w:spacing w:before="0" w:after="0"/>
    </w:pPr>
    <w:rPr>
      <w:rFonts w:ascii="仿宋" w:hAnsi="仿宋" w:eastAsia="仿宋"/>
      <w:sz w:val="32"/>
      <w:szCs w:val="32"/>
    </w:rPr>
  </w:style>
  <w:style w:type="paragraph" w:styleId="1566">
    <w:name w:val="首行缩进"/>
    <w:basedOn w:val="1134"/>
    <w:next w:val="1566"/>
    <w:link w:val="1134"/>
    <w:qFormat/>
    <w:pPr>
      <w:ind w:firstLine="480"/>
    </w:pPr>
    <w:rPr>
      <w:szCs w:val="20"/>
      <w:lang w:val="zh-CN"/>
    </w:rPr>
  </w:style>
  <w:style w:type="paragraph" w:styleId="1567">
    <w:name w:val="正文首行缩进 21"/>
    <w:basedOn w:val="1536"/>
    <w:next w:val="1567"/>
    <w:link w:val="1134"/>
    <w:qFormat/>
    <w:pPr>
      <w:ind w:firstLine="420"/>
    </w:pPr>
  </w:style>
  <w:style w:type="paragraph" w:styleId="1568">
    <w:name w:val="Table Text"/>
    <w:basedOn w:val="1134"/>
    <w:next w:val="1568"/>
    <w:link w:val="1134"/>
    <w:semiHidden/>
    <w:qFormat/>
    <w:rPr>
      <w:rFonts w:ascii="宋体" w:hAnsi="宋体" w:cs="宋体"/>
      <w:sz w:val="24"/>
    </w:rPr>
  </w:style>
  <w:style w:type="table" w:styleId="1569">
    <w:name w:val="Table Normal"/>
    <w:next w:val="1569"/>
    <w:link w:val="1134"/>
    <w:unhideWhenUsed/>
    <w:qFormat/>
    <w:rPr>
      <w:lang w:val="en-US" w:eastAsia="zh-CN" w:bidi="ar-SA"/>
    </w:rPr>
    <w:tblPr/>
  </w:style>
  <w:style w:type="paragraph" w:styleId="1570">
    <w:name w:val="一级目录"/>
    <w:next w:val="1134"/>
    <w:link w:val="1134"/>
    <w:uiPriority w:val="99"/>
    <w:qFormat/>
    <w:pPr>
      <w:jc w:val="center"/>
      <w:outlineLvl w:val="0"/>
    </w:pPr>
    <w:rPr>
      <w:rFonts w:ascii="黑体" w:eastAsia="黑体"/>
      <w:b/>
      <w:bCs/>
      <w:sz w:val="44"/>
      <w:szCs w:val="44"/>
      <w:lang w:val="en-US" w:eastAsia="zh-CN" w:bidi="ar-SA"/>
    </w:rPr>
  </w:style>
  <w:style w:type="paragraph" w:styleId="1571">
    <w:name w:val="MdHeading2"/>
    <w:next w:val="1571"/>
    <w:link w:val="1134"/>
    <w:qFormat/>
    <w:pPr>
      <w:keepNext/>
      <w:spacing w:before="400" w:after="200"/>
      <w:outlineLvl w:val="1"/>
    </w:pPr>
    <w:rPr>
      <w:rFonts w:ascii="Calibri" w:hAnsi="Calibri"/>
      <w:b/>
      <w:bCs/>
      <w:sz w:val="32"/>
      <w:szCs w:val="32"/>
      <w:lang w:val="en-US" w:eastAsia="zh-CN" w:bidi="ar-SA"/>
    </w:rPr>
  </w:style>
  <w:style w:type="paragraph" w:styleId="1572">
    <w:name w:val="MdParagraph"/>
    <w:next w:val="1572"/>
    <w:link w:val="1134"/>
    <w:qFormat/>
    <w:pPr>
      <w:spacing w:before="120" w:after="120"/>
    </w:pPr>
    <w:rPr>
      <w:rFonts w:ascii="Calibri" w:hAnsi="Calibri"/>
      <w:sz w:val="24"/>
      <w:szCs w:val="24"/>
      <w:lang w:val="en-US" w:eastAsia="zh-CN" w:bidi="ar-SA"/>
    </w:rPr>
  </w:style>
  <w:style w:type="paragraph" w:styleId="1573">
    <w:name w:val="MdSpace"/>
    <w:next w:val="1573"/>
    <w:link w:val="1134"/>
    <w:qFormat/>
    <w:rPr>
      <w:rFonts w:ascii="Calibri" w:hAnsi="Calibri"/>
      <w:sz w:val="12"/>
      <w:szCs w:val="12"/>
      <w:lang w:val="en-US" w:eastAsia="zh-CN" w:bidi="ar-SA"/>
    </w:rPr>
  </w:style>
  <w:style w:type="paragraph" w:styleId="1574">
    <w:name w:val="MdTableHeader"/>
    <w:next w:val="1574"/>
    <w:link w:val="1134"/>
    <w:qFormat/>
    <w:pPr>
      <w:spacing w:before="60" w:after="60"/>
    </w:pPr>
    <w:rPr>
      <w:rFonts w:ascii="Calibri" w:hAnsi="Calibri"/>
      <w:b/>
      <w:bCs/>
      <w:sz w:val="22"/>
      <w:szCs w:val="22"/>
      <w:lang w:val="en-US" w:eastAsia="zh-CN" w:bidi="ar-SA"/>
    </w:rPr>
  </w:style>
  <w:style w:type="paragraph" w:styleId="1575">
    <w:name w:val="MdTableCell"/>
    <w:next w:val="1575"/>
    <w:link w:val="1134"/>
    <w:qFormat/>
    <w:pPr>
      <w:spacing w:before="40" w:after="40"/>
    </w:pPr>
    <w:rPr>
      <w:rFonts w:ascii="Calibri" w:hAnsi="Calibri"/>
      <w:lang w:val="en-US" w:eastAsia="zh-CN" w:bidi="ar-SA"/>
    </w:rPr>
  </w:style>
  <w:style w:type="character" w:styleId="1576">
    <w:name w:val="MdStrong"/>
    <w:next w:val="1576"/>
    <w:link w:val="1134"/>
    <w:uiPriority w:val="99"/>
    <w:unhideWhenUsed/>
    <w:qFormat/>
    <w:rPr>
      <w:b/>
      <w:bCs/>
    </w:rPr>
  </w:style>
  <w:style w:type="paragraph" w:styleId="1577">
    <w:name w:val="标题 21"/>
    <w:basedOn w:val="1134"/>
    <w:next w:val="1134"/>
    <w:link w:val="1134"/>
    <w:qFormat/>
    <w:pPr>
      <w:jc w:val="center"/>
      <w:keepLines/>
      <w:keepNext/>
      <w:spacing w:before="260" w:after="260" w:line="416" w:lineRule="auto"/>
      <w:outlineLvl w:val="1"/>
    </w:pPr>
    <w:rPr>
      <w:rFonts w:ascii="Arial" w:hAnsi="Arial" w:eastAsia="幼圆"/>
      <w:b/>
      <w:bCs/>
      <w:sz w:val="44"/>
      <w:szCs w:val="44"/>
    </w:rPr>
  </w:style>
  <w:style w:type="paragraph" w:styleId="1578">
    <w:name w:val="索引 41"/>
    <w:basedOn w:val="1134"/>
    <w:next w:val="1134"/>
    <w:link w:val="1134"/>
    <w:uiPriority w:val="99"/>
    <w:unhideWhenUsed/>
    <w:qFormat/>
    <w:pPr>
      <w:ind w:left="600"/>
    </w:pPr>
    <w:rPr>
      <w:rFonts w:ascii="Verdana" w:hAnsi="Verdana"/>
      <w:szCs w:val="20"/>
    </w:rPr>
  </w:style>
  <w:style w:type="character" w:styleId="1579" w:default="1">
    <w:name w:val="Default Paragraph Font"/>
    <w:uiPriority w:val="1"/>
    <w:semiHidden/>
    <w:unhideWhenUsed/>
  </w:style>
  <w:style w:type="numbering" w:styleId="1580" w:default="1">
    <w:name w:val="No List"/>
    <w:uiPriority w:val="99"/>
    <w:semiHidden/>
    <w:unhideWhenUsed/>
  </w:style>
  <w:style w:type="table" w:styleId="15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3</cp:revision>
  <dcterms:created xsi:type="dcterms:W3CDTF">2026-03-19T02:48:00Z</dcterms:created>
  <dcterms:modified xsi:type="dcterms:W3CDTF">2026-06-02T08:44:45Z</dcterms:modified>
</cp:coreProperties>
</file>