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2"/>
        <w:ind w:left="0" w:firstLine="0"/>
        <w:jc w:val="center"/>
        <w:spacing w:line="360" w:lineRule="auto"/>
        <w:rPr>
          <w:rFonts w:hint="eastAsia" w:ascii="宋体" w:hAnsi="宋体" w:eastAsia="宋体" w:cs="宋体"/>
          <w:b/>
          <w:color w:val="auto"/>
          <w:sz w:val="52"/>
          <w:szCs w:val="48"/>
          <w:highlight w:val="none"/>
        </w:rPr>
      </w:pPr>
      <w:r/>
      <w:bookmarkStart w:id="0" w:name="_Hlk104983306"/>
      <w:r/>
      <w:bookmarkEnd w:id="0"/>
      <w:r/>
      <w:r/>
    </w:p>
    <w:p>
      <w:pPr>
        <w:pStyle w:val="952"/>
        <w:ind w:left="0" w:firstLine="520"/>
        <w:jc w:val="center"/>
        <w:spacing w:line="240" w:lineRule="auto"/>
        <w:rPr>
          <w:rFonts w:hint="eastAsia" w:ascii="宋体" w:hAnsi="宋体" w:eastAsia="宋体" w:cs="宋体"/>
          <w:b/>
          <w:color w:val="auto"/>
          <w:spacing w:val="20"/>
          <w:sz w:val="44"/>
          <w:szCs w:val="44"/>
          <w:highlight w:val="none"/>
          <w:lang w:eastAsia="zh-CN"/>
        </w:rPr>
      </w:pPr>
      <w:r>
        <w:rPr>
          <w:rFonts w:hint="eastAsia" w:ascii="宋体" w:hAnsi="宋体" w:eastAsia="宋体" w:cs="宋体"/>
          <w:b/>
          <w:color w:val="auto"/>
          <w:spacing w:val="20"/>
          <w:sz w:val="44"/>
          <w:szCs w:val="44"/>
          <w:highlight w:val="none"/>
          <w:lang w:eastAsia="zh-CN"/>
        </w:rPr>
        <w:t xml:space="preserve">南通大学通风设备及相关配套采购项目（四次）</w:t>
      </w:r>
      <w:r/>
    </w:p>
    <w:p>
      <w:pPr>
        <w:pStyle w:val="952"/>
        <w:ind w:left="0" w:firstLine="520"/>
        <w:jc w:val="center"/>
        <w:spacing w:line="240" w:lineRule="auto"/>
        <w:rPr>
          <w:rFonts w:hint="eastAsia" w:ascii="宋体" w:hAnsi="宋体" w:eastAsia="宋体" w:cs="宋体"/>
          <w:b/>
          <w:color w:val="auto"/>
          <w:spacing w:val="20"/>
          <w:sz w:val="44"/>
          <w:szCs w:val="44"/>
          <w:highlight w:val="none"/>
          <w:lang w:eastAsia="zh-CN"/>
        </w:rPr>
      </w:pPr>
      <w:r>
        <w:rPr>
          <w:rFonts w:hint="eastAsia" w:ascii="宋体" w:hAnsi="宋体" w:eastAsia="宋体" w:cs="宋体"/>
          <w:b/>
          <w:color w:val="auto"/>
          <w:spacing w:val="20"/>
          <w:sz w:val="44"/>
          <w:szCs w:val="44"/>
          <w:highlight w:val="none"/>
          <w:lang w:eastAsia="zh-CN"/>
        </w:rPr>
      </w:r>
      <w:r/>
    </w:p>
    <w:p>
      <w:pPr>
        <w:pStyle w:val="952"/>
        <w:ind w:left="0" w:firstLine="520"/>
        <w:jc w:val="center"/>
        <w:spacing w:line="240" w:lineRule="auto"/>
        <w:rPr>
          <w:rFonts w:hint="eastAsia" w:ascii="宋体" w:hAnsi="宋体" w:eastAsia="宋体" w:cs="宋体"/>
          <w:b/>
          <w:color w:val="auto"/>
          <w:spacing w:val="20"/>
          <w:sz w:val="44"/>
          <w:szCs w:val="44"/>
          <w:highlight w:val="none"/>
          <w:lang w:eastAsia="zh-CN"/>
        </w:rPr>
      </w:pPr>
      <w:r>
        <w:rPr>
          <w:rFonts w:hint="eastAsia" w:ascii="宋体" w:hAnsi="宋体" w:eastAsia="宋体" w:cs="宋体"/>
          <w:b/>
          <w:color w:val="auto"/>
          <w:spacing w:val="20"/>
          <w:sz w:val="44"/>
          <w:szCs w:val="44"/>
          <w:highlight w:val="none"/>
          <w:lang w:eastAsia="zh-CN"/>
        </w:rPr>
      </w:r>
      <w:r/>
    </w:p>
    <w:p>
      <w:pPr>
        <w:pStyle w:val="952"/>
        <w:ind w:left="0" w:firstLine="520"/>
        <w:spacing w:line="240" w:lineRule="auto"/>
        <w:rPr>
          <w:rFonts w:hint="eastAsia" w:ascii="宋体" w:hAnsi="宋体" w:eastAsia="宋体" w:cs="宋体"/>
          <w:b/>
          <w:color w:val="auto"/>
          <w:sz w:val="100"/>
          <w:szCs w:val="100"/>
          <w:highlight w:val="none"/>
        </w:rPr>
      </w:pPr>
      <w:r>
        <w:rPr>
          <w:rFonts w:hint="eastAsia" w:ascii="宋体" w:hAnsi="宋体" w:eastAsia="宋体" w:cs="宋体"/>
          <w:b/>
          <w:color w:val="auto"/>
          <w:sz w:val="100"/>
          <w:szCs w:val="100"/>
          <w:highlight w:val="none"/>
        </w:rPr>
        <w:t xml:space="preserve">政府采购招标文件</w:t>
      </w:r>
      <w:r/>
    </w:p>
    <w:p>
      <w:pPr>
        <w:pStyle w:val="952"/>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52"/>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52"/>
        <w:ind w:left="0" w:firstLine="0"/>
        <w:jc w:val="center"/>
        <w:spacing w:line="24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项目编号：</w:t>
      </w:r>
      <w:r>
        <w:rPr>
          <w:rFonts w:hint="eastAsia" w:ascii="宋体" w:hAnsi="宋体" w:eastAsia="宋体" w:cs="宋体"/>
          <w:b/>
          <w:color w:val="auto"/>
          <w:sz w:val="36"/>
          <w:szCs w:val="36"/>
          <w:highlight w:val="none"/>
          <w:lang w:eastAsia="zh-CN"/>
        </w:rPr>
        <w:t xml:space="preserve">JSZC-320000-JSHS-G2026-0015</w:t>
      </w:r>
      <w:r/>
    </w:p>
    <w:p>
      <w:pPr>
        <w:pStyle w:val="952"/>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52"/>
        <w:ind w:left="0" w:firstLine="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5.8pt;mso-position-horizontal:absolute;mso-position-vertical-relative:text;margin-top:4.7pt;mso-position-vertical:absolute;width:183.8pt;height:140.9pt;mso-wrap-distance-left:9.0pt;mso-wrap-distance-top:0.0pt;mso-wrap-distance-right:9.0pt;mso-wrap-distance-bottom:0.0pt;" filled="f" stroked="f">
            <v:path textboxrect="0,0,0,0"/>
            <w10:wrap type="topAndBottom"/>
            <v:imagedata r:id="rId19" o:title=""/>
          </v:shape>
          <o:OLEObject DrawAspect="Content" r:id="rId20" ObjectID="_1525040" ProgID="" ShapeID="_x0000_i0" Type="Embed"/>
        </w:object>
      </w:r>
      <w:r/>
    </w:p>
    <w:p>
      <w:pPr>
        <w:pStyle w:val="9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6336" w:leader="none"/>
        </w:tabs>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964"/>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64"/>
        <w:ind w:left="130" w:firstLine="1606"/>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 购 人：</w:t>
      </w:r>
      <w:r>
        <w:rPr>
          <w:rFonts w:hint="eastAsia" w:ascii="宋体" w:hAnsi="宋体" w:eastAsia="宋体" w:cs="宋体"/>
          <w:b/>
          <w:color w:val="auto"/>
          <w:sz w:val="32"/>
          <w:szCs w:val="32"/>
          <w:highlight w:val="none"/>
          <w:lang w:eastAsia="zh-CN"/>
        </w:rPr>
        <w:t xml:space="preserve">南通大学</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代理机构：江苏海审工程咨询有限公司</w:t>
      </w:r>
      <w:r/>
    </w:p>
    <w:p>
      <w:pPr>
        <w:jc w:val="center"/>
        <w:spacing w:line="360" w:lineRule="auto"/>
        <w:rPr>
          <w:rFonts w:hint="eastAsia" w:ascii="宋体" w:hAnsi="宋体" w:eastAsia="宋体" w:cs="宋体"/>
          <w:b/>
          <w:color w:val="auto"/>
          <w:sz w:val="32"/>
          <w:szCs w:val="32"/>
          <w:highlight w:val="none"/>
        </w:rPr>
        <w:sectPr>
          <w:headerReference w:type="default" r:id="rId9"/>
          <w:headerReference w:type="first" r:id="rId10"/>
          <w:footerReference w:type="default" r:id="rId14"/>
          <w:footerReference w:type="even" r:id="rId15"/>
          <w:footerReference w:type="first" r:id="rId16"/>
          <w:footnotePr/>
          <w:endnotePr/>
          <w:type w:val="nextPage"/>
          <w:pgSz w:w="11905" w:h="16838" w:orient="portrait"/>
          <w:pgMar w:top="1440" w:right="1519" w:bottom="1440" w:left="1519" w:header="850" w:footer="992" w:gutter="0"/>
          <w:pgNumType w:start="1"/>
          <w:cols w:num="1" w:sep="0" w:space="1701" w:equalWidth="1"/>
          <w:docGrid w:linePitch="360"/>
        </w:sectPr>
      </w:pPr>
      <w:r>
        <w:rPr>
          <w:rFonts w:hint="eastAsia" w:ascii="宋体" w:hAnsi="宋体" w:eastAsia="宋体" w:cs="宋体"/>
          <w:b/>
          <w:color w:val="auto"/>
          <w:sz w:val="32"/>
          <w:szCs w:val="32"/>
          <w:highlight w:val="none"/>
          <w:lang w:eastAsia="zh-CN"/>
        </w:rPr>
        <w:t xml:space="preserve">二〇二</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月</w:t>
      </w:r>
      <w:r/>
    </w:p>
    <w:p>
      <w:pPr>
        <w:pStyle w:val="1067"/>
        <w:ind w:firstLine="3755"/>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 xml:space="preserve">第一章 招标公告</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项目需求</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评审方法和程序</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合同主要条款</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合同授予</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第七章 质疑与投诉</w:t>
      </w:r>
      <w:r/>
    </w:p>
    <w:p>
      <w:pPr>
        <w:pStyle w:val="1165"/>
        <w:ind w:firstLine="640"/>
        <w:spacing w:line="360" w:lineRule="auto"/>
        <w:tabs>
          <w:tab w:val="right" w:pos="9528"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第八章 投标文件组成及格式</w:t>
      </w:r>
      <w:r/>
    </w:p>
    <w:p>
      <w:pP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pStyle w:val="1067"/>
        <w:ind w:firstLine="0"/>
        <w:spacing w:line="360" w:lineRule="auto"/>
        <w:rPr>
          <w:rFonts w:hint="eastAsia" w:ascii="宋体" w:hAnsi="宋体" w:eastAsia="宋体" w:cs="宋体"/>
          <w:color w:val="auto"/>
          <w:highlight w:val="none"/>
        </w:rPr>
      </w:pPr>
      <w:r>
        <w:rPr>
          <w:rFonts w:hint="eastAsia" w:ascii="宋体" w:hAnsi="宋体" w:eastAsia="宋体" w:cs="宋体"/>
          <w:b/>
          <w:bCs/>
          <w:color w:val="auto"/>
          <w:sz w:val="36"/>
          <w:szCs w:val="36"/>
          <w:highlight w:val="none"/>
        </w:rPr>
        <w:fldChar w:fldCharType="end"/>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bookmarkStart w:id="1" w:name="_Toc363573853"/>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第一章 招标公告</w:t>
      </w:r>
      <w:bookmarkEnd w:id="1"/>
      <w:r/>
      <w:r/>
    </w:p>
    <w:p>
      <w:pPr>
        <w:ind w:firstLine="480"/>
        <w:spacing w:line="360" w:lineRule="auto"/>
        <w:rPr>
          <w:rFonts w:hint="eastAsia"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rPr>
        <w:t xml:space="preserve">项目概况</w:t>
      </w:r>
      <w:r/>
    </w:p>
    <w:p>
      <w:pPr>
        <w:ind w:firstLine="480"/>
        <w:spacing w:line="360" w:lineRule="auto"/>
        <w:rPr>
          <w:rFonts w:hint="eastAsia" w:ascii="宋体" w:hAnsi="宋体" w:eastAsia="宋体" w:cs="宋体"/>
          <w:bCs/>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color w:val="auto"/>
          <w:sz w:val="24"/>
          <w:szCs w:val="24"/>
          <w:highlight w:val="none"/>
          <w:u w:val="single"/>
          <w:lang w:eastAsia="zh-CN"/>
        </w:rPr>
        <w:t xml:space="preserve">南通大学通风设备及相关配套采购项目（四次）</w:t>
      </w:r>
      <w:r>
        <w:rPr>
          <w:rFonts w:hint="eastAsia" w:ascii="宋体" w:hAnsi="宋体" w:eastAsia="宋体" w:cs="宋体"/>
          <w:bCs/>
          <w:color w:val="auto"/>
          <w:sz w:val="24"/>
          <w:szCs w:val="24"/>
          <w:highlight w:val="none"/>
        </w:rPr>
        <w:t xml:space="preserve">的潜在投标人应在</w:t>
      </w:r>
      <w:r>
        <w:rPr>
          <w:rFonts w:hint="eastAsia" w:ascii="宋体" w:hAnsi="宋体" w:eastAsia="宋体" w:cs="宋体"/>
          <w:bCs/>
          <w:color w:val="auto"/>
          <w:sz w:val="24"/>
          <w:szCs w:val="24"/>
          <w:highlight w:val="none"/>
          <w:u w:val="single"/>
        </w:rPr>
        <w:t xml:space="preserve">苏采云系统内</w:t>
      </w:r>
      <w:r>
        <w:rPr>
          <w:rFonts w:hint="eastAsia" w:ascii="宋体" w:hAnsi="宋体" w:eastAsia="宋体" w:cs="宋体"/>
          <w:bCs/>
          <w:color w:val="auto"/>
          <w:sz w:val="24"/>
          <w:szCs w:val="24"/>
          <w:highlight w:val="none"/>
        </w:rPr>
        <w:t xml:space="preserve">获取招标文件，并于</w:t>
      </w:r>
      <w:r>
        <w:rPr>
          <w:rFonts w:hint="eastAsia" w:ascii="宋体" w:hAnsi="宋体" w:eastAsia="宋体" w:cs="宋体"/>
          <w:bCs/>
          <w:color w:val="auto"/>
          <w:sz w:val="24"/>
          <w:szCs w:val="24"/>
          <w:highlight w:val="none"/>
          <w:u w:val="single"/>
        </w:rPr>
        <w:t xml:space="preserve">202</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6月3日</w:t>
      </w:r>
      <w:r>
        <w:rPr>
          <w:rFonts w:hint="eastAsia" w:ascii="宋体" w:hAnsi="宋体" w:eastAsia="宋体" w:cs="宋体"/>
          <w:bCs/>
          <w:color w:val="auto"/>
          <w:sz w:val="24"/>
          <w:szCs w:val="24"/>
          <w:highlight w:val="none"/>
          <w:u w:val="single"/>
        </w:rPr>
        <w:t xml:space="preserve">14时</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（北京时间）前递交投标文件。</w:t>
      </w:r>
      <w:r/>
    </w:p>
    <w:p>
      <w:pPr>
        <w:numPr>
          <w:ilvl w:val="0"/>
          <w:numId w:val="2"/>
        </w:num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项目基本情况</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eastAsia="zh-CN"/>
        </w:rPr>
        <w:t xml:space="preserve">JSZC-320000-JSHS-G2026-0015</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Start w:id="2" w:name="_Hlk104970923"/>
      <w:r>
        <w:rPr>
          <w:rFonts w:hint="eastAsia" w:ascii="宋体" w:hAnsi="宋体" w:eastAsia="宋体" w:cs="宋体"/>
          <w:color w:val="auto"/>
          <w:sz w:val="24"/>
          <w:szCs w:val="24"/>
          <w:highlight w:val="none"/>
          <w:lang w:eastAsia="zh-CN"/>
        </w:rPr>
        <w:t xml:space="preserve">南通大学通风设备及相关配套采购项目（四次）</w:t>
      </w:r>
      <w:r>
        <w:rPr>
          <w:rFonts w:hint="eastAsia" w:ascii="宋体" w:hAnsi="宋体" w:eastAsia="宋体" w:cs="宋体"/>
          <w:color w:val="auto"/>
          <w:sz w:val="24"/>
          <w:szCs w:val="24"/>
          <w:highlight w:val="none"/>
        </w:rPr>
        <w:t xml:space="preserve"> </w:t>
      </w:r>
      <w:bookmarkEnd w:id="2"/>
      <w:r/>
      <w:r/>
    </w:p>
    <w:p>
      <w:pPr>
        <w:ind w:firstLine="480"/>
        <w:jc w:val="left"/>
        <w:spacing w:line="360" w:lineRule="auto"/>
        <w:rPr>
          <w:rFonts w:hint="eastAsia" w:ascii="宋体" w:hAnsi="宋体" w:eastAsia="宋体" w:cs="宋体"/>
          <w:color w:val="auto"/>
          <w:sz w:val="24"/>
          <w:szCs w:val="24"/>
          <w:highlight w:val="none"/>
          <w:lang w:eastAsia="zh-CN"/>
        </w:rPr>
      </w:pPr>
      <w:r/>
      <w:bookmarkStart w:id="3" w:name="_Toc387526273"/>
      <w:r/>
      <w:bookmarkStart w:id="4" w:name="_Toc387526365"/>
      <w:r/>
      <w:bookmarkStart w:id="5" w:name="_Toc20597"/>
      <w:r/>
      <w:bookmarkStart w:id="6" w:name="_Toc387526169"/>
      <w:r>
        <w:rPr>
          <w:rFonts w:hint="eastAsia" w:ascii="宋体" w:hAnsi="宋体" w:eastAsia="宋体" w:cs="宋体"/>
          <w:color w:val="auto"/>
          <w:sz w:val="24"/>
          <w:szCs w:val="24"/>
          <w:highlight w:val="none"/>
        </w:rPr>
        <w:t xml:space="preserve">3.项目类型：</w:t>
      </w:r>
      <w:r>
        <w:rPr>
          <w:rFonts w:hint="eastAsia" w:ascii="宋体" w:hAnsi="宋体" w:eastAsia="宋体" w:cs="宋体"/>
          <w:color w:val="auto"/>
          <w:sz w:val="24"/>
          <w:szCs w:val="24"/>
          <w:highlight w:val="none"/>
          <w:lang w:val="en-US" w:eastAsia="zh-CN"/>
        </w:rPr>
        <w:t xml:space="preserve">工业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eastAsia="宋体" w:cs="宋体"/>
          <w:color w:val="auto"/>
          <w:sz w:val="24"/>
          <w:szCs w:val="24"/>
          <w:highlight w:val="none"/>
          <w:lang w:val="en-US" w:eastAsia="zh-CN"/>
        </w:rPr>
        <w:t xml:space="preserve">230</w:t>
      </w:r>
      <w:r>
        <w:rPr>
          <w:rFonts w:hint="eastAsia" w:ascii="宋体" w:hAnsi="宋体" w:eastAsia="宋体" w:cs="宋体"/>
          <w:color w:val="auto"/>
          <w:sz w:val="24"/>
          <w:szCs w:val="24"/>
          <w:highlight w:val="none"/>
        </w:rPr>
        <w:t xml:space="preserve">万元</w:t>
      </w:r>
      <w:r/>
    </w:p>
    <w:p>
      <w:pPr>
        <w:ind w:firstLine="480"/>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5.最高限价：</w:t>
      </w:r>
      <w:r>
        <w:rPr>
          <w:rFonts w:hint="eastAsia" w:ascii="宋体" w:hAnsi="宋体" w:eastAsia="宋体" w:cs="宋体"/>
          <w:b w:val="0"/>
          <w:bCs w:val="0"/>
          <w:color w:val="auto"/>
          <w:sz w:val="24"/>
          <w:szCs w:val="24"/>
          <w:highlight w:val="none"/>
          <w:lang w:val="en-US" w:eastAsia="zh-CN"/>
        </w:rPr>
        <w:t xml:space="preserve">230</w:t>
      </w:r>
      <w:r>
        <w:rPr>
          <w:rFonts w:hint="eastAsia" w:ascii="宋体" w:hAnsi="宋体" w:eastAsia="宋体" w:cs="宋体"/>
          <w:b w:val="0"/>
          <w:bCs w:val="0"/>
          <w:color w:val="auto"/>
          <w:sz w:val="24"/>
          <w:szCs w:val="24"/>
          <w:highlight w:val="none"/>
        </w:rPr>
        <w:t xml:space="preserve">万元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6.项目需求：详见第三部分项目需求。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7.合同履行期限：</w:t>
      </w:r>
      <w:bookmarkEnd w:id="3"/>
      <w:r/>
      <w:bookmarkEnd w:id="4"/>
      <w:r/>
      <w:bookmarkEnd w:id="5"/>
      <w:r/>
      <w:bookmarkEnd w:id="6"/>
      <w:r>
        <w:rPr>
          <w:rFonts w:hint="eastAsia" w:ascii="宋体" w:hAnsi="宋体" w:eastAsia="宋体" w:cs="宋体"/>
          <w:color w:val="auto"/>
          <w:sz w:val="24"/>
          <w:szCs w:val="24"/>
          <w:highlight w:val="none"/>
        </w:rPr>
        <w:t xml:space="preserve">详见第三部分项目需求。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8.本项目（是/否）接受联合体：否</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未被“信用中国”网站（www.creditchina.gov.cn）列入失信被执行人、重大税收违法案件当事人名单、政府采购严重失信行为记录名单。</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.落实政府采购政策需满足的资格要求：本项目不专门面向中小企业采购</w:t>
      </w:r>
      <w:r>
        <w:rPr>
          <w:rFonts w:hint="eastAsia" w:ascii="宋体" w:hAnsi="宋体" w:eastAsia="宋体" w:cs="宋体"/>
          <w:bCs/>
          <w:color w:val="auto"/>
          <w:sz w:val="24"/>
          <w:szCs w:val="24"/>
          <w:highlight w:val="none"/>
          <w:lang w:eastAsia="zh-CN"/>
        </w:rPr>
        <w:t xml:space="preserve">。</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.本项目的特定资格要求：</w:t>
      </w:r>
      <w:r/>
    </w:p>
    <w:p>
      <w:pPr>
        <w:contextualSpacing/>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本次采购的</w:t>
      </w:r>
      <w:r>
        <w:rPr>
          <w:rFonts w:hint="eastAsia" w:ascii="宋体" w:hAnsi="宋体" w:eastAsia="宋体" w:cs="宋体"/>
          <w:b/>
          <w:bCs w:val="0"/>
          <w:color w:val="auto"/>
          <w:sz w:val="24"/>
          <w:szCs w:val="24"/>
          <w:highlight w:val="none"/>
          <w:lang w:val="en-US" w:eastAsia="zh-CN"/>
        </w:rPr>
        <w:t xml:space="preserve">空调设备</w:t>
      </w:r>
      <w:r>
        <w:rPr>
          <w:rFonts w:hint="eastAsia" w:ascii="宋体" w:hAnsi="宋体" w:eastAsia="宋体" w:cs="宋体"/>
          <w:bCs/>
          <w:color w:val="auto"/>
          <w:sz w:val="24"/>
          <w:szCs w:val="24"/>
          <w:highlight w:val="none"/>
          <w:lang w:val="en-US" w:eastAsia="zh-CN"/>
        </w:rPr>
        <w:t xml:space="preserve">，属于节能产品政府采购品目清单强制采购范围，投标文件中必须提供所投产品的相关证书(由国家确定的认证机构出具的、处于有效期之内的节能产品认证证书)。</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.拒绝下述投标人参加本次采购活动：</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投标人单位负责人为同一人或者存在直接控股、管理关系的不同投标人，不得参加同一合同项下的政府采购活动。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w:t>
      </w:r>
      <w:r>
        <w:rPr>
          <w:rFonts w:hint="eastAsia" w:ascii="宋体" w:hAnsi="宋体" w:eastAsia="宋体" w:cs="宋体"/>
          <w:bCs/>
          <w:color w:val="auto"/>
          <w:sz w:val="24"/>
          <w:szCs w:val="24"/>
          <w:highlight w:val="none"/>
        </w:rPr>
        <w:t xml:space="preserve">自招标文件公告发布之日起5个工作日</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bCs/>
          <w:color w:val="auto"/>
          <w:sz w:val="24"/>
          <w:szCs w:val="24"/>
          <w:highlight w:val="none"/>
        </w:rPr>
        <w:t xml:space="preserve">网上注册登记成功后系统内下载。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3.获取方式：本项目采用网上注册登记方式。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3.1潜在供应商访问电子招标响应交易平台的网络地址和方法：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3.2潜在供应商访问“苏采云”系统的网络地址和方法：“苏采云”系统的网址：http://jszfcg.jsczt.cn/。</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3.3“CA数字证书”的获取：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供应商需办理</w:t>
      </w:r>
      <w:r>
        <w:rPr>
          <w:rFonts w:hint="eastAsia" w:ascii="宋体" w:hAnsi="宋体" w:eastAsia="宋体" w:cs="宋体"/>
          <w:bCs/>
          <w:color w:val="auto"/>
          <w:sz w:val="24"/>
          <w:szCs w:val="24"/>
          <w:highlight w:val="none"/>
        </w:rPr>
        <w:t xml:space="preserve">“CA 数字证书”</w:t>
      </w:r>
      <w:r>
        <w:rPr>
          <w:rFonts w:hint="eastAsia" w:ascii="宋体" w:hAnsi="宋体" w:eastAsia="宋体" w:cs="宋体"/>
          <w:color w:val="auto"/>
          <w:sz w:val="24"/>
          <w:szCs w:val="24"/>
          <w:highlight w:val="none"/>
        </w:rPr>
        <w:t xml:space="preserve">。“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3.5招标人或代理机构（采购代理机构）将数据电文形式的采购文件加载至“苏采云”系统，供潜在供应商下载或者查阅。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3.7</w:t>
      </w:r>
      <w:r>
        <w:rPr>
          <w:rFonts w:hint="eastAsia" w:ascii="宋体" w:hAnsi="宋体" w:eastAsia="宋体" w:cs="宋体"/>
          <w:bCs/>
          <w:color w:val="auto"/>
          <w:sz w:val="24"/>
          <w:szCs w:val="24"/>
          <w:highlight w:val="none"/>
        </w:rPr>
        <w:t xml:space="preserve">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bCs/>
          <w:color w:val="auto"/>
          <w:sz w:val="24"/>
          <w:szCs w:val="24"/>
          <w:highlight w:val="none"/>
          <w:lang w:val="en-US" w:eastAsia="zh-CN"/>
        </w:rPr>
        <w:t xml:space="preserve">3.8</w:t>
      </w:r>
      <w:r>
        <w:rPr>
          <w:rFonts w:hint="eastAsia" w:ascii="宋体" w:hAnsi="宋体" w:eastAsia="宋体" w:cs="宋体"/>
          <w:color w:val="auto"/>
          <w:sz w:val="24"/>
          <w:highlight w:val="none"/>
        </w:rPr>
        <w:t xml:space="preserve">“苏采云”系统使用相关提醒</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7.1根据省财政厅《关于更换全省政府采购交易系统CA数字证书和电子签章的通知》（苏财购〔2023〕101号），“苏采云”政府采购交易系统（以下简称苏采云系统）</w:t>
      </w:r>
      <w:r>
        <w:rPr>
          <w:rFonts w:hint="eastAsia" w:ascii="宋体" w:hAnsi="宋体" w:eastAsia="宋体" w:cs="宋体"/>
          <w:bCs/>
          <w:color w:val="auto"/>
          <w:sz w:val="24"/>
          <w:highlight w:val="none"/>
        </w:rPr>
        <w:t xml:space="preserve">的CA数字证书、电子签章已更换为江苏省电子政务证书认证中心CA和方正国际软件（北京）有限公司电子签章。如果投标人通过</w:t>
      </w:r>
      <w:r>
        <w:rPr>
          <w:rFonts w:hint="eastAsia" w:ascii="宋体" w:hAnsi="宋体" w:eastAsia="宋体" w:cs="宋体"/>
          <w:color w:val="auto"/>
          <w:sz w:val="24"/>
          <w:highlight w:val="none"/>
        </w:rPr>
        <w:t xml:space="preserve">苏采云系统</w:t>
      </w:r>
      <w:r>
        <w:rPr>
          <w:rFonts w:hint="eastAsia" w:ascii="宋体" w:hAnsi="宋体" w:eastAsia="宋体" w:cs="宋体"/>
          <w:bCs/>
          <w:color w:val="auto"/>
          <w:sz w:val="24"/>
          <w:highlight w:val="none"/>
        </w:rPr>
        <w:t xml:space="preserve">参与政府采购项目，需要更换CA数字证书和电子签章。</w:t>
      </w:r>
      <w:r>
        <w:rPr>
          <w:rFonts w:hint="eastAsia" w:ascii="宋体" w:hAnsi="宋体" w:eastAsia="宋体" w:cs="宋体"/>
          <w:b/>
          <w:bCs/>
          <w:color w:val="auto"/>
          <w:sz w:val="24"/>
          <w:highlight w:val="none"/>
        </w:rPr>
        <w:t xml:space="preserve">具体办理指南和操作手册见链接：</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 HYPERLINK "http://www.ccgp-jiangsu.gov.cn/jiangsu/zlxz/ee/ee3a4bc5a3454aa2b0d9312230633ce9.html。" </w:instrText>
      </w:r>
      <w:r>
        <w:rPr>
          <w:rFonts w:hint="eastAsia" w:ascii="宋体" w:hAnsi="宋体" w:eastAsia="宋体" w:cs="宋体"/>
          <w:b/>
          <w:bCs/>
          <w:color w:val="auto"/>
          <w:sz w:val="24"/>
          <w:highlight w:val="none"/>
        </w:rPr>
        <w:fldChar w:fldCharType="separate"/>
      </w:r>
      <w:r>
        <w:rPr>
          <w:rStyle w:val="886"/>
          <w:rFonts w:hint="eastAsia" w:ascii="宋体" w:hAnsi="宋体" w:eastAsia="宋体" w:cs="宋体"/>
          <w:b/>
          <w:bCs/>
          <w:color w:val="auto"/>
          <w:sz w:val="24"/>
          <w:highlight w:val="none"/>
        </w:rPr>
        <w:t xml:space="preserve">http://www.ccgp-jiangsu.gov.cn/jiangsu/zlxz/ee/ee3a4bc5a3454aa2b0d9312230633ce9.html。</w:t>
      </w:r>
      <w:r>
        <w:rPr>
          <w:rFonts w:hint="eastAsia" w:ascii="宋体" w:hAnsi="宋体" w:eastAsia="宋体" w:cs="宋体"/>
          <w:b/>
          <w:bCs/>
          <w:color w:val="auto"/>
          <w:sz w:val="24"/>
          <w:highlight w:val="none"/>
        </w:rPr>
        <w:fldChar w:fldCharType="end"/>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如果“江苏政府采购网”（www.ccgp-jiangsu.gov.cn）信息与“江苏政务服务网”（www.jszwfw.gov.cn），“一企来办”专栏下“政府采购”模块中信息不一致，以“江苏政府采购网”信息为准。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注：如潜在投标人未按上述要求操作，将自行承担所产生的风险。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1.投标文件提交截止时间：</w:t>
      </w:r>
      <w:r>
        <w:rPr>
          <w:rFonts w:hint="eastAsia" w:ascii="宋体" w:hAnsi="宋体" w:eastAsia="宋体" w:cs="宋体"/>
          <w:bCs/>
          <w:color w:val="auto"/>
          <w:sz w:val="24"/>
          <w:szCs w:val="24"/>
          <w:highlight w:val="none"/>
          <w:u w:val="single"/>
        </w:rPr>
        <w:t xml:space="preserve">202</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w:t>
      </w:r>
      <w:r>
        <w:rPr>
          <w:rFonts w:hint="eastAsia" w:ascii="宋体" w:hAnsi="宋体" w:eastAsia="宋体" w:cs="宋体"/>
          <w:bCs/>
          <w:color w:val="auto"/>
          <w:sz w:val="24"/>
          <w:szCs w:val="24"/>
          <w:highlight w:val="none"/>
          <w:u w:val="single"/>
          <w:lang w:val="en-US" w:eastAsia="zh-CN"/>
        </w:rPr>
        <w:t xml:space="preserve">6月3日</w:t>
      </w:r>
      <w:r>
        <w:rPr>
          <w:rFonts w:hint="eastAsia" w:ascii="宋体" w:hAnsi="宋体" w:eastAsia="宋体" w:cs="宋体"/>
          <w:bCs/>
          <w:color w:val="auto"/>
          <w:sz w:val="24"/>
          <w:szCs w:val="24"/>
          <w:highlight w:val="none"/>
          <w:u w:val="single"/>
        </w:rPr>
        <w:t xml:space="preserve">14时</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（北京时间）。逾时，“苏采云”系统将拒绝接受上传投标文件电子文档。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2.线上开标地点：“苏采云”系统（网址：http://jszfcg.jsczt.cn/）“开标大厅”。</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响应文件的解密：开标当天各投标人及时登录不见面开标大厅，投标文件递交截止时间后，招标人将在系统内公布投标人名单，然后通过开标会议区发出响应文件解密的指令，投标人在开标室按规定时间自行实施远程解密，</w:t>
      </w:r>
      <w:r>
        <w:rPr>
          <w:rFonts w:hint="eastAsia" w:ascii="宋体" w:hAnsi="宋体" w:eastAsia="宋体" w:cs="宋体"/>
          <w:b/>
          <w:color w:val="auto"/>
          <w:sz w:val="24"/>
          <w:szCs w:val="24"/>
          <w:highlight w:val="none"/>
        </w:rPr>
        <w:t xml:space="preserve">投标人解密限定在开标后30分钟之内完成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投标人网络与电源不稳定、未按操作手册要求配置软硬件、解密锁发生故障或用错、故意不在要求时限内完成解密等自身原因，导致响应文件在规定时间内未能解密、解密失败或解密超时，视为投标人撤销其响应文件，系统内响应文件将被退回；因招标人（或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注：各投标人请关注开标大厅交流区，在开标结束后，请勿离开开标大厅。</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1.投标保证金：免收；本项目招标文件中涉及投标保证金的事项，均按免收投标保证金执行。</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2.项目开标活动模式：不见面远程投标模式，投标人在各自地点通过不见面交易系统参加开标会。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3.项目演示、样品、答辩等（如有请描述）：无。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4.对项目需求部分（投标人其他资格</w:t>
      </w:r>
      <w:r>
        <w:rPr>
          <w:rFonts w:hint="eastAsia" w:ascii="宋体" w:hAnsi="宋体" w:eastAsia="宋体" w:cs="宋体"/>
          <w:color w:val="auto"/>
          <w:sz w:val="24"/>
          <w:highlight w:val="none"/>
        </w:rPr>
        <w:t xml:space="preserve">要求</w:t>
      </w:r>
      <w:r>
        <w:rPr>
          <w:rFonts w:hint="eastAsia" w:ascii="宋体" w:hAnsi="宋体" w:eastAsia="宋体" w:cs="宋体"/>
          <w:bCs/>
          <w:color w:val="auto"/>
          <w:sz w:val="24"/>
          <w:szCs w:val="24"/>
          <w:highlight w:val="none"/>
        </w:rPr>
        <w:t xml:space="preserve">、项目需求、评分标准）的询问、质疑请向招标人提出，由招标人负责答复；对项目招标文件其它部分的询问请向招标人或代理机构提出。</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.本次招标的有关信息将在江苏政府采购网上发布，敬请留意。</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1.招标人信息</w:t>
      </w:r>
      <w:r/>
    </w:p>
    <w:p>
      <w:pPr>
        <w:contextualSpacing/>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招标人：</w:t>
      </w:r>
      <w:r>
        <w:rPr>
          <w:rFonts w:hint="eastAsia" w:ascii="宋体" w:hAnsi="宋体" w:eastAsia="宋体" w:cs="宋体"/>
          <w:color w:val="auto"/>
          <w:sz w:val="24"/>
          <w:szCs w:val="24"/>
          <w:highlight w:val="none"/>
          <w:lang w:eastAsia="zh-CN"/>
        </w:rPr>
        <w:t xml:space="preserve">南通大学</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地址：江苏省南通市啬园路9号南通大学啬园校区综合楼229室</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联系人：牛老师 </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联系方式：0513-85012891</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2.代理机构信息</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名称：江苏海审工程咨询有限公司</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地址：南通市星城路299号创源科技园3号楼5楼</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朱圣杰</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18862913262</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2"/>
          <w:highlight w:val="none"/>
          <w:lang w:eastAsia="zh-CN"/>
        </w:rPr>
      </w:pPr>
      <w:r/>
      <w:bookmarkStart w:id="7" w:name="_Toc363573854"/>
      <w:r>
        <w:rPr>
          <w:rFonts w:hint="eastAsia" w:ascii="宋体" w:hAnsi="宋体" w:eastAsia="宋体" w:cs="宋体"/>
          <w:color w:val="auto"/>
          <w:sz w:val="24"/>
          <w:szCs w:val="22"/>
          <w:highlight w:val="none"/>
        </w:rPr>
        <w:t xml:space="preserve">项目联系人：</w:t>
      </w:r>
      <w:r>
        <w:rPr>
          <w:rFonts w:hint="eastAsia" w:ascii="宋体" w:hAnsi="宋体" w:eastAsia="宋体" w:cs="宋体"/>
          <w:color w:val="auto"/>
          <w:sz w:val="24"/>
          <w:szCs w:val="24"/>
          <w:highlight w:val="none"/>
          <w:lang w:val="en-US" w:eastAsia="zh-CN"/>
        </w:rPr>
        <w:t xml:space="preserve">朱圣杰</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2"/>
          <w:highlight w:val="none"/>
        </w:rPr>
        <w:t xml:space="preserve">电话：</w:t>
      </w:r>
      <w:r>
        <w:rPr>
          <w:rFonts w:hint="eastAsia" w:ascii="宋体" w:hAnsi="宋体" w:eastAsia="宋体" w:cs="宋体"/>
          <w:color w:val="auto"/>
          <w:sz w:val="24"/>
          <w:szCs w:val="24"/>
          <w:highlight w:val="none"/>
          <w:lang w:val="en-US" w:eastAsia="zh-CN"/>
        </w:rPr>
        <w:t xml:space="preserve">18862913262</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4.项目其他有关联系方式</w:t>
      </w:r>
      <w:r/>
    </w:p>
    <w:p>
      <w:pPr>
        <w:contextualSpacing/>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本项目用户单位代表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技术咨询人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魏老师</w:t>
      </w: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val="en-US" w:eastAsia="zh-CN"/>
        </w:rPr>
        <w:t xml:space="preserve">13862929860</w:t>
      </w:r>
      <w:r>
        <w:rPr>
          <w:rFonts w:hint="eastAsia" w:ascii="宋体" w:hAnsi="宋体" w:eastAsia="宋体" w:cs="宋体"/>
          <w:color w:val="auto"/>
          <w:sz w:val="24"/>
          <w:szCs w:val="24"/>
          <w:highlight w:val="none"/>
        </w:rPr>
        <w:t xml:space="preserve">）</w:t>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第二章 投标人须知</w:t>
      </w:r>
      <w:bookmarkEnd w:id="7"/>
      <w:r/>
      <w:bookmarkStart w:id="8" w:name="_Toc363573855"/>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一、总则</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1.招标方式</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1.1本次招标采取公开招标方式，本招标文件仅适用于招标公告中所述项目。</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2.合格的投标人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2.1满足招标公告中投标人的资格要求的规定。</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2.2满足本文件实质性要求和条件的规定。</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3.适用法律</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4.投标费用</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4.1投标人应自行承担所有与参加投标有关的费用，无论投标过程中的做法和结果如何，招标人及代理机构在任何情况下均无义务和责任承担这些费用。</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4.2招标</w:t>
      </w:r>
      <w:r>
        <w:rPr>
          <w:rFonts w:hint="eastAsia" w:ascii="宋体" w:hAnsi="宋体" w:eastAsia="宋体" w:cs="宋体"/>
          <w:color w:val="auto"/>
          <w:sz w:val="24"/>
          <w:szCs w:val="24"/>
          <w:highlight w:val="none"/>
        </w:rPr>
        <w:t xml:space="preserve">代理费按下表进行计取：</w:t>
      </w:r>
      <w:r/>
    </w:p>
    <w:tbl>
      <w:tblPr>
        <w:tblStyle w:val="859"/>
        <w:tblW w:w="8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65"/>
        <w:gridCol w:w="1760"/>
        <w:gridCol w:w="1760"/>
        <w:gridCol w:w="1760"/>
      </w:tblGrid>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中标金额（万元）</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货物采购</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服务采购</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工程采购</w:t>
            </w:r>
            <w:r/>
          </w:p>
        </w:tc>
      </w:tr>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100以下</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w:t>
            </w:r>
            <w:r/>
          </w:p>
        </w:tc>
      </w:tr>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0.8％</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0.55％</w:t>
            </w:r>
            <w:r/>
          </w:p>
        </w:tc>
      </w:tr>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1000-5000</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0.35％</w:t>
            </w:r>
            <w:r/>
          </w:p>
        </w:tc>
      </w:tr>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5000-1亿</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w:t>
            </w:r>
            <w:r/>
          </w:p>
        </w:tc>
      </w:tr>
      <w:tr>
        <w:trPr>
          <w:cantSplit/>
          <w:jc w:val="center"/>
          <w:trHeight w:val="567"/>
        </w:trPr>
        <w:tc>
          <w:tcPr>
            <w:tcW w:w="2865"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1亿以上</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c>
          <w:tcPr>
            <w:tcW w:w="1760" w:type="dxa"/>
            <w:vAlign w:val="center"/>
            <w:textDirection w:val="lrTb"/>
            <w:noWrap w:val="false"/>
          </w:tcPr>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0.05％</w:t>
            </w:r>
            <w:r/>
          </w:p>
        </w:tc>
      </w:tr>
    </w:tbl>
    <w:p>
      <w:pPr>
        <w:contextualSpacing/>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招标代理服务费实行差额定率累进法进行计算，计算出的金额*33.6%为本项目招标代理服务费，如不足叁仟元按叁仟元收取，如超过壹万元，按壹万元收取。</w:t>
      </w:r>
      <w:r/>
    </w:p>
    <w:p>
      <w:pPr>
        <w:contextualSpacing/>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招标代理服务费由中标人承担，在领取中标通知书时向代理机构缴纳。</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5.招标文件的约束力</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6.招标文件的解释</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招标文件需求部分（投标人资格要求、项目需求、商务技术评分标准）由招标人解释，其它部分由代理机构解释。</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二、招标文件</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1.招标文件构成</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招标文件由以下部分组成：</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（1）招标公告</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（3）项目需求</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（4）评审方法和评审标准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（5）合同主要条款</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（6）合同授予</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（7）质疑与投诉</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（8）投标文件组成及格式</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bCs/>
          <w:color w:val="auto"/>
          <w:sz w:val="24"/>
          <w:szCs w:val="24"/>
          <w:highlight w:val="none"/>
        </w:rPr>
        <w:t xml:space="preserve">招标人或代理机构</w:t>
      </w:r>
      <w:r>
        <w:rPr>
          <w:rFonts w:hint="eastAsia" w:ascii="宋体" w:hAnsi="宋体" w:eastAsia="宋体" w:cs="宋体"/>
          <w:color w:val="auto"/>
          <w:sz w:val="24"/>
          <w:szCs w:val="24"/>
          <w:highlight w:val="none"/>
        </w:rPr>
        <w:t xml:space="preserve">联系解决。</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2.招标文件的澄清</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color w:val="auto"/>
          <w:sz w:val="24"/>
          <w:szCs w:val="24"/>
          <w:highlight w:val="none"/>
        </w:rPr>
        <w:t xml:space="preserve">任何要求对招标文件进行澄清的投标人，应在提交投标文件截止时间十日前按招标公告中的通讯地址，以书面形式通知招标人或代理机构。招标人或代理机构有权对发出的招标文件进行必要的澄清或修改。</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Cs/>
          <w:color w:val="auto"/>
          <w:sz w:val="24"/>
          <w:szCs w:val="24"/>
          <w:highlight w:val="none"/>
        </w:rPr>
        <w:t xml:space="preserve">招标人</w:t>
      </w:r>
      <w:r>
        <w:rPr>
          <w:rFonts w:hint="eastAsia" w:ascii="宋体" w:hAnsi="宋体" w:eastAsia="宋体" w:cs="宋体"/>
          <w:color w:val="auto"/>
          <w:sz w:val="24"/>
          <w:szCs w:val="24"/>
          <w:highlight w:val="none"/>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3.招标文件的修改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 在投标文件提交截止时间前，招标人或代理机构可以对招标文件进行修改</w:t>
      </w:r>
      <w:r>
        <w:rPr>
          <w:rFonts w:hint="eastAsia" w:ascii="宋体" w:hAnsi="宋体" w:eastAsia="宋体" w:cs="宋体"/>
          <w:color w:val="auto"/>
          <w:sz w:val="24"/>
          <w:szCs w:val="24"/>
          <w:highlight w:val="none"/>
        </w:rPr>
        <w:t xml:space="preserve">，澄清或者修改的内容作为招标文件的组成部分。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 招标人或代理机构有权按照法定的要求推迟投标文件提交截止日期和开标日期。</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 招标文件的修改将在江苏政府采购网公布，补充文件将作为招标文件的组成部分，并对投标人具有约束力</w:t>
      </w:r>
      <w:r>
        <w:rPr>
          <w:rFonts w:hint="eastAsia" w:ascii="宋体" w:hAnsi="宋体" w:eastAsia="宋体" w:cs="宋体"/>
          <w:color w:val="auto"/>
          <w:sz w:val="24"/>
          <w:szCs w:val="24"/>
          <w:highlight w:val="none"/>
        </w:rPr>
        <w:t xml:space="preserve">。</w:t>
      </w:r>
      <w:r/>
    </w:p>
    <w:p>
      <w:pPr>
        <w:contextualSpacing/>
        <w:ind w:firstLine="480"/>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三、投标项目涉及的现场勘察</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所提供的项目相关数据仅作参考，根据自身需要，投标人可在投标文件递交之日前对有关现场和周围环境进行勘察，以获取编制投标文件和签署合同所需的信息。勘察现场所发生的费用由投标人自己承担。</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2.招标人向投标人提供的有关现场的资料和数据，是招标人现有的并认为能使投标人可利用的资料。招标人对投标人由此而做出的推论、理解和结论概不负责。</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3.经招标人允许，投标人可为勘察目的进入招标人的项目现场，但投标人不得因此使招标人承担有关的责任和蒙受损失。投标人应承担勘察现场的责任和风险。</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认真踏勘现场。在现场勘察时，熟悉服务现场、现场周围交通道路等情况，以获得一切可能影响其投标的直接资料。投标人中标后，不得以不完全了解现场情况为理由而向招标人提出任何索赔的要求，对此招标人不承担任何责任并将不做任何答复与考虑。</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四、投标文件的编制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1.投标文件的语言及度量衡单位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1.1投标人提交的投标文件以及投标人与招标人或代理机构就有关投标的所有来往通知、函件和文件均应使用简体中文。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1.2除技术性能另有规定外，投标文件所使用的度量衡单位，均须采用国家法定计量单位。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2.投标文件构成</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2.2如标书制作工具中的格式和内容与“江苏政府采购网”发布的招标文件不一致，请以“江苏政府采购网”发布的招标文件为准。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3.证明投标人及投标标的符合招标文件规定的文件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3.1投标人应按照法律法规、规章和规范性文件以及招标文件要求提交证明文件，证明其及投标标的符合招标文件的规定。</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3.2招标文件对证明文件无明确形式要求的，证明文件可以以文字资料、图纸和数据等形式提交。</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4.投标分项报价表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4.1投标人应按照招标文件规定格式填报投标分项报价表。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5.技术要求响应及偏离表、商务要求响应及偏离表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5.1投标人需对招标文件中的技术要求与商务要求逐项作出响应或偏离，并说明原因。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5.2投标人可在投标文件中提供认为需要的其他技术文件或说明。</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6.投标函和开标一览表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6.1投标人应按照招标文件中提供的格式完整、正确填写投标函、开标一览表。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7.投标有效期</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7.1投标有效期为招标文件规定的投标文件提交截止时间后</w:t>
      </w:r>
      <w:r>
        <w:rPr>
          <w:rFonts w:hint="eastAsia" w:ascii="宋体" w:hAnsi="宋体" w:eastAsia="宋体" w:cs="宋体"/>
          <w:bCs/>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。投标有效期比规定短的将被视为非实质性响应而予以拒绝。</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8.投标有效期的延长</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在特殊情况下，招标人或代理机构于原投标有效期满之前，可向投标人提出延长投标有效期的要求。这种要求与答复均应采用书面形式。投标人可以拒绝招标人或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9.电子投标文件其他要求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9.1电子招标投标交易平台（即“苏采云”系统）相关要求是本招标文件的组成部分。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9.2投标人应对CA证书妥善保管，如被他人盗用投标，因此带来的后果均由投标人自行承担。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9.3投标人应当对招标文件提出的实质性要求和条件作出实质性响应，并在电子投标系统逐条应答。</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五、投标文件的提交</w:t>
      </w:r>
      <w:r/>
    </w:p>
    <w:p>
      <w:pPr>
        <w:contextualSpacing/>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1.投标文件的提交</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1.1线上提交与接收地点：投标人应当通过“苏采云”系统提交数据电文形式的投标文件（即电子投标），“苏采云”系统自动接收。</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2.提交投标文件截止日期</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投标人上传电子投标文件的时间不得迟于公开招标公告中规定的投标文件提交截止时间。</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投标人应充分考虑网络环境、网络带宽等风险因素，如因投标人自身原因造成的电子投标文件上传不成功由投标人自行承担全部责任。</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招标人或代理机构可以按照规定，通过修改投标文件酌情延长投标文件提交截止日期，在此情况下，投标人的所有权利和义务以及投标人受制的截止日期均应以延长后新的截止日期为准。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3.投标文件的密封（加密）要求：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3.2投标人须通过“苏采云”系统提供的政府采购客户端工具（使用“CA数字证书”）加盖电子签章。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说明：投标人应使用CA数字证书以及自备的能够登录“苏采云”系统的电脑，在达到开标时间后，使用CA数字证书解密各自投标文件。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3.3投标人未按规定加密的投标文件，“苏采云”系统将拒收并提示。</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4.投标文件的拒收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 代理机构拒绝接收在其规定的投标文件提交截止时间后上传的任何投标文件。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 投标文件的撤回和修改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 投标文件的撤回</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 电子投标文件的撤回</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投标人可在投标文件提交截止时间前，撤回其电子投标文件，具体操作方法见“苏采云”系统供应商操作手册。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 投标人撤回电子投标文件，则认为其不再参与本项目投标活动。</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 投标文件的修改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投标人可在投标文件提交截止时间前，对其电子投标文件进行修改。具体操作方法见“苏采云”系统供应商操作手册。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5.3在投标文件提交截止时间之后，投标人不得对其电子投标文件作任何修改。</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5.4在投标文件提交截止时间至招标文件中规定的投标有效期满之间的这段时间内，投标人不得撤回其投标文件。</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6.投标文件线上格式要求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6.1投标人应当通过“苏采云”系统提交数据电文形式的投标文件（即电子投标）。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6.2通过“苏采云”系统提交政府采购客户端工具导出加密的投标文件（后缀名为zip）。响应文件不得超过150M!</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6.3本项目采用线上投标，即投标人投标文件从政府采购客户端工具制作通过“苏采云”系统提交，未提供线上投标文件的，投标无效。</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六、开标与评标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1.开标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1.1采购人或代理机构将在招标公告中规定的时间和地点组织公开开标。</w:t>
      </w:r>
      <w:r>
        <w:rPr>
          <w:rFonts w:hint="eastAsia" w:ascii="宋体" w:hAnsi="宋体" w:eastAsia="宋体" w:cs="宋体"/>
          <w:color w:val="auto"/>
          <w:sz w:val="24"/>
          <w:szCs w:val="24"/>
          <w:highlight w:val="none"/>
        </w:rPr>
        <w:t xml:space="preserve">投标人应当按照</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规定，参加开标活动，在</w:t>
      </w:r>
      <w:r>
        <w:rPr>
          <w:rFonts w:hint="eastAsia" w:ascii="宋体" w:hAnsi="宋体" w:eastAsia="宋体" w:cs="宋体"/>
          <w:b/>
          <w:color w:val="auto"/>
          <w:sz w:val="24"/>
          <w:szCs w:val="24"/>
          <w:highlight w:val="none"/>
        </w:rPr>
        <w:t xml:space="preserve">开标后</w:t>
      </w:r>
      <w:r>
        <w:rPr>
          <w:rFonts w:hint="eastAsia" w:ascii="宋体" w:hAnsi="宋体" w:eastAsia="宋体" w:cs="宋体"/>
          <w:b/>
          <w:color w:val="auto"/>
          <w:sz w:val="24"/>
          <w:szCs w:val="24"/>
          <w:highlight w:val="none"/>
          <w:u w:val="single"/>
        </w:rPr>
        <w:t xml:space="preserve">30分钟内</w:t>
      </w:r>
      <w:r>
        <w:rPr>
          <w:rFonts w:hint="eastAsia" w:ascii="宋体" w:hAnsi="宋体" w:eastAsia="宋体" w:cs="宋体"/>
          <w:color w:val="auto"/>
          <w:sz w:val="24"/>
          <w:szCs w:val="24"/>
          <w:highlight w:val="none"/>
        </w:rPr>
        <w:t xml:space="preserve">对投标文件进行解密。</w:t>
      </w:r>
      <w:r/>
    </w:p>
    <w:p>
      <w:pPr>
        <w:contextualSpacing/>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eastAsia="宋体" w:cs="宋体"/>
          <w:b/>
          <w:color w:val="auto"/>
          <w:sz w:val="24"/>
          <w:szCs w:val="24"/>
          <w:highlight w:val="none"/>
        </w:rPr>
        <w:t xml:space="preserve">因采购人（或代理机构）原因或网上招投标平台发生故障，导致无法按时完成投标文件解密或开、评标工作无法进行的，可根据实际情况相应延迟解密时间或调整开、评标时间。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w:t>
      </w:r>
      <w:r>
        <w:rPr>
          <w:rFonts w:hint="eastAsia" w:ascii="宋体" w:hAnsi="宋体" w:eastAsia="宋体" w:cs="宋体"/>
          <w:color w:val="auto"/>
          <w:sz w:val="24"/>
          <w:szCs w:val="24"/>
          <w:highlight w:val="none"/>
        </w:rPr>
        <w:t xml:space="preserve">开标仪式由</w:t>
      </w:r>
      <w:r>
        <w:rPr>
          <w:rFonts w:hint="eastAsia" w:ascii="宋体" w:hAnsi="宋体" w:eastAsia="宋体" w:cs="宋体"/>
          <w:bCs/>
          <w:color w:val="auto"/>
          <w:sz w:val="24"/>
          <w:szCs w:val="24"/>
          <w:highlight w:val="none"/>
        </w:rPr>
        <w:t xml:space="preserve">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1.3投标人在开标过程中涉及的投标文件解密、开标结果确认等工作，应按照“苏采云”系统供应商操作手册规定执行。</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1.4投标人如果对开标过程和开标记录有疑义，应当根据</w:t>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color w:val="auto"/>
          <w:sz w:val="24"/>
          <w:szCs w:val="24"/>
          <w:highlight w:val="none"/>
        </w:rPr>
        <w:t xml:space="preserve">规定提出，如苏采云系统中《开标记录表》宣布后5分钟内未提出的，视同认可开标结果。</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2.1开标后，代理机构将立即组织评标委员会（以下简称评委会）进行评审。</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2.2评委会由采购人代表和有关技术、经济等方面的专家组成，且人员构成符合政府采购有关规定。</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2.3评标委员会独立工作，负责评审所有投标文件并确定中标候选人。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3.评审过程的保密与公正</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3.1评标委员会、采购人或代理机构、相关监督人员等与评审工作有关的人员，对评审情况以及在评审过程中获悉的国家秘密、商业秘密负有保密责任。</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3.2在评审过程中，投标人不得以任何行为影响评审过程，否则其投标文件将被作为无效投标文件。</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3.4凡是与审查、澄清、评价和比较投标的有关资料以及授标建议等，采购人、评标委员会、代理机构均不得向投标人或与评标无关的其他人员透露。</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3.5在评审期间，代理机构将设专门人员与投标人联系。</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3.6采购人、代理机构和评标委员会不向未中标的投标人解释未中标原因，也不公布评审过程中的相关细节。</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3.7采用综合评分法的项目，未中标的投标人可于中标结果公告期限届满之日起通过苏采云系统查看自己的评审得分及排序情况。</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4.投标文件的澄清</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bookmarkStart w:id="9" w:name="OLE_LINK10"/>
      <w:r>
        <w:rPr>
          <w:rFonts w:hint="eastAsia" w:ascii="宋体" w:hAnsi="宋体" w:eastAsia="宋体" w:cs="宋体"/>
          <w:color w:val="auto"/>
          <w:sz w:val="24"/>
          <w:szCs w:val="24"/>
          <w:highlight w:val="none"/>
        </w:rPr>
        <w:t xml:space="preserve">需要投标人进行澄清、说明和更正的</w:t>
      </w:r>
      <w:bookmarkEnd w:id="9"/>
      <w:r>
        <w:rPr>
          <w:rFonts w:hint="eastAsia" w:ascii="宋体" w:hAnsi="宋体" w:eastAsia="宋体" w:cs="宋体"/>
          <w:color w:val="auto"/>
          <w:sz w:val="24"/>
          <w:szCs w:val="24"/>
          <w:highlight w:val="none"/>
        </w:rPr>
        <w:t xml:space="preserve">，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4.3接到评标委员会澄清、说明和更正要求的投标人如未按规定作出澄清、说明和更正，其风险由投标人自行承担。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5.对投标文件的审查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5.1投标文件初审分为资格性审查和符合性审查。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5.1.1资格性检查：依据法律法规和招标文件的规定，由采购人对投标文件中的资格证明文件进行审查。资格审查的结论，采购人以书面形式向评委会进行反馈。</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采购人在进行资格性审查的同时，将在“信用中国”网站查询投标人的信用记录，以确定投标人是否具备投标资格，查询结果留存并归档。</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5.1.3未通过资格审查或符合性审查的投标人，代理机构将在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中告知未通过资格审查或符合性审查的原因，评审结束后，代理机构将不再告知未通过资格审查或符合性审查的原因。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rPr>
          <w:rFonts w:hint="eastAsia" w:ascii="宋体" w:hAnsi="宋体" w:eastAsia="宋体" w:cs="宋体"/>
          <w:color w:val="auto"/>
          <w:sz w:val="24"/>
          <w:szCs w:val="24"/>
          <w:highlight w:val="none"/>
        </w:rPr>
        <w:t xml:space="preserve">在详细评审之前</w:t>
      </w:r>
      <w:r>
        <w:rPr>
          <w:rFonts w:hint="eastAsia" w:ascii="宋体" w:hAnsi="宋体" w:eastAsia="宋体" w:cs="宋体"/>
          <w:bCs/>
          <w:color w:val="auto"/>
          <w:sz w:val="24"/>
          <w:szCs w:val="24"/>
          <w:highlight w:val="none"/>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eastAsia="宋体" w:cs="宋体"/>
          <w:color w:val="auto"/>
          <w:sz w:val="24"/>
          <w:szCs w:val="24"/>
          <w:highlight w:val="none"/>
        </w:rPr>
        <w:t xml:space="preserve">重大偏离的认定需经过评委会以少数服从多数的原则作出结论</w:t>
      </w:r>
      <w:r>
        <w:rPr>
          <w:rFonts w:hint="eastAsia" w:ascii="宋体" w:hAnsi="宋体" w:eastAsia="宋体" w:cs="宋体"/>
          <w:bCs/>
          <w:color w:val="auto"/>
          <w:sz w:val="24"/>
          <w:szCs w:val="24"/>
          <w:highlight w:val="none"/>
        </w:rPr>
        <w:t xml:space="preserve">。评标委员会决定投标文件的响应性只根据投标文件本身的内容，而不寻求外部的证据。</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5.3如果投标文件实质上没有响应招标文件的要求，评标委员会将予以拒绝，投标人不得通过修改或撤销</w:t>
      </w:r>
      <w:r>
        <w:rPr>
          <w:rFonts w:hint="eastAsia" w:ascii="宋体" w:hAnsi="宋体" w:eastAsia="宋体" w:cs="宋体"/>
          <w:bCs/>
          <w:color w:val="auto"/>
          <w:sz w:val="24"/>
          <w:szCs w:val="24"/>
          <w:highlight w:val="none"/>
          <w:lang w:eastAsia="zh-CN"/>
        </w:rPr>
        <w:t xml:space="preserve">不</w:t>
      </w:r>
      <w:r>
        <w:rPr>
          <w:rFonts w:hint="eastAsia" w:ascii="宋体" w:hAnsi="宋体" w:eastAsia="宋体" w:cs="宋体"/>
          <w:bCs/>
          <w:color w:val="auto"/>
          <w:sz w:val="24"/>
          <w:szCs w:val="24"/>
          <w:highlight w:val="none"/>
          <w:lang w:val="en-US" w:eastAsia="zh-CN"/>
        </w:rPr>
        <w:t xml:space="preserve">符</w:t>
      </w:r>
      <w:r>
        <w:rPr>
          <w:rFonts w:hint="eastAsia" w:ascii="宋体" w:hAnsi="宋体" w:eastAsia="宋体" w:cs="宋体"/>
          <w:bCs/>
          <w:color w:val="auto"/>
          <w:sz w:val="24"/>
          <w:szCs w:val="24"/>
          <w:highlight w:val="none"/>
        </w:rPr>
        <w:t xml:space="preserve">合要求的偏离或保留而使其投标文件成为实质性响应的文件。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（1）投标文件中开标一览表内容与投标文件中相应内容不一致的，以开标一览表为准。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（2）大写金额和小写金额不一致的，以大写金额为准。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（3）单价金额小数点或者百分比有明显错位的，以开标一览表的总价为准，并修改单价。</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（4）总价金额与按单价汇总金额不一致的，以单价金额计算结果为准。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同时出现两种以上错误的，按照前款规定的顺序修正。</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5.7</w:t>
      </w:r>
      <w:r>
        <w:rPr>
          <w:rFonts w:hint="eastAsia" w:ascii="宋体" w:hAnsi="宋体" w:eastAsia="宋体" w:cs="宋体"/>
          <w:color w:val="auto"/>
          <w:sz w:val="24"/>
          <w:szCs w:val="24"/>
          <w:highlight w:val="none"/>
        </w:rPr>
        <w:t xml:space="preserve">投标人在开、评标全过程中应保持通讯畅通，及时登录苏采云系统查阅、答复相关信息</w:t>
      </w:r>
      <w:r>
        <w:rPr>
          <w:rFonts w:hint="eastAsia" w:ascii="宋体" w:hAnsi="宋体" w:eastAsia="宋体" w:cs="宋体"/>
          <w:bCs/>
          <w:color w:val="auto"/>
          <w:sz w:val="24"/>
          <w:szCs w:val="24"/>
          <w:highlight w:val="none"/>
        </w:rPr>
        <w:t xml:space="preserve">，并安排专人与采购人或代理机构及评标委员会联系</w:t>
      </w:r>
      <w:r>
        <w:rPr>
          <w:rFonts w:hint="eastAsia" w:ascii="宋体" w:hAnsi="宋体" w:eastAsia="宋体" w:cs="宋体"/>
          <w:color w:val="auto"/>
          <w:sz w:val="24"/>
          <w:szCs w:val="24"/>
          <w:highlight w:val="none"/>
        </w:rPr>
        <w:t xml:space="preserve">。</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七、无效投标条款</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1.同一投标人提交两个（含两个）以上不同的投标报价的。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2.投标人不具备招标文件中规定的资格要求的。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3.投标人的报价超过了采购预算或</w:t>
      </w:r>
      <w:r>
        <w:rPr>
          <w:rFonts w:hint="eastAsia" w:ascii="宋体" w:hAnsi="宋体" w:eastAsia="宋体" w:cs="宋体"/>
          <w:bCs/>
          <w:color w:val="auto"/>
          <w:sz w:val="24"/>
          <w:szCs w:val="24"/>
          <w:highlight w:val="none"/>
          <w:lang w:val="en-US" w:eastAsia="zh-CN"/>
        </w:rPr>
        <w:t xml:space="preserve">对应</w:t>
      </w:r>
      <w:r>
        <w:rPr>
          <w:rFonts w:hint="eastAsia" w:ascii="宋体" w:hAnsi="宋体" w:eastAsia="宋体" w:cs="宋体"/>
          <w:bCs/>
          <w:color w:val="auto"/>
          <w:sz w:val="24"/>
          <w:szCs w:val="24"/>
          <w:highlight w:val="none"/>
        </w:rPr>
        <w:t xml:space="preserve">最高限价的。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4.未通过符合性审查的。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5.不符合招标文件中规定的实质性要求和条件的。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7.投标文件含有招标人不能接受的附加条件的。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评标委员会认为投标人的报价明显低于其他通过符合性审查的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9.本项目采购产品被财政部、</w:t>
      </w:r>
      <w:r>
        <w:rPr>
          <w:rFonts w:hint="eastAsia" w:ascii="宋体" w:hAnsi="宋体" w:eastAsia="宋体" w:cs="宋体"/>
          <w:bCs/>
          <w:color w:val="auto"/>
          <w:sz w:val="24"/>
          <w:szCs w:val="24"/>
          <w:highlight w:val="none"/>
          <w:lang w:eastAsia="zh-CN"/>
        </w:rPr>
        <w:t xml:space="preserve">国家</w:t>
      </w:r>
      <w:r>
        <w:rPr>
          <w:rFonts w:hint="eastAsia" w:ascii="宋体" w:hAnsi="宋体" w:eastAsia="宋体" w:cs="宋体"/>
          <w:bCs/>
          <w:color w:val="auto"/>
          <w:sz w:val="24"/>
          <w:szCs w:val="24"/>
          <w:highlight w:val="none"/>
          <w:lang w:val="en-US" w:eastAsia="zh-CN"/>
        </w:rPr>
        <w:t xml:space="preserve">发展改革</w:t>
      </w:r>
      <w:r>
        <w:rPr>
          <w:rFonts w:hint="eastAsia" w:ascii="宋体" w:hAnsi="宋体" w:eastAsia="宋体" w:cs="宋体"/>
          <w:bCs/>
          <w:color w:val="auto"/>
          <w:sz w:val="24"/>
          <w:szCs w:val="24"/>
          <w:highlight w:val="none"/>
          <w:lang w:eastAsia="zh-CN"/>
        </w:rPr>
        <w:t xml:space="preserve">委</w:t>
      </w:r>
      <w:r>
        <w:rPr>
          <w:rFonts w:hint="eastAsia" w:ascii="宋体" w:hAnsi="宋体" w:eastAsia="宋体" w:cs="宋体"/>
          <w:bCs/>
          <w:color w:val="auto"/>
          <w:sz w:val="24"/>
          <w:szCs w:val="24"/>
          <w:highlight w:val="none"/>
        </w:rPr>
        <w:t xml:space="preserve">、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10.投标文件未按照招标文件要求加盖CA电子公章的。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11.投标人的商务技术部分得分相差悬殊，评标委员会一致认为得分畸低者有可能影响产品质量或者不能诚信履约的。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12.投标人在苏采云系统规定的时间内未成功解密电子投标文件的。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13.投标人未按照招标文件要求上传电子投标文件的，或上传的文件打不开的。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14.不同的投标人投标文件制作机器码、文件创建标识码一致的。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16.其他法律法规及本招标文件规定的属无效投标的情形</w:t>
      </w:r>
      <w:r>
        <w:rPr>
          <w:rFonts w:hint="eastAsia" w:ascii="宋体" w:hAnsi="宋体" w:eastAsia="宋体" w:cs="宋体"/>
          <w:color w:val="auto"/>
          <w:sz w:val="24"/>
          <w:szCs w:val="24"/>
          <w:highlight w:val="none"/>
        </w:rPr>
        <w:t xml:space="preserve">。</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八、</w:t>
      </w:r>
      <w:r>
        <w:rPr>
          <w:rFonts w:hint="eastAsia" w:ascii="宋体" w:hAnsi="宋体" w:eastAsia="宋体" w:cs="宋体"/>
          <w:b/>
          <w:bCs/>
          <w:color w:val="auto"/>
          <w:sz w:val="24"/>
          <w:szCs w:val="24"/>
          <w:highlight w:val="none"/>
        </w:rPr>
        <w:t xml:space="preserve">废标条款</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1.符合专业条件的供应商或者对招标文件做实质响应的供应商不足三家的。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3.因重大变故，采购任务取消的。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4.评标委员会认定招标文件存在歧义、重大缺陷导致评审工作无法进行。</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5.因苏采云系统系统故障原因造成开标不成功的。</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6.投标截止时间结束后参加投标的投标人不足三家的处理：</w:t>
      </w:r>
      <w:r/>
    </w:p>
    <w:p>
      <w:pPr>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6.1如出现投标截止时间结束后参加投标的投标人或者在评标期间对招标文件做出实质响应的投标人不足三家情况，按政府采购相关规定执行。</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九、</w:t>
      </w:r>
      <w:r>
        <w:rPr>
          <w:rFonts w:hint="eastAsia" w:ascii="宋体" w:hAnsi="宋体" w:eastAsia="宋体" w:cs="宋体"/>
          <w:b/>
          <w:bCs/>
          <w:color w:val="auto"/>
          <w:sz w:val="24"/>
          <w:szCs w:val="24"/>
          <w:highlight w:val="none"/>
        </w:rPr>
        <w:t xml:space="preserve">定标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1.确定中标单位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1.1中标候选人的选取原则和数量见招标文件第四章规定。</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1.2招标人应根据评委会推荐的中标候选人确定中标人。</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1.3代理机构将在“江苏政府采购网”发布中标结果公告，公告期限为1个工作日。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1.4若有充分证据证明，中标人出现下列情况之一的，一经查实，将被取消中标资格：</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1.4.1提供虚假材料谋取中标的。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1.4.2向招标人或代理机构行贿或者评审专家提供其他不正当利益的。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1.4.3恶意竞争，报价明显低于其自身合理成本且又无法提供证明的。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1.4.4属于本文件规定的无效条件，但在评审过程中又未被评标委员会发现的。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1.4.5与评审专家、招标人、其他投标人或者代理机构工作人员恶意串通的。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1.4.6采取不正当手段诋毁、排挤其他投标人的。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1.4.7中标后无正当理由拒不与招标人签订政府采购合同或者未按照招标文件确定的事项签订政府采购合同的。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1.4.8将政府采购合同转包的。</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1.5.有下列情形之一的，视为投标人串通参与投标，投标无效：</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1.5.1不同投标人的投标文件由同一单位或者个人编制；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1.5.2不同投标人委托同一单位或者个人办理投标事宜；</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1.5.3不同投标人的投标文件载明的项目管理成员或者联系人员为同一人；</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1.5.4不同投标人的投标文件异常一致或者响应报价呈规律性差异；</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1.5.5不同投标人的投标文件相互混装。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2.质疑处理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2.1提出质疑的投标人应当是参与所质疑项目采购活动的投标人。潜在投标人依法获取其可质疑的招标文件的，可以对招标文件提出质疑。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2.2投标人认为招标文件、采购过程和采购结果使自己的权益受到损害的，可以在知道或应知其权益受到损害之日起七个工作日内，以书面形式向招标人或代理机构提出质疑。上述应知其权益受到损害之日，是指：</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2.2.1对可以质疑的招标文件提出质疑的，为收到招标文件之日或者招标文件公告期限届满之日；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2.2.2对采购过程提出质疑的，为各采购程序环节结束之日；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2.2.3对中标结果提出质疑的，为中标结果公告期限届满之日。</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投标人应当在法定质疑期内一次性提出针对同一采购程序环节的质疑。投标人如在法定期限内对同一采购程序环节提出多次质疑的，招标人、代理机构将只对投标人第一次质疑作出答复。</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2.4质疑答复依据《政府采购质疑和投诉办法》（财政部令第94号）。</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招标人或代理机构质疑接收人及联系方式，见招标文件第一章。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2.5以下情形的质疑不予受理</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2.5.1内容不符合《政府采购质疑和投诉办法》第十二条规定的质疑。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2.5.2超出政府采购法定期限的质疑。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2.5.3未参加投标活动的投标人或在投标活动中自身权益未受到损害的投标人所提出的质疑。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2.5.4投标人组成联合体参加投标，联合体中任何一方或多方未按要求签字、盖章、加盖公章的质疑。</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投标人提出书面质疑必须有理、有据，不得捏造事实、提供虚假材料进行恶意质疑。否则，一经查实，招标人或代理机构有权依据政府采购的有关规定，报请政府采购监管部门对该投标人进行相应的行政处罚和记录该投标人的失信信息。</w:t>
      </w:r>
      <w:r/>
    </w:p>
    <w:p>
      <w:pPr>
        <w:contextualSpacing/>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2.7投诉提起路径：江苏政府采购网（南通市公共资源交易平台）—“办事指南”—“投诉办理指南”。</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十、</w:t>
      </w:r>
      <w:r>
        <w:rPr>
          <w:rFonts w:hint="eastAsia" w:ascii="宋体" w:hAnsi="宋体" w:eastAsia="宋体" w:cs="宋体"/>
          <w:b/>
          <w:bCs/>
          <w:color w:val="auto"/>
          <w:sz w:val="24"/>
          <w:szCs w:val="24"/>
          <w:highlight w:val="none"/>
        </w:rPr>
        <w:t xml:space="preserve">中标通知书</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中标结果确定后，招标人或者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特别说明：中标人在下载或收到中标通知书后须提供4套加盖公章的系统内打印的纸质投标文件交给代理机构存档。</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十一、授予合同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1.签订合同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1.l中标人应当在中标通知书发出之日起三十日内，按照招标文件确定的事项与招标人签订政府采购合同。</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1.2招标文件、中标人的投标文件及投标过程中有关澄清、承诺文件均应作为合同附件。</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1.3签订合同后，</w:t>
      </w:r>
      <w:r>
        <w:rPr>
          <w:rFonts w:hint="eastAsia" w:ascii="宋体" w:hAnsi="宋体" w:eastAsia="宋体" w:cs="宋体"/>
          <w:bCs/>
          <w:color w:val="auto"/>
          <w:sz w:val="24"/>
          <w:szCs w:val="24"/>
          <w:highlight w:val="none"/>
          <w:u w:val="single"/>
        </w:rPr>
        <w:t xml:space="preserve">中标人不得将合同标的进行转包</w:t>
      </w:r>
      <w:r>
        <w:rPr>
          <w:rFonts w:hint="eastAsia" w:ascii="宋体" w:hAnsi="宋体" w:eastAsia="宋体" w:cs="宋体"/>
          <w:bCs/>
          <w:color w:val="auto"/>
          <w:sz w:val="24"/>
          <w:szCs w:val="24"/>
          <w:highlight w:val="none"/>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2.标的物的追加</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的10%。</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2.2采购结束后，招标人若由于各种客观原因，必须对采购项目所牵涉的货物和服务进行适当地减少时，在双方协商一致的前提下，可以按照招标采购时的价格水平做相应的调减，并据此签订补充合同。</w:t>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十二、电子招标投标交易平台</w:t>
      </w:r>
      <w:r/>
    </w:p>
    <w:p>
      <w:pPr>
        <w:contextualSpacing/>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"http://jszfcg.jsczt.cn/）相关要求是本招标文件的组成部分。" \o "http://jszfcg.jsczt.cn/）相关要求是本招标文件的组成部分。" </w:instrText>
      </w:r>
      <w:r>
        <w:rPr>
          <w:rFonts w:hint="eastAsia" w:ascii="宋体" w:hAnsi="宋体" w:eastAsia="宋体" w:cs="宋体"/>
          <w:color w:val="auto"/>
          <w:highlight w:val="none"/>
        </w:rPr>
        <w:fldChar w:fldCharType="separate"/>
      </w:r>
      <w:r>
        <w:rPr>
          <w:rStyle w:val="960"/>
          <w:rFonts w:hint="eastAsia" w:ascii="宋体" w:hAnsi="宋体" w:eastAsia="宋体" w:cs="宋体"/>
          <w:bCs/>
          <w:color w:val="auto"/>
          <w:sz w:val="24"/>
          <w:szCs w:val="24"/>
          <w:highlight w:val="none"/>
        </w:rPr>
        <w:t xml:space="preserve">http://jszfcg.jsczt.cn/）相关要求是本招标文件的组成部分。</w:t>
      </w:r>
      <w:r>
        <w:rPr>
          <w:rStyle w:val="960"/>
          <w:rFonts w:hint="eastAsia" w:ascii="宋体" w:hAnsi="宋体" w:eastAsia="宋体" w:cs="宋体"/>
          <w:bCs/>
          <w:color w:val="auto"/>
          <w:sz w:val="24"/>
          <w:szCs w:val="24"/>
          <w:highlight w:val="none"/>
        </w:rPr>
        <w:fldChar w:fldCharType="end"/>
      </w:r>
      <w:r/>
    </w:p>
    <w:p>
      <w:pPr>
        <w:contextualSpacing/>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十三、未尽事宜</w:t>
      </w:r>
      <w:r/>
    </w:p>
    <w:p>
      <w:pPr>
        <w:contextualSpacing/>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按照《中华人民共和国政府采购法》及其他有关法律法规的规定执行。</w:t>
      </w:r>
      <w:r/>
    </w:p>
    <w:p>
      <w:pPr>
        <w:pStyle w:val="1067"/>
        <w:spacing w:line="360" w:lineRule="auto"/>
        <w:rPr>
          <w:rFonts w:hint="eastAsia" w:ascii="宋体" w:hAnsi="宋体" w:eastAsia="宋体" w:cs="宋体"/>
          <w:color w:val="auto"/>
          <w:highlight w:val="none"/>
        </w:rPr>
        <w:sectPr>
          <w:headerReference w:type="default" r:id="rId11"/>
          <w:footnotePr/>
          <w:endnotePr/>
          <w:type w:val="nextPage"/>
          <w:pgSz w:w="11905" w:h="16838" w:orient="portrait"/>
          <w:pgMar w:top="1440" w:right="1519" w:bottom="1440" w:left="1519" w:header="850" w:footer="992" w:gutter="0"/>
          <w:cols w:num="1" w:sep="0" w:space="1701" w:equalWidth="1"/>
          <w:docGrid w:linePitch="360"/>
        </w:sectPr>
      </w:pPr>
      <w:r>
        <w:rPr>
          <w:rFonts w:hint="eastAsia" w:ascii="宋体" w:hAnsi="宋体" w:eastAsia="宋体" w:cs="宋体"/>
          <w:color w:val="auto"/>
          <w:highlight w:val="none"/>
        </w:rPr>
      </w:r>
      <w:bookmarkEnd w:id="8"/>
      <w:r/>
      <w:r/>
    </w:p>
    <w:p>
      <w:pPr>
        <w:numPr>
          <w:ilvl w:val="0"/>
          <w:numId w:val="3"/>
        </w:num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bookmarkStart w:id="10" w:name="_Toc13543213"/>
      <w:r>
        <w:rPr>
          <w:rFonts w:hint="eastAsia" w:ascii="宋体" w:hAnsi="宋体" w:eastAsia="宋体" w:cs="宋体"/>
          <w:b/>
          <w:color w:val="auto"/>
          <w:sz w:val="36"/>
          <w:szCs w:val="36"/>
          <w:highlight w:val="none"/>
        </w:rPr>
        <w:t xml:space="preserve">项目需求</w:t>
      </w:r>
      <w:r/>
    </w:p>
    <w:p>
      <w:pPr>
        <w:ind w:firstLine="480"/>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bCs/>
          <w:color w:val="auto"/>
          <w:sz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1012"/>
        <w:contextualSpacing/>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t xml:space="preserve">请投标人在制作投标文件时仔细研究项目需求说明。</w:t>
      </w:r>
      <w:r>
        <w:rPr>
          <w:rFonts w:hint="eastAsia" w:ascii="宋体" w:hAnsi="宋体" w:eastAsia="宋体" w:cs="宋体"/>
          <w:color w:val="auto"/>
          <w:sz w:val="24"/>
          <w:szCs w:val="24"/>
          <w:highlight w:val="none"/>
          <w:lang w:val="zh-CN"/>
        </w:rPr>
        <w:t xml:space="preserve">投标人不能简单照搬照抄采购人项目需求说明中的技术、商务要求，必须作实事求是地响应。如照搬照抄项目需求说明中的技术、商务要求的，中标后供应商在同采购人签订合同和履约环节中不得提出异议，一切后果和损失由中标供应商承担。</w:t>
      </w:r>
      <w:r>
        <w:rPr>
          <w:rFonts w:hint="eastAsia" w:ascii="宋体" w:hAnsi="宋体" w:eastAsia="宋体" w:cs="宋体"/>
          <w:b/>
          <w:bCs/>
          <w:color w:val="auto"/>
          <w:sz w:val="24"/>
          <w:szCs w:val="24"/>
          <w:highlight w:val="none"/>
          <w:lang w:val="zh-CN"/>
        </w:rPr>
        <w:t xml:space="preserve">如投标人提供的货物和服务同采购人提出的项目需求说明中的技术、商务要求不同的，必须在《商</w:t>
      </w:r>
      <w:r>
        <w:rPr>
          <w:rFonts w:hint="eastAsia" w:ascii="宋体" w:hAnsi="宋体" w:eastAsia="宋体" w:cs="宋体"/>
          <w:b/>
          <w:bCs/>
          <w:color w:val="auto"/>
          <w:sz w:val="24"/>
          <w:szCs w:val="24"/>
          <w:highlight w:val="none"/>
        </w:rPr>
        <w:t xml:space="preserve">务部分正负偏离表》和《技术部分正负偏离表》上明示，如不明示的视同完全响应</w:t>
      </w:r>
      <w:r>
        <w:rPr>
          <w:rFonts w:hint="eastAsia" w:ascii="宋体" w:hAnsi="宋体" w:eastAsia="宋体" w:cs="宋体"/>
          <w:b/>
          <w:bCs/>
          <w:color w:val="auto"/>
          <w:sz w:val="24"/>
          <w:szCs w:val="24"/>
          <w:highlight w:val="none"/>
          <w:lang w:val="zh-CN"/>
        </w:rPr>
        <w:t xml:space="preserve">。</w:t>
      </w:r>
      <w:r/>
    </w:p>
    <w:p>
      <w:pPr>
        <w:pStyle w:val="849"/>
        <w:pageBreakBefore w:val="0"/>
        <w:spacing w:before="100" w:after="90" w:line="480" w:lineRule="atLeast"/>
        <w:rPr>
          <w:rFonts w:hint="eastAsia" w:ascii="宋体" w:hAnsi="宋体" w:eastAsia="宋体" w:cs="宋体"/>
          <w:color w:val="auto"/>
          <w:sz w:val="24"/>
          <w:szCs w:val="16"/>
          <w:highlight w:val="none"/>
        </w:rPr>
      </w:pPr>
      <w:r>
        <w:rPr>
          <w:rFonts w:hint="eastAsia" w:ascii="宋体" w:hAnsi="宋体" w:eastAsia="宋体" w:cs="宋体"/>
          <w:color w:val="auto"/>
          <w:sz w:val="24"/>
          <w:szCs w:val="16"/>
          <w:highlight w:val="none"/>
        </w:rPr>
        <w:t xml:space="preserve">一、采购标的需实现的功能或者目标,以及为落实政府采购政策需满足的要求</w:t>
      </w:r>
      <w:r/>
    </w:p>
    <w:p>
      <w:pPr>
        <w:ind w:firstLine="482"/>
        <w:jc w:val="left"/>
        <w:pageBreakBefore w:val="0"/>
        <w:spacing w:line="480" w:lineRule="atLeast"/>
        <w:widowControl/>
        <w:rPr>
          <w:rFonts w:hint="eastAsia" w:ascii="宋体" w:hAnsi="宋体" w:eastAsia="宋体" w:cs="宋体"/>
          <w:b/>
          <w:bCs/>
          <w:color w:val="auto"/>
          <w:sz w:val="24"/>
          <w:highlight w:val="none"/>
          <w:lang w:bidi="ar"/>
        </w:rPr>
        <w:outlineLvl w:val="0"/>
      </w:pPr>
      <w:r>
        <w:rPr>
          <w:rFonts w:hint="eastAsia" w:ascii="宋体" w:hAnsi="宋体" w:eastAsia="宋体" w:cs="宋体"/>
          <w:b/>
          <w:bCs/>
          <w:color w:val="auto"/>
          <w:sz w:val="24"/>
          <w:highlight w:val="none"/>
          <w:lang w:bidi="ar"/>
        </w:rPr>
        <w:t xml:space="preserve">（一）货物需求一览表：</w:t>
      </w:r>
      <w:r/>
    </w:p>
    <w:tbl>
      <w:tblPr>
        <w:tblStyle w:val="859"/>
        <w:tblW w:w="8210" w:type="dxa"/>
        <w:jc w:val="center"/>
        <w:tblLayout w:type="fixed"/>
        <w:tblCellMar>
          <w:left w:w="108" w:type="dxa"/>
          <w:top w:w="0" w:type="dxa"/>
          <w:right w:w="108" w:type="dxa"/>
          <w:bottom w:w="0" w:type="dxa"/>
        </w:tblCellMar>
        <w:tblLook w:val="04A0" w:firstRow="1" w:lastRow="0" w:firstColumn="1" w:lastColumn="0" w:noHBand="0" w:noVBand="1"/>
      </w:tblPr>
      <w:tblGrid>
        <w:gridCol w:w="809"/>
        <w:gridCol w:w="1580"/>
        <w:gridCol w:w="3093"/>
        <w:gridCol w:w="624"/>
        <w:gridCol w:w="932"/>
        <w:gridCol w:w="1172"/>
      </w:tblGrid>
      <w:tr>
        <w:trPr>
          <w:jc w:val="center"/>
          <w:trHeight w:val="570"/>
          <w:tblHead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val="en-US" w:eastAsia="zh-CN" w:bidi="ar"/>
              </w:rPr>
              <w:t xml:space="preserve">货物（部件、配件等）名称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lang w:eastAsia="zh-CN"/>
              </w:rPr>
            </w:pPr>
            <w:r>
              <w:rPr>
                <w:rFonts w:hint="eastAsia" w:ascii="宋体" w:hAnsi="宋体" w:eastAsia="宋体" w:cs="宋体"/>
                <w:b/>
                <w:bCs/>
                <w:color w:val="auto"/>
                <w:sz w:val="20"/>
                <w:szCs w:val="20"/>
                <w:highlight w:val="none"/>
                <w:lang w:bidi="ar"/>
              </w:rPr>
              <w:t xml:space="preserve">项目特征</w:t>
            </w:r>
            <w:r>
              <w:rPr>
                <w:rFonts w:hint="eastAsia" w:ascii="宋体" w:hAnsi="宋体" w:eastAsia="宋体" w:cs="宋体"/>
                <w:b/>
                <w:bCs/>
                <w:color w:val="auto"/>
                <w:sz w:val="20"/>
                <w:szCs w:val="20"/>
                <w:highlight w:val="none"/>
                <w:lang w:eastAsia="zh-CN" w:bidi="ar"/>
              </w:rPr>
              <w:t xml:space="preserve">（</w:t>
            </w:r>
            <w:r>
              <w:rPr>
                <w:rFonts w:hint="eastAsia" w:ascii="宋体" w:hAnsi="宋体" w:eastAsia="宋体" w:cs="宋体"/>
                <w:b/>
                <w:bCs/>
                <w:color w:val="auto"/>
                <w:sz w:val="20"/>
                <w:szCs w:val="20"/>
                <w:highlight w:val="none"/>
                <w:lang w:val="en-US" w:eastAsia="zh-CN" w:bidi="ar"/>
              </w:rPr>
              <w:t xml:space="preserve">规格型号</w:t>
            </w:r>
            <w:r>
              <w:rPr>
                <w:rFonts w:hint="eastAsia" w:ascii="宋体" w:hAnsi="宋体" w:eastAsia="宋体" w:cs="宋体"/>
                <w:b/>
                <w:bCs/>
                <w:color w:val="auto"/>
                <w:sz w:val="20"/>
                <w:szCs w:val="20"/>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备注</w:t>
            </w:r>
            <w:r/>
          </w:p>
        </w:tc>
      </w:tr>
      <w:tr>
        <w:trPr>
          <w:jc w:val="center"/>
          <w:trHeight w:val="591"/>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一、实验室家具</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实验边台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1、材质：全钢 实芯理化板台面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2、尺寸：L*750mm*850mm。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30.90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84"/>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边台试剂架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双门吊柜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材质：全钢；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尺寸：L*300*600mm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1、规格：900*450*1800mm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2、材质：喷塑，环保无毒害，无气味。宝钢一级冷轧钢板</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实验中央台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1、材质：全钢 实芯理化板台面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2、尺寸：L*1500mm*850mm。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中央台试剂架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35.75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L*300*120mm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滴水架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PP材质，400*500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水槽+三口龙头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PP中水槽，含下水</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桌面型洗眼器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PP材质，红色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紧急喷淋装置</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落地式</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1、材质：PP柜体 陶瓷台面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2、规格：1500mm*850mm*2350mm                                3、水配件品牌：台雄、TOF、</w:t>
            </w:r>
            <w:r>
              <w:rPr>
                <w:rFonts w:hint="eastAsia" w:ascii="宋体" w:hAnsi="宋体" w:eastAsia="宋体" w:cs="宋体"/>
                <w:color w:val="auto"/>
                <w:sz w:val="20"/>
                <w:szCs w:val="20"/>
                <w:highlight w:val="none"/>
                <w:lang w:val="en-US" w:eastAsia="zh-CN" w:bidi="ar"/>
              </w:rPr>
              <w:t xml:space="preserve">润</w:t>
            </w:r>
            <w:r>
              <w:rPr>
                <w:rFonts w:hint="eastAsia" w:ascii="宋体" w:hAnsi="宋体" w:eastAsia="宋体" w:cs="宋体"/>
                <w:color w:val="auto"/>
                <w:sz w:val="20"/>
                <w:szCs w:val="20"/>
                <w:highlight w:val="none"/>
                <w:lang w:bidi="ar"/>
              </w:rPr>
              <w:t xml:space="preserve">旺达</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通风柜里面须接水龙头等配件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不锈钢操作台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材质：304不锈钢；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尺寸：800*500*850mm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不锈钢操作台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1、材质：304不锈钢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2、尺寸：L*600mm*850mm。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24.91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不锈钢钢架台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材质：304不锈钢；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尺寸：800*600*850mm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不锈钢更衣柜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1、规格：900*450*1800mm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2、材质：304不锈钢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不锈钢鞋柜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1、规格：1200*350*1800mm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2、材质：304不锈钢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02"/>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实验台下柜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1、规格</w:t>
            </w:r>
            <w:r>
              <w:rPr>
                <w:rFonts w:hint="eastAsia" w:ascii="宋体" w:hAnsi="宋体" w:eastAsia="宋体" w:cs="宋体"/>
                <w:color w:val="auto"/>
                <w:sz w:val="20"/>
                <w:szCs w:val="20"/>
                <w:highlight w:val="none"/>
                <w:lang w:bidi="ar"/>
              </w:rPr>
              <w:t xml:space="preserve">H710xW680xD500mm</w:t>
            </w:r>
            <w:r/>
          </w:p>
          <w:p>
            <w:pPr>
              <w:jc w:val="left"/>
              <w:keepLines w:val="0"/>
              <w:keepNext w:val="0"/>
              <w:pageBreakBefore w:val="0"/>
              <w:spacing w:line="240" w:lineRule="auto"/>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2、材质：钢制</w:t>
            </w:r>
            <w:r/>
          </w:p>
          <w:p>
            <w:pPr>
              <w:jc w:val="left"/>
              <w:keepLines w:val="0"/>
              <w:keepNext w:val="0"/>
              <w:pageBreakBefore w:val="0"/>
              <w:spacing w:line="240" w:lineRule="auto"/>
              <w:widowControl/>
              <w:rPr>
                <w:rFonts w:hint="eastAsia" w:ascii="宋体" w:hAnsi="宋体" w:eastAsia="宋体" w:cs="宋体"/>
                <w:color w:val="auto"/>
                <w:highlight w:val="none"/>
                <w:lang w:val="en-US"/>
              </w:rPr>
            </w:pPr>
            <w:r>
              <w:rPr>
                <w:rFonts w:hint="eastAsia" w:ascii="宋体" w:hAnsi="宋体" w:eastAsia="宋体" w:cs="宋体"/>
                <w:color w:val="auto"/>
                <w:sz w:val="20"/>
                <w:szCs w:val="20"/>
                <w:highlight w:val="none"/>
                <w:lang w:val="en-US" w:eastAsia="zh-CN" w:bidi="ar"/>
              </w:rPr>
              <w:t xml:space="preserve">3、一体成型PP托盘2只</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二、实验室排风部分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玻璃钢风机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风量：15000m³/h</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风压：1800Pa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功率：15Kw-380V变频风机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活性炭吸附箱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处理风量：15000m³/h</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碘值800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1、规格：Φ250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3、厚度：4mm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26.40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1、规格：250×250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3、厚度：4mm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49.50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1、规格：320×200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3、厚度：4mm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16.90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1、规格：400×320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3、厚度：4mm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1、规格：630×320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3、厚度：6mm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56.23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1、规格：800×320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3、厚度：6mm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31.94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1、规格：1000×630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3、厚度：10mm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5.28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通风管道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1、规格：φ800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3、厚度：10mm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风管保温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1、B1级柔性发泡橡塑隔热板材 保温厚度 20mm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9.82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1、名称：单层百叶排风口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2、规格：300X300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3、材质：ABS</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1、名称：对开多叶调节阀（手动）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2、形状：矩形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3、规格：250×250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4、材质：PP材质</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1、名称：对开多叶调节阀（手动）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2、形状：圆形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3、规格：Φ250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4、材质：PP材质</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1、名称：对开多叶调节阀（手动）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2、形状：矩形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3、规格：320×200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4、材质：PP材质</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1、名称：电动开关阀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2、形状：圆形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3、规格：Φ250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4、材质：PP材质</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1、名称：70℃常开防火阀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2、形状：矩形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3、规格：630×320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4、材质：碳钢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1、名称：70℃常开防火阀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2、形状：矩形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3、规格：800×320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4、材质：碳钢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伞形风帽</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1、规格：φ800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2、材质：PP</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柔性软接头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1、名称：风机软连接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2、规格：φ800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风管配件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弯头、三通等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风管支吊架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槽钢基础，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含基础隔振：弹簧减振器、橡胶垫</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管道静压传感器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1、名称：静压传感器（管道式）</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风机变频控制箱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1、含PLC控制编程、变频器18.5kW一台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2、空调配电37kw，空调配电5.45kw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1.名称：控制线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2.规格：RVV-2*0.75mm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1.名称：屏蔽线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2.规格：RVVP-3*0.5mm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风机电缆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1、名称:低压电缆；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2、规格:YJV-4×10mm²；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电机散热风扇电线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1、名称:低压电缆；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2、规格:YJV-4×2.5mm²；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室外桥架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1、名称：热镀锌桥架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2、规格：400X200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3、厚度：1.5mm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三、装饰部分</w:t>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（一）拆除部分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原过道铝扣板吊顶保护性拆除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1、原过道铝扣板吊顶保护性拆除；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41.50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原吊顶拆除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1、原矿棉板及石膏板吊顶拆除；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487.90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墙面乳胶漆铲除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1、原墙面乳胶漆、腻子基层铲除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250.44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墙面瓷砖拆除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1、原墙面瓷砖拆除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375.66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墙体拆除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1、原墙体拆除；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80.72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地面瓷砖拆除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1、原地面瓷砖拆除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432.60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原地面找平层拆除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1、原混凝土找平层拆除；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432.60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原教室门拆除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1、原教室门拆除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原建筑外窗拆除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1、原有窗户拆除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110.19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lang w:bidi="ar"/>
              </w:rPr>
              <w:t xml:space="preserve">（二）新建墙体部分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新建轻质砖隔墙</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1.厚度150mm轻质加气混凝土砌块隔墙，砌至顶板；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2.含水泥砂浆等辅材。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53.46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原门洞封堵</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1.厚度200mm轻质加气混凝土砌块隔墙；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2.含水泥砂浆等辅材；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11.76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门洞角钢加固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1.50*50*5角钢加固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钢筋</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1、φ8mm钢筋。L≥1000mm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新砌墙体粉刷处理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1.满贴玻纤网格布，专用水泥砂浆粉刷；</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2、双面粉刷。</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130.44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彩钢板墙体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1、名称：机制岩棉彩钢板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2、厚度：50mmδ=0.5mm钢板</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306.15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彩钢板配套辅材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1.喷塑材质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2.含槽铝等辅材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306.15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拼缝密封处理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1、玻璃胶密封处理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306.15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墙体新铺瓷砖</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1、走廊墙面新铺瓷砖到顶</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（三）顶面部分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原过道铝扣板吊顶面板更换</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1、原过道铝扣板吊顶面板更换</w:t>
            </w:r>
            <w:r>
              <w:rPr>
                <w:rFonts w:hint="eastAsia" w:ascii="宋体" w:hAnsi="宋体" w:eastAsia="宋体" w:cs="宋体"/>
                <w:color w:val="auto"/>
                <w:sz w:val="20"/>
                <w:szCs w:val="20"/>
                <w:highlight w:val="none"/>
                <w:lang w:val="en-US" w:eastAsia="zh-CN" w:bidi="ar"/>
              </w:rPr>
              <w:t xml:space="preserve">为石膏板</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3、不含龙骨</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
              </w:rPr>
              <w:t xml:space="preserve">80</w:t>
            </w:r>
            <w:r>
              <w:rPr>
                <w:rFonts w:hint="eastAsia" w:ascii="宋体" w:hAnsi="宋体" w:eastAsia="宋体" w:cs="宋体"/>
                <w:color w:val="auto"/>
                <w:sz w:val="20"/>
                <w:szCs w:val="20"/>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防尘漆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1、防尘漆；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108.57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
              </w:rPr>
              <w:t xml:space="preserve">实验室内</w:t>
            </w:r>
            <w:r>
              <w:rPr>
                <w:rFonts w:hint="eastAsia" w:ascii="宋体" w:hAnsi="宋体" w:eastAsia="宋体" w:cs="宋体"/>
                <w:color w:val="auto"/>
                <w:sz w:val="20"/>
                <w:szCs w:val="20"/>
                <w:highlight w:val="none"/>
                <w:lang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1、名称：铝扣板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2、规格：600*600*1.0mm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428.48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彩钢板吊顶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1、名称：中空玻镁彩钢板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2、厚度：50mm，δ=0.5mm钢板</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103.07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彩钢板配套辅材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1、喷塑材质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2、含槽铝等辅材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103.07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拼缝密封处理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1、玻璃胶</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103.07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吊顶加强龙骨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1、镀锌型钢及丝杆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103.07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（四）墙面部分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原墙面局部修补</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1、墙面开裂、发霉处铲除后重新批腻子。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室内墙面出新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1、乳胶漆两遍；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2、墙面基层不做处理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327.69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墙面乳胶漆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1、基层清理，墙面满刮腻子找平二遍（接缝处贴6*6mm纤维网格布）+乳胶漆两遍。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668.91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（五）地面部分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1、黑色不锈钢踢脚线，60mm高，1.0mm厚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2、含粘贴层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202.60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踢脚线基层处理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1、9mm木工板基层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202.60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地面找平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1、标号C25及以上商品混凝土、人工；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2、找平厚度70mm以内。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479.38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楼（地）面涂膜防水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1、基层处理干净；</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2、雨虹防水涂料两遍；</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3、墙面防水上翻墙面300mm，按展开面积计算；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4、渗水实验24小时以上不漏水。</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724.22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水泥自流平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1、规格：3mm厚水泥自流平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479.38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
              </w:rPr>
              <w:t xml:space="preserve">地面更换瓷砖</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1、800*800mm防滑地砖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2、含水泥黄沙等辅材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370.81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实验室区域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1、PVC卷材地面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2、同质透心</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108.57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洁净间区域</w:t>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（六）门窗部分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观察窗</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numPr>
                <w:ilvl w:val="0"/>
                <w:numId w:val="4"/>
              </w:numPr>
              <w:jc w:val="left"/>
              <w:keepLines w:val="0"/>
              <w:keepNext w:val="0"/>
              <w:pageBreakBefore w:val="0"/>
              <w:spacing w:line="240" w:lineRule="auto"/>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观察窗；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、双层中空5+40+5mm国标钢化玻璃四周黑色丝印边；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val="en-US" w:eastAsia="zh-CN" w:bidi="ar"/>
              </w:rPr>
              <w:t xml:space="preserve">3</w:t>
            </w:r>
            <w:r>
              <w:rPr>
                <w:rFonts w:hint="eastAsia" w:ascii="宋体" w:hAnsi="宋体" w:eastAsia="宋体" w:cs="宋体"/>
                <w:color w:val="auto"/>
                <w:sz w:val="20"/>
                <w:szCs w:val="20"/>
                <w:highlight w:val="none"/>
                <w:lang w:bidi="ar"/>
              </w:rPr>
              <w:t xml:space="preserve">、含洁净钢板窗套配件等。</w:t>
            </w:r>
            <w:r/>
          </w:p>
          <w:p>
            <w:pPr>
              <w:numPr>
                <w:ilvl w:val="0"/>
                <w:numId w:val="0"/>
              </w:num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4、观察窗调整位置，包含墙体拆除和恢复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玻璃窗户</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1、双层中空玻璃，推拉窗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2、铝型材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110.19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黑色拉丝不锈钢</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1、名称：黑色拉丝不锈钢；δ=1.0mm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2、规格：L*500mm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19.03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成品</w:t>
            </w:r>
            <w:r>
              <w:rPr>
                <w:rFonts w:hint="eastAsia" w:ascii="宋体" w:hAnsi="宋体" w:eastAsia="宋体" w:cs="宋体"/>
                <w:color w:val="auto"/>
                <w:sz w:val="20"/>
                <w:szCs w:val="20"/>
                <w:highlight w:val="none"/>
                <w:lang w:val="en-US" w:eastAsia="zh-CN" w:bidi="ar"/>
              </w:rPr>
              <w:t xml:space="preserve">钢制</w:t>
            </w:r>
            <w:r>
              <w:rPr>
                <w:rFonts w:hint="eastAsia" w:ascii="宋体" w:hAnsi="宋体" w:eastAsia="宋体" w:cs="宋体"/>
                <w:color w:val="auto"/>
                <w:sz w:val="20"/>
                <w:szCs w:val="20"/>
                <w:highlight w:val="none"/>
                <w:lang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1、尺寸:</w:t>
            </w:r>
            <w:r>
              <w:rPr>
                <w:rFonts w:hint="eastAsia" w:ascii="宋体" w:hAnsi="宋体" w:eastAsia="宋体" w:cs="宋体"/>
                <w:color w:val="auto"/>
                <w:sz w:val="20"/>
                <w:szCs w:val="20"/>
                <w:highlight w:val="none"/>
                <w:lang w:val="en-US" w:eastAsia="zh-CN" w:bidi="ar"/>
              </w:rPr>
              <w:t xml:space="preserve">13</w:t>
            </w:r>
            <w:r>
              <w:rPr>
                <w:rFonts w:hint="eastAsia" w:ascii="宋体" w:hAnsi="宋体" w:eastAsia="宋体" w:cs="宋体"/>
                <w:color w:val="auto"/>
                <w:sz w:val="20"/>
                <w:szCs w:val="20"/>
                <w:highlight w:val="none"/>
                <w:lang w:bidi="ar"/>
              </w:rPr>
              <w:t xml:space="preserve">00*2</w:t>
            </w:r>
            <w:r>
              <w:rPr>
                <w:rFonts w:hint="eastAsia" w:ascii="宋体" w:hAnsi="宋体" w:eastAsia="宋体" w:cs="宋体"/>
                <w:color w:val="auto"/>
                <w:sz w:val="20"/>
                <w:szCs w:val="20"/>
                <w:highlight w:val="none"/>
                <w:lang w:val="en-US" w:eastAsia="zh-CN" w:bidi="ar"/>
              </w:rPr>
              <w:t xml:space="preserve">9</w:t>
            </w:r>
            <w:r>
              <w:rPr>
                <w:rFonts w:hint="eastAsia" w:ascii="宋体" w:hAnsi="宋体" w:eastAsia="宋体" w:cs="宋体"/>
                <w:color w:val="auto"/>
                <w:sz w:val="20"/>
                <w:szCs w:val="20"/>
                <w:highlight w:val="none"/>
                <w:lang w:bidi="ar"/>
              </w:rPr>
              <w:t xml:space="preserve">00</w:t>
            </w:r>
            <w:r>
              <w:rPr>
                <w:rFonts w:hint="eastAsia" w:ascii="宋体" w:hAnsi="宋体" w:eastAsia="宋体" w:cs="宋体"/>
                <w:color w:val="auto"/>
                <w:sz w:val="20"/>
                <w:szCs w:val="20"/>
                <w:highlight w:val="none"/>
                <w:lang w:val="en-US" w:eastAsia="zh-CN" w:bidi="ar"/>
              </w:rPr>
              <w:t xml:space="preserve">mm</w:t>
            </w:r>
            <w:r>
              <w:rPr>
                <w:rFonts w:hint="eastAsia" w:ascii="宋体" w:hAnsi="宋体" w:eastAsia="宋体" w:cs="宋体"/>
                <w:color w:val="auto"/>
                <w:sz w:val="20"/>
                <w:szCs w:val="20"/>
                <w:highlight w:val="none"/>
                <w:lang w:bidi="ar"/>
              </w:rPr>
              <w:t xml:space="preserve">;</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2、门扇材质:钢制门，带观察窗400*600；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3、含锁具合页等五金配件。</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
              </w:rPr>
              <w:t xml:space="preserve">14</w:t>
            </w:r>
            <w:r>
              <w:rPr>
                <w:rFonts w:hint="eastAsia" w:ascii="宋体" w:hAnsi="宋体" w:eastAsia="宋体" w:cs="宋体"/>
                <w:color w:val="auto"/>
                <w:sz w:val="20"/>
                <w:szCs w:val="20"/>
                <w:highlight w:val="none"/>
                <w:lang w:bidi="ar"/>
              </w:rPr>
              <w:t xml:space="preserve">.00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推拉玻璃门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val="en-US" w:eastAsia="zh-CN" w:bidi="ar"/>
              </w:rPr>
              <w:t xml:space="preserve">1</w:t>
            </w:r>
            <w:r>
              <w:rPr>
                <w:rFonts w:hint="eastAsia" w:ascii="宋体" w:hAnsi="宋体" w:eastAsia="宋体" w:cs="宋体"/>
                <w:color w:val="auto"/>
                <w:sz w:val="20"/>
                <w:szCs w:val="20"/>
                <w:highlight w:val="none"/>
                <w:lang w:bidi="ar"/>
              </w:rPr>
              <w:t xml:space="preserve">、规格:</w:t>
            </w:r>
            <w:r>
              <w:rPr>
                <w:rFonts w:hint="eastAsia" w:ascii="宋体" w:hAnsi="宋体" w:eastAsia="宋体" w:cs="宋体"/>
                <w:color w:val="auto"/>
                <w:sz w:val="20"/>
                <w:szCs w:val="20"/>
                <w:highlight w:val="none"/>
                <w:lang w:val="en-US" w:eastAsia="zh-CN" w:bidi="ar"/>
              </w:rPr>
              <w:t xml:space="preserve">21</w:t>
            </w:r>
            <w:r>
              <w:rPr>
                <w:rFonts w:hint="eastAsia" w:ascii="宋体" w:hAnsi="宋体" w:eastAsia="宋体" w:cs="宋体"/>
                <w:color w:val="auto"/>
                <w:sz w:val="20"/>
                <w:szCs w:val="20"/>
                <w:highlight w:val="none"/>
                <w:lang w:bidi="ar"/>
              </w:rPr>
              <w:t xml:space="preserve">00*</w:t>
            </w:r>
            <w:r>
              <w:rPr>
                <w:rFonts w:hint="eastAsia" w:ascii="宋体" w:hAnsi="宋体" w:eastAsia="宋体" w:cs="宋体"/>
                <w:color w:val="auto"/>
                <w:sz w:val="20"/>
                <w:szCs w:val="20"/>
                <w:highlight w:val="none"/>
                <w:lang w:val="en-US" w:eastAsia="zh-CN" w:bidi="ar"/>
              </w:rPr>
              <w:t xml:space="preserve">30</w:t>
            </w:r>
            <w:r>
              <w:rPr>
                <w:rFonts w:hint="eastAsia" w:ascii="宋体" w:hAnsi="宋体" w:eastAsia="宋体" w:cs="宋体"/>
                <w:color w:val="auto"/>
                <w:sz w:val="20"/>
                <w:szCs w:val="20"/>
                <w:highlight w:val="none"/>
                <w:lang w:bidi="ar"/>
              </w:rPr>
              <w:t xml:space="preserve">00mm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、定制，含门套。</w:t>
            </w:r>
            <w:r/>
          </w:p>
          <w:p>
            <w:pPr>
              <w:numPr>
                <w:ilvl w:val="0"/>
                <w:numId w:val="0"/>
              </w:num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3、上半部分做窗，门高2.1m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成品钢</w:t>
            </w:r>
            <w:r>
              <w:rPr>
                <w:rFonts w:hint="eastAsia" w:ascii="宋体" w:hAnsi="宋体" w:eastAsia="宋体" w:cs="宋体"/>
                <w:color w:val="auto"/>
                <w:sz w:val="20"/>
                <w:szCs w:val="20"/>
                <w:highlight w:val="none"/>
                <w:lang w:val="en-US" w:eastAsia="zh-CN" w:bidi="ar"/>
              </w:rPr>
              <w:t xml:space="preserve">制</w:t>
            </w:r>
            <w:r>
              <w:rPr>
                <w:rFonts w:hint="eastAsia" w:ascii="宋体" w:hAnsi="宋体" w:eastAsia="宋体" w:cs="宋体"/>
                <w:color w:val="auto"/>
                <w:sz w:val="20"/>
                <w:szCs w:val="20"/>
                <w:highlight w:val="none"/>
                <w:lang w:bidi="ar"/>
              </w:rPr>
              <w:t xml:space="preserve">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1、尺寸:</w:t>
            </w:r>
            <w:r>
              <w:rPr>
                <w:rFonts w:hint="eastAsia" w:ascii="宋体" w:hAnsi="宋体" w:eastAsia="宋体" w:cs="宋体"/>
                <w:color w:val="auto"/>
                <w:sz w:val="20"/>
                <w:szCs w:val="20"/>
                <w:highlight w:val="none"/>
                <w:lang w:val="en-US" w:eastAsia="zh-CN" w:bidi="ar"/>
              </w:rPr>
              <w:t xml:space="preserve">11</w:t>
            </w:r>
            <w:r>
              <w:rPr>
                <w:rFonts w:hint="eastAsia" w:ascii="宋体" w:hAnsi="宋体" w:eastAsia="宋体" w:cs="宋体"/>
                <w:color w:val="auto"/>
                <w:sz w:val="20"/>
                <w:szCs w:val="20"/>
                <w:highlight w:val="none"/>
                <w:lang w:bidi="ar"/>
              </w:rPr>
              <w:t xml:space="preserve">00*2</w:t>
            </w:r>
            <w:r>
              <w:rPr>
                <w:rFonts w:hint="eastAsia" w:ascii="宋体" w:hAnsi="宋体" w:eastAsia="宋体" w:cs="宋体"/>
                <w:color w:val="auto"/>
                <w:sz w:val="20"/>
                <w:szCs w:val="20"/>
                <w:highlight w:val="none"/>
                <w:lang w:val="en-US" w:eastAsia="zh-CN" w:bidi="ar"/>
              </w:rPr>
              <w:t xml:space="preserve">1</w:t>
            </w:r>
            <w:r>
              <w:rPr>
                <w:rFonts w:hint="eastAsia" w:ascii="宋体" w:hAnsi="宋体" w:eastAsia="宋体" w:cs="宋体"/>
                <w:color w:val="auto"/>
                <w:sz w:val="20"/>
                <w:szCs w:val="20"/>
                <w:highlight w:val="none"/>
                <w:lang w:bidi="ar"/>
              </w:rPr>
              <w:t xml:space="preserve">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2、门扇材质:钢制门，带观察窗400*600；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3、含锁具合页等五金配件。</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2</w:t>
            </w:r>
            <w:r>
              <w:rPr>
                <w:rFonts w:hint="eastAsia" w:ascii="宋体" w:hAnsi="宋体" w:eastAsia="宋体" w:cs="宋体"/>
                <w:color w:val="auto"/>
                <w:sz w:val="20"/>
                <w:szCs w:val="20"/>
                <w:highlight w:val="none"/>
                <w:lang w:bidi="ar"/>
              </w:rPr>
              <w:t xml:space="preserve">.00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闭门器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四、空调部分</w:t>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1、空调设备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多联机室内机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1、设备名称：变制冷剂流量多联机室内机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2、形式：环绕气流嵌入式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3、额定制冷量：2.8kW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额定制热量：3.2kW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4、服务房间：暗室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多联机室内机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1、设备名称：变制冷剂流量多联机室内机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2、形式：环绕气流嵌入式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3、额定制冷量：12.5kW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额定制热量：14.0kW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4、服务房间：专家平台、平台1~4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多联机室内机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1、设备名称：变制冷剂流量多联机室内机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2、形式：环绕气流嵌入式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3、额定制冷量：14.0kW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额定制热量：16.0kW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4、服务房间：准备室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1、设备名称：变制冷剂流量多联机室外机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2、额定制冷量：137kW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制冷输入功率：37.2kw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3、额定制热量：150kW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制热输入功率：35.2kW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2、空调水管、阀门及附件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φ6.35/12.7mm、15mmB1级橡塑保温。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φ9.52/15.88mm、15mmB1级橡塑保温。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φ9.52/22.23mm、15mmB1级橡塑保温。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φ12.7/25.4mm、15mmB1级橡塑保温。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27.50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φ15.88/28.58mm、15mmB1级橡塑保温。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24.20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φ19.05/31.75mm、15mmB1级橡塑保温。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φ19.05/38.1mm、15mmB1级橡塑保温。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30.80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空调铜管分歧管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空调管路辅材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空调冷凝水管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2、介质:空调冷凝水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3、材质、规格:U-PVC De25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空调冷凝水管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2、介质:空调冷凝水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3、材质、规格:U-PVC De32</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4、连接形式:零件粘接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68.20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冷凝水管保温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B1级柔性发泡橡塑隔热板材 保温厚度 15mm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0.15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室外冷媒管桥架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1、名称：热镀锌桥架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2、规格：400X200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3、厚度：1.5mm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钢筋混凝土基础，含支模、钢筋混凝土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3、空调配电及控制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2、规格:ZB-BV-4mm²；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1、名称:低压电缆；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2、规格:YJY-(4×50+1×25)mm²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1.名称：屏蔽线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2.规格：RVVP-3×1mm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五、细胞房空调及净化部分</w:t>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1、空调设备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多联机室内机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1、设备名称：变制冷剂流量多联机室内机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2、形式：环绕气流嵌入式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3、额定制冷量：10kW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额定制热量：11.2kW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4、服务房间：细胞房A</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多联机室内机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1、设备名称：变制冷剂流量多联机室内机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2、形式：环绕气流嵌入式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3、额定制冷量：14kW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额定制热量：16kW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4、服务房间：细胞房B</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多联机室外机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1、设备名称：变制冷剂流量多联机室外机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2、额定制冷量：25.2kW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制冷输入功率：5.45kw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3、额定制热量：27kW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   制热输入功率：5.41kW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新风机组</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风量：1750m³/h</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制冷量：25kw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制热量：26.8kw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2、空调水管、阀门及附件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φ9.52/15.88mm、20mmB1级橡塑保温。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16.50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空调铜管及保温</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φ9.52/22.23mm、20mmB1级橡塑保温。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空调铜管分歧管等辅材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空调冷凝水管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2、介质:空调冷凝水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3、材质、规格:U-PVC De25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4、含保温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空调冷凝水管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2、介质:空调冷凝水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3、材质、规格:U-PVC De32</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4、含保温</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酚醛保温板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1、材质:酚醛保温板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2、形状:矩形</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电动对开多叶调节阀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规格：400×200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手动对开多叶调节阀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规格：320×200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余压阀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规格：320×200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止回阀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规格：320×200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管道式消声器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规格：L=800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双层百叶送风口</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规格：400×200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双层百叶送风口</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规格：300×200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1、名称：单层百叶排风口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2、规格：400X300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3、材质：ABS</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外墙防雨百叶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规格：400×320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柔性软接头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新风机组软接400×200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氟利昂</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99"/>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FFU</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500m³/h</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FFU</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1000m³/h</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3、空调设备配电及控制</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2、规格:ZB-BV-4mm²；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1、名称:低压电缆；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2、规格:YJV-5×4mm²</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信号线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1.名称：屏蔽线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2.规格：RVVP-3×1mm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线控器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配电箱元器件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六、配电、灯具部分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1、名称:LED平板灯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2、规格:1200*300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3、安装方式:吸顶安装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4、功率:40W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1、名称:LED平板灯(自带蓄电池)</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2、规格:1200*300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3、安装方式:吸顶安装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4、功率:40W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5、应急时间t≥90min</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1、名称:紫光灭菌灯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3、安装方式:吸顶安装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4、功率:30W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灯具</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1、名称:防爆灯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2、安装方式:吊装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3、功率:36W</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1、名称:单联单控开关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2、规格:250V/10A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3、安装方式:墙上暗装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1、名称:双联单控开关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2、规格:250V/10A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3、安装方式:墙上暗装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1、名称:三联单控开关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2、规格:250V/10A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3、安装方式:墙上暗装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1、名称:四联单控开关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2、规格:250V/10A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3、安装方式:墙上暗装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1、名称:双联双控开关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2、规格:250V/10A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3、安装方式:墙上暗装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2、型号、规格:ZB-BV-2.5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3、耐压等级(kV):0.45/0.75kV</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2031.48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1、名称:安全性3+2孔暗装插座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2、型号、规格:250V 10A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1、名称:安全型3孔插座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2、型号、规格:250V 16A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3、安装方式:暗装</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插座与工艺设备配电箱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1、名称:工艺设备插座配电箱</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2、材质:冷轧钢板 厚度不小于1.5mm 表面喷塑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3、安装高度:嵌墙安装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4、配电箱型号:PZ30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5、防护等级:IP3X</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1、名称:电线导线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2、型号、规格:ZB-BV-4</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3、电压等级(kV):0.45/0.75kV</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2745.60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1、名称:热镀锌桥架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2、型号、规格:100X100，壁厚满足国标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3、含部件及连接片螺栓等辅材，综合带盖</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312.40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桥架支吊架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1、热镀锌</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619.30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1、名称:电力电缆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2、型号、规格:ZB-YJV-5*10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190.30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1、名称:电力电缆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2、型号、规格:ZB-YJV-5*16</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3、电压等级(kV):0.6/1kV</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111.10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1、名称:KBG电线管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2、规格:Φ20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492.80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1、名称:KBG电线管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2、规格:Φ40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29.04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线管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1、名称:KBG电线管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2、规格:Φ50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3、配置形式:暗配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电缆接头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1、名称:电缆接头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2、规格:16mm2</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1、绝缘胶带、管卡、轧带等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2、膨胀螺栓、角钢、方钢等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3、满足国标要求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七、弱电部分</w:t>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1、综合布线系统设备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1、规格：86*86 面板，双口；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2、遵循标准：ISO/IEC 11801、TIA/EIA 568、JB/T 8593、UL94 V-0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3、性能要求：前后双层组合互扣式设计，防尘门内置高筋弹簧，防止灰尘堆积及液体滴渗</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4、结构要求：边角柔性设计，安装固定螺丝内置，</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5、产品应用：可安装超五类、六类、增强六类非屏蔽及屏蔽数据模块，语音模块，光纤适配器等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6、其他：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a：嵌入式面框，安装、拆卸方便；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b：带有防护门，防尘；</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c：带有标识方便识别；</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d：适用于多类模块和多媒体接口；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e：采用优质塑料ABS；</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六类非屏蔽模块</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1、内芯为磷青铜50μm镀金：模块≧1000，次IDC≥600次打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2、匹配线规：22－24AWG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3、卡接次数线方式：T568A或B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4、强度要求：耐抗击强冲击</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5、阻燃级别：CM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6、工作温度：-20℃~75℃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7、满足标准：EIA/TIA Cat6，ISO/IEC Class EA标准，满足 10G Base-T万兆应用</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8、设备型号：CP31-131-24-S</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六类非屏蔽跳线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1、机制注塑,插拔次数≥1000次；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2、水晶头：PC材质，8个金属片采用黄铜镀镍100U"，触点50μm镀金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3、结构：内芯为无氧铜，线径为24AWG，十字骨架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4、工作温度：-20℃~75℃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5、物理承载：最大承受能力110N最小弯曲半径4倍外径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6、支持带宽：满足六类250MHz，最大支持550MHz，并向下兼容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7、长度：可定制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8、产品符合ANSI/TIA568C-2测试要求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1、结构：内芯为无氧铜，缆芯内0.57mm，外径6.4mm~6.6mm，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2、电气性能：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a、 特性阻抗：（f：1-550MHz）100±15Ω</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b、 最大导体电流电阻：7.55Ω/100m，绝缘电阻（最小值）：500MΩ/305m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c、 最大直流电阻不平衡：≤ 2.5%，工作电容：5.6nf/100米</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d、 传输速率：70%，额定传输速率（NVP）：69%</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e、 传输延迟：501ns/100m，延迟偏差：25ns/100m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2508.00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1、六类非屏蔽水晶头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2、产品符合YD/T1272、1-2003、YD/T1258、3-2009、GB/T12357、1-2004标准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连接器采用句型结构及弹性卡子锁紧结构,防拉设计，防腐蚀主体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低损耗连接，高反射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双芯和多芯组件适用于标准及定制构型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多模OM1\OM2\OM3\OM4</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采用进口PC塑胶，透明度高，折弯次数20次以上；</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金片采用黄铜镀镍100U"，接触点镀金50U"；</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环保：符合ROHS环保要求；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尺寸符合FCC 68.500国际通用标准；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支持T568A和T568B端接线序；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满足24AWG和26AWG线缆接线大小；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适用温度：-20℃至75℃；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支持带宽：满足六类250MHz，并向下兼容；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设备型号：CP13-111-11</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配线架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1、规格：24口RJ45快接式配线架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2、六类非屏蔽配线架应带有托线理线架，以便更好的保持线缆性能；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3、配线架应该符合及达到以下的应用：10 Mbps以太网、100 Mbps，1000 Mbps以太网。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4、每组模块都可以单独更换。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5、通用线序标签支持T568A和T568B端接线序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6、产品上刻有商标，1U高度，模组满配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1、规格：12槽铁质理线架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2、冷扎钢板，表面喷塑，侧面各有12槽沟，以便更好的保持线缆性能；</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3、满足标准：EIA/TIA-568-C-2，ISO/IEC 11801 Class EA标准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4、产品上刻有商标，1U高度</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24口光配架（含LC法兰）</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1、产品符合YD/T 778-2011 《光纤配线架》行业标准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2、该产品内具有充裕的冗余光纤盘绕空间；在规范的施工条件下，可保证光纤以及尾纤的最小弯曲半径不小于R30mm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3、支持SC、LC、FC、ST四种通用连接器的安装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4、可实现室外/室内光缆的进线成端及固定和接地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5、盒体选用优质冷轧钢板制作，表面采用黑色</w:t>
            </w:r>
            <w:r>
              <w:rPr>
                <w:rFonts w:hint="eastAsia" w:ascii="宋体" w:hAnsi="宋体" w:eastAsia="宋体" w:cs="宋体"/>
                <w:color w:val="auto"/>
                <w:highlight w:val="none"/>
                <w:lang w:val="en-US" w:eastAsia="zh-CN"/>
              </w:rPr>
              <w:t xml:space="preserve">哑</w:t>
            </w:r>
            <w:r>
              <w:rPr>
                <w:rFonts w:hint="eastAsia" w:ascii="宋体" w:hAnsi="宋体" w:eastAsia="宋体" w:cs="宋体"/>
                <w:color w:val="auto"/>
                <w:sz w:val="20"/>
                <w:szCs w:val="20"/>
                <w:highlight w:val="none"/>
                <w:lang w:bidi="ar"/>
              </w:rPr>
              <w:t xml:space="preserve">光粉末喷涂。符合GB/T4054-2008中规定外观等级二级要求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6、表面涂覆层附着力要求不低于GB/T9286-1998标准表一中2及要求</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7、分线盒中非金属零件阻燃满足蓝色火焰（20±2）mm，燃烧两次，每次30S，两次间隔10min，试样离火后持续燃烧时间小于30S，且铺底层不燃烧</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8、通过第三方权威检验机构性能检测</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LC单模尾纤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光配架配套熔接尾纤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LC-LC跳线5米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1、产品符合YD/T1272.1-2003、YD/T1258.3-2009、GB/T12357.1-2004标准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2、连接器采用</w:t>
            </w:r>
            <w:r>
              <w:rPr>
                <w:rFonts w:hint="eastAsia" w:ascii="宋体" w:hAnsi="宋体" w:eastAsia="宋体" w:cs="宋体"/>
                <w:color w:val="auto"/>
                <w:highlight w:val="none"/>
                <w:lang w:val="en-US" w:eastAsia="zh-CN"/>
              </w:rPr>
              <w:t xml:space="preserve">矩</w:t>
            </w:r>
            <w:r>
              <w:rPr>
                <w:rFonts w:hint="eastAsia" w:ascii="宋体" w:hAnsi="宋体" w:eastAsia="宋体" w:cs="宋体"/>
                <w:color w:val="auto"/>
                <w:sz w:val="20"/>
                <w:szCs w:val="20"/>
                <w:highlight w:val="none"/>
                <w:lang w:bidi="ar"/>
              </w:rPr>
              <w:t xml:space="preserve">型结构及弹性卡子锁紧结构,防拉设计，防腐蚀主体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3、低损耗连接，高反射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4、双芯和多芯组件适用于标准及定制构型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5、单模OS2</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千兆单模模块</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光模块-eSFP-GE-单模模块(1310nm,10km,LC）</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8芯单模室内光纤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1、产品符合YD/T1258、4等标准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2、采用进口芳纶加强元件，保证光缆的优异的抗拉及阻燃性能</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弱电机柜</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名称：15U</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规格尺寸:600*600*768mm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材质：冷轧钢，方孔条1.5mm，其余1.2mm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10A*8国标孔2米线，铝合金外壳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2、信息网络管理系统设备</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POE供电</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3、安全技术防范系统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1、焦距2.8mm；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2、清晰度：1080P，带红外夜视功能</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洁净半球摄像机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名称：500万 1/2.7" CMOS ICR日夜型半球型网络摄像机</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智能侦测：越界侦测，区域入侵侦测</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最低照度: 彩色：0.005 Lux @（F1.2，AGC ON），黑白：0 Lux with IR</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宽动态: 120 dB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调节角度: 水平：0°~360°，垂直：0°~75°，旋转：0°~360°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补光灯类型: 红外灯</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补光距离: 最远可达30 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红外波长范围: 850 nm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防补光过曝: 支持</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最大图像尺寸: 2560 × 1920</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视频压缩标准: 主码流：H.265/H.264</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网络存储: 支持NAS（NFS，SMB/CIFS均支持），支持Micro SD(即TF卡)/Micro SDHC/Micro SDXC卡（最大256 GB）</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音频: 1个内置麦克风；1路输入（Line in），1路输出（Line out）</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报警: 1路输入，1路输出（报警输出最大支持DC12 V，30 mA）</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网络: 1个RJ45 10 M/100 M自适应以太网口电源输出: 支持DC12 V，100 mA电源输出，建议用于拾音器供电.存储温湿度: -30 ℃~60 ℃，湿度小于95%（无凝结）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启动及工作温湿度: -30 ℃~60 ℃，湿度小于95%（无凝结）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供电方式: DC：12 V ± 25%，支持防反接保护；PoE：802.3af，Class 3</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电流及功耗: DC：12 V，0.54 A，最大功耗：6.5 W；PoE：802.3af，36 V~57 V，0.20 A ~0.13 A，最大功耗：7.5 W</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电源接口类型: Ø5.5 mm圆口</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产品尺寸: Ø127.3 × 96.8 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包装尺寸: 150 × 150 × 141 mm </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设备重量: 360 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带包装重量: 580 g</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防护: IP66</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16双盘位硬盘录像机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10T硬盘，按照清单内摄像机数量，配置60天存储</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门禁系统（一体机）</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bidi="ar"/>
              </w:rPr>
              <w:t xml:space="preserve">指纹门禁机、带人脸识别、门禁专用电源、磁力锁等</w:t>
            </w:r>
            <w:r>
              <w:rPr>
                <w:rFonts w:hint="eastAsia" w:ascii="宋体" w:hAnsi="宋体" w:eastAsia="宋体" w:cs="宋体"/>
                <w:color w:val="auto"/>
                <w:sz w:val="20"/>
                <w:szCs w:val="20"/>
                <w:highlight w:val="none"/>
                <w:lang w:eastAsia="zh-CN" w:bidi="ar"/>
              </w:rPr>
              <w:t xml:space="preserve">，</w:t>
            </w:r>
            <w:r>
              <w:rPr>
                <w:rFonts w:hint="eastAsia" w:ascii="宋体" w:hAnsi="宋体" w:eastAsia="宋体" w:cs="宋体"/>
                <w:color w:val="auto"/>
                <w:sz w:val="20"/>
                <w:szCs w:val="20"/>
                <w:highlight w:val="none"/>
                <w:lang w:val="en-US" w:eastAsia="zh-CN" w:bidi="ar"/>
              </w:rPr>
              <w:t xml:space="preserve">需接入学校监控及门禁系统。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rPr>
                <w:rFonts w:hint="eastAsia" w:ascii="宋体" w:hAnsi="宋体" w:eastAsia="宋体" w:cs="宋体"/>
                <w:color w:val="auto"/>
                <w:sz w:val="20"/>
                <w:szCs w:val="20"/>
                <w:highlight w:val="none"/>
                <w:lang w:val="en-US" w:eastAsia="zh-CN" w:bidi="ar"/>
              </w:rPr>
              <w:t xml:space="preserve">7</w:t>
            </w:r>
            <w:r>
              <w:rPr>
                <w:rFonts w:hint="eastAsia" w:ascii="宋体" w:hAnsi="宋体" w:eastAsia="宋体" w:cs="宋体"/>
                <w:color w:val="auto"/>
                <w:sz w:val="20"/>
                <w:szCs w:val="20"/>
                <w:highlight w:val="none"/>
                <w:lang w:bidi="ar"/>
              </w:rPr>
              <w:t xml:space="preserve">.00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4、弱电系统安装材料</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门禁出门按钮线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1、ZR-RVV2*1.0，护套信号电缆</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2、耐压等级0.3kV/0.3kV</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主干电源线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低烟无卤阻燃，YJV3*4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读卡器信号线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1、机制注塑,插拔次数≥1000次；</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2、水晶头：PC材质，8个金属片采用黄铜镀镍100U"，触点50μm镀金</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3、结构：内芯为无氧铜，线径为24AWG，十字骨架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4、工作温度：-20℃~75℃</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5、物理承载：最大承受能力110N最小弯曲半径4倍外径</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6、支持带宽：满足六类250MHz，最大支持550MHz，并向下兼容</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7、长度：可定制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8、产品符合ANSI/TIA568C-2测试要求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φ20KBG导管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356.40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1、名称:热镀锌桥架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2、型号、规格:100X100，壁厚满足国标</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3、含部件及连接片螺栓等辅材，综合带盖</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桥架支吊架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热镀锌</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237.60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PVC 86型</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软管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PE 25/20软管</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螺丝.弯管.接头.墙卡.标签.魔术贴.轧带.</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软管.接线端子等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八、气路部分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半自动切换带吹扫</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1、说明：全压实现自动切换功能，两颗减压阀体，两个进气压力表，一个出气压力表，无出口二级减压，带排空吹扫，排空吹扫阀为不锈钢隔膜阀，进气最大压力：3000PSI,出气切换压力：250PSI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半自动切换带吹扫(3+4)</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1、说明：全压实现自动切换功能，两颗减压阀体，两个进气压力表，一个出气压力表，无出口二级减压，带排空吹扫，排空吹扫阀为不锈钢隔膜阀，进气最大压力：3000PSI,出气切换压力：250PSI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高压软管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工作压力300bar，进口气螺纹1/4FNPT，材质:316La  长度;1M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钢瓶接头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G5/8-RH接头，要求耐压：300bar，材质-316L</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双外丝</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SS-HN-MNT4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减压器接头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1/4NPT-1/2卡套  耐压1000PSI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二级减压阀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单表采用特气单级式减压， 母体与膜片采用硬密封形式</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，母体螺纹：1/4”NPT(F)，内部结构易吹扫， 内设双层过滤网，出气压力可调：0-1MP/0-1.6MP</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卡套球阀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SS-BVL-TF4   进出气1/4卡套，耐压1001PSI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MC接头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SS-MC-NT4-TF4   耐压1000PSI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卡套三通</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SS-UT-TF4      耐压1000PSI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终端转接头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1/4光管-定制  耐压1000PSI</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316L-BA-1/4   壁厚：0.89MM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316L-BA-3/8   壁厚：0.89MM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316L-BA-1/2   壁厚：1.24MM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焊接三通</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  耐压3000PSI   焊接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焊接变径三通</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3/8-1/4-3/8  耐压3000PSI   焊接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焊接变径三通</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1/2-3/8-1/2  耐压3000PSI   焊接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焊接大小头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1/4-3/8 耐压3000PSI   焊接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焊接大小头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1/2-3/8 耐压3000PSI   焊接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安装面板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170*70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管夹</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  铝合金</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管夹</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3/8  铝合金</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管夹</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  铝合金</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铝型材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30*30mm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普通</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氧气浓度探测器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测氧气浓度</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低压报警控制箱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液晶数显</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浓度报警控制箱</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实现声光报警，总线12路</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三芯屏蔽电缆线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RVVP-3*0.5mm2</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九、给排水部分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塑料管(PP-R管)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2、介质:给水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3、材质、规格:PPR φ32</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44.00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塑料管(PP-R管)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2、介质:给水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3、材质、规格:PPR φ25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39.60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塑料管(PP-R管)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2、介质:给水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3、材质、规格:PPR φ20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96.80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PPR塑料管辅材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1、三通、直接、90度弯头等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PPR截止阀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φ32</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不锈钢角阀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DN15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地漏</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塑料管(PE排水管)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2、介质:排水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3、材质、规格:PE φ50</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90.20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塑料管(PE排水管)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1、安装部位:室内</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2、介质:排水</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3、材质、规格:PE φ75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PE塑料管辅材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1、三通、直接、90度弯头等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1、部位：楼板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2、打洞部位材质：钢筋混凝土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3、洞尺寸：φ50mm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1、部位：楼板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2、打洞部位材质：钢筋混凝土</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3、洞尺寸：φ20mm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1.材质：PVC</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2.管架形式：吊架</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一层排水管道土方开挖及修复</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1、部位：楼板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2、打洞部位材质：钢筋混凝土</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辅材五金</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管卡，管接，弯头等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十、纯化水部分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纯水管道</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Φ25*1.5，SUS304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173.80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隔膜阀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隔膜阀 Φ25*1.5，SUS304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U 型弯</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 U 型弯 Φ25*1.5，SUS304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取样阀</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取样阀 Φ8，SUS304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端头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焊接端头 Φ25*1.5，SUS304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弯头</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焊接弯头 Φ25*1.5，SUS304</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25.00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卡箍</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卡箍 Φ25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管支架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管支架 Φ25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开孔</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1、部位：墙体</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2、打洞部位材质：砖墙</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3、洞尺寸：φ20mm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穿墙套管</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穿墙套管Φ25</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纯水管道+辅材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安装辅材 焊丝，氩气，抛光耗材，自攻螺丝等</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纯水管道+辅材</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酸洗钝化</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8号楼</w:t>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一、拆除</w:t>
            </w:r>
            <w:r>
              <w:rPr>
                <w:rFonts w:hint="eastAsia" w:ascii="宋体" w:hAnsi="宋体" w:eastAsia="宋体" w:cs="宋体"/>
                <w:b/>
                <w:bCs/>
                <w:color w:val="auto"/>
                <w:sz w:val="20"/>
                <w:szCs w:val="20"/>
                <w:highlight w:val="none"/>
                <w:lang w:val="en-US" w:eastAsia="zh-CN" w:bidi="ar"/>
              </w:rPr>
              <w:t xml:space="preserve">及搬迁</w:t>
            </w:r>
            <w:r>
              <w:rPr>
                <w:rFonts w:hint="eastAsia" w:ascii="宋体" w:hAnsi="宋体" w:eastAsia="宋体" w:cs="宋体"/>
                <w:b/>
                <w:bCs/>
                <w:color w:val="auto"/>
                <w:sz w:val="20"/>
                <w:szCs w:val="20"/>
                <w:highlight w:val="none"/>
                <w:lang w:bidi="ar"/>
              </w:rPr>
              <w:t xml:space="preserve">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原钢木试验台拆除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1、钢木试验台；</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彩钢板拆除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1、原建筑内部彩钢板拆除；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墙面瓷砖拆除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1、原墙面瓷砖拆除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554.40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墙面乳胶漆铲除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1、原墙面乳胶漆、腻子基层铲除</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475.20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原地面PVC拆除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1、原地面PVC及混凝土找平层拆除；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原玻璃门拆除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1、原教室玻璃门拆除</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2、含不锈钢门套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原气路拆除</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1、原建筑内部</w:t>
            </w:r>
            <w:r>
              <w:rPr>
                <w:rFonts w:hint="eastAsia" w:ascii="宋体" w:hAnsi="宋体" w:eastAsia="宋体" w:cs="宋体"/>
                <w:color w:val="auto"/>
                <w:sz w:val="20"/>
                <w:szCs w:val="20"/>
                <w:highlight w:val="none"/>
                <w:lang w:val="en-US" w:eastAsia="zh-CN" w:bidi="ar"/>
              </w:rPr>
              <w:t xml:space="preserve">气路</w:t>
            </w:r>
            <w:r>
              <w:rPr>
                <w:rFonts w:hint="eastAsia" w:ascii="宋体" w:hAnsi="宋体" w:eastAsia="宋体" w:cs="宋体"/>
                <w:color w:val="auto"/>
                <w:sz w:val="20"/>
                <w:szCs w:val="20"/>
                <w:highlight w:val="none"/>
                <w:lang w:bidi="ar"/>
              </w:rPr>
              <w:t xml:space="preserve">拆除；2、人工</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原室内实验设备搬迁</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val="en-US" w:eastAsia="zh-CN" w:bidi="ar"/>
              </w:rPr>
              <w:t xml:space="preserve">1、学校指定实验设备搬迁至6号楼</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lang w:val="en-US" w:eastAsia="zh-CN" w:bidi="ar"/>
              </w:rPr>
            </w:pPr>
            <w:r>
              <w:rPr>
                <w:rFonts w:hint="eastAsia" w:ascii="宋体" w:hAnsi="宋体" w:eastAsia="宋体" w:cs="宋体"/>
                <w:color w:val="auto"/>
                <w:sz w:val="20"/>
                <w:szCs w:val="20"/>
                <w:highlight w:val="none"/>
                <w:lang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二、顶面部分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铝扣板吊顶</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1、名称：铝扣板</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2、规格：600*600*1.0mm</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原铝扣板吊顶更换</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1、原实验室铝扣板吊顶损坏处更换，</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2、龙骨不变，更换面板</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79.20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三、墙面部分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墙面乳胶漆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1、基层清理，墙面满刮腻子找平二遍（接缝处贴6*6mm纤维网格布）+乳胶漆两遍。</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1188.00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四、地面部分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1、黑色不锈钢踢脚线，60mm高，1.0mm厚</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2、含粘贴层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踢脚线基层处理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1、9mm木工板基层</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88.00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800*800防滑地砖</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1、800*800mm防滑地砖</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2、含水泥黄沙等辅材</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地砖美缝处理</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1、美缝剂美缝处理</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105.60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门槛石</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1、宽度30cm以内，1M标准，不足1M按1M计算，含辅材及人工</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2、黑金沙大理石</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3.00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Pr>
        <w:tc>
          <w:tcPr>
            <w:gridSpan w:val="6"/>
            <w:shd w:val="clear" w:color="auto" w:fill="auto"/>
            <w:tcBorders>
              <w:top w:val="single" w:color="000000" w:sz="4" w:space="0"/>
              <w:left w:val="single" w:color="000000" w:sz="4" w:space="0"/>
              <w:bottom w:val="single" w:color="000000" w:sz="4" w:space="0"/>
              <w:right w:val="single" w:color="000000" w:sz="4" w:space="0"/>
            </w:tcBorders>
            <w:tcW w:w="821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lang w:bidi="ar"/>
              </w:rPr>
              <w:t xml:space="preserve">五、门窗部分</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木质单开门</w:t>
            </w:r>
            <w:r/>
          </w:p>
        </w:tc>
        <w:tc>
          <w:tcPr>
            <w:shd w:val="clear" w:color="auto" w:fill="auto"/>
            <w:tcBorders>
              <w:top w:val="single" w:color="000000" w:sz="4" w:space="0"/>
              <w:left w:val="single" w:color="000000" w:sz="4" w:space="0"/>
              <w:bottom w:val="single" w:color="000000" w:sz="4" w:space="0"/>
              <w:right w:val="single" w:color="000000" w:sz="4" w:space="0"/>
            </w:tcBorders>
            <w:tcW w:w="3093"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1、1000mm*2100mm，</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2、含门套、门锁、合页等五金配件，</w:t>
            </w:r>
            <w:r>
              <w:rPr>
                <w:rFonts w:hint="eastAsia" w:ascii="宋体" w:hAnsi="宋体" w:eastAsia="宋体" w:cs="宋体"/>
                <w:color w:val="auto"/>
                <w:sz w:val="20"/>
                <w:szCs w:val="20"/>
                <w:highlight w:val="none"/>
                <w:lang w:bidi="ar"/>
              </w:rPr>
              <w:br/>
            </w:r>
            <w:r>
              <w:rPr>
                <w:rFonts w:hint="eastAsia" w:ascii="宋体" w:hAnsi="宋体" w:eastAsia="宋体" w:cs="宋体"/>
                <w:color w:val="auto"/>
                <w:sz w:val="20"/>
                <w:szCs w:val="20"/>
                <w:highlight w:val="none"/>
                <w:lang w:bidi="ar"/>
              </w:rPr>
              <w:t xml:space="preserve">3、带观察窗</w:t>
            </w:r>
            <w:r/>
          </w:p>
        </w:tc>
        <w:tc>
          <w:tcPr>
            <w:shd w:val="clear" w:color="auto" w:fill="auto"/>
            <w:tcBorders>
              <w:top w:val="single" w:color="000000" w:sz="4" w:space="0"/>
              <w:left w:val="single" w:color="000000" w:sz="4" w:space="0"/>
              <w:bottom w:val="single" w:color="000000" w:sz="4" w:space="0"/>
              <w:right w:val="single" w:color="000000" w:sz="4" w:space="0"/>
            </w:tcBorders>
            <w:tcW w:w="62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bl>
    <w:p>
      <w:pPr>
        <w:ind w:left="0" w:right="0" w:firstLine="482"/>
        <w:jc w:val="left"/>
        <w:keepLines w:val="0"/>
        <w:keepNext w:val="0"/>
        <w:pageBreakBefore w:val="0"/>
        <w:spacing w:line="480" w:lineRule="atLeast"/>
        <w:widowControl/>
        <w:rPr>
          <w:rFonts w:hint="eastAsia" w:ascii="宋体" w:hAnsi="宋体" w:eastAsia="宋体" w:cs="宋体"/>
          <w:b/>
          <w:bCs/>
          <w:color w:val="auto"/>
          <w:sz w:val="24"/>
          <w:highlight w:val="none"/>
          <w:lang w:bidi="ar"/>
        </w:rPr>
        <w:outlineLvl w:val="0"/>
      </w:pPr>
      <w:r>
        <w:rPr>
          <w:rFonts w:hint="eastAsia" w:ascii="宋体" w:hAnsi="宋体" w:eastAsia="宋体" w:cs="宋体"/>
          <w:b/>
          <w:bCs/>
          <w:color w:val="auto"/>
          <w:sz w:val="24"/>
          <w:highlight w:val="none"/>
          <w:lang w:bidi="ar"/>
        </w:rPr>
        <w:t xml:space="preserve">（二）配置及技术总体要求说明：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本次项目招标范围为</w:t>
      </w:r>
      <w:r>
        <w:rPr>
          <w:rFonts w:hint="eastAsia" w:ascii="宋体" w:hAnsi="宋体" w:eastAsia="宋体" w:cs="宋体"/>
          <w:color w:val="auto"/>
          <w:sz w:val="24"/>
          <w:highlight w:val="none"/>
          <w:lang w:eastAsia="zh-CN" w:bidi="ar"/>
        </w:rPr>
        <w:t xml:space="preserve">为南通大学启秀校区6号楼1楼、8号楼1楼实验室改造项目</w:t>
      </w:r>
      <w:r>
        <w:rPr>
          <w:rFonts w:hint="eastAsia" w:ascii="宋体" w:hAnsi="宋体" w:eastAsia="宋体" w:cs="宋体"/>
          <w:color w:val="auto"/>
          <w:sz w:val="24"/>
          <w:highlight w:val="none"/>
          <w:lang w:bidi="ar"/>
        </w:rPr>
        <w:t xml:space="preserve">,具体内容包括：中央实验台、靠边实验台、转角实验台、试剂架、通风柜、水槽、龙头等设备，实验室配套水配件等</w:t>
      </w:r>
      <w:r>
        <w:rPr>
          <w:rFonts w:hint="eastAsia" w:ascii="宋体" w:hAnsi="宋体" w:eastAsia="宋体" w:cs="宋体"/>
          <w:b/>
          <w:bCs/>
          <w:color w:val="auto"/>
          <w:sz w:val="24"/>
          <w:highlight w:val="none"/>
          <w:lang w:bidi="ar"/>
        </w:rPr>
        <w:t xml:space="preserve">供货范围及清单详见清单和图纸</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说明：本技术要求提出的是最低限度的技术条件。供应商应注意在技术要求中如果出现了建议品牌或规格型号，其目的是方便供应商直观和准确地把握相应材料和设备的技术标准，不具指定或唯一的意思表示，供应商应当参考所列建议品牌的材料和设备，提供相当于或高于所列品牌技术标准的材料和设备。 </w:t>
      </w:r>
      <w:r/>
    </w:p>
    <w:p>
      <w:pPr>
        <w:ind w:left="0" w:right="0" w:firstLine="482"/>
        <w:jc w:val="left"/>
        <w:keepLines w:val="0"/>
        <w:keepNext w:val="0"/>
        <w:pageBreakBefore w:val="0"/>
        <w:spacing w:line="480" w:lineRule="atLeas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 xml:space="preserve">二、</w:t>
      </w:r>
      <w:r>
        <w:rPr>
          <w:rFonts w:hint="eastAsia" w:ascii="宋体" w:hAnsi="宋体" w:eastAsia="宋体" w:cs="宋体"/>
          <w:b/>
          <w:bCs/>
          <w:color w:val="auto"/>
          <w:sz w:val="24"/>
          <w:highlight w:val="none"/>
          <w:lang w:bidi="ar"/>
        </w:rPr>
        <w:t xml:space="preserve">采购标的需执行的国家相关标准、行业标准、地方标准或者其他标准、规范</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产品符合标准（以下标准规范如有更新替代，按最新的执行）：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1.《科研建筑设计标准》JGJ91-2019；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2.《实验室家具通用技术条件》GB24820-2009；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3.《金属家具通用技术条件》GB/T3325-2017；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4.《金属家具质量检验及质量评审》QB/T1951.2-2013；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5.《人造板及饰面人造板理化性能试验方法》GB/T17657-2022；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6.《教学实验室设备实验台(桌)的安全要求及试验方法》GB/T21747-2008；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7.《室内装饰装修材料人造板及其制品中甲醛释放限量》GB/T18580-2017；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8.《木家具通用技术条件》GB/T 3324-2017；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9.《施工现场临时用电安全技术规范》JGJ46-2005；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10《室内装饰装修材料木家具中有害物质限量》GB 18584-2001；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11.《室内装饰装修材料人造板及其制品中甲醛释放限量》GB/T18580-2017；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 xml:space="preserve">12.《建筑施工场界环境噪声排放标准》GB12523-2011</w:t>
      </w:r>
      <w:r>
        <w:rPr>
          <w:rFonts w:hint="eastAsia" w:ascii="宋体" w:hAnsi="宋体" w:eastAsia="宋体" w:cs="宋体"/>
          <w:color w:val="auto"/>
          <w:sz w:val="24"/>
          <w:highlight w:val="none"/>
          <w:lang w:eastAsia="zh-CN" w:bidi="ar"/>
        </w:rPr>
        <w:t xml:space="preserve">；</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13.其他与项目有关的标准。</w:t>
      </w:r>
      <w:r>
        <w:rPr>
          <w:rFonts w:hint="eastAsia" w:ascii="宋体" w:hAnsi="宋体" w:eastAsia="宋体" w:cs="宋体"/>
          <w:color w:val="auto"/>
          <w:sz w:val="24"/>
          <w:highlight w:val="none"/>
          <w:lang w:bidi="ar"/>
        </w:rPr>
        <w:t xml:space="preserve">  </w:t>
      </w:r>
      <w:r/>
    </w:p>
    <w:p>
      <w:pPr>
        <w:ind w:left="0" w:right="0" w:firstLine="482"/>
        <w:keepLines w:val="0"/>
        <w:keepNext w:val="0"/>
        <w:pageBreakBefore w:val="0"/>
        <w:spacing w:line="480" w:lineRule="atLeast"/>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lang w:val="en-US" w:eastAsia="zh-CN"/>
        </w:rPr>
        <w:t xml:space="preserve">三、</w:t>
      </w:r>
      <w:r>
        <w:rPr>
          <w:rFonts w:hint="eastAsia" w:ascii="宋体" w:hAnsi="宋体" w:eastAsia="宋体" w:cs="宋体"/>
          <w:b/>
          <w:bCs/>
          <w:color w:val="auto"/>
          <w:sz w:val="24"/>
          <w:szCs w:val="32"/>
          <w:highlight w:val="none"/>
        </w:rPr>
        <w:t xml:space="preserve">采购标的需满足的质量、安全、技术规格、物理特性等要求</w:t>
      </w:r>
      <w:r/>
    </w:p>
    <w:p>
      <w:pPr>
        <w:numPr>
          <w:ilvl w:val="0"/>
          <w:numId w:val="2"/>
        </w:numPr>
        <w:ind w:left="0" w:right="0" w:firstLine="482"/>
        <w:jc w:val="left"/>
        <w:keepLines w:val="0"/>
        <w:keepNext w:val="0"/>
        <w:pageBreakBefore w:val="0"/>
        <w:spacing w:line="480" w:lineRule="atLeast"/>
        <w:tabs>
          <w:tab w:val="left" w:pos="840" w:leader="none"/>
        </w:tabs>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实验家具技术参数</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t xml:space="preserve">（1）实验台：</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ab/>
      </w:r>
      <w:r>
        <w:rPr>
          <w:rFonts w:hint="eastAsia" w:ascii="宋体" w:hAnsi="宋体" w:eastAsia="宋体" w:cs="宋体"/>
          <w:b/>
          <w:color w:val="auto"/>
          <w:sz w:val="24"/>
          <w:highlight w:val="none"/>
        </w:rPr>
        <w:t xml:space="preserve">1.1实验台结构强度和性能特征</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1.总体要求：符合GB/T 24820-2024实验室家具通用技术条件要求；</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外观及理化性能要求：金属件：焊接件应无脱焊、虚焊、焊穿、错位，焊接件应无夹渣、气孔、焊瘤、焊丝头、咬边、飞溅，焊接处表面波纹应均匀，冲压件应无脱层、裂缝，喷涂层应无漏喷、锈蚀和脱色、掉色现象，涂层应光滑均匀，色泽一致，应无流挂、疙瘩、皱皮、飞漆等缺陷；表面金属喷漆（塑）涂层：硬度≥H；冲击强度：冲击高度400m，应无剥落，裂纹、皱纹；耐腐蚀：100h内，观察在溶液中样板上划道两侧3mm以外，应无鼓泡产生；</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3.环保性能要求：金属件喷涂层重金属物检测要求硒、汞、铅、锑、镉、铬、砷、邻苯二甲酸苯基丁酯(BBP) 、邻苯二甲酸二(2-乙基)己酯(DEHP)、邻苯二甲酸二正辛酯（DNOP）均未检出；钢制柜体甲醛释放量≤0.005mg/m³；</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4.物理性能要求：</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柜加载试验水平加载承重≥900kg；</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4.2 柜集中加载试验≥90kg；</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4.3 柜扭曲试验≥90kg保持24小时，无永久损坏现象；</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4.4 门冲击试验≥9kg后开启的门无永久损坏；</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 门循环试验≥10万次，门应操作顺畅无阻滞；</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4.6 抽屉静载试验≥68kg，应无干扰抽屉正常操作的永久性损伤；</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4.7 拉手试验≥22.68kg，测试后没有严重的永久变形；</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4.8 抽屉滚动冲击试验≥4kg冲击抽屉背部，抽屉应没有永久变形现象，所有工艺应完整，抽屉应能正常操作；</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4.9 底柜搁板试验≥90kg；</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4.10 热水试验冷却擦干后，漆面应无热水导致的明显影响；</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4.11 漆面冲击试验后肉眼观察漆面应没有因冲击产生的裂纹或龟裂。</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5.1 柜体：主体采用≥1.0mm优质冷轧钢板机加工而成，表层双面磷化采用环氧树脂粉末静电喷涂，防腐处理，强吸附、抗酸碱，钢板内部加钢衬，提高整体承重性及抗冲击能力，</w:t>
      </w:r>
      <w:r>
        <w:rPr>
          <w:rFonts w:hint="eastAsia" w:ascii="宋体" w:hAnsi="宋体" w:eastAsia="宋体" w:cs="宋体"/>
          <w:bCs/>
          <w:color w:val="auto"/>
          <w:sz w:val="24"/>
          <w:highlight w:val="none"/>
          <w:lang w:bidi="ar"/>
        </w:rPr>
        <w:t xml:space="preserve">喷涂钢板耐腐蚀性能符合JB/T 7901-2023标准要求：至少包含浓硫酸、王水、氟酸等化学试剂的检测；</w:t>
      </w:r>
      <w:r/>
    </w:p>
    <w:p>
      <w:pPr>
        <w:pStyle w:val="880"/>
        <w:ind w:left="0" w:right="0" w:firstLine="480"/>
        <w:jc w:val="both"/>
        <w:keepLines w:val="0"/>
        <w:keepNext w:val="0"/>
        <w:pageBreakBefore w:val="0"/>
        <w:spacing w:before="0" w:beforeAutospacing="0" w:after="0" w:afterAutospacing="0" w:line="48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5.2 抽屉：主体采用≥1.0mm优质冷轧钢板,其余材质同柜体；</w:t>
      </w:r>
      <w:r/>
    </w:p>
    <w:p>
      <w:pPr>
        <w:pStyle w:val="880"/>
        <w:ind w:left="0" w:right="0" w:firstLine="480"/>
        <w:jc w:val="both"/>
        <w:keepLines w:val="0"/>
        <w:keepNext w:val="0"/>
        <w:pageBreakBefore w:val="0"/>
        <w:spacing w:before="0" w:beforeAutospacing="0" w:after="0" w:afterAutospacing="0" w:line="48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5.3 门板：主体采用≥1.0mm优质冷轧钢板,其余材质同柜体。表层双面酸洗磷化环氧树脂粉末静电喷涂，防腐处理，内板夹层装置加强筋，增强抗压性。内侧设有防撞橡胶垫，对抽屉、门板闭合起减震作用；</w:t>
      </w:r>
      <w:r/>
    </w:p>
    <w:p>
      <w:pPr>
        <w:pStyle w:val="880"/>
        <w:ind w:left="0" w:right="0" w:firstLine="480"/>
        <w:jc w:val="both"/>
        <w:keepLines w:val="0"/>
        <w:keepNext w:val="0"/>
        <w:pageBreakBefore w:val="0"/>
        <w:spacing w:before="0" w:beforeAutospacing="0" w:after="0" w:afterAutospacing="0" w:line="48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 层板：主体采用≥1.0mm优质冷轧钢板,其余材质同柜体。箱体内设有托架，位置任意可调；</w:t>
      </w:r>
      <w:r/>
    </w:p>
    <w:p>
      <w:pPr>
        <w:pStyle w:val="880"/>
        <w:ind w:left="0" w:right="0" w:firstLine="480"/>
        <w:jc w:val="both"/>
        <w:keepLines w:val="0"/>
        <w:keepNext w:val="0"/>
        <w:pageBreakBefore w:val="0"/>
        <w:spacing w:before="0" w:beforeAutospacing="0" w:after="0" w:afterAutospacing="0" w:line="48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 把手：采用304不锈钢流线型拉手，表层双面磷化采用环氧树脂粉末静电喷涂防腐处理；</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6.五金配件：</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6.1 滑轨：采用三节承重钢珠自动回位滑轨，开合平稳、承重力强、耐磨。依据QB/T 2454-2013标准要求：导轨使用寿命循环抽拉≥8万次；</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6.2 </w:t>
      </w:r>
      <w:r>
        <w:rPr>
          <w:rFonts w:hint="eastAsia" w:ascii="宋体" w:hAnsi="宋体" w:eastAsia="宋体" w:cs="宋体"/>
          <w:color w:val="auto"/>
          <w:sz w:val="24"/>
          <w:highlight w:val="none"/>
        </w:rPr>
        <w:t xml:space="preserve">合页：采用304及以上不锈钢材质合页铰链，180度开启。耐腐蚀性能通过48h中性盐雾测试（QB/T 4595.1-2013）</w:t>
      </w:r>
      <w:r>
        <w:rPr>
          <w:rFonts w:hint="eastAsia" w:ascii="宋体" w:hAnsi="宋体" w:eastAsia="宋体" w:cs="宋体"/>
          <w:color w:val="auto"/>
          <w:sz w:val="24"/>
          <w:highlight w:val="none"/>
          <w:lang w:bidi="ar"/>
        </w:rPr>
        <w:t xml:space="preserve">；</w:t>
      </w:r>
      <w:r/>
    </w:p>
    <w:p>
      <w:pPr>
        <w:ind w:left="0" w:right="0" w:firstLine="480"/>
        <w:keepLines w:val="0"/>
        <w:keepNext w:val="0"/>
        <w:pageBreakBefore w:val="0"/>
        <w:spacing w:line="480" w:lineRule="atLeas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7.钢制调整脚：30mm高高强度钢制尼龙可调整脚，可自由调整高低，防水防锈。</w:t>
      </w:r>
      <w:r/>
    </w:p>
    <w:p>
      <w:pPr>
        <w:pStyle w:val="865"/>
        <w:ind w:left="0" w:right="0" w:firstLine="480"/>
        <w:keepLines w:val="0"/>
        <w:keepNext w:val="0"/>
        <w:pageBreakBefore w:val="0"/>
        <w:spacing w:line="480" w:lineRule="atLeast"/>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Cs w:val="24"/>
          <w:highlight w:val="none"/>
        </w:rPr>
        <w:t xml:space="preserve">8.环氧树脂粉末需符合欧盟RoHS指令2011/65/EU附录II的修正指令</w:t>
      </w:r>
      <w:r>
        <w:rPr>
          <w:rFonts w:hint="eastAsia" w:ascii="宋体" w:hAnsi="宋体" w:eastAsia="宋体" w:cs="宋体"/>
          <w:color w:val="auto"/>
          <w:sz w:val="24"/>
          <w:szCs w:val="24"/>
          <w:highlight w:val="none"/>
        </w:rPr>
        <w:t xml:space="preserve">（EU)2015/863的限值要求。</w:t>
      </w:r>
      <w:r/>
    </w:p>
    <w:p>
      <w:pPr>
        <w:pStyle w:val="865"/>
        <w:ind w:left="0" w:right="0" w:firstLine="480"/>
        <w:keepLines w:val="0"/>
        <w:keepNext w:val="0"/>
        <w:pageBreakBefore w:val="0"/>
        <w:spacing w:line="480" w:lineRule="atLeast"/>
        <w:tabs>
          <w:tab w:val="left" w:pos="54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9.实验台下柜：</w:t>
      </w:r>
      <w:r/>
    </w:p>
    <w:p>
      <w:pPr>
        <w:ind w:left="0" w:right="0" w:firstLine="480"/>
        <w:jc w:val="left"/>
        <w:keepLines w:val="0"/>
        <w:keepNext w:val="0"/>
        <w:pageBreakBefore w:val="0"/>
        <w:spacing w:line="48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（1）规格H710xW680xD500，材质：双层钢板，柜体具有防腐蚀性能。储存柜依照：1.人造气氛腐蚀试验 盐雾试验（GB/T 10125-2021）：中性盐雾试验，连续喷雾240h；2.金属基体上金属和其他无机覆盖层经腐蚀试验后的试样和试件的评级（GB/T 6461-2002）进行检测，检测结果：1.涂（镀）层本身耐腐蚀等级≥10级；2.外观正常，锈点数0点；3.外观评级为A级。</w:t>
      </w:r>
      <w:r>
        <w:rPr>
          <w:rFonts w:hint="eastAsia" w:ascii="宋体" w:hAnsi="宋体" w:eastAsia="宋体" w:cs="宋体"/>
          <w:b/>
          <w:bCs/>
          <w:color w:val="auto"/>
          <w:sz w:val="24"/>
          <w:szCs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▲（2）层板：柜内配置钢制层板一块，2块PP托盘，PP板依照GB/T 2408-2021《塑料燃烧性能的测定水平法和垂直法》检测，垂直燃烧等级达到V-0等级，水平燃烧等级不低于HB40等级。</w:t>
      </w:r>
      <w:r>
        <w:rPr>
          <w:rFonts w:hint="eastAsia" w:ascii="宋体" w:hAnsi="宋体" w:eastAsia="宋体" w:cs="宋体"/>
          <w:b/>
          <w:bCs/>
          <w:color w:val="auto"/>
          <w:sz w:val="24"/>
          <w:szCs w:val="24"/>
          <w:highlight w:val="none"/>
        </w:rPr>
        <w:t xml:space="preserve">需提供第三方检测机构出具的带CMA或CNAS标识的检测报告。</w:t>
      </w:r>
      <w:r/>
    </w:p>
    <w:p>
      <w:pPr>
        <w:pStyle w:val="865"/>
        <w:ind w:left="0" w:right="0" w:firstLine="480"/>
        <w:keepLines w:val="0"/>
        <w:keepNext w:val="0"/>
        <w:pageBreakBefore w:val="0"/>
        <w:spacing w:line="480" w:lineRule="atLeast"/>
        <w:tabs>
          <w:tab w:val="left" w:pos="54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（3）锁具：双把B级机械锁配置；</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lang w:val="en-US" w:eastAsia="zh-CN" w:bidi="ar-SA"/>
        </w:rPr>
        <w:t xml:space="preserve">（4）防火性能：整柜耐火时间</w:t>
      </w:r>
      <w:r>
        <w:rPr>
          <w:rFonts w:hint="eastAsia" w:ascii="宋体" w:hAnsi="宋体" w:eastAsia="宋体" w:cs="宋体"/>
          <w:color w:val="auto"/>
          <w:sz w:val="24"/>
          <w:szCs w:val="24"/>
          <w:highlight w:val="none"/>
          <w:lang w:val="en-US" w:eastAsia="zh-CN" w:bidi="ar-SA"/>
        </w:rPr>
        <w:t xml:space="preserve">不小于60min，测试依据EN14470-1；提供取得第三方检测机构出具的同类型产品储存柜整柜不小于60分钟耐火检测报告（检测报告中需体现检测过程中防火柜内热电偶位置图、炉内温度/时间曲线图、热电偶温升/时间曲线图、检测前后样品比对照片等）。能通过检测报告上的二维码或者检测机构网址查询进行现场查验，投标文件需提供查验结果供现场对比，不提供或提供的检测报告出具机构不符合要求作无效响应；投标单位需提供中国合格评定国家认可委员会出具的该检测机构具备防火安全柜参照EN14470-1:2004标准检测能力的认可证书；</w:t>
      </w:r>
      <w:r>
        <w:rPr>
          <w:rFonts w:hint="eastAsia" w:ascii="宋体" w:hAnsi="宋体" w:eastAsia="宋体" w:cs="宋体"/>
          <w:b/>
          <w:bCs/>
          <w:color w:val="auto"/>
          <w:sz w:val="24"/>
          <w:highlight w:val="none"/>
        </w:rPr>
        <w:t xml:space="preserve">需提供第三方检测机构出具的带CMA或CNAS标识的检测报告。</w:t>
      </w:r>
      <w:r/>
    </w:p>
    <w:p>
      <w:pPr>
        <w:pStyle w:val="865"/>
        <w:ind w:left="0" w:right="0" w:firstLine="480"/>
        <w:keepLines w:val="0"/>
        <w:keepNext w:val="0"/>
        <w:pageBreakBefore w:val="0"/>
        <w:spacing w:line="480" w:lineRule="atLeast"/>
        <w:tabs>
          <w:tab w:val="left" w:pos="54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配有MSDS查询功能，可实时查询不少于2828危险化学品名录MSDS信息包括但不限于：化学品信息、成分/组成信息、危险性概述、急救措施、消防措施、泄漏应急处理、个体防护等信息，投标文件需提供以上响应功能参数的原厂家产品技术彩页进行佐证，彩页须加盖投标供应商公章。</w:t>
      </w:r>
      <w:r/>
    </w:p>
    <w:p>
      <w:pPr>
        <w:pStyle w:val="865"/>
        <w:ind w:left="0" w:right="0" w:firstLine="480"/>
        <w:keepLines w:val="0"/>
        <w:keepNext w:val="0"/>
        <w:pageBreakBefore w:val="0"/>
        <w:spacing w:line="480" w:lineRule="atLeast"/>
        <w:tabs>
          <w:tab w:val="left" w:pos="540" w:leader="none"/>
        </w:tabs>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▲（6）防爆性能：依照GA871-2010进行抗爆检测，内爆试验柜体</w:t>
      </w:r>
      <w:r>
        <w:rPr>
          <w:rFonts w:hint="eastAsia" w:ascii="宋体" w:hAnsi="宋体" w:eastAsia="宋体" w:cs="宋体"/>
          <w:color w:val="auto"/>
          <w:szCs w:val="24"/>
          <w:highlight w:val="none"/>
          <w:lang w:val="en-US" w:eastAsia="zh-CN"/>
        </w:rPr>
        <w:t xml:space="preserve">可抵抗不小于5g当量TNT爆炸冲击波，柜体外表面完好，未见明显变形及破损，试验后柜门未被冲开，能正常开闭。外爆试验柜体可抵抗不小于10g当量TNT爆炸冲击波，柜体未见明显变形及破损，试验后柜门未被冲开，能正常开闭。柜体内部中央放置的化学品试剂瓶及定量瓶完好，未破损及倾倒（提供第三方检测构出具的同类型防爆柜整柜的抗爆检验（测试）报告，报告中需体现检测过程图片，包含但不限于TNT当量爆炸物外形及放入化学品柜中情况图、内爆检验现场布置图、内爆炸后柜体内部状态图、外爆后柜体外观状态图、外爆后柜体内部试剂瓶状态图）；</w:t>
      </w:r>
      <w:r>
        <w:rPr>
          <w:rFonts w:hint="eastAsia" w:ascii="宋体" w:hAnsi="宋体" w:eastAsia="宋体" w:cs="宋体"/>
          <w:b/>
          <w:bCs/>
          <w:color w:val="auto"/>
          <w:sz w:val="24"/>
          <w:highlight w:val="none"/>
        </w:rPr>
        <w:t xml:space="preserve">需提供第三方检测机构出具的带CMA或CNAS标识的检测报告。</w:t>
      </w:r>
      <w:r/>
    </w:p>
    <w:p>
      <w:pPr>
        <w:pStyle w:val="865"/>
        <w:ind w:left="0" w:right="0" w:firstLine="482"/>
        <w:keepLines w:val="0"/>
        <w:keepNext w:val="0"/>
        <w:pageBreakBefore w:val="0"/>
        <w:spacing w:line="480" w:lineRule="atLeast"/>
        <w:tabs>
          <w:tab w:val="left" w:pos="540" w:leader="none"/>
        </w:tabs>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10</w:t>
      </w:r>
      <w:r>
        <w:rPr>
          <w:rFonts w:hint="eastAsia" w:ascii="宋体" w:hAnsi="宋体" w:eastAsia="宋体" w:cs="宋体"/>
          <w:b/>
          <w:bCs/>
          <w:color w:val="auto"/>
          <w:szCs w:val="24"/>
          <w:highlight w:val="none"/>
        </w:rPr>
        <w:t xml:space="preserve">.钢制件喷涂符合HJ2547-2016《环境标志产品技术要求家具》标准。</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理化板台面：</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台面采用&gt;12.7 mm厚度的耐腐蚀实芯理化板。边缘背边加工，总厚度≥25.4 mm为保证台面材料质量以及从环保角度保障实验室人员健康，台面材料须符合以下技术参数及要求: </w:t>
      </w:r>
      <w:r/>
    </w:p>
    <w:p>
      <w:pPr>
        <w:numPr>
          <w:ilvl w:val="0"/>
          <w:numId w:val="0"/>
        </w:numPr>
        <w:ind w:left="480" w:right="0"/>
        <w:jc w:val="left"/>
        <w:keepLines w:val="0"/>
        <w:keepNext w:val="0"/>
        <w:pageBreakBefore w:val="0"/>
        <w:spacing w:line="480" w:lineRule="atLeas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参照 GB/T 17657-2022标准进行检测：对硫酸（98%）、盐酸（37%）、氢氧化钠（40%）、四氯化碳、苯、苯酚饱和液</w:t>
      </w:r>
      <w:r>
        <w:rPr>
          <w:rFonts w:hint="eastAsia" w:ascii="宋体" w:hAnsi="宋体" w:eastAsia="宋体" w:cs="宋体"/>
          <w:bCs/>
          <w:color w:val="auto"/>
          <w:sz w:val="24"/>
          <w:highlight w:val="none"/>
        </w:rPr>
        <w:t xml:space="preserve">、氯化镁(10%)、王水、二氯乙烷、对甲酚、亚甲基蓝（5%）、丙酮、乙醚、甲酸（88%）、红药水、紫药水、切片石蜡、无水甲醇、乙酸正戊酯、5%氯化钠溶液、三氯乙烯、异丙醇、异辛烷、3%双氧水、硫酸钠饱和液、硫代硫酸钠、甲酚、硫酸铁铵、硫酸铜、六亚甲基四胺、氯苯、氯化铵、氯化钙、氯化钾、氯化钠、柠檬酸钠、硼酸、偏重亚硫酸钠、普鲁士蓝、切片石蜡、轻质液状石蜡、氢氧化钙、氢氧化钾、正己烷、尿素水溶液(6%)、苯酚饱和溶液、92#汽油、机油等不少于218种化学试剂进行检测，板材检验结果无明显变化，分级结果为 5 级</w:t>
      </w:r>
      <w:r/>
    </w:p>
    <w:p>
      <w:pPr>
        <w:numPr>
          <w:ilvl w:val="0"/>
          <w:numId w:val="0"/>
        </w:numPr>
        <w:ind w:left="480" w:right="0"/>
        <w:jc w:val="left"/>
        <w:keepLines w:val="0"/>
        <w:keepNext w:val="0"/>
        <w:pageBreakBefore w:val="0"/>
        <w:spacing w:line="480" w:lineRule="atLeast"/>
        <w:rPr>
          <w:rFonts w:hint="eastAsia" w:ascii="宋体" w:hAnsi="宋体" w:eastAsia="宋体" w:cs="宋体"/>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参照GB/T17657-2022标准进行检测，其中：静曲强度≥145Mpa；弹性</w:t>
      </w:r>
      <w:r>
        <w:rPr>
          <w:rFonts w:hint="eastAsia" w:ascii="宋体" w:hAnsi="宋体" w:eastAsia="宋体" w:cs="宋体"/>
          <w:bCs/>
          <w:color w:val="auto"/>
          <w:sz w:val="24"/>
          <w:highlight w:val="none"/>
        </w:rPr>
        <w:t xml:space="preserve">模量≥10400Mpa；抗拉强度≥68Mpa；拉伸强度≥68Mpa； 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w:t>
      </w:r>
      <w:r/>
    </w:p>
    <w:p>
      <w:pPr>
        <w:numPr>
          <w:ilvl w:val="0"/>
          <w:numId w:val="0"/>
        </w:numPr>
        <w:ind w:right="0" w:firstLine="480"/>
        <w:jc w:val="left"/>
        <w:keepLines w:val="0"/>
        <w:keepNext w:val="0"/>
        <w:pageBreakBefore w:val="0"/>
        <w:spacing w:line="480" w:lineRule="atLeast"/>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）参照（GB/T 39600-2021）标准进行检测，环保性能：甲醛释放量≤0.013mg/m³ , 达到E0级标准,判定ENF 级。</w:t>
      </w:r>
      <w:r/>
    </w:p>
    <w:p>
      <w:pPr>
        <w:numPr>
          <w:ilvl w:val="0"/>
          <w:numId w:val="0"/>
        </w:numPr>
        <w:ind w:right="0" w:firstLine="480"/>
        <w:jc w:val="left"/>
        <w:keepLines w:val="0"/>
        <w:keepNext w:val="0"/>
        <w:pageBreakBefore w:val="0"/>
        <w:spacing w:line="480" w:lineRule="atLeas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）依据HJ571-2010（环境标志产品技术要求 人造板及其制品）检测，总挥发性有机化合物TVOC释放量为＜0.0003；</w:t>
      </w:r>
      <w:r/>
    </w:p>
    <w:p>
      <w:pPr>
        <w:numPr>
          <w:ilvl w:val="0"/>
          <w:numId w:val="0"/>
        </w:numPr>
        <w:ind w:right="0" w:firstLine="480"/>
        <w:jc w:val="left"/>
        <w:keepLines w:val="0"/>
        <w:keepNext w:val="0"/>
        <w:pageBreakBefore w:val="0"/>
        <w:spacing w:line="480" w:lineRule="atLeast"/>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提供《碳足迹节能减排环保产品》证书和《中国绿色环保产品认证》</w:t>
      </w:r>
      <w:r>
        <w:rPr>
          <w:rFonts w:hint="eastAsia" w:ascii="宋体" w:hAnsi="宋体" w:eastAsia="宋体" w:cs="宋体"/>
          <w:bCs/>
          <w:color w:val="auto"/>
          <w:sz w:val="24"/>
          <w:highlight w:val="none"/>
          <w:lang w:eastAsia="zh-CN"/>
        </w:rPr>
        <w:t xml:space="preserve">均需要加盖红色公章</w:t>
      </w:r>
      <w:r/>
    </w:p>
    <w:p>
      <w:pPr>
        <w:numPr>
          <w:ilvl w:val="0"/>
          <w:numId w:val="0"/>
        </w:numPr>
        <w:ind w:right="0" w:firstLine="480"/>
        <w:jc w:val="left"/>
        <w:keepLines w:val="0"/>
        <w:keepNext w:val="0"/>
        <w:pageBreakBefore w:val="0"/>
        <w:spacing w:line="480" w:lineRule="atLeast"/>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eastAsia="zh-CN"/>
        </w:rPr>
        <w:t xml:space="preserve">）需提供需提供符合上述台面技术参数指标的第三方检测机构,出具的具有CMA及CNAS标志的检验报告，并加盖</w:t>
      </w:r>
      <w:r>
        <w:rPr>
          <w:rFonts w:hint="eastAsia" w:ascii="宋体" w:hAnsi="宋体" w:eastAsia="宋体" w:cs="宋体"/>
          <w:bCs/>
          <w:color w:val="auto"/>
          <w:sz w:val="24"/>
          <w:highlight w:val="none"/>
          <w:lang w:val="en-US" w:eastAsia="zh-CN"/>
        </w:rPr>
        <w:t xml:space="preserve">投标供应商公章</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投标供应商</w:t>
      </w:r>
      <w:r>
        <w:rPr>
          <w:rFonts w:hint="eastAsia" w:ascii="宋体" w:hAnsi="宋体" w:eastAsia="宋体" w:cs="宋体"/>
          <w:bCs/>
          <w:color w:val="auto"/>
          <w:sz w:val="24"/>
          <w:highlight w:val="none"/>
          <w:lang w:eastAsia="zh-CN"/>
        </w:rPr>
        <w:t xml:space="preserve">中标后签订合同前提供台面板指定供应商针对本项目出具的投标授权书原件，并加盖鲜章。</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1.3柜体材质与工艺要求 </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）试剂架：</w:t>
      </w:r>
      <w:r/>
    </w:p>
    <w:p>
      <w:pPr>
        <w:numPr>
          <w:ilvl w:val="0"/>
          <w:numId w:val="5"/>
        </w:numPr>
        <w:ind w:left="0" w:right="0" w:firstLine="482"/>
        <w:jc w:val="left"/>
        <w:keepLines w:val="0"/>
        <w:keepNext w:val="0"/>
        <w:pageBreakBefore w:val="0"/>
        <w:spacing w:line="480" w:lineRule="atLeast"/>
        <w:tabs>
          <w:tab w:val="clear" w:pos="817" w:leader="none"/>
        </w:tabs>
        <w:rPr>
          <w:rFonts w:hint="eastAsia" w:ascii="宋体" w:hAnsi="宋体" w:eastAsia="宋体" w:cs="宋体"/>
          <w:b/>
          <w:bCs/>
          <w:color w:val="auto"/>
          <w:sz w:val="24"/>
          <w:highlight w:val="none"/>
          <w:lang w:val="zh-TW" w:eastAsia="zh-TW"/>
        </w:rPr>
      </w:pPr>
      <w:r>
        <w:rPr>
          <w:rFonts w:hint="eastAsia" w:ascii="宋体" w:hAnsi="宋体" w:eastAsia="宋体" w:cs="宋体"/>
          <w:b/>
          <w:bCs/>
          <w:color w:val="auto"/>
          <w:sz w:val="24"/>
          <w:highlight w:val="none"/>
          <w:lang w:val="zh-TW" w:eastAsia="zh-TW"/>
        </w:rPr>
        <w:t xml:space="preserve">材料要求</w:t>
      </w:r>
      <w:r/>
    </w:p>
    <w:p>
      <w:pPr>
        <w:numPr>
          <w:ilvl w:val="0"/>
          <w:numId w:val="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试剂架立柱：</w:t>
      </w:r>
      <w:r/>
    </w:p>
    <w:p>
      <w:pPr>
        <w:numPr>
          <w:ilvl w:val="0"/>
          <w:numId w:val="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采用全钢材质结构，加工材料为优质低碳冷轧钢板；</w:t>
      </w:r>
      <w:r/>
    </w:p>
    <w:p>
      <w:pPr>
        <w:numPr>
          <w:ilvl w:val="0"/>
          <w:numId w:val="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钢材基本厚度须达到或优于1.2mm。</w:t>
      </w:r>
      <w:r/>
    </w:p>
    <w:p>
      <w:pPr>
        <w:numPr>
          <w:ilvl w:val="0"/>
          <w:numId w:val="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试剂架层板：</w:t>
      </w:r>
      <w:r/>
    </w:p>
    <w:p>
      <w:pPr>
        <w:numPr>
          <w:ilvl w:val="0"/>
          <w:numId w:val="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钢制立柱：100×50×900mm方形立柱，采用1.2mm厚宝钢产优质冷轧钢板折弯成型，环氧树脂粉末静电喷涂，附着力高、表面硬度耐腐蚀性耐强，层板外侧上缘采用圆弧或斜边不刮手处理；</w:t>
      </w:r>
      <w:r/>
    </w:p>
    <w:p>
      <w:pPr>
        <w:numPr>
          <w:ilvl w:val="0"/>
          <w:numId w:val="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层板：两层钢玻，层板采用钢制层板加5mm厚钢化玻璃且层板可上下调节高度，底部采用1.2mm厚国产优质冷轧钢板作为托盘，环氧树脂粉末静电喷涂，附着力高、表面硬度耐腐蚀性极强，外形美观。</w:t>
      </w:r>
      <w:r/>
    </w:p>
    <w:p>
      <w:pPr>
        <w:numPr>
          <w:ilvl w:val="0"/>
          <w:numId w:val="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层板护栏：下活动层板其上正面外缘均须采用304(及以上)不锈钢材质制作的护栏。护栏须具有适当支撑，横跨间不得有下垂变形情况</w:t>
      </w:r>
      <w:r/>
    </w:p>
    <w:p>
      <w:pPr>
        <w:numPr>
          <w:ilvl w:val="0"/>
          <w:numId w:val="5"/>
        </w:numPr>
        <w:ind w:left="0" w:right="0" w:firstLine="482"/>
        <w:jc w:val="left"/>
        <w:keepLines w:val="0"/>
        <w:keepNext w:val="0"/>
        <w:pageBreakBefore w:val="0"/>
        <w:spacing w:line="480" w:lineRule="atLeast"/>
        <w:tabs>
          <w:tab w:val="clear" w:pos="817" w:leader="none"/>
        </w:tabs>
        <w:rPr>
          <w:rFonts w:hint="eastAsia" w:ascii="宋体" w:hAnsi="宋体" w:eastAsia="宋体" w:cs="宋体"/>
          <w:b/>
          <w:bCs/>
          <w:color w:val="auto"/>
          <w:sz w:val="24"/>
          <w:highlight w:val="none"/>
          <w:lang w:val="zh-TW" w:eastAsia="zh-TW"/>
        </w:rPr>
      </w:pPr>
      <w:r>
        <w:rPr>
          <w:rFonts w:hint="eastAsia" w:ascii="宋体" w:hAnsi="宋体" w:eastAsia="宋体" w:cs="宋体"/>
          <w:b/>
          <w:bCs/>
          <w:color w:val="auto"/>
          <w:sz w:val="24"/>
          <w:highlight w:val="none"/>
          <w:lang w:val="zh-TW" w:eastAsia="zh-TW"/>
        </w:rPr>
        <w:t xml:space="preserve">结构工艺要求</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采用台面安装式设计，以方便配置增减拆装；</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依据设备清单相关说明所示，配置双面型以方便中央台使用试剂架；</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试剂架立柱具整排挂孔供活动层板悬挂用，层板上下调节间距每格应小于30mm；</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试剂架层板分上下2层，层板为高低可调活动式；</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试剂架应合理设计且整齐美观，两立柱间层板跨距不得大于1500mm；</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试剂架层板结构荷重加载强度性能同实验室等级钢制试验台柜设备搁板静载试验要求；</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下活动钢制层板边缘应平顺不割手；</w:t>
      </w:r>
      <w:r/>
    </w:p>
    <w:p>
      <w:pPr>
        <w:numPr>
          <w:ilvl w:val="0"/>
          <w:numId w:val="9"/>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立柱内夹层应有足够空间供插座配线隐藏铺设。</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GB"/>
        </w:rPr>
        <w:t xml:space="preserve">水气设备/配件：</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PP水槽：水槽采用全新PP料及母料，无碳酸钙成分；下水口与水槽一体注塑成型，水槽内壁无缩印，四边平整，表面光滑顺畅，不有划伤、裂纹、气泡、爆边等明显缺陷。水槽壁厚≤5mm；为防止水槽中间或四周有积液，槽体底部有导流线。</w:t>
      </w:r>
      <w:r>
        <w:rPr>
          <w:rFonts w:hint="eastAsia" w:ascii="宋体" w:hAnsi="宋体" w:eastAsia="宋体" w:cs="宋体"/>
          <w:color w:val="auto"/>
          <w:sz w:val="24"/>
          <w:highlight w:val="none"/>
          <w:lang w:val="en-US" w:eastAsia="zh-CN"/>
        </w:rPr>
        <w:t xml:space="preserve">其中</w:t>
      </w:r>
      <w:r>
        <w:rPr>
          <w:rFonts w:hint="eastAsia" w:ascii="宋体" w:hAnsi="宋体" w:eastAsia="宋体" w:cs="宋体"/>
          <w:color w:val="auto"/>
          <w:sz w:val="24"/>
          <w:highlight w:val="none"/>
        </w:rPr>
        <w:t xml:space="preserve">耐污染性能：依据GB/T 17657-2022标准，同一份检测报告需包含无水柠檬酸（ACS）（≥99.5%）、乙酸（≥99.7%）、硫酸（AR）、硝酸（AR）、盐酸（GR）、氨水（氢氧化铵）（AR）、氢氧化钙（AR）、氢氧化钾（AR，≥85.0%）、溴化钾（AR）、溴酸钾（AR）、亚硝</w:t>
      </w:r>
      <w:r>
        <w:rPr>
          <w:rFonts w:hint="eastAsia" w:ascii="宋体" w:hAnsi="宋体" w:eastAsia="宋体" w:cs="宋体"/>
          <w:color w:val="auto"/>
          <w:sz w:val="24"/>
          <w:highlight w:val="none"/>
        </w:rPr>
        <w:t xml:space="preserve">酸钠（AR，99%）、盐酸羟胺、乙酸铵（AR，≥98.0%）、正辛烷（96%）、氯苯（AR，99%）、三氯甲烷（氯仿）（AR）、冷溶型分析纯聚乙烯醇、无水甲醇（AR，≥99.5%）、糠醛（呋喃甲叉）（AR，99%）、桃醛（0.98）、三乙二醇二甲醚（AR，99%）、甲酚、三乙胺（N,N-二乙基乙胺）（AR，≥99.0%）、硫脲（GR）、乙腈（AR，≥99.0%）、乙酸酐（醋酸酐）（AR，≥98.5%）等至少150种有机、无机试剂，耐污染接触时间≥48h，覆盖/未覆盖玻璃盖板，检验结果均为5级（无明显变化）。</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实验专用龙头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选用H63黄铜管，使用红冲锻造工艺，不出现砂眼；涂层经哑光环氧树脂粉末涂料热固处理，防紫外线辐射，耐化学腐蚀；陶瓷阀芯可90度旋转、耐磨、耐腐蚀，开关使用寿命测试可达60万次，静态最大耐压2.5MPa，鹅颈出水管可360度旋转；旋钮把手为PP全新料无添加碳酸钙；供水软管：长度1.5米，软性PVC管外覆不锈钢网，外层包裹PE管，有效防止生锈、渗漏并符合以下要求：</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）耐污染性能：依据GB/T 17657-2022标准，同一份检测报告需包含无水柠檬酸（ACS）（≥99.5%）、乙酸（≥99.7%）、硫酸（AR）、硝酸（AR）、盐酸（GR）、氨水（氢氧化铵）（AR）、氢氧化钙（AR）、氢氧化钾（AR，≥85.0%）、溴化钾（AR）、溴酸钾（AR）、亚硝</w:t>
      </w:r>
      <w:r>
        <w:rPr>
          <w:rFonts w:hint="eastAsia" w:ascii="宋体" w:hAnsi="宋体" w:eastAsia="宋体" w:cs="宋体"/>
          <w:color w:val="auto"/>
          <w:sz w:val="24"/>
          <w:highlight w:val="none"/>
          <w:lang w:eastAsia="zh-CN"/>
        </w:rPr>
        <w:t xml:space="preserve">酸钠（AR，99%）、盐酸羟胺、乙酸铵（AR，≥98.0%）、正辛烷（96%）、氯苯（AR，99%）、三氯甲烷（氯仿）（AR）、冷溶型分析纯聚乙烯醇、无水甲醇（AR，≥99.5%）、糠醛（呋喃甲叉）（AR，99%）、桃醛（0.98）、三乙二醇二甲醚（AR，99%）、甲酚、三乙胺（N,N-二乙基乙胺）（AR，≥99.0%）、硫脲（GR）、乙腈（AR，≥99.0%）、乙酸酐（醋酸酐）（AR，≥98.5%）等至少150种有机、无机试剂，耐污染接触时间≥48h，覆盖/未覆盖玻璃盖板，检验结果均为5级（无明显变化）。</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▲（2）抗菌性：依据JC/T 897-2014标准，要求≥14种细菌的检测，检测值≥99.99%（菌种包括粘质沙雷氏菌、鼠伤寒沙门氏菌、白色葡萄球菌、产气肠杆菌）。</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3）洗眼器：</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1.主体：加厚铜质H59-1；</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2.洗眼喷头：加厚铜质环氧树脂涂层外加软性橡胶，出水经缓压处理呈泡沫状水柱，防止冲伤眼睛；</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3.莲蓬头护罩：Φ70橡胶质护杯，以避免紧急使用时瞬间接触眼部造成碰撞二次伤害；</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4.防尘盖：PP材质，平常可防尘，使用时可随时被水冲开，并降低突然时短暂的高水压，防止冲伤眼睛，防尘盖有连接于护罩可防尘脱落。使用时自动被水冲开；</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5.水流锁定开关：水流开启，水流锁定功能一次完成，方便使用；</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6.前置过滤器：配有小型前置过滤器主要的去除管道所产生的沉淀杂质和细菌、微生物残骸、铁锈、沙泥等大于5微米以上的颗粒杂质，避免眼睛及人体肌肤受到伤害；</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7.供水软管：长度1.5米，软性PVC管外覆不锈钢网，外层包裹PE管，有效防止生锈、渗漏。</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8.洗眼量：＞6L/min。</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b/>
          <w:bCs/>
          <w:color w:val="auto"/>
          <w:sz w:val="24"/>
          <w:highlight w:val="none"/>
        </w:rPr>
        <w:t xml:space="preserve">需提供第三方检测机构出具的带CMA或CNAS标识的检测报告</w:t>
      </w:r>
      <w:r>
        <w:rPr>
          <w:rFonts w:hint="eastAsia" w:ascii="宋体" w:hAnsi="宋体" w:eastAsia="宋体" w:cs="宋体"/>
          <w:color w:val="auto"/>
          <w:sz w:val="24"/>
          <w:highlight w:val="none"/>
        </w:rPr>
        <w:t xml:space="preserve">：（1）测试压力0.20MPa，测试时间3min/次，样品提供冲洗液流量：≥10.3L/min，能保持洗眼时间：15min；（2）阀门在0.64s的时间内能完全打开。阀门一经打开，除使用者有意关闭的情况之外，能始终保持开启状态；（3）喷头位于距离使用者站立的水平面的高度距离可调（838mm～1143mm），距离墙壁或最近的障碍物距离可调（≥153mm）。</w:t>
      </w:r>
      <w:r/>
    </w:p>
    <w:p>
      <w:pPr>
        <w:ind w:left="0" w:right="0" w:firstLine="480"/>
        <w:jc w:val="left"/>
        <w:keepLines w:val="0"/>
        <w:keepNext w:val="0"/>
        <w:pageBreakBefore w:val="0"/>
        <w:spacing w:line="480" w:lineRule="atLeas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耐污染性能：依据GB/T 17657-2022标准，同一份检测报告需包含无水柠檬酸（ACS）（≥99.5%）、乙酸（≥99.7%）、硫酸（AR）、硝酸（AR）、盐酸（GR）、氨水（氢氧化铵）（AR）、氢氧化钙（AR）、氢氧化钾（AR，≥85.0%）、溴化钾（AR）、溴酸钾（AR）、亚硝</w:t>
      </w:r>
      <w:r>
        <w:rPr>
          <w:rFonts w:hint="eastAsia" w:ascii="宋体" w:hAnsi="宋体" w:eastAsia="宋体" w:cs="宋体"/>
          <w:color w:val="auto"/>
          <w:sz w:val="24"/>
          <w:highlight w:val="none"/>
        </w:rPr>
        <w:t xml:space="preserve">酸钠（AR，99%）、盐酸羟胺、乙酸铵（AR，≥98.0%）、正辛烷（96%）、氯苯（AR，99%）、三氯甲烷（氯仿）（AR）、冷溶型分析纯聚乙烯醇、无水甲醇（AR，≥99.5%）、糠醛（呋喃甲叉）（AR，99%）、桃醛（0.98）、三乙二醇二甲醚（AR，99%）、甲酚、三乙胺（N,N-二乙基乙胺）（AR，≥99.0%）、硫脲（GR）、乙腈（AR，≥99.0%）、乙酸酐（醋酸酐）（AR，≥98.5%）等至少150种有机、无机试剂，耐污染接触时间≥48h，覆盖/未覆盖玻璃盖板，检验结果均为5级（无明显变化）。</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抗菌性：依据JC/T 897-2014标准，要求≥14种细菌的检测，检测值≥99.99%（菌种包括金黄色葡萄球菌，大肠埃希氏菌，粪肠球菌、宋氏志贺氏菌）。</w:t>
      </w:r>
      <w:r>
        <w:rPr>
          <w:rFonts w:hint="eastAsia" w:ascii="宋体" w:hAnsi="宋体" w:eastAsia="宋体" w:cs="宋体"/>
          <w:b/>
          <w:bCs/>
          <w:color w:val="auto"/>
          <w:sz w:val="24"/>
          <w:highlight w:val="none"/>
        </w:rPr>
        <w:t xml:space="preserve">需提供第三方检测机构出具的带CMA或CNAS标识的检测报告。</w:t>
      </w:r>
      <w:r/>
    </w:p>
    <w:p>
      <w:pPr>
        <w:numPr>
          <w:ilvl w:val="0"/>
          <w:numId w:val="10"/>
        </w:num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滴水架：</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材料：采用高密度PP，一体成型，无异味；表面光洁，无缩印，无划痕，无飞边；内部无气泡、无气纹；</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款式：滴水棒卡扣设计为嵌入式，可拆卸，安装简便，插好后不易脱落，左右摇晃&lt;1mm；</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接水底部：中间设有排水孔；</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可拆卸式滴水棒，滴水棒27/61根；</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安装方式：壁挂式/台式。</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▲耐污染性能：依据GB/T 17657-2022标准，同一份检测报告需包含无水柠檬酸（ACS）（≥99.5%）、乙酸（≥99.7%）、硫酸（AR）、硝酸（AR）、盐酸（GR）、氨水（氢氧化铵）（AR）、氢氧化钙（AR）、氢氧化钾（AR，≥85.0%）、溴化钾（AR）、溴酸钾（AR）、亚硝</w:t>
      </w:r>
      <w:r>
        <w:rPr>
          <w:rFonts w:hint="eastAsia" w:ascii="宋体" w:hAnsi="宋体" w:eastAsia="宋体" w:cs="宋体"/>
          <w:color w:val="auto"/>
          <w:sz w:val="24"/>
          <w:highlight w:val="none"/>
          <w:lang w:eastAsia="zh-CN"/>
        </w:rPr>
        <w:t xml:space="preserve">酸钠（AR，99%）、盐酸羟胺、乙酸铵（AR，≥98.0%）、正辛烷（96%）、氯苯（AR，99%）、三氯甲烷（氯仿）（AR）、冷溶型分析纯聚乙烯醇、无水甲醇（AR，≥99.5%）、糠醛（呋喃甲叉）（AR，99%）、桃醛（0.98）、三乙二醇二甲醚（AR，99%）、甲酚、三乙胺（N,N-二乙基乙胺）（AR，≥99.0%）、硫脲（GR）、乙腈（AR，≥99.0%）、乙酸酐（醋酸酐）（AR，≥98.5%）等至少150种有机、无机试剂，耐污染接触时间≥48h，覆盖/未覆盖玻璃盖板，检验结果均为5级（无明显变化）。</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 xml:space="preserve">▲（2）紫外老化测试：依据GB/T 16422.3-2022、GB/T 1766-2008标准，通过紫外老化测试（灯型：UVA-340，辐照度：0.76W·m-2·nm-1，暴露方式：60℃辐照8h、50℃无辐照冷凝4h，试验时长：≥700h），色牢度等级≥4级。</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GB"/>
        </w:rPr>
        <w:t xml:space="preserve">）排风柜：</w:t>
      </w:r>
      <w:r/>
    </w:p>
    <w:p>
      <w:pPr>
        <w:ind w:left="0" w:right="0" w:firstLine="482"/>
        <w:jc w:val="left"/>
        <w:keepLines w:val="0"/>
        <w:keepNext w:val="0"/>
        <w:pageBreakBefore w:val="0"/>
        <w:spacing w:line="480" w:lineRule="atLeast"/>
        <w:rPr>
          <w:rFonts w:hint="eastAsia" w:ascii="宋体" w:hAnsi="宋体" w:eastAsia="宋体" w:cs="宋体"/>
          <w:b/>
          <w:bCs w:val="0"/>
          <w:color w:val="auto"/>
          <w:sz w:val="24"/>
          <w:highlight w:val="none"/>
          <w:lang w:val="zh-TW" w:eastAsia="zh-CN"/>
        </w:rPr>
        <w:outlineLvl w:val="1"/>
      </w:pPr>
      <w:r>
        <w:rPr>
          <w:rFonts w:hint="eastAsia" w:ascii="宋体" w:hAnsi="宋体" w:eastAsia="宋体" w:cs="宋体"/>
          <w:b/>
          <w:bCs w:val="0"/>
          <w:color w:val="auto"/>
          <w:sz w:val="24"/>
          <w:highlight w:val="none"/>
          <w:lang w:val="zh-TW"/>
        </w:rPr>
        <w:t xml:space="preserve">排风柜性能技术要求：</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产品尺寸：2350*850*1500mm</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颜色：象牙白</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1、整柜体采用</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8MM聚丙烯PP板。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如果采用≥8mm，大于8mm时可正偏离</w:t>
      </w:r>
      <w:r>
        <w:rPr>
          <w:rFonts w:hint="eastAsia" w:ascii="宋体" w:hAnsi="宋体" w:eastAsia="宋体" w:cs="宋体"/>
          <w:color w:val="auto"/>
          <w:sz w:val="24"/>
          <w:highlight w:val="none"/>
          <w:lang w:eastAsia="zh-CN"/>
        </w:rPr>
        <w:t xml:space="preserve">）</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2、上柜体材质：整体采用8mm耐酸碱PP材质弧形一体结构，不得使用铝型材或pvc型材等材质，经过同色同质焊条焊接而成。耐酸碱性能优异，且耐候性极佳。拉门宽度不小于1355mm</w:t>
      </w:r>
      <w:r>
        <w:rPr>
          <w:rFonts w:hint="eastAsia" w:ascii="宋体" w:hAnsi="宋体" w:eastAsia="宋体" w:cs="宋体"/>
          <w:color w:val="auto"/>
          <w:sz w:val="24"/>
          <w:highlight w:val="none"/>
          <w:lang w:eastAsia="zh-CN"/>
        </w:rPr>
        <w:t xml:space="preserve">。</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台面：台面：台面采用≥25mm厚一体成型的实验室专用碟形陶瓷台面，台面四周碟状凸边与台面为一体成型结构，台面表面为耐腐蚀的专用釉面。釉面经高温烧结而成，耐高温，耐刮磨，抗明火，抗污染，抗菌，抗变形，耐强酸、强碱、强有机溶剂、染色剂等各种化学试剂，经久耐用，安全环保适用于通风柜台面。</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抗老化测试：依据GB/T 16422.3-2022、GB/T 1766-2008标准，通过紫外老化测试（灯型：UVA-340，辐照度：0.76W·m-2·nm-1，暴露方式：60℃辐照8h+50℃无辐照冷凝4h，试验时长：≥500h），色牢度等级≥3级。</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落球冲击：依据JG/T 463-2014标准，检测结果≥4.0J。</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荷载变形：依据JG/T 908-2013标准，检测结果≤0.2mm。</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通风柜内衬及导流板：材料为≥5mm厚的实验室专用通风柜陶瓷纤维板（陶纤板）。导流板必须与内衬为同一材料，内衬板与导流板：具有阻燃、耐高温、耐火、抗酸碱腐蚀等特性。</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抗冲击性：依据GB/T 3810.5-2016标准，检测结果≥0.91。</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含水率：依据GB/T 24137-2009标准，检测结果≤0.6%。</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抗弯强度：依据GB/T 24137-2009标准，检测结果平均值≥210MPa，最小值≥200MPa。</w:t>
      </w:r>
      <w:r>
        <w:rPr>
          <w:rFonts w:hint="eastAsia" w:ascii="宋体" w:hAnsi="宋体" w:eastAsia="宋体" w:cs="宋体"/>
          <w:b/>
          <w:bCs/>
          <w:color w:val="auto"/>
          <w:sz w:val="24"/>
          <w:highlight w:val="none"/>
        </w:rPr>
        <w:t xml:space="preserve">需提供第三方检测机构出具的带CMA或CNAS标识的检测报告。</w:t>
      </w:r>
      <w:r/>
    </w:p>
    <w:p>
      <w:pPr>
        <w:ind w:left="0" w:right="0" w:firstLine="480"/>
        <w:jc w:val="left"/>
        <w:keepLines w:val="0"/>
        <w:keepNext w:val="0"/>
        <w:pageBreakBefore w:val="0"/>
        <w:spacing w:line="480" w:lineRule="atLeast"/>
        <w:widowControl/>
        <w:rPr>
          <w:rFonts w:hint="eastAsia" w:ascii="宋体" w:hAnsi="宋体" w:eastAsia="宋体" w:cs="宋体"/>
          <w:b/>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5、下柜体材质：采用8mm耐酸碱PP材质，四角设计“方管结构”及“T”型结构，可获得很好的承重能力，所有的内部连接装置都隐藏布置，无外露金属部件。所使用的PP板材具有阻燃功能，其PP板阻燃级别达到V-0等级，依据GB/T 24282-2021进行二甲苯可溶物含量检测，检测结果须为未检出。</w:t>
      </w:r>
      <w:r>
        <w:rPr>
          <w:rFonts w:hint="eastAsia" w:ascii="宋体" w:hAnsi="宋体" w:eastAsia="宋体" w:cs="宋体"/>
          <w:b/>
          <w:bCs/>
          <w:color w:val="auto"/>
          <w:sz w:val="24"/>
          <w:highlight w:val="none"/>
        </w:rPr>
        <w:t xml:space="preserve">需提供第三方检测机构出具的带CMA或CNAS标识的检测报告</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报告须同时满足以上参数中的阻燃级别和二甲苯可溶物含量检测要求</w:t>
      </w:r>
      <w:r>
        <w:rPr>
          <w:rFonts w:hint="eastAsia" w:ascii="宋体" w:hAnsi="宋体" w:eastAsia="宋体" w:cs="宋体"/>
          <w:b/>
          <w:bCs/>
          <w:color w:val="auto"/>
          <w:sz w:val="24"/>
          <w:highlight w:val="none"/>
          <w:lang w:eastAsia="zh-CN"/>
        </w:rPr>
        <w:t xml:space="preserve">。</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6、导轨：采用特制PVC材料最低程度减少摩擦力；移门把手牢固、耐腐。</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7、视窗把手：采用特制Pvc材料，经人体工学设计，气体流量设计外观优美，气流顺畅，使用方便；</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8、视窗：操作移门为手动升降式单门结构，手感轻盈，标配5mm钢化玻璃，具有较好的强度及安全性；保证自如开启并停定于任意高度，配重悬吊应平滑、稳定、耐用，保证透明便于观察</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传动方式：高分子纤维绳需提供依据GB/T9274-1988耐液体介质检测报告，测试液体为氢氧化钠20%m/m，氢氧化钾20%m/m，硫酸20%m/m，丁酮20%m/m，盐酸20%m/m，样品需在以上溶剂中浸泡72小时检测结果为无开裂断裂无腐蚀等现象</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10、滑轮：PP静音滑轮，摩擦力小；传动流畅</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11、配重块 ：采用PP外壳+SUS304花篮扣，方便调节；</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12、照明：防水、防尘、抗冲击三防灯罩，LED灯管；照明度大于750 Lux</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13、插座：实验室专用PP抗腐蚀防溅盖板+国标86型多功能插座10A 4个；</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14、配电箱：同质PP外壳*1, 接触器*1,热继电器*1，小型断路器*1；</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15、控制器：带液晶显示功能的集成控制器面板，可视化控制各项参数，可以直观方便使用人员实时观察，保证安全</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其他配件：</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16、门把手：一字型把手</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17、门合页：耐酸碱PP材质隐形式铰链不允许明装（颜色可选：磁白 乳白 浅灰）；</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18、集气罩：耐酸碱PP材质，标配250MM出风口 (出风口尺寸可根据需求定制)；</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19、导流夹：耐酸碱PP材质。</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20.排风柜安装有锥形缩口集气罩，具有良好集气、降噪等功能。</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21.每台排风柜设有下排风口（用于底柜排风），配备1根DN50mm硬管连接，将排风柜底柜的排风口连接到排风柜的排风接口。保证下柜有毒有害气体及时排放</w:t>
      </w:r>
      <w:r>
        <w:rPr>
          <w:rFonts w:hint="eastAsia" w:ascii="宋体" w:hAnsi="宋体" w:eastAsia="宋体" w:cs="宋体"/>
          <w:color w:val="auto"/>
          <w:sz w:val="24"/>
          <w:highlight w:val="none"/>
          <w:lang w:eastAsia="zh-CN"/>
        </w:rPr>
        <w:t xml:space="preserve">。</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22.通过经国家认可的带有CMA CNAS ILAC-MRA的第三方检测机构检测</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23.符合国标JG/T 222-2007《实验室变风量排风柜》标准</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24.依据 ANSI/ASHRAE 110-2016 标准，通风柜性能应满足以下要求：</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1.测试面风速设置为 0.25 m/s，拉门开启高度 457 mm，柜体阻力不大于 11 Pa；</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2.可视化测试（小烟雾/大烟雾）：无可见外逸或逃逸现象；</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3.示踪气体浓度测试：平均值 ≤ 0.00 ppm，峰值不大于 0.01 ppm；</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4.拉门移动影响测试：平均值 ≤ 0.00 ppm，峰值不大于 0.01 ppm；</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5.周边扫描测试：平均值 ≤ 0.00 ppm，峰值不大于 0.01 ppm；</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2、实验室装饰系统技术要求</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GB"/>
        </w:rPr>
        <w:t xml:space="preserve">彩钢板墙体：</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材料采用双面玻镁彩钢板，成品彩钢板表面应覆有保护膜，内双面玻镁板，玻镁厚度 ≥5mm，夹芯岩棉容重≥1</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GB"/>
        </w:rPr>
        <w:t xml:space="preserve">0kg/m3。</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表面材质——基板含喷涂不小于0.5mm</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表面颜色：白灰色，无色差。</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允许误差：长度：±2mm，对角线：±5mm。</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壁板板表面平整无划痕、无凹凸缺陷、色泽均匀，无明显色差，不脱落异物，耐腐蚀、易清洁。壁板与顶板对缝处理。</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同一房间的彩钢板宜使用同一批号，缩小色差。</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立板连接要用中字铝，不允许使用镀锌板煨制的中字件。</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彩钢板隔断上的玻璃窗尽可能与板面齐平，采用双层密闭固定窗，窗为暗藏式，外表面不露型材。或采用其它更好的玻璃窗安装方式。玻璃厚度为5mm厚。</w:t>
      </w:r>
      <w:r/>
    </w:p>
    <w:p>
      <w:pPr>
        <w:numPr>
          <w:ilvl w:val="0"/>
          <w:numId w:val="11"/>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净化专用铝材，采用喷塑铝型材。</w:t>
      </w:r>
      <w:r/>
    </w:p>
    <w:p>
      <w:pPr>
        <w:ind w:left="0" w:right="0" w:firstLine="482"/>
        <w:jc w:val="left"/>
        <w:keepLines w:val="0"/>
        <w:keepNext w:val="0"/>
        <w:pageBreakBefore w:val="0"/>
        <w:spacing w:line="480" w:lineRule="atLeast"/>
        <w:widowControl w:val="off"/>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en-GB"/>
        </w:rPr>
        <w:t xml:space="preserve">彩钢板吊顶：</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吊顶板总厚度50mm，材料采用</w:t>
      </w:r>
      <w:r>
        <w:rPr>
          <w:rFonts w:hint="eastAsia" w:ascii="宋体" w:hAnsi="宋体" w:eastAsia="宋体" w:cs="宋体"/>
          <w:color w:val="auto"/>
          <w:sz w:val="24"/>
          <w:highlight w:val="none"/>
        </w:rPr>
        <w:t xml:space="preserve">单</w:t>
      </w:r>
      <w:r>
        <w:rPr>
          <w:rFonts w:hint="eastAsia" w:ascii="宋体" w:hAnsi="宋体" w:eastAsia="宋体" w:cs="宋体"/>
          <w:color w:val="auto"/>
          <w:sz w:val="24"/>
          <w:highlight w:val="none"/>
          <w:lang w:val="en-GB"/>
        </w:rPr>
        <w:t xml:space="preserve">玻镁彩钢板，双面贴膜保护，钢板厚度不小于0.50mm（含涂层）；玻镁厚度不低于5mm；总厚度偏差不超过±1%；夹芯岩棉容重≥1</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GB"/>
        </w:rPr>
        <w:t xml:space="preserve">0kg/m3，中字铝型式连接；顶板表面耐强氧化剂腐蚀、易清洁、平整无划痕、无凹凸缺陷，颜色为白灰色，颜色均匀，无明显色差，不脱落异物。最大跨度洁净间的吊顶承载能力（不包括吊顶的自重）最小为150kg/m2，变形绕度小于3.5mm，可承受向上、向外大于200Pa的风压；顶板吊筋杆采用镀锌通长丝杆。吊筋应与吊件连接，不得直接固定顶板的面板上。吊顶板的吸顶式灯具、高效送风口等在工厂预制并在四边有效加固。同一房间的彩钢板宜使用同一批号，缩小色差。</w:t>
      </w:r>
      <w:r/>
    </w:p>
    <w:p>
      <w:pPr>
        <w:ind w:left="0" w:right="0" w:firstLine="482"/>
        <w:keepLines w:val="0"/>
        <w:keepNext w:val="0"/>
        <w:pageBreakBefore w:val="0"/>
        <w:spacing w:line="480" w:lineRule="atLeast"/>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GB"/>
        </w:rPr>
        <w:t xml:space="preserve">彩钢板辅材：</w:t>
      </w:r>
      <w:r/>
    </w:p>
    <w:p>
      <w:pPr>
        <w:numPr>
          <w:ilvl w:val="0"/>
          <w:numId w:val="12"/>
        </w:numPr>
        <w:ind w:left="0" w:right="0" w:firstLine="480"/>
        <w:keepLines w:val="0"/>
        <w:keepNext w:val="0"/>
        <w:pageBreakBefore w:val="0"/>
        <w:spacing w:line="480" w:lineRule="atLeast"/>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铝合金型材联接具有优良的美观性，易于清洁和施工，阴角的曲率半径50mm，阳角的曲率半径 70mm，压条及阴阳角等配件采用电镀型材。</w:t>
      </w:r>
      <w:r/>
    </w:p>
    <w:p>
      <w:pPr>
        <w:numPr>
          <w:ilvl w:val="0"/>
          <w:numId w:val="12"/>
        </w:numPr>
        <w:ind w:left="0" w:right="0" w:firstLine="480"/>
        <w:keepLines w:val="0"/>
        <w:keepNext w:val="0"/>
        <w:pageBreakBefore w:val="0"/>
        <w:spacing w:line="480" w:lineRule="atLeast"/>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铝合金圆弧：氧化铝色，平整光滑无缺陷，厚度≥0.8mm。阴角阳角：氧化铝色，厚度≥0.8mm。色泽光滑，中字铝等其他连接件厚度≥</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GB"/>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en-GB"/>
        </w:rPr>
        <w:t xml:space="preserve">mm。</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4）</w:t>
      </w:r>
      <w:r>
        <w:rPr>
          <w:rFonts w:hint="eastAsia" w:ascii="宋体" w:hAnsi="宋体" w:eastAsia="宋体" w:cs="宋体"/>
          <w:b/>
          <w:bCs/>
          <w:color w:val="auto"/>
          <w:sz w:val="24"/>
          <w:highlight w:val="none"/>
          <w:lang w:val="en-GB"/>
        </w:rPr>
        <w:t xml:space="preserve">成品钢质门： </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门框:钢制门框（冷轧钢板，板厚不低于 1mm）；装有塑胶密封条或特殊刚性密封结构，提高气密效果，表面烤漆处理，颜色根据甲方需求确定。</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钢制门材料厚度：门扇面板≧0.8mm，门框板≧ 1.2mm，铰链板≧3.0mm</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不带栓孔的加固件≧1.2mm，带螺孔的加固件≧3.0mm。</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钢制外观质量： </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外观应平整、光洁、无明显凹痕或机械损伤； </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涂层、镀层应均匀、平整、光滑、不应有堆漆、麻点、气泡、漏涂以及流淌等现象；</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焊接应牢固、焊点分部均匀、不允许有假焊、烧穿、漏焊、夹渣或疏松等现象，</w:t>
      </w:r>
      <w:r/>
    </w:p>
    <w:p>
      <w:pPr>
        <w:numPr>
          <w:ilvl w:val="0"/>
          <w:numId w:val="13"/>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外观面焊接应打磨平整。</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5</w:t>
      </w: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防火门</w:t>
      </w:r>
      <w:r>
        <w:rPr>
          <w:rFonts w:hint="eastAsia" w:ascii="宋体" w:hAnsi="宋体" w:eastAsia="宋体" w:cs="宋体"/>
          <w:b/>
          <w:bCs/>
          <w:color w:val="auto"/>
          <w:sz w:val="24"/>
          <w:highlight w:val="none"/>
          <w:lang w:val="en-GB"/>
        </w:rPr>
        <w:t xml:space="preserve">：</w:t>
      </w:r>
      <w:r/>
    </w:p>
    <w:p>
      <w:pPr>
        <w:pStyle w:val="1388"/>
        <w:numPr>
          <w:ilvl w:val="0"/>
          <w:numId w:val="14"/>
        </w:numPr>
        <w:ind w:left="0" w:right="0" w:firstLine="480"/>
        <w:keepLines w:val="0"/>
        <w:keepNext w:val="0"/>
        <w:pageBreakBefore w:val="0"/>
        <w:spacing w:before="0" w:after="0" w:line="48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钢制防火门防火锁、防火合页、防火闭门装置、防火顺序器、防火插销、盖板缝、防火密封件，耐火等级：甲级，防火时间：1h，防火玻璃均应满足防火及相关规范要求。</w:t>
      </w:r>
      <w:r/>
    </w:p>
    <w:p>
      <w:pPr>
        <w:pStyle w:val="1388"/>
        <w:numPr>
          <w:ilvl w:val="0"/>
          <w:numId w:val="14"/>
        </w:numPr>
        <w:ind w:left="0" w:right="0" w:firstLine="480"/>
        <w:keepLines w:val="0"/>
        <w:keepNext w:val="0"/>
        <w:pageBreakBefore w:val="0"/>
        <w:spacing w:before="0" w:after="0" w:line="48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五金配件：采用不锈钢压把式门锁；304 不锈钢铰链；锁舌孔内必须密封，不允许空置。</w:t>
      </w:r>
      <w:r/>
    </w:p>
    <w:p>
      <w:pPr>
        <w:pStyle w:val="1388"/>
        <w:numPr>
          <w:ilvl w:val="0"/>
          <w:numId w:val="14"/>
        </w:numPr>
        <w:ind w:left="0" w:right="0" w:firstLine="480"/>
        <w:keepLines w:val="0"/>
        <w:keepNext w:val="0"/>
        <w:pageBreakBefore w:val="0"/>
        <w:spacing w:before="0" w:after="0" w:line="48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门框铰链厚度与墙板相同，保证平滑连接。</w:t>
      </w:r>
      <w:r/>
    </w:p>
    <w:p>
      <w:pPr>
        <w:pStyle w:val="1388"/>
        <w:numPr>
          <w:ilvl w:val="0"/>
          <w:numId w:val="14"/>
        </w:numPr>
        <w:ind w:left="0" w:right="0" w:firstLine="480"/>
        <w:keepLines w:val="0"/>
        <w:keepNext w:val="0"/>
        <w:pageBreakBefore w:val="0"/>
        <w:spacing w:before="0" w:after="0" w:line="480" w:lineRule="atLeast"/>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eastAsia="zh-CN"/>
        </w:rPr>
        <w:t xml:space="preserve">门周边为硅橡胶密封条或特殊刚性密封结构，门底部带自动升降门密封条，保证门有良好的密封。</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lang w:val="en-GB"/>
        </w:rPr>
        <w:outlineLvl w:val="1"/>
      </w:pPr>
      <w:r>
        <w:rPr>
          <w:rFonts w:hint="eastAsia" w:ascii="宋体" w:hAnsi="宋体" w:eastAsia="宋体" w:cs="宋体"/>
          <w:b/>
          <w:bCs/>
          <w:color w:val="auto"/>
          <w:sz w:val="24"/>
          <w:highlight w:val="none"/>
          <w:lang w:val="en-GB"/>
        </w:rPr>
        <w:t xml:space="preserve">（</w:t>
      </w:r>
      <w:r>
        <w:rPr>
          <w:rFonts w:hint="eastAsia" w:ascii="宋体" w:hAnsi="宋体" w:eastAsia="宋体" w:cs="宋体"/>
          <w:b/>
          <w:bCs/>
          <w:color w:val="auto"/>
          <w:sz w:val="24"/>
          <w:highlight w:val="none"/>
        </w:rPr>
        <w:t xml:space="preserve">6</w:t>
      </w:r>
      <w:r>
        <w:rPr>
          <w:rFonts w:hint="eastAsia" w:ascii="宋体" w:hAnsi="宋体" w:eastAsia="宋体" w:cs="宋体"/>
          <w:b/>
          <w:bCs/>
          <w:color w:val="auto"/>
          <w:sz w:val="24"/>
          <w:highlight w:val="none"/>
          <w:lang w:val="en-GB"/>
        </w:rPr>
        <w:t xml:space="preserve">）观察窗：</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val="en-GB"/>
        </w:rPr>
      </w:pPr>
      <w:r>
        <w:rPr>
          <w:rFonts w:hint="eastAsia" w:ascii="宋体" w:hAnsi="宋体" w:eastAsia="宋体" w:cs="宋体"/>
          <w:color w:val="auto"/>
          <w:sz w:val="24"/>
          <w:highlight w:val="none"/>
          <w:lang w:val="en-GB"/>
        </w:rPr>
        <w:t xml:space="preserve">安装与彩钢板表面齐平的双层密封玻璃观察窗，有防潮、防止雾化（充氮）等有效处理措施，内衬材料色泽与彩钢板颜色一致，双层，玻璃厚度为5mm钢化玻璃。玻璃内外完全密封处理，四周圆角处理，预装在墙板中，与墙面平滑连接。</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）乳胶漆</w:t>
      </w:r>
      <w:r/>
    </w:p>
    <w:p>
      <w:pPr>
        <w:numPr>
          <w:ilvl w:val="0"/>
          <w:numId w:val="15"/>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操作工艺</w:t>
      </w:r>
      <w:r/>
    </w:p>
    <w:p>
      <w:pPr>
        <w:numPr>
          <w:ilvl w:val="0"/>
          <w:numId w:val="1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基层处理</w:t>
      </w:r>
      <w:r/>
    </w:p>
    <w:p>
      <w:pPr>
        <w:numPr>
          <w:ilvl w:val="0"/>
          <w:numId w:val="1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墙顶面基层平整度、垂直度超出交接标准的，要用基层粉刷石膏满刮一遍，达到刮腻子的基层要求。</w:t>
      </w:r>
      <w:r/>
    </w:p>
    <w:p>
      <w:pPr>
        <w:numPr>
          <w:ilvl w:val="0"/>
          <w:numId w:val="1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石膏板的接缝处理完毕。</w:t>
      </w:r>
      <w:r/>
    </w:p>
    <w:p>
      <w:pPr>
        <w:numPr>
          <w:ilvl w:val="0"/>
          <w:numId w:val="1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满刮腻子、打磨</w:t>
      </w:r>
      <w:r/>
    </w:p>
    <w:p>
      <w:pPr>
        <w:numPr>
          <w:ilvl w:val="0"/>
          <w:numId w:val="1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一遍满刮腻子、打磨：要求刮薄、刮匀、不留野腻子。</w:t>
      </w:r>
      <w:r/>
    </w:p>
    <w:p>
      <w:pPr>
        <w:numPr>
          <w:ilvl w:val="0"/>
          <w:numId w:val="1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遍满刮腻子及打磨：要求在第一遍的基础上满刮，将墙顶刮平直、阴阳角刮方正，腻子整体厚度不超3mm，腻子干燥后，带灯打磨平整后清扫干净。处理好的底层应该平整光滑，阴阳角线通畅、顺直，无裂痕、崩角，无砂眼麻点。</w:t>
      </w:r>
      <w:r/>
    </w:p>
    <w:p>
      <w:pPr>
        <w:numPr>
          <w:ilvl w:val="0"/>
          <w:numId w:val="1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遍腻子细部修补：先用2m靠尺检查，不平整的部位再用腻子刮平，重点要检查踢脚线上口、门洞口四周的基层平整度、垂直度，腻子干燥后，再用目数较大的细砂纸带灯整体打磨干净平整，并将粉尘清扫干净彻底。</w:t>
      </w:r>
      <w:r/>
    </w:p>
    <w:p>
      <w:pPr>
        <w:numPr>
          <w:ilvl w:val="0"/>
          <w:numId w:val="15"/>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刷乳胶漆</w:t>
      </w:r>
      <w:r/>
    </w:p>
    <w:p>
      <w:pPr>
        <w:pStyle w:val="865"/>
        <w:ind w:left="0" w:right="0" w:firstLine="480"/>
        <w:jc w:val="left"/>
        <w:keepLines w:val="0"/>
        <w:keepNext w:val="0"/>
        <w:pageBreakBefore w:val="0"/>
        <w:spacing w:line="480"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墙顶面打磨处理完成后，房间内的粉尘清扫干净没有灰尘，刷第一遍乳胶漆：加入适量的水稀释，搅拌均匀后，用滚筒涂刷，要求无漏刷、无明显接搓，阴阳角用小滚筒涂刷完整，同一 套房用同一批号的乳胶漆。第二遍乳胶漆、磨光：乳胶漆加少量的水稀释充分搅拌均匀，操作方法同第一遍。第三是细部修补。</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）防水施工技术</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1、操作工艺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（1）基层处理</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水层施工前，先将基层表面上的灰皮用铲刀除掉，用笤帚将尘土、砂粒等杂物清扫干净，尤其是管根，地漏和排水口等部位要仔细清理。如有油污时，应用钢丝刷和砂纸刷掉。基层表面必须平整，凹陷处要用水泥腻子补平。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（2）细部施工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细部施工：用搅拌好的堵漏灵涂料在管根、地漏、阴阳角、等容易漏水的薄弱部位均匀涂刷，不得漏涂；地面与墙角交接处先采用水泥砂浆作斜角处理，刷堵漏灵两遍，待干后先涂膜一层防水，立面上卷墙上300mm 高，常温4h 表干后，再刷第二道涂膜防水涂料，24h 实干后即可进行大面积涂膜防水层施工，每层附加层厚度宜为0.6mm。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（3）涂膜防水层施工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1）打开包装桶先搅拌均匀。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2）第一层涂膜：将已搅拌好的聚氨酯防水涂料用塑料或橡胶刮板均匀涂刮在已涂好底胶的基层表面上，厚度为0.6mm，要均匀一致，刮涂量以0.8～1kg/m2 为宜，操作时先墙面后地面，从内向外退着操作。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3）第二道涂膜：第一层涂膜固化到不粘手时，按第一遍材料施工方法，进行第二道涂膜防水施工。为使涂膜厚度均匀，刮涂方向必须与第一遍刮涂方向垂直，刮涂量比第一遍略少，厚度为0.5mm 为宜。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2、涂膜防水层的验收 </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防水涂膜施工工艺流程，对每道工序进行认真检查验收，做好记录，须合格方可进行下道工序施工。防水层完成并实干后，对涂膜质量进行全面验收，要求满涂，厚度均匀一致，封闭严密，厚度达到设计要求（做切片检查）。防水层无起鼓、开裂、翘边等缺陷，并且表面光滑。经检查验收合格后可进行蓄水试验，（水面高出标准地20mm），24h 无渗漏，做好记录。</w:t>
      </w:r>
      <w:r/>
    </w:p>
    <w:p>
      <w:pPr>
        <w:numPr>
          <w:ilvl w:val="0"/>
          <w:numId w:val="18"/>
        </w:numPr>
        <w:ind w:left="0" w:right="0" w:firstLine="482"/>
        <w:jc w:val="left"/>
        <w:keepLines w:val="0"/>
        <w:keepNext w:val="0"/>
        <w:pageBreakBefore w:val="0"/>
        <w:spacing w:line="480" w:lineRule="atLeast"/>
        <w:rPr>
          <w:rFonts w:hint="eastAsia" w:ascii="宋体" w:hAnsi="宋体" w:eastAsia="宋体" w:cs="宋体"/>
          <w:b/>
          <w:bCs/>
          <w:color w:val="auto"/>
          <w:sz w:val="24"/>
          <w:highlight w:val="none"/>
          <w:lang w:val="en-US" w:eastAsia="zh-CN"/>
        </w:rPr>
        <w:outlineLvl w:val="1"/>
      </w:pPr>
      <w:r>
        <w:rPr>
          <w:rFonts w:hint="eastAsia" w:ascii="宋体" w:hAnsi="宋体" w:eastAsia="宋体" w:cs="宋体"/>
          <w:b/>
          <w:bCs/>
          <w:color w:val="auto"/>
          <w:sz w:val="24"/>
          <w:highlight w:val="none"/>
          <w:lang w:val="en-US" w:eastAsia="zh-CN"/>
        </w:rPr>
        <w:t xml:space="preserve">门禁系统要求</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所投指纹门禁机、人脸识别门禁一体机、门禁专用电源、磁力锁等全套设备，必须实现与学校现有门禁管理系统、视频监控系统无缝对接、统一管理，设备接入、协议兼容、数据互通、功能联动均需满足校方现有系统运行要求。</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投标供应商中标后签订合同前需</w:t>
      </w:r>
      <w:r>
        <w:rPr>
          <w:rFonts w:hint="eastAsia" w:ascii="宋体" w:hAnsi="宋体" w:eastAsia="宋体" w:cs="宋体"/>
          <w:color w:val="auto"/>
          <w:sz w:val="24"/>
          <w:highlight w:val="none"/>
          <w:lang w:eastAsia="zh-CN"/>
        </w:rPr>
        <w:t xml:space="preserve">提交由学校现有系统原厂商（或其合法授权代表）出具的正式授权承诺函。该承诺函须明确声明：原厂商已知悉本项目技术需求，并确认投标人所投设备具备与其现有系统无缝对接的技术能力；原厂商承诺在项目实施过程中提供必要的技术支持，确保设备能够正常接入、稳定运行，并配合完成系统联调与整体功能验证。</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3、实验室给排水系统技术要求</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（1）给排水管材及要求</w:t>
      </w:r>
      <w:r/>
    </w:p>
    <w:p>
      <w:pPr>
        <w:numPr>
          <w:ilvl w:val="0"/>
          <w:numId w:val="19"/>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生活给水管采用PPR管材,热熔焊接；给水接自卫生间或原有室内预留给水管道，进入每个实验室的给水管需设切断阀。</w:t>
      </w:r>
      <w:r/>
    </w:p>
    <w:p>
      <w:pPr>
        <w:numPr>
          <w:ilvl w:val="0"/>
          <w:numId w:val="19"/>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实验室废水管采用PE塑料排水管安装，热熔连接，废水接至建筑原有废水主立管。</w:t>
      </w:r>
      <w:r/>
    </w:p>
    <w:p>
      <w:pPr>
        <w:numPr>
          <w:ilvl w:val="0"/>
          <w:numId w:val="19"/>
        </w:numPr>
        <w:ind w:left="0" w:right="0" w:firstLine="480"/>
        <w:jc w:val="left"/>
        <w:keepLines w:val="0"/>
        <w:keepNext w:val="0"/>
        <w:pageBreakBefore w:val="0"/>
        <w:spacing w:line="480" w:lineRule="atLeast"/>
        <w:widowControl w:val="off"/>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生活污水管采用UPVC塑料排水管，胶粘连接，污水接至建筑原有污水主立管。</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（2）管道及设备安装</w:t>
      </w:r>
      <w:r/>
    </w:p>
    <w:p>
      <w:pPr>
        <w:numPr>
          <w:ilvl w:val="0"/>
          <w:numId w:val="2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给排水管道敷设在管道井或吊顶内,上水走天花经功能柱引至用水点。</w:t>
      </w:r>
      <w:r/>
    </w:p>
    <w:p>
      <w:pPr>
        <w:numPr>
          <w:ilvl w:val="0"/>
          <w:numId w:val="2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给排水管道穿基础或外墙,屋面时,应按设计图示位置预埋刚性防水套管,做法见 02S404。</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（3）排水系统</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排水立管检查口的安装高度均为距该层楼面板＋1.0m。</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凡未注明坡度或标高的排水管道采用如下坡度。即：</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DN50 i=0.035; DN75 i=0.03; DN100 i=0.026；</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DN125 i=0.015; DN150 I=0.010 ; DN200 i=0.008。</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排水管道清扫口，当 DN＜100 时，其规格同管径相同。当 DN≥100 时，其规格均为 DN100。排水管上检查口、清扫口除图中标明者外，还应按《建筑给水排水及采暖工程施工质量验收规范》第 5.2.6 条和 5.2.7 条要求设置和安装。当采用带门三通和弯头时，此门可替代清扫口和检查口。清扫口本体/盖板/盖圈材质。</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排水管道的横管与立管连接处，应采用 45 斜三通或斜四通和顺水三通或顺水四通。排水支管、排水立管接入横干管时，应采用 45°斜三通接入。</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排水立管与排出管端部的连接连接，采用两个 45 弯头或弯头半径≥4 倍管径的 90 弯头。</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凡设有地漏处，其周围的地面应不小于 0.01 的坡度坡向地漏处。地漏篦子顶面标高应低于设置处地面标高 5mm。地漏水封高度≥50mm。存水弯同卫生洁具配套订购, 水封 h≮50mm。</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伸顶通气帽采用铸铁伸顶式通气帽（蘑菇型），详见《建筑排水设备附件选用安装》04S301 第 74 页；伸顶通气帽高出屋面隔热板 0.5m 且大于最大积雪厚度。上人屋面高出屋面 2m。</w:t>
      </w:r>
      <w:r/>
    </w:p>
    <w:p>
      <w:pPr>
        <w:numPr>
          <w:ilvl w:val="0"/>
          <w:numId w:val="21"/>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排水管道的连接应符合《建筑给水排水及采暖工程施工质量验收规范》。</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（4）管道敷设及机电设备安装</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钢管,在安装时都应考虑适应管道的热涨冷缩之需要,不管图中是否有表示    都应设置波纹伸缩节。</w:t>
      </w:r>
      <w:r/>
    </w:p>
    <w:p>
      <w:pPr>
        <w:numPr>
          <w:ilvl w:val="0"/>
          <w:numId w:val="23"/>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伸缩节的压力 PN 应大于或等于管道最大工作压力。</w:t>
      </w:r>
      <w:r/>
    </w:p>
    <w:p>
      <w:pPr>
        <w:numPr>
          <w:ilvl w:val="0"/>
          <w:numId w:val="23"/>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在安装中应尽量利用管道转弯等自然补偿来代替伸缩节。</w:t>
      </w:r>
      <w:r/>
    </w:p>
    <w:p>
      <w:pPr>
        <w:numPr>
          <w:ilvl w:val="0"/>
          <w:numId w:val="23"/>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采用了伸缩节的管道,在伸缩节之间,应设置一个固定支架。其余为导向支架。</w:t>
      </w:r>
      <w:r/>
    </w:p>
    <w:p>
      <w:pPr>
        <w:numPr>
          <w:ilvl w:val="0"/>
          <w:numId w:val="23"/>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立管上的固定支架宜安装在伸缩节所在层的上一层管道上。</w:t>
      </w:r>
      <w:r/>
    </w:p>
    <w:p>
      <w:pPr>
        <w:numPr>
          <w:ilvl w:val="0"/>
          <w:numId w:val="23"/>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固定支架,导向支架（滑动支架）按 05R417、03S402 安装。</w:t>
      </w:r>
      <w:r/>
    </w:p>
    <w:p>
      <w:pPr>
        <w:numPr>
          <w:ilvl w:val="0"/>
          <w:numId w:val="23"/>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安装可曲挠橡胶接头或金属波纹补偿器的两端管道,均应设置支墩或支架，使其不承受管道重量。</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支架设置及间距</w:t>
      </w:r>
      <w:r/>
    </w:p>
    <w:p>
      <w:pPr>
        <w:numPr>
          <w:ilvl w:val="0"/>
          <w:numId w:val="24"/>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da-DK"/>
        </w:rPr>
      </w:pPr>
      <w:r>
        <w:rPr>
          <w:rFonts w:hint="eastAsia" w:ascii="宋体" w:hAnsi="宋体" w:eastAsia="宋体" w:cs="宋体"/>
          <w:color w:val="auto"/>
          <w:sz w:val="24"/>
          <w:highlight w:val="none"/>
          <w:lang w:val="da-DK"/>
        </w:rPr>
        <w:t xml:space="preserve">管道支吊架参考国标图 03S402《管道支架及吊架》安装。</w:t>
      </w:r>
      <w:r/>
    </w:p>
    <w:p>
      <w:pPr>
        <w:numPr>
          <w:ilvl w:val="0"/>
          <w:numId w:val="24"/>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da-DK"/>
        </w:rPr>
      </w:pPr>
      <w:r>
        <w:rPr>
          <w:rFonts w:hint="eastAsia" w:ascii="宋体" w:hAnsi="宋体" w:eastAsia="宋体" w:cs="宋体"/>
          <w:color w:val="auto"/>
          <w:sz w:val="24"/>
          <w:highlight w:val="none"/>
          <w:lang w:val="da-DK"/>
        </w:rPr>
        <w:t xml:space="preserve">在临近水泵,阀门和其他大型附件处,应加设支架。</w:t>
      </w:r>
      <w:r/>
    </w:p>
    <w:p>
      <w:pPr>
        <w:numPr>
          <w:ilvl w:val="0"/>
          <w:numId w:val="24"/>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da-DK"/>
        </w:rPr>
      </w:pPr>
      <w:r>
        <w:rPr>
          <w:rFonts w:hint="eastAsia" w:ascii="宋体" w:hAnsi="宋体" w:eastAsia="宋体" w:cs="宋体"/>
          <w:color w:val="auto"/>
          <w:sz w:val="24"/>
          <w:highlight w:val="none"/>
          <w:lang w:val="da-DK"/>
        </w:rPr>
        <w:t xml:space="preserve">各种金属立管每层至少设置一个支架和管卡，设于离地 1～1.5m 处。</w:t>
      </w:r>
      <w:r/>
    </w:p>
    <w:p>
      <w:pPr>
        <w:numPr>
          <w:ilvl w:val="0"/>
          <w:numId w:val="24"/>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da-DK"/>
        </w:rPr>
      </w:pPr>
      <w:r>
        <w:rPr>
          <w:rFonts w:hint="eastAsia" w:ascii="宋体" w:hAnsi="宋体" w:eastAsia="宋体" w:cs="宋体"/>
          <w:color w:val="auto"/>
          <w:sz w:val="24"/>
          <w:highlight w:val="none"/>
          <w:lang w:val="da-DK"/>
        </w:rPr>
        <w:t xml:space="preserve">钢管的管道支吊架间距详见《建筑给水排水及采暖工程施工质量验收规范》（GB50242~2017)的规定。</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管道支吊架材质</w:t>
      </w:r>
      <w:r/>
    </w:p>
    <w:p>
      <w:pPr>
        <w:numPr>
          <w:ilvl w:val="0"/>
          <w:numId w:val="25"/>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da-DK"/>
        </w:rPr>
      </w:pPr>
      <w:r>
        <w:rPr>
          <w:rFonts w:hint="eastAsia" w:ascii="宋体" w:hAnsi="宋体" w:eastAsia="宋体" w:cs="宋体"/>
          <w:color w:val="auto"/>
          <w:sz w:val="24"/>
          <w:highlight w:val="none"/>
          <w:lang w:val="da-DK"/>
        </w:rPr>
        <w:t xml:space="preserve">屋面上所有的管道支吊架全部采用热镀锌产品。</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排水管道伸缩节的设置</w:t>
      </w:r>
      <w:r/>
    </w:p>
    <w:p>
      <w:pPr>
        <w:numPr>
          <w:ilvl w:val="0"/>
          <w:numId w:val="2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当层高小于等于 4m 时，立管应每层设一个伸缩节，否则应根据设计伸缩量确定。横干管设置伸缩节，一般不大于 4m 或按设计图纸中要求设置。横支管上合流配件至立管的直线管段大于 2m 时，应设伸缩节，但伸缩节间最大间距不大于 4m。</w:t>
      </w:r>
      <w:r/>
    </w:p>
    <w:p>
      <w:pPr>
        <w:numPr>
          <w:ilvl w:val="0"/>
          <w:numId w:val="26"/>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lang w:val="zh-TW"/>
        </w:rPr>
        <w:t xml:space="preserve">管道设计伸缩量当管径小于等于 110mm 时，伸缩量不大于 12mm；当管径大于等于 160mm 时，伸缩量不大于 15mm。伸缩节两端设滑动支架，伸缩节间中部设固定支架。</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管道穿屋面:所有管道穿屋面均需设置防水套管，做法详见《防水套管》。</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防火封堵</w:t>
      </w:r>
      <w:r/>
    </w:p>
    <w:p>
      <w:pPr>
        <w:numPr>
          <w:ilvl w:val="0"/>
          <w:numId w:val="2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管道穿防火墙时，应采用符合国家相关消防防火要求的材料，将空隙紧密填实。不影响墙体防火性能。</w:t>
      </w:r>
      <w:r/>
    </w:p>
    <w:p>
      <w:pPr>
        <w:numPr>
          <w:ilvl w:val="0"/>
          <w:numId w:val="27"/>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管道穿楼板处，应采用符合国家相关消防防火要求的材料，将空隙紧密填实。不影响楼板的防火性能。</w:t>
      </w:r>
      <w:r/>
    </w:p>
    <w:p>
      <w:pPr>
        <w:numPr>
          <w:ilvl w:val="0"/>
          <w:numId w:val="22"/>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p>
      <w:pPr>
        <w:numPr>
          <w:ilvl w:val="0"/>
          <w:numId w:val="2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塑料管穿楼板时，必须设置套管及阻火圈。套管采用钢管，穿屋面时必</w:t>
      </w:r>
      <w:r/>
    </w:p>
    <w:p>
      <w:pPr>
        <w:numPr>
          <w:ilvl w:val="0"/>
          <w:numId w:val="2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须采用金属套管。套管应高出地面、屋面&lt;100mm，并采取严格的防水措施。</w:t>
      </w:r>
      <w:r/>
    </w:p>
    <w:p>
      <w:pPr>
        <w:numPr>
          <w:ilvl w:val="0"/>
          <w:numId w:val="2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埋地塑料管出地坪处设置护管，其高度应高出地坪 100mm。</w:t>
      </w:r>
      <w:r/>
    </w:p>
    <w:p>
      <w:pPr>
        <w:numPr>
          <w:ilvl w:val="0"/>
          <w:numId w:val="2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包在管井和吊顶内的立管检查口和阀门处，均应设检修门，尺寸和做法详见建筑设计。给排水承包商应指定检修门位置。</w:t>
      </w:r>
      <w:r/>
    </w:p>
    <w:p>
      <w:pPr>
        <w:numPr>
          <w:ilvl w:val="0"/>
          <w:numId w:val="2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在管道安装时补充钻孔、打洞。铺设时，其钻孔位置应结合结构图纸，避开梁柱。</w:t>
      </w:r>
      <w:r/>
    </w:p>
    <w:p>
      <w:pPr>
        <w:numPr>
          <w:ilvl w:val="0"/>
          <w:numId w:val="28"/>
        </w:numPr>
        <w:ind w:left="0" w:right="0" w:firstLine="480"/>
        <w:jc w:val="left"/>
        <w:keepLines w:val="0"/>
        <w:keepNext w:val="0"/>
        <w:pageBreakBefore w:val="0"/>
        <w:spacing w:line="480" w:lineRule="atLeast"/>
        <w:tabs>
          <w:tab w:val="clear"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给水及排水立管底部的立管和弯管、弯管和弯管、弯管和水平管的相互连接应加强，并需设置支墩。弯头处支撑参照国标图集《室内管道支吊架》05R417-1 第 150 页。有困难时，可设置加强的支吊架，其支撑能力应保证在使用时不因动态负荷致使产生颤动和位移。</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（5）防腐、涂色及保温</w:t>
      </w:r>
      <w:r/>
    </w:p>
    <w:p>
      <w:pPr>
        <w:numPr>
          <w:ilvl w:val="0"/>
          <w:numId w:val="29"/>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安装前管道、管件、管道支吊架、容器等涂底漆前必须清除表面灰尘污垢，锈斑及焊渣等物，必须清除内部污垢和杂物。此道工序合格后方可进行刷漆作业。</w:t>
      </w:r>
      <w:r/>
    </w:p>
    <w:p>
      <w:pPr>
        <w:numPr>
          <w:ilvl w:val="0"/>
          <w:numId w:val="29"/>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件、管道支吊架、容器等除锈后均涂防锈漆二道，第一道防锈漆应在安装时涂好，试压合格后在涂第二道防锈底漆，明设不锈钢管不刷防锈底漆。镀锌层破坏部分及管螺纹露出部分刷防锈底漆二道，上述管道及明装不保温管道，管件，支架等再涂面漆二道，设于管井内，管道间管道可不再刷面漆。</w:t>
      </w:r>
      <w:r/>
    </w:p>
    <w:p>
      <w:pPr>
        <w:numPr>
          <w:ilvl w:val="0"/>
          <w:numId w:val="29"/>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设备和管道应按《建筑给水排水及采暖工程施工质量验收规范》要求做防腐处理。</w:t>
      </w:r>
      <w:r/>
    </w:p>
    <w:p>
      <w:pPr>
        <w:numPr>
          <w:ilvl w:val="0"/>
          <w:numId w:val="29"/>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有可能产生腐蚀的区域，采用热镀锌定型支吊架产品。</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4、实验室气路系统技术要求</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bookmarkStart w:id="11" w:name="_Toc453514330"/>
      <w:r>
        <w:rPr>
          <w:rFonts w:hint="eastAsia" w:ascii="宋体" w:hAnsi="宋体" w:eastAsia="宋体" w:cs="宋体"/>
          <w:color w:val="auto"/>
          <w:sz w:val="24"/>
          <w:highlight w:val="none"/>
        </w:rPr>
        <w:t xml:space="preserve">（1）气体管道配置</w:t>
      </w:r>
      <w:r>
        <w:rPr>
          <w:rFonts w:hint="eastAsia" w:ascii="宋体" w:hAnsi="宋体" w:eastAsia="宋体" w:cs="宋体"/>
          <w:color w:val="auto"/>
          <w:sz w:val="24"/>
          <w:highlight w:val="none"/>
          <w:lang w:eastAsia="zh-Hans"/>
        </w:rPr>
        <w:t xml:space="preserve">技术要求</w:t>
      </w:r>
      <w:bookmarkEnd w:id="11"/>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钢瓶出口均设半</w:t>
      </w:r>
      <w:r>
        <w:rPr>
          <w:rFonts w:hint="eastAsia" w:ascii="宋体" w:hAnsi="宋体" w:eastAsia="宋体" w:cs="宋体"/>
          <w:color w:val="auto"/>
          <w:sz w:val="24"/>
          <w:highlight w:val="none"/>
          <w:lang w:eastAsia="zh-Hans"/>
        </w:rPr>
        <w:t xml:space="preserve">自动切换</w:t>
      </w:r>
      <w:r>
        <w:rPr>
          <w:rFonts w:hint="eastAsia" w:ascii="宋体" w:hAnsi="宋体" w:eastAsia="宋体" w:cs="宋体"/>
          <w:color w:val="auto"/>
          <w:sz w:val="24"/>
          <w:highlight w:val="none"/>
        </w:rPr>
        <w:t xml:space="preserve">汇流排(分别为1用1备)及钢瓶低压报警系统</w:t>
      </w:r>
      <w:r>
        <w:rPr>
          <w:rFonts w:hint="eastAsia" w:ascii="宋体" w:hAnsi="宋体" w:eastAsia="宋体" w:cs="宋体"/>
          <w:color w:val="auto"/>
          <w:sz w:val="24"/>
          <w:highlight w:val="none"/>
          <w:lang w:eastAsia="zh-Hans"/>
        </w:rPr>
        <w:t xml:space="preserve">,钢瓶间</w:t>
      </w:r>
      <w:r>
        <w:rPr>
          <w:rFonts w:hint="eastAsia" w:ascii="宋体" w:hAnsi="宋体" w:eastAsia="宋体" w:cs="宋体"/>
          <w:color w:val="auto"/>
          <w:sz w:val="24"/>
          <w:highlight w:val="none"/>
        </w:rPr>
        <w:t xml:space="preserve">和用气实验室根据</w:t>
      </w:r>
      <w:r>
        <w:rPr>
          <w:rFonts w:hint="eastAsia" w:ascii="宋体" w:hAnsi="宋体" w:eastAsia="宋体" w:cs="宋体"/>
          <w:color w:val="auto"/>
          <w:sz w:val="24"/>
          <w:highlight w:val="none"/>
          <w:lang w:eastAsia="zh-Hans"/>
        </w:rPr>
        <w:t xml:space="preserve">气体</w:t>
      </w:r>
      <w:r>
        <w:rPr>
          <w:rFonts w:hint="eastAsia" w:ascii="宋体" w:hAnsi="宋体" w:eastAsia="宋体" w:cs="宋体"/>
          <w:color w:val="auto"/>
          <w:sz w:val="24"/>
          <w:highlight w:val="none"/>
        </w:rPr>
        <w:t xml:space="preserve">种类</w:t>
      </w:r>
      <w:r>
        <w:rPr>
          <w:rFonts w:hint="eastAsia" w:ascii="宋体" w:hAnsi="宋体" w:eastAsia="宋体" w:cs="宋体"/>
          <w:color w:val="auto"/>
          <w:sz w:val="24"/>
          <w:highlight w:val="none"/>
          <w:lang w:eastAsia="zh-Hans"/>
        </w:rPr>
        <w:t xml:space="preserve">配置</w:t>
      </w:r>
      <w:r>
        <w:rPr>
          <w:rFonts w:hint="eastAsia" w:ascii="宋体" w:hAnsi="宋体" w:eastAsia="宋体" w:cs="宋体"/>
          <w:color w:val="auto"/>
          <w:sz w:val="24"/>
          <w:highlight w:val="none"/>
        </w:rPr>
        <w:t xml:space="preserve">氧气浓度</w:t>
      </w:r>
      <w:r>
        <w:rPr>
          <w:rFonts w:hint="eastAsia" w:ascii="宋体" w:hAnsi="宋体" w:eastAsia="宋体" w:cs="宋体"/>
          <w:color w:val="auto"/>
          <w:sz w:val="24"/>
          <w:highlight w:val="none"/>
          <w:lang w:eastAsia="zh-Hans"/>
        </w:rPr>
        <w:t xml:space="preserve">报警器</w:t>
      </w:r>
      <w:r>
        <w:rPr>
          <w:rFonts w:hint="eastAsia" w:ascii="宋体" w:hAnsi="宋体" w:eastAsia="宋体" w:cs="宋体"/>
          <w:color w:val="auto"/>
          <w:sz w:val="24"/>
          <w:highlight w:val="none"/>
        </w:rPr>
        <w:t xml:space="preserve">，共用1套报警主机。用气终端配置二级减压阀及终端球阀。钢瓶均采用钢瓶固定架固定，根据墙体结构选用墙上链条式或落地钢瓶固定架</w:t>
      </w:r>
      <w:r>
        <w:rPr>
          <w:rFonts w:hint="eastAsia" w:ascii="宋体" w:hAnsi="宋体" w:eastAsia="宋体" w:cs="宋体"/>
          <w:b/>
          <w:bCs/>
          <w:color w:val="auto"/>
          <w:sz w:val="24"/>
          <w:highlight w:val="none"/>
        </w:rPr>
        <w:t xml:space="preserve">（甲供）</w:t>
      </w:r>
      <w:r>
        <w:rPr>
          <w:rFonts w:hint="eastAsia" w:ascii="宋体" w:hAnsi="宋体" w:eastAsia="宋体" w:cs="宋体"/>
          <w:color w:val="auto"/>
          <w:sz w:val="24"/>
          <w:highlight w:val="none"/>
        </w:rPr>
        <w:t xml:space="preserve">。</w:t>
      </w:r>
      <w:r/>
    </w:p>
    <w:p>
      <w:pPr>
        <w:numPr>
          <w:ilvl w:val="0"/>
          <w:numId w:val="3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lang w:eastAsia="zh-Hans"/>
        </w:rPr>
      </w:pPr>
      <w:r/>
      <w:bookmarkStart w:id="12" w:name="_Toc453514333"/>
      <w:r>
        <w:rPr>
          <w:rFonts w:hint="eastAsia" w:ascii="宋体" w:hAnsi="宋体" w:eastAsia="宋体" w:cs="宋体"/>
          <w:color w:val="auto"/>
          <w:sz w:val="24"/>
          <w:highlight w:val="none"/>
          <w:lang w:eastAsia="zh-Hans"/>
        </w:rPr>
        <w:t xml:space="preserve">不锈钢气体管路</w:t>
      </w:r>
      <w:bookmarkEnd w:id="12"/>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气体管道采用</w:t>
      </w:r>
      <w:r>
        <w:rPr>
          <w:rFonts w:hint="eastAsia" w:ascii="宋体" w:hAnsi="宋体" w:eastAsia="宋体" w:cs="宋体"/>
          <w:color w:val="auto"/>
          <w:sz w:val="24"/>
          <w:highlight w:val="none"/>
        </w:rPr>
        <w:t xml:space="preserve">无缝</w:t>
      </w:r>
      <w:r>
        <w:rPr>
          <w:rFonts w:hint="eastAsia" w:ascii="宋体" w:hAnsi="宋体" w:eastAsia="宋体" w:cs="宋体"/>
          <w:color w:val="auto"/>
          <w:sz w:val="24"/>
          <w:highlight w:val="none"/>
          <w:lang w:eastAsia="zh-Hans"/>
        </w:rPr>
        <w:t xml:space="preserve">不锈钢,主管尺寸为</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(壁厚≥1.24mm)或3/8</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(壁厚≥0.89mm)</w:t>
      </w:r>
      <w:r>
        <w:rPr>
          <w:rFonts w:hint="eastAsia" w:ascii="宋体" w:hAnsi="宋体" w:eastAsia="宋体" w:cs="宋体"/>
          <w:color w:val="auto"/>
          <w:sz w:val="24"/>
          <w:highlight w:val="none"/>
          <w:lang w:eastAsia="zh-Hans"/>
        </w:rPr>
        <w:t xml:space="preserve">，支管尺寸为1/4”</w:t>
      </w:r>
      <w:r>
        <w:rPr>
          <w:rFonts w:hint="eastAsia" w:ascii="宋体" w:hAnsi="宋体" w:eastAsia="宋体" w:cs="宋体"/>
          <w:color w:val="auto"/>
          <w:sz w:val="24"/>
          <w:highlight w:val="none"/>
        </w:rPr>
        <w:t xml:space="preserve">(壁厚≥0.89mm)</w:t>
      </w:r>
      <w:r>
        <w:rPr>
          <w:rFonts w:hint="eastAsia" w:ascii="宋体" w:hAnsi="宋体" w:eastAsia="宋体" w:cs="宋体"/>
          <w:color w:val="auto"/>
          <w:sz w:val="24"/>
          <w:highlight w:val="none"/>
          <w:lang w:eastAsia="zh-Hans"/>
        </w:rPr>
        <w:t xml:space="preserve">，气管及其配件出厂前均经超声波洁净处理。气体管道连接采用全自动焊接方式，有效避免因一般焊接和卡套引起的管壁污染，气流不畅等，保证纯净气体的输送。管道和阀件的连接方式采用双卡套连接以便维修。管道和汇流排及其连接的气瓶均应互相跨接和接地</w:t>
      </w:r>
      <w:r>
        <w:rPr>
          <w:rFonts w:hint="eastAsia" w:ascii="宋体" w:hAnsi="宋体" w:eastAsia="宋体" w:cs="宋体"/>
          <w:color w:val="auto"/>
          <w:sz w:val="24"/>
          <w:highlight w:val="none"/>
          <w:lang w:eastAsia="zh-Hans"/>
        </w:rPr>
        <w:t xml:space="preserve">，跨接和接地措施按国家现行的有关规定执行。放空管应采用金属材料，不准使用塑料管或橡皮管，且应设阻火器，以防着火。放空管应采取静电接地，并在避雷保护范围之内。放空管应有防止雨雪侵入和外来异物堵塞放空管的措施。管路应尽量减少弯曲，缩短铺设长度，防止传输的气体压力、流量损失过大，尽量减少焊接点以降低泄漏的可能性。弯管采用专用弯管器操作，切管采用专用切管器操作，切断后使用专用平口工具处理断口。实验台上使用的各种气体各个使用点经功能柱引至适当位置并加装二级减压装置，以稳定气体压力,每个使用点均采用手动控制阀单独控制。</w:t>
      </w:r>
      <w:r/>
    </w:p>
    <w:p>
      <w:pPr>
        <w:numPr>
          <w:ilvl w:val="0"/>
          <w:numId w:val="3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lang w:eastAsia="zh-Hans"/>
        </w:rPr>
      </w:pPr>
      <w:r/>
      <w:bookmarkStart w:id="13" w:name="_Toc453514334"/>
      <w:r>
        <w:rPr>
          <w:rFonts w:hint="eastAsia" w:ascii="宋体" w:hAnsi="宋体" w:eastAsia="宋体" w:cs="宋体"/>
          <w:color w:val="auto"/>
          <w:sz w:val="24"/>
          <w:highlight w:val="none"/>
          <w:lang w:eastAsia="zh-Hans"/>
        </w:rPr>
        <w:t xml:space="preserve">钢瓶连接</w:t>
      </w:r>
      <w:bookmarkEnd w:id="13"/>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钢瓶与切换装置采用耐高压的软管连接，保证换瓶时气体不泄漏，柔性连接方式可以方便快捷、有效提高换瓶时的安全可靠性。</w:t>
      </w:r>
      <w:r/>
    </w:p>
    <w:p>
      <w:pPr>
        <w:numPr>
          <w:ilvl w:val="0"/>
          <w:numId w:val="3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lang w:eastAsia="zh-Hans"/>
        </w:rPr>
      </w:pPr>
      <w:r/>
      <w:bookmarkStart w:id="14" w:name="_Toc453514337"/>
      <w:r>
        <w:rPr>
          <w:rFonts w:hint="eastAsia" w:ascii="宋体" w:hAnsi="宋体" w:eastAsia="宋体" w:cs="宋体"/>
          <w:color w:val="auto"/>
          <w:sz w:val="24"/>
          <w:highlight w:val="none"/>
          <w:lang w:eastAsia="zh-Hans"/>
        </w:rPr>
        <w:t xml:space="preserve">管道固定件</w:t>
      </w:r>
      <w:bookmarkEnd w:id="14"/>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采用绝缘材料，坚固，轻巧美观，耐用。管道穿越障碍物时使用管套并采用不可燃材料填充间隙。管道铺设过程中做到横平竖直，为保证管道走向直线度和管道之间的间距，每间隔1.5米设置一组管卡，如遇到特殊建筑结构，酌情考虑铺设方式。未注明标高的管道，可根据现场情况酌情安装，以方便操作，利于检修和安全运行为度。</w:t>
      </w:r>
      <w:r/>
    </w:p>
    <w:p>
      <w:pPr>
        <w:numPr>
          <w:ilvl w:val="0"/>
          <w:numId w:val="3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lang w:eastAsia="zh-Hans"/>
        </w:rPr>
      </w:pPr>
      <w:r/>
      <w:bookmarkStart w:id="15" w:name="_Toc453514338"/>
      <w:r>
        <w:rPr>
          <w:rFonts w:hint="eastAsia" w:ascii="宋体" w:hAnsi="宋体" w:eastAsia="宋体" w:cs="宋体"/>
          <w:color w:val="auto"/>
          <w:sz w:val="24"/>
          <w:highlight w:val="none"/>
          <w:lang w:eastAsia="zh-Hans"/>
        </w:rPr>
        <w:t xml:space="preserve">控制阀</w:t>
      </w:r>
      <w:bookmarkEnd w:id="15"/>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主控制阀为SUS 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或3</w:t>
      </w:r>
      <w:r>
        <w:rPr>
          <w:rFonts w:hint="eastAsia" w:ascii="宋体" w:hAnsi="宋体" w:eastAsia="宋体" w:cs="宋体"/>
          <w:color w:val="auto"/>
          <w:sz w:val="24"/>
          <w:highlight w:val="none"/>
          <w:lang w:eastAsia="zh-Hans"/>
        </w:rPr>
        <w:t xml:space="preserve">/</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Hans"/>
        </w:rPr>
        <w:t xml:space="preserve">”球阀，支管控制阀为1/4”球阀。</w:t>
      </w:r>
      <w:r/>
    </w:p>
    <w:p>
      <w:pPr>
        <w:numPr>
          <w:ilvl w:val="0"/>
          <w:numId w:val="3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lang w:eastAsia="zh-Hans"/>
        </w:rPr>
      </w:pPr>
      <w:r/>
      <w:bookmarkStart w:id="16" w:name="_Toc453514339"/>
      <w:r>
        <w:rPr>
          <w:rFonts w:hint="eastAsia" w:ascii="宋体" w:hAnsi="宋体" w:eastAsia="宋体" w:cs="宋体"/>
          <w:color w:val="auto"/>
          <w:sz w:val="24"/>
          <w:highlight w:val="none"/>
          <w:lang w:eastAsia="zh-Hans"/>
        </w:rPr>
        <w:t xml:space="preserve">管件安装</w:t>
      </w:r>
      <w:bookmarkEnd w:id="16"/>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不锈钢管件在现场安装时方可启封，启封后均要使用5N的高纯气体吹扫才能接入系统，整个系统安装完毕后，还要使用5N的高纯氮气进行大流量吹扫，以确保系统的洁净度。</w:t>
      </w:r>
      <w:r/>
    </w:p>
    <w:p>
      <w:pPr>
        <w:numPr>
          <w:ilvl w:val="0"/>
          <w:numId w:val="30"/>
        </w:numPr>
        <w:ind w:left="0" w:right="0" w:firstLine="480"/>
        <w:jc w:val="left"/>
        <w:keepLines w:val="0"/>
        <w:keepNext w:val="0"/>
        <w:pageBreakBefore w:val="0"/>
        <w:spacing w:line="480" w:lineRule="atLeast"/>
        <w:tabs>
          <w:tab w:val="clear" w:pos="817" w:leader="none"/>
        </w:tabs>
        <w:rPr>
          <w:rFonts w:hint="eastAsia" w:ascii="宋体" w:hAnsi="宋体" w:eastAsia="宋体" w:cs="宋体"/>
          <w:color w:val="auto"/>
          <w:sz w:val="24"/>
          <w:highlight w:val="none"/>
          <w:lang w:eastAsia="zh-Hans"/>
        </w:rPr>
      </w:pPr>
      <w:r/>
      <w:bookmarkStart w:id="17" w:name="_Toc453514340"/>
      <w:r>
        <w:rPr>
          <w:rFonts w:hint="eastAsia" w:ascii="宋体" w:hAnsi="宋体" w:eastAsia="宋体" w:cs="宋体"/>
          <w:color w:val="auto"/>
          <w:sz w:val="24"/>
          <w:highlight w:val="none"/>
          <w:lang w:eastAsia="zh-Hans"/>
        </w:rPr>
        <w:t xml:space="preserve">气体管路验收要求</w:t>
      </w:r>
      <w:bookmarkEnd w:id="17"/>
      <w:r/>
      <w:r/>
    </w:p>
    <w:p>
      <w:pPr>
        <w:pStyle w:val="888"/>
        <w:numPr>
          <w:ilvl w:val="0"/>
          <w:numId w:val="31"/>
        </w:num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气体管路安装到位，使用正常；气体阀门开关正常；压力表指示正常；钢瓶切换系统工作正常；所有管道标识清楚、支撑点牢固、接地良好。</w:t>
      </w:r>
      <w:r/>
    </w:p>
    <w:p>
      <w:pPr>
        <w:pStyle w:val="888"/>
        <w:numPr>
          <w:ilvl w:val="0"/>
          <w:numId w:val="31"/>
        </w:num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强度实验：管内充入高纯氮气使压力达到1.0Mpa，保持此压力10 min或1.5倍工作压力，保压时间为15min，以管路无变形、压力不降为合格。</w:t>
      </w:r>
      <w:r/>
    </w:p>
    <w:p>
      <w:pPr>
        <w:pStyle w:val="888"/>
        <w:numPr>
          <w:ilvl w:val="0"/>
          <w:numId w:val="31"/>
        </w:numPr>
        <w:ind w:left="0" w:right="0" w:firstLine="480"/>
        <w:jc w:val="left"/>
        <w:keepLines w:val="0"/>
        <w:keepNext w:val="0"/>
        <w:pageBreakBefore w:val="0"/>
        <w:spacing w:line="480" w:lineRule="atLeast"/>
        <w:rPr>
          <w:rFonts w:hint="eastAsia" w:ascii="宋体" w:hAnsi="宋体" w:eastAsia="宋体" w:cs="宋体"/>
          <w:color w:val="auto"/>
          <w:sz w:val="24"/>
          <w:highlight w:val="none"/>
          <w:lang w:eastAsia="zh-Hans"/>
        </w:rPr>
      </w:pPr>
      <w:r>
        <w:rPr>
          <w:rFonts w:hint="eastAsia" w:ascii="宋体" w:hAnsi="宋体" w:eastAsia="宋体" w:cs="宋体"/>
          <w:color w:val="auto"/>
          <w:sz w:val="24"/>
          <w:highlight w:val="none"/>
          <w:lang w:eastAsia="zh-Hans"/>
        </w:rPr>
        <w:t xml:space="preserve">严密性实验：管内充入高纯氮气使压力达到1.5倍工作压力，实验时间为24h，压力变化低于2.0%为合格。</w:t>
      </w:r>
      <w:r/>
    </w:p>
    <w:p>
      <w:pPr>
        <w:pStyle w:val="888"/>
        <w:numPr>
          <w:ilvl w:val="0"/>
          <w:numId w:val="31"/>
        </w:num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Hans"/>
        </w:rPr>
        <w:t xml:space="preserve">洁净实验：管路中充入高纯氮气，关闭所有阀门，打开终端阀在最大流量条件下，末端用干净白布遮住管口一分钟，白布上应无污物、油渍、水份，无异味为合格。</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5、实验室电气系统技术要求</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b w:val="0"/>
          <w:bCs w:val="0"/>
          <w:color w:val="auto"/>
          <w:sz w:val="24"/>
          <w:highlight w:val="none"/>
        </w:rPr>
        <w:t xml:space="preserve">（1）</w:t>
      </w:r>
      <w:r>
        <w:rPr>
          <w:rFonts w:hint="eastAsia" w:ascii="宋体" w:hAnsi="宋体" w:eastAsia="宋体" w:cs="宋体"/>
          <w:color w:val="auto"/>
          <w:sz w:val="24"/>
          <w:highlight w:val="none"/>
          <w:lang w:bidi="ar"/>
        </w:rPr>
        <w:t xml:space="preserve">结合现场电气实际情况改造成最终用户确定的电气要求，包含电线、线管、插座、施工、辅材等；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b w:val="0"/>
          <w:bCs w:val="0"/>
          <w:color w:val="auto"/>
          <w:sz w:val="24"/>
          <w:highlight w:val="none"/>
        </w:rPr>
        <w:t xml:space="preserve">（2）</w:t>
      </w:r>
      <w:r>
        <w:rPr>
          <w:rFonts w:hint="eastAsia" w:ascii="宋体" w:hAnsi="宋体" w:eastAsia="宋体" w:cs="宋体"/>
          <w:color w:val="auto"/>
          <w:sz w:val="24"/>
          <w:highlight w:val="none"/>
          <w:lang w:bidi="ar"/>
        </w:rPr>
        <w:t xml:space="preserve">电线电缆：电线、电缆符合 GB/T12706、GB12666 等国家标准，生产厂应有主管部门颁发的生产许可证。</w:t>
      </w:r>
      <w:r>
        <w:rPr>
          <w:rFonts w:hint="eastAsia" w:ascii="宋体" w:hAnsi="宋体" w:eastAsia="宋体" w:cs="宋体"/>
          <w:b/>
          <w:bCs/>
          <w:color w:val="auto"/>
          <w:sz w:val="24"/>
          <w:highlight w:val="none"/>
          <w:lang w:bidi="ar"/>
        </w:rPr>
        <w:t xml:space="preserve">电线、电缆应有</w:t>
      </w:r>
      <w:r>
        <w:rPr>
          <w:rFonts w:hint="eastAsia" w:ascii="宋体" w:hAnsi="宋体" w:eastAsia="宋体" w:cs="宋体"/>
          <w:b/>
          <w:bCs/>
          <w:color w:val="auto"/>
          <w:sz w:val="24"/>
          <w:highlight w:val="none"/>
        </w:rPr>
        <w:t xml:space="preserve">需提供第三方检测机构出具的带CMA或CNAS标识的检测报告</w:t>
      </w:r>
      <w:r>
        <w:rPr>
          <w:rFonts w:hint="eastAsia" w:ascii="宋体" w:hAnsi="宋体" w:eastAsia="宋体" w:cs="宋体"/>
          <w:b/>
          <w:bCs/>
          <w:color w:val="auto"/>
          <w:sz w:val="24"/>
          <w:highlight w:val="none"/>
          <w:lang w:bidi="ar"/>
        </w:rPr>
        <w:t xml:space="preserve">和“3C”认证。</w:t>
      </w:r>
      <w:r>
        <w:rPr>
          <w:rFonts w:hint="eastAsia" w:ascii="宋体" w:hAnsi="宋体" w:eastAsia="宋体" w:cs="宋体"/>
          <w:color w:val="auto"/>
          <w:sz w:val="24"/>
          <w:highlight w:val="none"/>
          <w:lang w:bidi="ar"/>
        </w:rPr>
        <w:t xml:space="preserve">电缆的截面在光照下光亮。无杂质。多次弯折后其绝缘层就不准断裂。断裂后的绝缘层，不能用手撕裂。电线长度的误差不能超过 5%。绝缘层的阻燃性要好，符合现行国家标准 </w:t>
      </w:r>
      <w:r>
        <w:rPr>
          <w:rFonts w:hint="eastAsia" w:ascii="宋体" w:hAnsi="宋体" w:eastAsia="宋体" w:cs="宋体"/>
          <w:color w:val="auto"/>
          <w:sz w:val="24"/>
          <w:highlight w:val="none"/>
          <w:lang w:bidi="ar"/>
        </w:rPr>
        <w:t xml:space="preserve">《电缆在火焰条件下的燃烧试验第 3 部分：成束电线或电缆的燃烧试验方法》GB/T18380.3 中的有关规定。电缆在不低于 0℃条件下敷设时，不需要预热。电缆敷设后经受的住直流耐压试验，4U 条件下 5 分钟。电缆绝缘护套机械性能应符合国家标准。电缆在安装过程中，如有损坏，必须由电缆厂家修复。电缆短路时，持续时间不小于 5 秒。电缆绝缘层质地均匀，无任何突起。电缆平滑接头不大于 2D。电缆绝缘层，无明显的刮痕，无明显的折痕。电缆在竖直敷设必须保证电缆的拉力。开关出线均用高低压摇表测量，绝缘数值须符合规定。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b w:val="0"/>
          <w:bCs w:val="0"/>
          <w:color w:val="auto"/>
          <w:sz w:val="24"/>
          <w:highlight w:val="none"/>
        </w:rPr>
        <w:t xml:space="preserve">（3）</w:t>
      </w:r>
      <w:r>
        <w:rPr>
          <w:rFonts w:hint="eastAsia" w:ascii="宋体" w:hAnsi="宋体" w:eastAsia="宋体" w:cs="宋体"/>
          <w:color w:val="auto"/>
          <w:sz w:val="24"/>
          <w:highlight w:val="none"/>
          <w:lang w:bidi="ar"/>
        </w:rPr>
        <w:t xml:space="preserve">桥架、线管：所有桥架采用有盖板的密闭形式，材质为热镀锌桥</w:t>
      </w:r>
      <w:r>
        <w:rPr>
          <w:rFonts w:hint="eastAsia" w:ascii="宋体" w:hAnsi="宋体" w:eastAsia="宋体" w:cs="宋体"/>
          <w:color w:val="auto"/>
          <w:sz w:val="24"/>
          <w:highlight w:val="none"/>
          <w:lang w:bidi="ar"/>
        </w:rPr>
        <w:t xml:space="preserve">架。桥架间做好接 地连接，严禁焊接连接。电缆桥架的接地电阻符合设计要求。电缆桥架的最大载荷、支撑间距应小于允许载荷和支撑跨距。槽架延续连接处的间隙不得大于 10㎜。严禁将桥架直接点焊在金属结构上。电缆竖井及垂直安装的电缆桥架，其垂直度偏差、水平偏差、对角线偏差必须符合国家标准要求。盖板两端无应光滑，无毛刺或卷口现象。全封闭式桥架的终端应配用 相应断面尺寸的封堵。金属电缆桥架及其支架全长应不少于 2 处与接地（PE）或接零（PEN）干线相连接。热镀锌电缆桥架间连接板的两端不跨接接地线，但连接板两端不少于 2 </w:t>
      </w:r>
      <w:r>
        <w:rPr>
          <w:rFonts w:hint="eastAsia" w:ascii="宋体" w:hAnsi="宋体" w:eastAsia="宋体" w:cs="宋体"/>
          <w:color w:val="auto"/>
          <w:sz w:val="24"/>
          <w:highlight w:val="none"/>
          <w:lang w:bidi="ar"/>
        </w:rPr>
        <w:t xml:space="preserve">个有防松螺帽或防松垫圈的连接固定螺栓。桥架与支架间螺栓、桥架连接板螺栓固定紧固无遗漏，螺母位于桥架外侧。所有桥架中梯形框槽口应向下焊接，焊缝应平滑、饱满，不应有气孔、夹渣、虚焊、咬边等缺陷。电缆桥架的强度应满足电缆及其附件荷重和安装维护的受力要求并考虑短暂上人的附加集中荷载 1000N。电缆桥架的承载能力，应在可能的受力荷载（包括 电缆桥架与附件自重、敷设的电缆以及安装荷载）下不得产生永久变形，且安全系数应大于1.5。托臂在允许承载下的偏斜与臂长比值不大于 1/100。普通照明及弱电线管采用 JDG线管。 </w:t>
      </w:r>
      <w:r/>
    </w:p>
    <w:p>
      <w:pPr>
        <w:pStyle w:val="863"/>
        <w:ind w:left="0" w:right="0" w:firstLine="480"/>
        <w:keepLines w:val="0"/>
        <w:keepNext w:val="0"/>
        <w:pageBreakBefore w:val="0"/>
        <w:spacing w:line="480" w:lineRule="atLeast"/>
        <w:rPr>
          <w:rFonts w:hint="eastAsia" w:ascii="宋体" w:hAnsi="宋体" w:eastAsia="宋体" w:cs="宋体"/>
          <w:color w:val="auto"/>
          <w:szCs w:val="24"/>
          <w:highlight w:val="none"/>
          <w:lang w:bidi="ar"/>
        </w:rPr>
      </w:pPr>
      <w:r>
        <w:rPr>
          <w:rFonts w:hint="eastAsia" w:ascii="宋体" w:hAnsi="宋体" w:eastAsia="宋体" w:cs="宋体"/>
          <w:b w:val="0"/>
          <w:bCs w:val="0"/>
          <w:color w:val="auto"/>
          <w:szCs w:val="24"/>
          <w:highlight w:val="none"/>
          <w:lang w:bidi="ar"/>
        </w:rPr>
        <w:t xml:space="preserve">（4）</w:t>
      </w:r>
      <w:r>
        <w:rPr>
          <w:rFonts w:hint="eastAsia" w:ascii="宋体" w:hAnsi="宋体" w:eastAsia="宋体" w:cs="宋体"/>
          <w:color w:val="auto"/>
          <w:szCs w:val="24"/>
          <w:highlight w:val="none"/>
          <w:lang w:bidi="ar"/>
        </w:rPr>
        <w:t xml:space="preserve">照明灯具</w:t>
      </w:r>
      <w:r/>
    </w:p>
    <w:p>
      <w:pPr>
        <w:pStyle w:val="863"/>
        <w:ind w:left="0" w:right="0" w:firstLine="482"/>
        <w:keepLines w:val="0"/>
        <w:keepNext w:val="0"/>
        <w:pageBreakBefore w:val="0"/>
        <w:spacing w:line="480" w:lineRule="atLeast"/>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 xml:space="preserve">本项目均使用LED照明灯具，需附国家强制性产品认证试验报告。</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有可能产生腐蚀的区域，采用热镀锌定型支吊架产品。</w:t>
      </w:r>
      <w:r/>
    </w:p>
    <w:p>
      <w:pPr>
        <w:ind w:left="0" w:right="0" w:firstLine="482"/>
        <w:jc w:val="left"/>
        <w:keepLines w:val="0"/>
        <w:keepNext w:val="0"/>
        <w:pageBreakBefore w:val="0"/>
        <w:spacing w:line="480" w:lineRule="atLeast"/>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6、实验室暖通系统技术要求</w:t>
      </w:r>
      <w:r/>
    </w:p>
    <w:p>
      <w:pPr>
        <w:numPr>
          <w:ilvl w:val="0"/>
          <w:numId w:val="32"/>
        </w:numPr>
        <w:ind w:left="0" w:right="0" w:firstLine="482"/>
        <w:keepLines w:val="0"/>
        <w:keepNext w:val="0"/>
        <w:pageBreakBefore w:val="0"/>
        <w:spacing w:line="480" w:lineRule="atLeast"/>
        <w:rPr>
          <w:rFonts w:hint="eastAsia" w:ascii="宋体" w:hAnsi="宋体" w:eastAsia="宋体" w:cs="宋体"/>
          <w:b/>
          <w:color w:val="auto"/>
          <w:sz w:val="24"/>
          <w:highlight w:val="none"/>
        </w:rPr>
      </w:pPr>
      <w:r/>
      <w:bookmarkStart w:id="18" w:name="_Toc19011"/>
      <w:r>
        <w:rPr>
          <w:rFonts w:hint="eastAsia" w:ascii="宋体" w:hAnsi="宋体" w:eastAsia="宋体" w:cs="宋体"/>
          <w:b/>
          <w:color w:val="auto"/>
          <w:sz w:val="24"/>
          <w:highlight w:val="none"/>
        </w:rPr>
        <w:t xml:space="preserve">通排风系统设计及安装标准：</w:t>
      </w:r>
      <w:bookmarkEnd w:id="18"/>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《民用建筑供暖通风与空气调节设计规范》    GB50736-2012</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《建筑设计防火规范（2018版）》            GB50016-2014</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《公共建筑节能设计标准》                  GB50189-2015</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《科研建筑设计标准》                      JGJ91-2019</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《实验室变风量排风柜》                    JG/T-222-2007</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《通风与空调工程施工质量验收规范》        GB 50243-2016</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《室内空气质量标准》                      GB/T18883-2022</w:t>
      </w:r>
      <w:r/>
    </w:p>
    <w:p>
      <w:pPr>
        <w:pStyle w:val="1156"/>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《工业建筑供暖通风与空气调节设计规范》    GB 50019-2015</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设计施工图纸和技术要求，本工程项目的材料、设备和安装必须达到图纸设计单位和规范、标准的要求，都应遵照国家及有关部门现行规范和有关的技术规范执行，若国家及有关部门对规范重新修订时，以现行规范为准。无规范和标准时，以设计单位提出经业主同意的标准执行。</w:t>
      </w:r>
      <w:r/>
    </w:p>
    <w:p>
      <w:pPr>
        <w:numPr>
          <w:ilvl w:val="0"/>
          <w:numId w:val="32"/>
        </w:numPr>
        <w:ind w:left="0" w:right="0" w:firstLine="482"/>
        <w:keepLines w:val="0"/>
        <w:keepNext w:val="0"/>
        <w:pageBreakBefore w:val="0"/>
        <w:spacing w:line="480" w:lineRule="atLeas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总体性能及技术要求：</w:t>
      </w:r>
      <w:r/>
    </w:p>
    <w:p>
      <w:pPr>
        <w:numPr>
          <w:ilvl w:val="0"/>
          <w:numId w:val="33"/>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19" w:name="_Toc12818"/>
      <w:r>
        <w:rPr>
          <w:rFonts w:hint="eastAsia" w:ascii="宋体" w:hAnsi="宋体" w:eastAsia="宋体" w:cs="宋体"/>
          <w:color w:val="auto"/>
          <w:sz w:val="24"/>
          <w:highlight w:val="none"/>
        </w:rPr>
        <w:t xml:space="preserve">实验室通风系统技术要求</w:t>
      </w:r>
      <w:bookmarkEnd w:id="19"/>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本项目根据实际情况，排风柜采用VAV变风量控制方式，房间送风采用自然补风方式。</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确保排风柜对实验中有害物质的防护——安全的面风速控制。排风柜的位置布置应该在远离空气流动、紊流大的地方，远离行走区域和空气新风区。</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为实验室提供安全的工作环境，并满足一定的舒适性要求。在满足安全性的同时，最大限度节约能耗。</w:t>
      </w:r>
      <w:r/>
    </w:p>
    <w:p>
      <w:pPr>
        <w:numPr>
          <w:ilvl w:val="0"/>
          <w:numId w:val="33"/>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20" w:name="_Toc19964"/>
      <w:r>
        <w:rPr>
          <w:rFonts w:hint="eastAsia" w:ascii="宋体" w:hAnsi="宋体" w:eastAsia="宋体" w:cs="宋体"/>
          <w:color w:val="auto"/>
          <w:sz w:val="24"/>
          <w:highlight w:val="none"/>
        </w:rPr>
        <w:t xml:space="preserve">通风系统</w:t>
      </w:r>
      <w:bookmarkEnd w:id="20"/>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通风系统设计考虑安全与节能，根据项目实际情况，采用变风量控制系统。</w:t>
      </w:r>
      <w:r/>
    </w:p>
    <w:p>
      <w:p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送风系统设计：实验室送风采用自然补风方式，新风通过负压进入实验室以维持实验室的压力平衡。</w:t>
      </w:r>
      <w:r/>
    </w:p>
    <w:p>
      <w:pPr>
        <w:numPr>
          <w:ilvl w:val="0"/>
          <w:numId w:val="33"/>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21" w:name="_Toc7806"/>
      <w:r>
        <w:rPr>
          <w:rFonts w:hint="eastAsia" w:ascii="宋体" w:hAnsi="宋体" w:eastAsia="宋体" w:cs="宋体"/>
          <w:color w:val="auto"/>
          <w:sz w:val="24"/>
          <w:highlight w:val="none"/>
        </w:rPr>
        <w:t xml:space="preserve">通风系统</w:t>
      </w:r>
      <w:bookmarkEnd w:id="21"/>
      <w:r>
        <w:rPr>
          <w:rFonts w:hint="eastAsia" w:ascii="宋体" w:hAnsi="宋体" w:eastAsia="宋体" w:cs="宋体"/>
          <w:color w:val="auto"/>
          <w:sz w:val="24"/>
          <w:highlight w:val="none"/>
        </w:rPr>
        <w:t xml:space="preserve">技术要求</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新风管和空调风管采用镀锌钢板风管；</w:t>
      </w:r>
      <w:r/>
    </w:p>
    <w:p>
      <w:pPr>
        <w:ind w:left="0" w:right="0" w:firstLine="482"/>
        <w:jc w:val="left"/>
        <w:keepLines w:val="0"/>
        <w:keepNext w:val="0"/>
        <w:pageBreakBefore w:val="0"/>
        <w:spacing w:line="48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本工程所有室内实验区排风管均采用阻燃PP材质风管；</w:t>
      </w:r>
      <w:r/>
    </w:p>
    <w:p>
      <w:pPr>
        <w:ind w:left="0" w:right="0" w:firstLine="480"/>
        <w:jc w:val="left"/>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参考《通风管道技术规程》JGJ/T141-2017 。</w:t>
      </w:r>
      <w:r/>
    </w:p>
    <w:p>
      <w:pPr>
        <w:ind w:left="0" w:right="0" w:firstLine="480"/>
        <w:jc w:val="left"/>
        <w:keepLines w:val="0"/>
        <w:keepNext w:val="0"/>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实验室室内PP排风管均采用阻燃PP（耐酸碱）板材制作，板材依据《火焰引燃家具和组件的燃烧性能试验方法》(GB/T 27904-2011)进行检测5min内热释放总量不高于9MJ）。</w:t>
      </w:r>
      <w:r>
        <w:rPr>
          <w:rFonts w:hint="eastAsia" w:ascii="宋体" w:hAnsi="宋体" w:eastAsia="宋体" w:cs="宋体"/>
          <w:b/>
          <w:bCs/>
          <w:color w:val="auto"/>
          <w:sz w:val="24"/>
          <w:highlight w:val="none"/>
        </w:rPr>
        <w:t xml:space="preserve">需提供第三方检测机构出具的带CMA或CNAS标识的检测报告。</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风管口径能满足实验室设备连接需求。</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风管安装不应出现直角弯头、直角三通等，风管加工应遵循GB50243-2016的相关规定，同时尽可能减少风管口径变化情况发生。</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风管壁厚度能保证风管成型后的管壁强度，不出现风机工作时风管变形情况。</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风管连接处确保长久密封性，不出现漏风。风管与风机之间采用软性PP材料连接。</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风管内壁光滑，外形美观，支、吊架圆管采用A3钢抱箍风管，方管采用经防锈处理的吊杆紧固I字钢来支撑风管。</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阀门：手动调节阀采用耐腐蚀的PP塑料精密制造而成，阀体带工程塑料轴杆，转动角度0-90º，模块化设计，互换性良好，标准批量生产；直插承接口连接，密封性好，安装方便。</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防火阀符合3C认证满足相关规范的需求。</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防火阀应根据施工图纸进行安装，不得超出防火墙200mm，易熔件迎向气流方向。</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防火阀以及变风量阀门安装，应设单独支吊架。</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排风系统的所有附件均需经过耐酸碱腐蚀防腐处理。</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风管制作按《通风与空调工程施工质量验收规范》执行。</w:t>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镀锌钢板风管</w:t>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22" w:name="_Toc218"/>
      <w:r/>
      <w:bookmarkStart w:id="23" w:name="_Toc25740"/>
      <w:r/>
      <w:bookmarkStart w:id="24" w:name="_Toc10940"/>
      <w:r/>
      <w:bookmarkStart w:id="25" w:name="_Toc19286"/>
      <w:r>
        <w:rPr>
          <w:rFonts w:hint="eastAsia" w:ascii="宋体" w:hAnsi="宋体" w:eastAsia="宋体" w:cs="宋体"/>
          <w:color w:val="auto"/>
          <w:sz w:val="24"/>
          <w:highlight w:val="none"/>
        </w:rPr>
        <w:t xml:space="preserve">所有空调风管、风管配件及部件均采用镀锌板制作（机制风管），镀锌板材厚度严格按规范要求确定，镀锌面层质量好、镀层不易脱落，不得出现裂纹、结疤、划伤及明显氧化层、针孔、麻点等缺陷，施工中无法避免破坏镀锌层的所有位置（如钻孔，拉铆，咬口处）则必须涂胶密封；</w:t>
      </w:r>
      <w:bookmarkEnd w:id="22"/>
      <w:r/>
      <w:bookmarkEnd w:id="23"/>
      <w:r/>
      <w:bookmarkEnd w:id="24"/>
      <w:r/>
      <w:bookmarkEnd w:id="25"/>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26" w:name="_Toc22756"/>
      <w:r/>
      <w:bookmarkStart w:id="27" w:name="_Toc22806"/>
      <w:r/>
      <w:bookmarkStart w:id="28" w:name="_Toc19668"/>
      <w:r/>
      <w:bookmarkStart w:id="29" w:name="_Toc11983"/>
      <w:r>
        <w:rPr>
          <w:rFonts w:hint="eastAsia" w:ascii="宋体" w:hAnsi="宋体" w:eastAsia="宋体" w:cs="宋体"/>
          <w:color w:val="auto"/>
          <w:sz w:val="24"/>
          <w:highlight w:val="none"/>
        </w:rPr>
        <w:t xml:space="preserve">镀锌钢板选择无油型。</w:t>
      </w:r>
      <w:bookmarkEnd w:id="26"/>
      <w:r/>
      <w:bookmarkEnd w:id="27"/>
      <w:r/>
      <w:bookmarkEnd w:id="28"/>
      <w:r/>
      <w:bookmarkEnd w:id="29"/>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30" w:name="_Toc24888"/>
      <w:r/>
      <w:bookmarkStart w:id="31" w:name="_Toc24365"/>
      <w:r/>
      <w:bookmarkStart w:id="32" w:name="_Toc16934"/>
      <w:r/>
      <w:bookmarkStart w:id="33" w:name="_Toc6870"/>
      <w:r>
        <w:rPr>
          <w:rFonts w:hint="eastAsia" w:ascii="宋体" w:hAnsi="宋体" w:eastAsia="宋体" w:cs="宋体"/>
          <w:color w:val="auto"/>
          <w:sz w:val="24"/>
          <w:highlight w:val="none"/>
        </w:rPr>
        <w:t xml:space="preserve">风管加工环境应在清洁的加工场内进行， 风管制作时必须确保其拼缝等必须满足规范要求，若在不应有拼缝的区域出现有拼缝现象，则必须更换全部有问题的风管。</w:t>
      </w:r>
      <w:bookmarkEnd w:id="30"/>
      <w:r/>
      <w:bookmarkEnd w:id="31"/>
      <w:r/>
      <w:bookmarkEnd w:id="32"/>
      <w:r/>
      <w:bookmarkEnd w:id="33"/>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34" w:name="_Toc26934"/>
      <w:r/>
      <w:bookmarkStart w:id="35" w:name="_Toc22691"/>
      <w:r/>
      <w:bookmarkStart w:id="36" w:name="_Toc22170"/>
      <w:r/>
      <w:bookmarkStart w:id="37" w:name="_Toc17168"/>
      <w:r>
        <w:rPr>
          <w:rFonts w:hint="eastAsia" w:ascii="宋体" w:hAnsi="宋体" w:eastAsia="宋体" w:cs="宋体"/>
          <w:color w:val="auto"/>
          <w:sz w:val="24"/>
          <w:highlight w:val="none"/>
        </w:rPr>
        <w:t xml:space="preserve">空调风管均采用角钢法兰连接，法兰间密封条采用闭孔海绵橡胶板，厚度不小于5mm；</w:t>
      </w:r>
      <w:bookmarkEnd w:id="34"/>
      <w:r/>
      <w:bookmarkEnd w:id="35"/>
      <w:r/>
      <w:bookmarkEnd w:id="36"/>
      <w:r/>
      <w:bookmarkEnd w:id="37"/>
      <w:r/>
      <w:bookmarkStart w:id="38" w:name="_Toc31623"/>
      <w:r/>
      <w:bookmarkStart w:id="39" w:name="_Toc4380"/>
      <w:r/>
      <w:bookmarkStart w:id="40" w:name="_Toc4731"/>
      <w:r/>
      <w:bookmarkStart w:id="41" w:name="_Toc6575"/>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通风管道的内表面应当平整光滑、无裂缝、接口严密、无颗粒物脱落，不得在风管内设加固框或加固筋。</w:t>
      </w:r>
      <w:bookmarkEnd w:id="38"/>
      <w:r/>
      <w:bookmarkEnd w:id="39"/>
      <w:r/>
      <w:bookmarkEnd w:id="40"/>
      <w:r/>
      <w:bookmarkEnd w:id="41"/>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42" w:name="_Toc318"/>
      <w:r/>
      <w:bookmarkStart w:id="43" w:name="_Toc15183"/>
      <w:r/>
      <w:bookmarkStart w:id="44" w:name="_Toc30672"/>
      <w:r/>
      <w:bookmarkStart w:id="45" w:name="_Toc6008"/>
      <w:r>
        <w:rPr>
          <w:rFonts w:hint="eastAsia" w:ascii="宋体" w:hAnsi="宋体" w:eastAsia="宋体" w:cs="宋体"/>
          <w:color w:val="auto"/>
          <w:sz w:val="24"/>
          <w:highlight w:val="none"/>
        </w:rPr>
        <w:t xml:space="preserve">风管所用的螺栓、螺母、垫圈和铆钉均应采用与管材性能相适应，不产生电化学腐蚀的材料（严禁采用抽芯铆钉）</w:t>
      </w:r>
      <w:bookmarkEnd w:id="42"/>
      <w:r/>
      <w:bookmarkEnd w:id="43"/>
      <w:r/>
      <w:bookmarkEnd w:id="44"/>
      <w:r/>
      <w:bookmarkEnd w:id="45"/>
      <w:r>
        <w:rPr>
          <w:rFonts w:hint="eastAsia" w:ascii="宋体" w:hAnsi="宋体" w:eastAsia="宋体" w:cs="宋体"/>
          <w:color w:val="auto"/>
          <w:sz w:val="24"/>
          <w:highlight w:val="none"/>
          <w:lang w:eastAsia="zh-CN"/>
        </w:rPr>
        <w:t xml:space="preserve">。</w:t>
      </w:r>
      <w:r/>
    </w:p>
    <w:p>
      <w:pPr>
        <w:numPr>
          <w:ilvl w:val="0"/>
          <w:numId w:val="35"/>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46" w:name="_Toc6547"/>
      <w:r/>
      <w:bookmarkStart w:id="47" w:name="_Toc7146"/>
      <w:r/>
      <w:bookmarkStart w:id="48" w:name="_Toc1592"/>
      <w:r/>
      <w:bookmarkStart w:id="49" w:name="_Toc15025"/>
      <w:r>
        <w:rPr>
          <w:rFonts w:hint="eastAsia" w:ascii="宋体" w:hAnsi="宋体" w:eastAsia="宋体" w:cs="宋体"/>
          <w:color w:val="auto"/>
          <w:sz w:val="24"/>
          <w:highlight w:val="none"/>
        </w:rPr>
        <w:t xml:space="preserve">制作好的风管应进行清洗工作，保证内表面清洁干净。检查标准为用干净白纱手套擦拭风管内表面无油迹、无灰尘风管清洗合格后，两端应加密封保护以防止内表面受到污染。</w:t>
      </w:r>
      <w:bookmarkEnd w:id="46"/>
      <w:r/>
      <w:bookmarkEnd w:id="47"/>
      <w:r/>
      <w:bookmarkEnd w:id="48"/>
      <w:r/>
      <w:bookmarkEnd w:id="49"/>
      <w:r/>
      <w:r/>
    </w:p>
    <w:p>
      <w:pPr>
        <w:numPr>
          <w:ilvl w:val="0"/>
          <w:numId w:val="34"/>
        </w:numPr>
        <w:ind w:left="0" w:right="0" w:firstLine="480"/>
        <w:keepLines w:val="0"/>
        <w:keepNext w:val="0"/>
        <w:pageBreakBefore w:val="0"/>
        <w:spacing w:line="480" w:lineRule="atLeast"/>
        <w:rPr>
          <w:rFonts w:hint="eastAsia" w:ascii="宋体" w:hAnsi="宋体" w:eastAsia="宋体" w:cs="宋体"/>
          <w:color w:val="auto"/>
          <w:sz w:val="24"/>
          <w:highlight w:val="none"/>
        </w:rPr>
      </w:pPr>
      <w:r/>
      <w:bookmarkStart w:id="50" w:name="_Toc12672"/>
      <w:r/>
      <w:bookmarkStart w:id="51" w:name="_Toc15579"/>
      <w:r/>
      <w:bookmarkStart w:id="52" w:name="_Toc11192"/>
      <w:r/>
      <w:bookmarkStart w:id="53" w:name="_Toc12269"/>
      <w:r/>
      <w:bookmarkStart w:id="54" w:name="_Toc32235"/>
      <w:r/>
      <w:bookmarkStart w:id="55" w:name="_Toc17231"/>
      <w:r/>
      <w:bookmarkStart w:id="56" w:name="_Toc23708"/>
      <w:r>
        <w:rPr>
          <w:rFonts w:hint="eastAsia" w:ascii="宋体" w:hAnsi="宋体" w:eastAsia="宋体" w:cs="宋体"/>
          <w:color w:val="auto"/>
          <w:sz w:val="24"/>
          <w:highlight w:val="none"/>
        </w:rPr>
        <w:t xml:space="preserve">风管保温</w:t>
      </w:r>
      <w:bookmarkEnd w:id="50"/>
      <w:r/>
      <w:bookmarkEnd w:id="51"/>
      <w:r/>
      <w:bookmarkEnd w:id="52"/>
      <w:r/>
      <w:bookmarkEnd w:id="53"/>
      <w:r/>
      <w:r/>
    </w:p>
    <w:p>
      <w:pPr>
        <w:pStyle w:val="881"/>
        <w:ind w:left="0" w:right="0" w:firstLine="480"/>
        <w:jc w:val="left"/>
        <w:keepLines w:val="0"/>
        <w:keepNext w:val="0"/>
        <w:pageBreakBefore w:val="0"/>
        <w:spacing w:before="0" w:after="0" w:line="480" w:lineRule="atLeast"/>
        <w:widowControl/>
        <w:rPr>
          <w:rFonts w:hint="eastAsia" w:ascii="宋体" w:hAnsi="宋体" w:eastAsia="宋体" w:cs="宋体"/>
          <w:b w:val="0"/>
          <w:bCs w:val="0"/>
          <w:color w:val="auto"/>
          <w:sz w:val="24"/>
          <w:szCs w:val="24"/>
          <w:highlight w:val="none"/>
        </w:rPr>
        <w:outlineLvl w:val="9"/>
      </w:pPr>
      <w:r/>
      <w:bookmarkStart w:id="57" w:name="_Toc18724"/>
      <w:r/>
      <w:bookmarkStart w:id="58" w:name="_Toc27695"/>
      <w:r/>
      <w:bookmarkStart w:id="59" w:name="_Toc16352"/>
      <w:r/>
      <w:bookmarkStart w:id="60" w:name="_Toc25403"/>
      <w:r>
        <w:rPr>
          <w:rFonts w:hint="eastAsia" w:ascii="宋体" w:hAnsi="宋体" w:eastAsia="宋体" w:cs="宋体"/>
          <w:b w:val="0"/>
          <w:bCs w:val="0"/>
          <w:color w:val="auto"/>
          <w:sz w:val="24"/>
          <w:szCs w:val="24"/>
          <w:highlight w:val="none"/>
        </w:rPr>
        <w:t xml:space="preserve">新风空调送风管道采用镀锌钢板风管，风管保温为橡塑保温，耐火等级为 B1级,橡塑材料要求阻湿因子&gt;7000，0°C时,导热系数&lt;0.034W/m.K;密度70~85Kg/m3;氧指数大于33，厚度为30毫米，最小热阻为0.83m2K/W；室内阀门、消声器和静压箱等均应做保温处理，风管法兰处及部件结合处需保温加强，阀门手柄外露。消音器、空调机组等进出口均设软连接，软连接的长150~300mm。</w:t>
      </w:r>
      <w:bookmarkEnd w:id="54"/>
      <w:r/>
      <w:bookmarkEnd w:id="55"/>
      <w:r/>
      <w:bookmarkEnd w:id="56"/>
      <w:r/>
      <w:bookmarkEnd w:id="57"/>
      <w:r/>
      <w:bookmarkEnd w:id="58"/>
      <w:r/>
      <w:bookmarkEnd w:id="59"/>
      <w:r/>
      <w:bookmarkEnd w:id="60"/>
      <w:r/>
      <w:r/>
    </w:p>
    <w:p>
      <w:pPr>
        <w:numPr>
          <w:ilvl w:val="0"/>
          <w:numId w:val="33"/>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多联机空调系统及设备技术要求</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冷媒配管：</w:t>
      </w:r>
      <w:r>
        <w:rPr>
          <w:rFonts w:hint="eastAsia" w:ascii="宋体" w:hAnsi="宋体" w:eastAsia="宋体" w:cs="宋体"/>
          <w:color w:val="auto"/>
          <w:sz w:val="24"/>
          <w:highlight w:val="none"/>
        </w:rPr>
        <w:t xml:space="preserve">采用</w:t>
      </w:r>
      <w:r>
        <w:rPr>
          <w:rFonts w:hint="eastAsia" w:ascii="宋体" w:hAnsi="宋体" w:eastAsia="宋体" w:cs="宋体"/>
          <w:color w:val="auto"/>
          <w:spacing w:val="-60"/>
          <w:sz w:val="24"/>
          <w:highlight w:val="none"/>
        </w:rPr>
        <w:t xml:space="preserve"> </w:t>
      </w:r>
      <w:r>
        <w:rPr>
          <w:rFonts w:hint="eastAsia" w:ascii="宋体" w:hAnsi="宋体" w:eastAsia="宋体" w:cs="宋体"/>
          <w:color w:val="auto"/>
          <w:sz w:val="24"/>
          <w:highlight w:val="none"/>
        </w:rPr>
        <w:t xml:space="preserve">R410A</w:t>
      </w:r>
      <w:r>
        <w:rPr>
          <w:rFonts w:hint="eastAsia" w:ascii="宋体" w:hAnsi="宋体" w:eastAsia="宋体" w:cs="宋体"/>
          <w:color w:val="auto"/>
          <w:spacing w:val="-59"/>
          <w:sz w:val="24"/>
          <w:highlight w:val="none"/>
        </w:rPr>
        <w:t xml:space="preserve"> </w:t>
      </w:r>
      <w:r>
        <w:rPr>
          <w:rFonts w:hint="eastAsia" w:ascii="宋体" w:hAnsi="宋体" w:eastAsia="宋体" w:cs="宋体"/>
          <w:color w:val="auto"/>
          <w:sz w:val="24"/>
          <w:highlight w:val="none"/>
        </w:rPr>
        <w:t xml:space="preserve">的系统，铜管要选用无油铜管，铜管无杂质、不发黑、不变形，铜管厚度符合相关规范标准。铜管不发黄不变形</w:t>
      </w:r>
      <w:r>
        <w:rPr>
          <w:rFonts w:hint="eastAsia" w:ascii="宋体" w:hAnsi="宋体" w:eastAsia="宋体" w:cs="宋体"/>
          <w:color w:val="auto"/>
          <w:sz w:val="24"/>
          <w:highlight w:val="none"/>
          <w:lang w:eastAsia="zh-CN"/>
        </w:rPr>
        <w:t xml:space="preserve">。</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U</w:t>
      </w:r>
      <w:r>
        <w:rPr>
          <w:rFonts w:hint="eastAsia" w:ascii="宋体" w:hAnsi="宋体" w:eastAsia="宋体" w:cs="宋体"/>
          <w:color w:val="auto"/>
          <w:spacing w:val="-60"/>
          <w:sz w:val="24"/>
          <w:highlight w:val="none"/>
        </w:rPr>
        <w:t xml:space="preserve"> </w:t>
      </w:r>
      <w:r>
        <w:rPr>
          <w:rFonts w:hint="eastAsia" w:ascii="宋体" w:hAnsi="宋体" w:eastAsia="宋体" w:cs="宋体"/>
          <w:color w:val="auto"/>
          <w:sz w:val="24"/>
          <w:highlight w:val="none"/>
        </w:rPr>
        <w:t xml:space="preserve">型分歧管放置形式：水平放置、垂直放置。</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水平或垂直安装分支器，水平夹角应在±10°角以内。</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铜管转弯处与相邻分歧管间的水平直管段距离应≥0.5m，相邻两分歧管间的水平直管段距离应≥0.5m，分歧管后连接室内机的水平直管段距离应≥0.5m。</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w:t>
      </w:r>
      <w:r>
        <w:rPr>
          <w:rFonts w:hint="eastAsia" w:ascii="宋体" w:hAnsi="宋体" w:eastAsia="宋体" w:cs="宋体"/>
          <w:color w:val="auto"/>
          <w:spacing w:val="2"/>
          <w:sz w:val="24"/>
          <w:highlight w:val="none"/>
        </w:rPr>
        <w:t xml:space="preserve">内</w:t>
      </w:r>
      <w:r>
        <w:rPr>
          <w:rFonts w:hint="eastAsia" w:ascii="宋体" w:hAnsi="宋体" w:eastAsia="宋体" w:cs="宋体"/>
          <w:color w:val="auto"/>
          <w:sz w:val="24"/>
          <w:highlight w:val="none"/>
        </w:rPr>
        <w:t xml:space="preserve">机安</w:t>
      </w:r>
      <w:r>
        <w:rPr>
          <w:rFonts w:hint="eastAsia" w:ascii="宋体" w:hAnsi="宋体" w:eastAsia="宋体" w:cs="宋体"/>
          <w:color w:val="auto"/>
          <w:spacing w:val="2"/>
          <w:sz w:val="24"/>
          <w:highlight w:val="none"/>
        </w:rPr>
        <w:t xml:space="preserve">装</w:t>
      </w:r>
      <w:r>
        <w:rPr>
          <w:rFonts w:hint="eastAsia" w:ascii="宋体" w:hAnsi="宋体" w:eastAsia="宋体" w:cs="宋体"/>
          <w:color w:val="auto"/>
          <w:sz w:val="24"/>
          <w:highlight w:val="none"/>
        </w:rPr>
        <w:t xml:space="preserve">必须</w:t>
      </w:r>
      <w:r>
        <w:rPr>
          <w:rFonts w:hint="eastAsia" w:ascii="宋体" w:hAnsi="宋体" w:eastAsia="宋体" w:cs="宋体"/>
          <w:color w:val="auto"/>
          <w:spacing w:val="2"/>
          <w:sz w:val="24"/>
          <w:highlight w:val="none"/>
        </w:rPr>
        <w:t xml:space="preserve">调</w:t>
      </w:r>
      <w:r>
        <w:rPr>
          <w:rFonts w:hint="eastAsia" w:ascii="宋体" w:hAnsi="宋体" w:eastAsia="宋体" w:cs="宋体"/>
          <w:color w:val="auto"/>
          <w:sz w:val="24"/>
          <w:highlight w:val="none"/>
        </w:rPr>
        <w:t xml:space="preserve">平</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z w:val="24"/>
          <w:highlight w:val="none"/>
        </w:rPr>
        <w:t xml:space="preserve">水</w:t>
      </w:r>
      <w:r>
        <w:rPr>
          <w:rFonts w:hint="eastAsia" w:ascii="宋体" w:hAnsi="宋体" w:eastAsia="宋体" w:cs="宋体"/>
          <w:color w:val="auto"/>
          <w:spacing w:val="2"/>
          <w:sz w:val="24"/>
          <w:highlight w:val="none"/>
        </w:rPr>
        <w:t xml:space="preserve">平</w:t>
      </w:r>
      <w:r>
        <w:rPr>
          <w:rFonts w:hint="eastAsia" w:ascii="宋体" w:hAnsi="宋体" w:eastAsia="宋体" w:cs="宋体"/>
          <w:color w:val="auto"/>
          <w:sz w:val="24"/>
          <w:highlight w:val="none"/>
        </w:rPr>
        <w:t xml:space="preserve">度保</w:t>
      </w:r>
      <w:r>
        <w:rPr>
          <w:rFonts w:hint="eastAsia" w:ascii="宋体" w:hAnsi="宋体" w:eastAsia="宋体" w:cs="宋体"/>
          <w:color w:val="auto"/>
          <w:spacing w:val="2"/>
          <w:sz w:val="24"/>
          <w:highlight w:val="none"/>
        </w:rPr>
        <w:t xml:space="preserve">持</w:t>
      </w:r>
      <w:r>
        <w:rPr>
          <w:rFonts w:hint="eastAsia" w:ascii="宋体" w:hAnsi="宋体" w:eastAsia="宋体" w:cs="宋体"/>
          <w:color w:val="auto"/>
          <w:sz w:val="24"/>
          <w:highlight w:val="none"/>
        </w:rPr>
        <w:t xml:space="preserve">在</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pacing w:val="2"/>
          <w:sz w:val="24"/>
          <w:highlight w:val="none"/>
        </w:rPr>
        <w:t xml:space="preserve">1</w:t>
      </w:r>
      <w:r>
        <w:rPr>
          <w:rFonts w:hint="eastAsia" w:ascii="宋体" w:hAnsi="宋体" w:eastAsia="宋体" w:cs="宋体"/>
          <w:color w:val="auto"/>
          <w:sz w:val="24"/>
          <w:highlight w:val="none"/>
        </w:rPr>
        <w:t xml:space="preserve">°之内</w:t>
      </w:r>
      <w:r>
        <w:rPr>
          <w:rFonts w:hint="eastAsia" w:ascii="宋体" w:hAnsi="宋体" w:eastAsia="宋体" w:cs="宋体"/>
          <w:color w:val="auto"/>
          <w:spacing w:val="2"/>
          <w:sz w:val="24"/>
          <w:highlight w:val="none"/>
        </w:rPr>
        <w:t xml:space="preserve">，</w:t>
      </w:r>
      <w:r>
        <w:rPr>
          <w:rFonts w:hint="eastAsia" w:ascii="宋体" w:hAnsi="宋体" w:eastAsia="宋体" w:cs="宋体"/>
          <w:color w:val="auto"/>
          <w:sz w:val="24"/>
          <w:highlight w:val="none"/>
        </w:rPr>
        <w:t xml:space="preserve">减少</w:t>
      </w:r>
      <w:r>
        <w:rPr>
          <w:rFonts w:hint="eastAsia" w:ascii="宋体" w:hAnsi="宋体" w:eastAsia="宋体" w:cs="宋体"/>
          <w:color w:val="auto"/>
          <w:spacing w:val="2"/>
          <w:sz w:val="24"/>
          <w:highlight w:val="none"/>
        </w:rPr>
        <w:t xml:space="preserve">运</w:t>
      </w:r>
      <w:r>
        <w:rPr>
          <w:rFonts w:hint="eastAsia" w:ascii="宋体" w:hAnsi="宋体" w:eastAsia="宋体" w:cs="宋体"/>
          <w:color w:val="auto"/>
          <w:sz w:val="24"/>
          <w:highlight w:val="none"/>
        </w:rPr>
        <w:t xml:space="preserve">行中</w:t>
      </w:r>
      <w:r>
        <w:rPr>
          <w:rFonts w:hint="eastAsia" w:ascii="宋体" w:hAnsi="宋体" w:eastAsia="宋体" w:cs="宋体"/>
          <w:color w:val="auto"/>
          <w:spacing w:val="2"/>
          <w:sz w:val="24"/>
          <w:highlight w:val="none"/>
        </w:rPr>
        <w:t xml:space="preserve">产</w:t>
      </w:r>
      <w:r>
        <w:rPr>
          <w:rFonts w:hint="eastAsia" w:ascii="宋体" w:hAnsi="宋体" w:eastAsia="宋体" w:cs="宋体"/>
          <w:color w:val="auto"/>
          <w:sz w:val="24"/>
          <w:highlight w:val="none"/>
        </w:rPr>
        <w:t xml:space="preserve">生噪</w:t>
      </w:r>
      <w:r>
        <w:rPr>
          <w:rFonts w:hint="eastAsia" w:ascii="宋体" w:hAnsi="宋体" w:eastAsia="宋体" w:cs="宋体"/>
          <w:color w:val="auto"/>
          <w:spacing w:val="1"/>
          <w:sz w:val="24"/>
          <w:highlight w:val="none"/>
        </w:rPr>
        <w:t xml:space="preserve">音</w:t>
      </w:r>
      <w:r>
        <w:rPr>
          <w:rFonts w:hint="eastAsia" w:ascii="宋体" w:hAnsi="宋体" w:eastAsia="宋体" w:cs="宋体"/>
          <w:color w:val="auto"/>
          <w:sz w:val="24"/>
          <w:highlight w:val="none"/>
        </w:rPr>
        <w:t xml:space="preserve">,避免冷凝水由接水盘中溢出。</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悬挂吊杆必须能够承受室内机的</w:t>
      </w:r>
      <w:r>
        <w:rPr>
          <w:rFonts w:hint="eastAsia" w:ascii="宋体" w:hAnsi="宋体" w:eastAsia="宋体" w:cs="宋体"/>
          <w:color w:val="auto"/>
          <w:spacing w:val="-59"/>
          <w:sz w:val="24"/>
          <w:highlight w:val="none"/>
        </w:rPr>
        <w:t xml:space="preserve"> </w:t>
      </w:r>
      <w:r>
        <w:rPr>
          <w:rFonts w:hint="eastAsia" w:ascii="宋体" w:hAnsi="宋体" w:eastAsia="宋体" w:cs="宋体"/>
          <w:color w:val="auto"/>
          <w:sz w:val="24"/>
          <w:highlight w:val="none"/>
        </w:rPr>
        <w:t xml:space="preserve">2</w:t>
      </w:r>
      <w:r>
        <w:rPr>
          <w:rFonts w:hint="eastAsia" w:ascii="宋体" w:hAnsi="宋体" w:eastAsia="宋体" w:cs="宋体"/>
          <w:color w:val="auto"/>
          <w:spacing w:val="-60"/>
          <w:sz w:val="24"/>
          <w:highlight w:val="none"/>
        </w:rPr>
        <w:t xml:space="preserve"> </w:t>
      </w:r>
      <w:r>
        <w:rPr>
          <w:rFonts w:hint="eastAsia" w:ascii="宋体" w:hAnsi="宋体" w:eastAsia="宋体" w:cs="宋体"/>
          <w:color w:val="auto"/>
          <w:sz w:val="24"/>
          <w:highlight w:val="none"/>
        </w:rPr>
        <w:t xml:space="preserve">倍重量</w:t>
      </w:r>
      <w:r>
        <w:rPr>
          <w:rFonts w:hint="eastAsia" w:ascii="宋体" w:hAnsi="宋体" w:eastAsia="宋体" w:cs="宋体"/>
          <w:color w:val="auto"/>
          <w:spacing w:val="-31"/>
          <w:sz w:val="24"/>
          <w:highlight w:val="none"/>
        </w:rPr>
        <w:t xml:space="preserve">，</w:t>
      </w:r>
      <w:r>
        <w:rPr>
          <w:rFonts w:hint="eastAsia" w:ascii="宋体" w:hAnsi="宋体" w:eastAsia="宋体" w:cs="宋体"/>
          <w:color w:val="auto"/>
          <w:sz w:val="24"/>
          <w:highlight w:val="none"/>
        </w:rPr>
        <w:t xml:space="preserve">若吊杆长度超过</w:t>
      </w:r>
      <w:r>
        <w:rPr>
          <w:rFonts w:hint="eastAsia" w:ascii="宋体" w:hAnsi="宋体" w:eastAsia="宋体" w:cs="宋体"/>
          <w:color w:val="auto"/>
          <w:spacing w:val="-59"/>
          <w:sz w:val="24"/>
          <w:highlight w:val="none"/>
        </w:rPr>
        <w:t xml:space="preserve"> </w:t>
      </w:r>
      <w:r>
        <w:rPr>
          <w:rFonts w:hint="eastAsia" w:ascii="宋体" w:hAnsi="宋体" w:eastAsia="宋体" w:cs="宋体"/>
          <w:color w:val="auto"/>
          <w:sz w:val="24"/>
          <w:highlight w:val="none"/>
        </w:rPr>
        <w:t xml:space="preserve">1.5m</w:t>
      </w:r>
      <w:r>
        <w:rPr>
          <w:rFonts w:hint="eastAsia" w:ascii="宋体" w:hAnsi="宋体" w:eastAsia="宋体" w:cs="宋体"/>
          <w:color w:val="auto"/>
          <w:spacing w:val="-60"/>
          <w:sz w:val="24"/>
          <w:highlight w:val="none"/>
        </w:rPr>
        <w:t xml:space="preserve">        </w:t>
      </w:r>
      <w:r>
        <w:rPr>
          <w:rFonts w:hint="eastAsia" w:ascii="宋体" w:hAnsi="宋体" w:eastAsia="宋体" w:cs="宋体"/>
          <w:color w:val="auto"/>
          <w:sz w:val="24"/>
          <w:highlight w:val="none"/>
        </w:rPr>
        <w:t xml:space="preserve">时</w:t>
      </w:r>
      <w:r>
        <w:rPr>
          <w:rFonts w:hint="eastAsia" w:ascii="宋体" w:hAnsi="宋体" w:eastAsia="宋体" w:cs="宋体"/>
          <w:color w:val="auto"/>
          <w:spacing w:val="-31"/>
          <w:sz w:val="24"/>
          <w:highlight w:val="none"/>
        </w:rPr>
        <w:t xml:space="preserve">，</w:t>
      </w:r>
      <w:r>
        <w:rPr>
          <w:rFonts w:hint="eastAsia" w:ascii="宋体" w:hAnsi="宋体" w:eastAsia="宋体" w:cs="宋体"/>
          <w:color w:val="auto"/>
          <w:sz w:val="24"/>
          <w:highlight w:val="none"/>
        </w:rPr>
        <w:t xml:space="preserve">须使用三角固定，保证机组运转不会发生异常的振动和噪音。</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保持足够的维护保养空间，预留检修口</w:t>
      </w:r>
      <w:r>
        <w:rPr>
          <w:rFonts w:hint="eastAsia" w:ascii="宋体" w:hAnsi="宋体" w:eastAsia="宋体" w:cs="宋体"/>
          <w:color w:val="auto"/>
          <w:spacing w:val="1"/>
          <w:sz w:val="24"/>
          <w:highlight w:val="none"/>
        </w:rPr>
        <w:t xml:space="preserve">为</w:t>
      </w:r>
      <w:r>
        <w:rPr>
          <w:rFonts w:hint="eastAsia" w:ascii="宋体" w:hAnsi="宋体" w:eastAsia="宋体" w:cs="宋体"/>
          <w:color w:val="auto"/>
          <w:sz w:val="24"/>
          <w:highlight w:val="none"/>
        </w:rPr>
        <w:t xml:space="preserve">450x450mm以上；</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室内机确保有合适的冷凝排水管安装空间。</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w:t>
      </w:r>
      <w:r>
        <w:rPr>
          <w:rFonts w:hint="eastAsia" w:ascii="宋体" w:hAnsi="宋体" w:eastAsia="宋体" w:cs="宋体"/>
          <w:color w:val="auto"/>
          <w:spacing w:val="2"/>
          <w:sz w:val="24"/>
          <w:highlight w:val="none"/>
        </w:rPr>
        <w:t xml:space="preserve">内</w:t>
      </w:r>
      <w:r>
        <w:rPr>
          <w:rFonts w:hint="eastAsia" w:ascii="宋体" w:hAnsi="宋体" w:eastAsia="宋体" w:cs="宋体"/>
          <w:color w:val="auto"/>
          <w:sz w:val="24"/>
          <w:highlight w:val="none"/>
        </w:rPr>
        <w:t xml:space="preserve">机</w:t>
      </w:r>
      <w:r>
        <w:rPr>
          <w:rFonts w:hint="eastAsia" w:ascii="宋体" w:hAnsi="宋体" w:eastAsia="宋体" w:cs="宋体"/>
          <w:color w:val="auto"/>
          <w:spacing w:val="2"/>
          <w:sz w:val="24"/>
          <w:highlight w:val="none"/>
        </w:rPr>
        <w:t xml:space="preserve">与</w:t>
      </w:r>
      <w:r>
        <w:rPr>
          <w:rFonts w:hint="eastAsia" w:ascii="宋体" w:hAnsi="宋体" w:eastAsia="宋体" w:cs="宋体"/>
          <w:color w:val="auto"/>
          <w:sz w:val="24"/>
          <w:highlight w:val="none"/>
        </w:rPr>
        <w:t xml:space="preserve">天花</w:t>
      </w:r>
      <w:r>
        <w:rPr>
          <w:rFonts w:hint="eastAsia" w:ascii="宋体" w:hAnsi="宋体" w:eastAsia="宋体" w:cs="宋体"/>
          <w:color w:val="auto"/>
          <w:spacing w:val="2"/>
          <w:sz w:val="24"/>
          <w:highlight w:val="none"/>
        </w:rPr>
        <w:t xml:space="preserve">板配</w:t>
      </w:r>
      <w:r>
        <w:rPr>
          <w:rFonts w:hint="eastAsia" w:ascii="宋体" w:hAnsi="宋体" w:eastAsia="宋体" w:cs="宋体"/>
          <w:color w:val="auto"/>
          <w:sz w:val="24"/>
          <w:highlight w:val="none"/>
        </w:rPr>
        <w:t xml:space="preserve">合严密</w:t>
      </w:r>
      <w:r>
        <w:rPr>
          <w:rFonts w:hint="eastAsia" w:ascii="宋体" w:hAnsi="宋体" w:eastAsia="宋体" w:cs="宋体"/>
          <w:color w:val="auto"/>
          <w:spacing w:val="2"/>
          <w:sz w:val="24"/>
          <w:highlight w:val="none"/>
        </w:rPr>
        <w:t xml:space="preserve">，</w:t>
      </w:r>
      <w:r>
        <w:rPr>
          <w:rFonts w:hint="eastAsia" w:ascii="宋体" w:hAnsi="宋体" w:eastAsia="宋体" w:cs="宋体"/>
          <w:color w:val="auto"/>
          <w:sz w:val="24"/>
          <w:highlight w:val="none"/>
        </w:rPr>
        <w:t xml:space="preserve">离</w:t>
      </w:r>
      <w:r>
        <w:rPr>
          <w:rFonts w:hint="eastAsia" w:ascii="宋体" w:hAnsi="宋体" w:eastAsia="宋体" w:cs="宋体"/>
          <w:color w:val="auto"/>
          <w:spacing w:val="2"/>
          <w:sz w:val="24"/>
          <w:highlight w:val="none"/>
        </w:rPr>
        <w:t xml:space="preserve">顶</w:t>
      </w:r>
      <w:r>
        <w:rPr>
          <w:rFonts w:hint="eastAsia" w:ascii="宋体" w:hAnsi="宋体" w:eastAsia="宋体" w:cs="宋体"/>
          <w:color w:val="auto"/>
          <w:sz w:val="24"/>
          <w:highlight w:val="none"/>
        </w:rPr>
        <w:t xml:space="preserve">距离</w:t>
      </w:r>
      <w:r>
        <w:rPr>
          <w:rFonts w:hint="eastAsia" w:ascii="宋体" w:hAnsi="宋体" w:eastAsia="宋体" w:cs="宋体"/>
          <w:color w:val="auto"/>
          <w:spacing w:val="2"/>
          <w:sz w:val="24"/>
          <w:highlight w:val="none"/>
        </w:rPr>
        <w:t xml:space="preserve">确保</w:t>
      </w:r>
      <w:r>
        <w:rPr>
          <w:rFonts w:hint="eastAsia" w:ascii="宋体" w:hAnsi="宋体" w:eastAsia="宋体" w:cs="宋体"/>
          <w:color w:val="auto"/>
          <w:sz w:val="24"/>
          <w:highlight w:val="none"/>
        </w:rPr>
        <w:t xml:space="preserve">在</w:t>
      </w:r>
      <w:r>
        <w:rPr>
          <w:rFonts w:hint="eastAsia" w:ascii="宋体" w:hAnsi="宋体" w:eastAsia="宋体" w:cs="宋体"/>
          <w:color w:val="auto"/>
          <w:spacing w:val="3"/>
          <w:sz w:val="24"/>
          <w:highlight w:val="none"/>
        </w:rPr>
        <w:t xml:space="preserve"> </w:t>
      </w:r>
      <w:r>
        <w:rPr>
          <w:rFonts w:hint="eastAsia" w:ascii="宋体" w:hAnsi="宋体" w:eastAsia="宋体" w:cs="宋体"/>
          <w:color w:val="auto"/>
          <w:sz w:val="24"/>
          <w:highlight w:val="none"/>
        </w:rPr>
        <w:t xml:space="preserve">600mm，</w:t>
      </w:r>
      <w:r>
        <w:rPr>
          <w:rFonts w:hint="eastAsia" w:ascii="宋体" w:hAnsi="宋体" w:eastAsia="宋体" w:cs="宋体"/>
          <w:color w:val="auto"/>
          <w:spacing w:val="2"/>
          <w:sz w:val="24"/>
          <w:highlight w:val="none"/>
        </w:rPr>
        <w:t xml:space="preserve">内</w:t>
      </w:r>
      <w:r>
        <w:rPr>
          <w:rFonts w:hint="eastAsia" w:ascii="宋体" w:hAnsi="宋体" w:eastAsia="宋体" w:cs="宋体"/>
          <w:color w:val="auto"/>
          <w:sz w:val="24"/>
          <w:highlight w:val="none"/>
        </w:rPr>
        <w:t xml:space="preserve">机</w:t>
      </w:r>
      <w:r>
        <w:rPr>
          <w:rFonts w:hint="eastAsia" w:ascii="宋体" w:hAnsi="宋体" w:eastAsia="宋体" w:cs="宋体"/>
          <w:color w:val="auto"/>
          <w:spacing w:val="2"/>
          <w:sz w:val="24"/>
          <w:highlight w:val="none"/>
        </w:rPr>
        <w:t xml:space="preserve">机</w:t>
      </w:r>
      <w:r>
        <w:rPr>
          <w:rFonts w:hint="eastAsia" w:ascii="宋体" w:hAnsi="宋体" w:eastAsia="宋体" w:cs="宋体"/>
          <w:color w:val="auto"/>
          <w:sz w:val="24"/>
          <w:highlight w:val="none"/>
        </w:rPr>
        <w:t xml:space="preserve">体</w:t>
      </w:r>
      <w:r>
        <w:rPr>
          <w:rFonts w:hint="eastAsia" w:ascii="宋体" w:hAnsi="宋体" w:eastAsia="宋体" w:cs="宋体"/>
          <w:color w:val="auto"/>
          <w:spacing w:val="2"/>
          <w:sz w:val="24"/>
          <w:highlight w:val="none"/>
        </w:rPr>
        <w:t xml:space="preserve">不</w:t>
      </w:r>
      <w:r>
        <w:rPr>
          <w:rFonts w:hint="eastAsia" w:ascii="宋体" w:hAnsi="宋体" w:eastAsia="宋体" w:cs="宋体"/>
          <w:color w:val="auto"/>
          <w:sz w:val="24"/>
          <w:highlight w:val="none"/>
        </w:rPr>
        <w:t xml:space="preserve">能与其它物质接触。</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应确保送、回风通畅，防止气流短路。</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室内机吊装完毕必须封尘处理</w:t>
      </w:r>
      <w:r>
        <w:rPr>
          <w:rFonts w:hint="eastAsia" w:ascii="宋体" w:hAnsi="宋体" w:eastAsia="宋体" w:cs="宋体"/>
          <w:color w:val="auto"/>
          <w:spacing w:val="-48"/>
          <w:sz w:val="24"/>
          <w:highlight w:val="none"/>
        </w:rPr>
        <w:t xml:space="preserve">，</w:t>
      </w:r>
      <w:r>
        <w:rPr>
          <w:rFonts w:hint="eastAsia" w:ascii="宋体" w:hAnsi="宋体" w:eastAsia="宋体" w:cs="宋体"/>
          <w:color w:val="auto"/>
          <w:sz w:val="24"/>
          <w:highlight w:val="none"/>
        </w:rPr>
        <w:t xml:space="preserve">避免装潢时气味和灰尘进入室内机内部， 导致首次开机会有异味和灰尘吹</w:t>
      </w:r>
      <w:r>
        <w:rPr>
          <w:rFonts w:hint="eastAsia" w:ascii="宋体" w:hAnsi="宋体" w:eastAsia="宋体" w:cs="宋体"/>
          <w:color w:val="auto"/>
          <w:spacing w:val="1"/>
          <w:sz w:val="24"/>
          <w:highlight w:val="none"/>
        </w:rPr>
        <w:t xml:space="preserve">出</w:t>
      </w:r>
      <w:r>
        <w:rPr>
          <w:rFonts w:hint="eastAsia" w:ascii="宋体" w:hAnsi="宋体" w:eastAsia="宋体" w:cs="宋体"/>
          <w:color w:val="auto"/>
          <w:sz w:val="24"/>
          <w:highlight w:val="none"/>
        </w:rPr>
        <w:t xml:space="preserve">。</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室外机</w:t>
      </w:r>
      <w:r>
        <w:rPr>
          <w:rFonts w:hint="eastAsia" w:ascii="宋体" w:hAnsi="宋体" w:eastAsia="宋体" w:cs="宋体"/>
          <w:color w:val="auto"/>
          <w:sz w:val="24"/>
          <w:highlight w:val="none"/>
        </w:rPr>
        <w:t xml:space="preserve">：外机采用高中压腔涡旋式压缩机，IPLV（C）值不低于6.5。</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机组与基础间应安装隔振器或隔振垫，并使用地脚螺栓固定。</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多联机基础设置高度不少</w:t>
      </w:r>
      <w:r>
        <w:rPr>
          <w:rFonts w:hint="eastAsia" w:ascii="宋体" w:hAnsi="宋体" w:eastAsia="宋体" w:cs="宋体"/>
          <w:color w:val="auto"/>
          <w:spacing w:val="1"/>
          <w:sz w:val="24"/>
          <w:highlight w:val="none"/>
        </w:rPr>
        <w:t xml:space="preserve">于</w:t>
      </w:r>
      <w:r>
        <w:rPr>
          <w:rFonts w:hint="eastAsia" w:ascii="宋体" w:hAnsi="宋体" w:eastAsia="宋体" w:cs="宋体"/>
          <w:color w:val="auto"/>
          <w:sz w:val="24"/>
          <w:highlight w:val="none"/>
        </w:rPr>
        <w:t xml:space="preserve">200mm,模块机基础设置高度不少</w:t>
      </w:r>
      <w:r>
        <w:rPr>
          <w:rFonts w:hint="eastAsia" w:ascii="宋体" w:hAnsi="宋体" w:eastAsia="宋体" w:cs="宋体"/>
          <w:color w:val="auto"/>
          <w:spacing w:val="1"/>
          <w:sz w:val="24"/>
          <w:highlight w:val="none"/>
        </w:rPr>
        <w:t xml:space="preserve">于</w:t>
      </w:r>
      <w:r>
        <w:rPr>
          <w:rFonts w:hint="eastAsia" w:ascii="宋体" w:hAnsi="宋体" w:eastAsia="宋体" w:cs="宋体"/>
          <w:color w:val="auto"/>
          <w:sz w:val="24"/>
          <w:highlight w:val="none"/>
        </w:rPr>
        <w:t xml:space="preserve">300mm</w:t>
      </w:r>
      <w:r>
        <w:rPr>
          <w:rFonts w:hint="eastAsia" w:ascii="宋体" w:hAnsi="宋体" w:eastAsia="宋体" w:cs="宋体"/>
          <w:color w:val="auto"/>
          <w:spacing w:val="-48"/>
          <w:sz w:val="24"/>
          <w:highlight w:val="none"/>
        </w:rPr>
        <w:t xml:space="preserve">，必 </w:t>
      </w:r>
      <w:r>
        <w:rPr>
          <w:rFonts w:hint="eastAsia" w:ascii="宋体" w:hAnsi="宋体" w:eastAsia="宋体" w:cs="宋体"/>
          <w:color w:val="auto"/>
          <w:sz w:val="24"/>
          <w:highlight w:val="none"/>
        </w:rPr>
        <w:t xml:space="preserve">须水平,有足够的承重能力。</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顶出风多联机四面要确保</w:t>
      </w:r>
      <w:r>
        <w:rPr>
          <w:rFonts w:hint="eastAsia" w:ascii="宋体" w:hAnsi="宋体" w:eastAsia="宋体" w:cs="宋体"/>
          <w:color w:val="auto"/>
          <w:spacing w:val="1"/>
          <w:sz w:val="24"/>
          <w:highlight w:val="none"/>
        </w:rPr>
        <w:t xml:space="preserve">有</w:t>
      </w:r>
      <w:r>
        <w:rPr>
          <w:rFonts w:hint="eastAsia" w:ascii="宋体" w:hAnsi="宋体" w:eastAsia="宋体" w:cs="宋体"/>
          <w:color w:val="auto"/>
          <w:sz w:val="24"/>
          <w:highlight w:val="none"/>
        </w:rPr>
        <w:t xml:space="preserve">1000mm的空间，顶部不得有障碍物</w:t>
      </w:r>
      <w:r>
        <w:rPr>
          <w:rFonts w:hint="eastAsia" w:ascii="宋体" w:hAnsi="宋体" w:eastAsia="宋体" w:cs="宋体"/>
          <w:color w:val="auto"/>
          <w:spacing w:val="1"/>
          <w:sz w:val="24"/>
          <w:highlight w:val="none"/>
        </w:rPr>
        <w:t xml:space="preserve">，</w:t>
      </w:r>
      <w:r>
        <w:rPr>
          <w:rFonts w:hint="eastAsia" w:ascii="宋体" w:hAnsi="宋体" w:eastAsia="宋体" w:cs="宋体"/>
          <w:color w:val="auto"/>
          <w:sz w:val="24"/>
          <w:highlight w:val="none"/>
        </w:rPr>
        <w:t xml:space="preserve">若有障碍物则高度不是少</w:t>
      </w:r>
      <w:r>
        <w:rPr>
          <w:rFonts w:hint="eastAsia" w:ascii="宋体" w:hAnsi="宋体" w:eastAsia="宋体" w:cs="宋体"/>
          <w:color w:val="auto"/>
          <w:spacing w:val="1"/>
          <w:sz w:val="24"/>
          <w:highlight w:val="none"/>
        </w:rPr>
        <w:t xml:space="preserve">于</w:t>
      </w:r>
      <w:r>
        <w:rPr>
          <w:rFonts w:hint="eastAsia" w:ascii="宋体" w:hAnsi="宋体" w:eastAsia="宋体" w:cs="宋体"/>
          <w:color w:val="auto"/>
          <w:sz w:val="24"/>
          <w:highlight w:val="none"/>
        </w:rPr>
        <w:t xml:space="preserve">3000mm且通风顺畅</w:t>
      </w:r>
      <w:r>
        <w:rPr>
          <w:rFonts w:hint="eastAsia" w:ascii="宋体" w:hAnsi="宋体" w:eastAsia="宋体" w:cs="宋体"/>
          <w:color w:val="auto"/>
          <w:spacing w:val="-31"/>
          <w:sz w:val="24"/>
          <w:highlight w:val="none"/>
        </w:rPr>
        <w:t xml:space="preserve">、</w:t>
      </w:r>
      <w:r>
        <w:rPr>
          <w:rFonts w:hint="eastAsia" w:ascii="宋体" w:hAnsi="宋体" w:eastAsia="宋体" w:cs="宋体"/>
          <w:color w:val="auto"/>
          <w:sz w:val="24"/>
          <w:highlight w:val="none"/>
        </w:rPr>
        <w:t xml:space="preserve">散热良好</w:t>
      </w:r>
      <w:r>
        <w:rPr>
          <w:rFonts w:hint="eastAsia" w:ascii="宋体" w:hAnsi="宋体" w:eastAsia="宋体" w:cs="宋体"/>
          <w:color w:val="auto"/>
          <w:spacing w:val="-31"/>
          <w:sz w:val="24"/>
          <w:highlight w:val="none"/>
        </w:rPr>
        <w:t xml:space="preserve">。</w:t>
      </w:r>
      <w:r>
        <w:rPr>
          <w:rFonts w:hint="eastAsia" w:ascii="宋体" w:hAnsi="宋体" w:eastAsia="宋体" w:cs="宋体"/>
          <w:color w:val="auto"/>
          <w:sz w:val="24"/>
          <w:highlight w:val="none"/>
        </w:rPr>
        <w:t xml:space="preserve">多台并联时</w:t>
      </w:r>
      <w:r>
        <w:rPr>
          <w:rFonts w:hint="eastAsia" w:ascii="宋体" w:hAnsi="宋体" w:eastAsia="宋体" w:cs="宋体"/>
          <w:color w:val="auto"/>
          <w:spacing w:val="-31"/>
          <w:sz w:val="24"/>
          <w:highlight w:val="none"/>
        </w:rPr>
        <w:t xml:space="preserve">，</w:t>
      </w:r>
      <w:r>
        <w:rPr>
          <w:rFonts w:hint="eastAsia" w:ascii="宋体" w:hAnsi="宋体" w:eastAsia="宋体" w:cs="宋体"/>
          <w:color w:val="auto"/>
          <w:sz w:val="24"/>
          <w:highlight w:val="none"/>
        </w:rPr>
        <w:t xml:space="preserve">正面间距不少于1000mm，两侧间距要</w:t>
      </w:r>
      <w:r>
        <w:rPr>
          <w:rFonts w:hint="eastAsia" w:ascii="宋体" w:hAnsi="宋体" w:eastAsia="宋体" w:cs="宋体"/>
          <w:color w:val="auto"/>
          <w:spacing w:val="1"/>
          <w:sz w:val="24"/>
          <w:highlight w:val="none"/>
        </w:rPr>
        <w:t xml:space="preserve">在</w:t>
      </w:r>
      <w:r>
        <w:rPr>
          <w:rFonts w:hint="eastAsia" w:ascii="宋体" w:hAnsi="宋体" w:eastAsia="宋体" w:cs="宋体"/>
          <w:color w:val="auto"/>
          <w:sz w:val="24"/>
          <w:highlight w:val="none"/>
        </w:rPr>
        <w:t xml:space="preserve">100mm-500mm之间。</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室外机运行时产生的声音及排风不应影响到邻居或周围通风。</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室外机不能设置在油污、盐</w:t>
      </w:r>
      <w:r>
        <w:rPr>
          <w:rFonts w:hint="eastAsia" w:ascii="宋体" w:hAnsi="宋体" w:eastAsia="宋体" w:cs="宋体"/>
          <w:color w:val="auto"/>
          <w:spacing w:val="1"/>
          <w:sz w:val="24"/>
          <w:highlight w:val="none"/>
        </w:rPr>
        <w:t xml:space="preserve">或</w:t>
      </w:r>
      <w:r>
        <w:rPr>
          <w:rFonts w:hint="eastAsia" w:ascii="宋体" w:hAnsi="宋体" w:eastAsia="宋体" w:cs="宋体"/>
          <w:color w:val="auto"/>
          <w:sz w:val="24"/>
          <w:highlight w:val="none"/>
        </w:rPr>
        <w:t xml:space="preserve">含硫等有害气体成分高的地方。</w:t>
      </w:r>
      <w:r/>
    </w:p>
    <w:p>
      <w:pPr>
        <w:numPr>
          <w:ilvl w:val="0"/>
          <w:numId w:val="36"/>
        </w:numPr>
        <w:ind w:left="0" w:right="0" w:firstLine="480"/>
        <w:keepLines w:val="0"/>
        <w:keepNext w:val="0"/>
        <w:pageBreakBefore w:val="0"/>
        <w:spacing w:line="480"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如在较小内空间安装，须进行气流组织分析并外机需要制作导风部件。</w:t>
      </w:r>
      <w:r/>
    </w:p>
    <w:p>
      <w:pPr>
        <w:ind w:firstLine="482"/>
        <w:jc w:val="left"/>
        <w:keepLines w:val="0"/>
        <w:keepNext w:val="0"/>
        <w:pageBreakBefore w:val="0"/>
        <w:spacing w:line="480" w:lineRule="atLeast"/>
        <w:widowControl/>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 xml:space="preserve">四、采购标的数量、采购项目交付或者实施的时间和地点</w:t>
      </w:r>
      <w:r/>
    </w:p>
    <w:p>
      <w:pPr>
        <w:ind w:firstLine="480"/>
        <w:pageBreakBefore w:val="0"/>
        <w:spacing w:line="480" w:lineRule="atLeast"/>
        <w:rPr>
          <w:rFonts w:hint="eastAsia" w:ascii="宋体" w:hAnsi="宋体" w:eastAsia="宋体" w:cs="宋体"/>
          <w:color w:val="auto"/>
          <w:sz w:val="24"/>
          <w:highlight w:val="none"/>
        </w:rPr>
      </w:pPr>
      <w:r/>
      <w:bookmarkStart w:id="61" w:name="_Hlk149206707"/>
      <w:r>
        <w:rPr>
          <w:rFonts w:hint="eastAsia" w:ascii="宋体" w:hAnsi="宋体" w:eastAsia="宋体" w:cs="宋体"/>
          <w:color w:val="auto"/>
          <w:sz w:val="24"/>
          <w:highlight w:val="none"/>
        </w:rPr>
        <w:t xml:space="preserve">1.采购标的清单：详见附件1，平面图见附件2</w:t>
      </w:r>
      <w:r/>
    </w:p>
    <w:p>
      <w:pPr>
        <w:ind w:firstLine="48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2.交货期（安装完成）：合同生效后</w:t>
      </w:r>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highlight w:val="none"/>
        </w:rPr>
        <w:t xml:space="preserve">天内</w:t>
      </w:r>
      <w:r>
        <w:rPr>
          <w:rFonts w:hint="eastAsia" w:ascii="宋体" w:hAnsi="宋体" w:eastAsia="宋体" w:cs="宋体"/>
          <w:color w:val="auto"/>
          <w:sz w:val="24"/>
          <w:highlight w:val="none"/>
          <w:lang w:eastAsia="zh-CN"/>
        </w:rPr>
        <w:t xml:space="preserve">。</w:t>
      </w:r>
      <w:r/>
    </w:p>
    <w:p>
      <w:pPr>
        <w:ind w:firstLine="480"/>
        <w:pageBreakBefore w:val="0"/>
        <w:spacing w:line="48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3.交货地点：采购人指定地点</w:t>
      </w:r>
      <w:r/>
    </w:p>
    <w:p>
      <w:pPr>
        <w:ind w:firstLine="482"/>
        <w:jc w:val="left"/>
        <w:pageBreakBefore w:val="0"/>
        <w:spacing w:line="480" w:lineRule="atLeast"/>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val="en-US" w:eastAsia="zh-CN" w:bidi="ar"/>
        </w:rPr>
        <w:t xml:space="preserve">五</w:t>
      </w:r>
      <w:r>
        <w:rPr>
          <w:rFonts w:hint="eastAsia" w:ascii="宋体" w:hAnsi="宋体" w:eastAsia="宋体" w:cs="宋体"/>
          <w:b/>
          <w:bCs/>
          <w:color w:val="auto"/>
          <w:sz w:val="24"/>
          <w:highlight w:val="none"/>
          <w:lang w:bidi="ar"/>
        </w:rPr>
        <w:t xml:space="preserve">、采购标的需满足的服务标准、期限、效率等要求</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本项目质保期为三年，</w:t>
      </w:r>
      <w:r>
        <w:rPr>
          <w:rFonts w:hint="eastAsia" w:ascii="宋体" w:hAnsi="宋体" w:eastAsia="宋体" w:cs="宋体"/>
          <w:color w:val="auto"/>
          <w:sz w:val="24"/>
          <w:highlight w:val="none"/>
          <w:lang w:bidi="ar"/>
        </w:rPr>
        <w:t xml:space="preserve">在质保期内，供应商应对货物出现的质量及安全问题负责处理解决并承担一切费用。</w:t>
      </w:r>
      <w:r/>
    </w:p>
    <w:p>
      <w:pPr>
        <w:ind w:firstLine="480"/>
        <w:jc w:val="left"/>
        <w:pageBreakBefore w:val="0"/>
        <w:spacing w:line="480" w:lineRule="atLeas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2.质保期内出现无法排除的故障，供应商需无条件更换同型号产品。</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3.质保期满后，供应商继续为采购人服务，仅收取零配件成本费。</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4.因人为因素出现的故障不在免费保修范围内。</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5.如在使用过程中发生质量问题，供应商维修响应时间：2小时以内；电话技术支持时间：12小时以内；若需上门维修，则在：24小时内到达现场并进行维修；不超过2个工作日解决故障。</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6.培训：供应商应对采购人的操作人员、维修人员免费进行培训；供应商应提供相应的培训计划。</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上述内容的实现方式、时间、地点、人数应在响应文件中详细说明。 </w:t>
      </w:r>
      <w:r/>
    </w:p>
    <w:p>
      <w:pPr>
        <w:ind w:firstLine="482"/>
        <w:jc w:val="left"/>
        <w:pageBreakBefore w:val="0"/>
        <w:spacing w:line="480" w:lineRule="atLeast"/>
        <w:widowControl/>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 xml:space="preserve">六、采购标的验收标准</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1.验收由采购人负责实施；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2.验收依据：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合同、招标文件、响应文件；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2.2 供应商提供的技术规格、经采购人认可的合同货物的有效检验文件；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2.3 供应商响应文件中提供的经采购人认可的合同货物的验收标准（符合中国有关的国家、地方、行业标准）和检测办法及相应检测手段。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3.供应商应派员在所供货物到采购人处时进行到货验收，有需要时能联系产品制造商到场共同验收，若发现任何损坏及质量问题，供应商负责妥善处理直至采购人满意，由此产生的费用由供应商承担。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4.验收合格的条件：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所供货物符合产品标准和及合同的要求；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4.2 在进行测试和验收过程中发现的问题已被解决并得到采购人的认可； </w:t>
      </w:r>
      <w:r/>
    </w:p>
    <w:p>
      <w:pPr>
        <w:ind w:firstLine="480"/>
        <w:jc w:val="left"/>
        <w:pageBreakBefore w:val="0"/>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4.3 合同中规定的所有货物和材料均已交付；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4.4 所供货物已通过使用单位组织的验收；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4.5 所有相关的技术文件及资料均已提交并得到接受。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 验收结果要求出具书面验收报告。 </w:t>
      </w:r>
      <w:r/>
    </w:p>
    <w:p>
      <w:pPr>
        <w:ind w:firstLine="482"/>
        <w:jc w:val="left"/>
        <w:keepLines w:val="0"/>
        <w:keepNext w:val="0"/>
        <w:pageBreakBefore w:val="0"/>
        <w:spacing w:line="48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en-US" w:eastAsia="zh-CN" w:bidi="ar"/>
        </w:rPr>
        <w:t xml:space="preserve">七、非单一产品采购项目，采购标的中的核心产品</w:t>
      </w:r>
      <w:r/>
    </w:p>
    <w:p>
      <w:pPr>
        <w:ind w:firstLine="480"/>
        <w:jc w:val="left"/>
        <w:keepLines w:val="0"/>
        <w:keepNext w:val="0"/>
        <w:pageBreakBefore w:val="0"/>
        <w:spacing w:line="480" w:lineRule="exact"/>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通风柜</w:t>
      </w:r>
      <w:r/>
    </w:p>
    <w:p>
      <w:pPr>
        <w:numPr>
          <w:ilvl w:val="0"/>
          <w:numId w:val="37"/>
        </w:numPr>
        <w:ind w:firstLine="482"/>
        <w:jc w:val="left"/>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采购标的付款方</w:t>
      </w:r>
      <w:bookmarkEnd w:id="61"/>
      <w:r>
        <w:rPr>
          <w:rFonts w:hint="eastAsia" w:ascii="宋体" w:hAnsi="宋体" w:eastAsia="宋体" w:cs="宋体"/>
          <w:b/>
          <w:bCs/>
          <w:color w:val="auto"/>
          <w:sz w:val="24"/>
          <w:szCs w:val="24"/>
          <w:highlight w:val="none"/>
          <w:lang w:val="en-US" w:eastAsia="zh-CN" w:bidi="ar-SA"/>
        </w:rPr>
        <w:t xml:space="preserve">式</w:t>
      </w:r>
      <w:r/>
    </w:p>
    <w:p>
      <w:pPr>
        <w:pStyle w:val="1389"/>
        <w:keepLines w:val="0"/>
        <w:keepNext w:val="0"/>
        <w:pageBreakBefore w:val="0"/>
        <w:spacing w:after="0" w:line="48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本项目全部</w:t>
      </w:r>
      <w:r>
        <w:rPr>
          <w:rFonts w:hint="eastAsia" w:ascii="宋体" w:hAnsi="宋体" w:eastAsia="宋体" w:cs="宋体"/>
          <w:color w:val="auto"/>
          <w:spacing w:val="0"/>
          <w:sz w:val="24"/>
          <w:szCs w:val="24"/>
          <w:highlight w:val="none"/>
          <w:lang w:val="en-US" w:eastAsia="zh-CN" w:bidi="ar-SA"/>
        </w:rPr>
        <w:t xml:space="preserve">货物进场后付合同价的30%，余款待</w:t>
      </w:r>
      <w:r>
        <w:rPr>
          <w:rFonts w:hint="eastAsia" w:ascii="宋体" w:hAnsi="宋体" w:eastAsia="宋体" w:cs="宋体"/>
          <w:b w:val="0"/>
          <w:bCs w:val="0"/>
          <w:color w:val="auto"/>
          <w:sz w:val="24"/>
          <w:szCs w:val="24"/>
          <w:highlight w:val="none"/>
          <w:lang w:val="en-US" w:eastAsia="zh-CN"/>
        </w:rPr>
        <w:t xml:space="preserve">验收合格</w:t>
      </w:r>
      <w:r>
        <w:rPr>
          <w:rFonts w:hint="eastAsia" w:ascii="宋体" w:hAnsi="宋体" w:eastAsia="宋体" w:cs="宋体"/>
          <w:color w:val="auto"/>
          <w:spacing w:val="0"/>
          <w:sz w:val="24"/>
          <w:szCs w:val="24"/>
          <w:highlight w:val="none"/>
          <w:lang w:val="en-US" w:eastAsia="zh-CN" w:bidi="ar-SA"/>
        </w:rPr>
        <w:t xml:space="preserve">后一次性付清。</w:t>
      </w:r>
      <w:r/>
    </w:p>
    <w:p>
      <w:pPr>
        <w:numPr>
          <w:ilvl w:val="0"/>
          <w:numId w:val="37"/>
        </w:numPr>
        <w:ind w:firstLine="482"/>
        <w:jc w:val="left"/>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履约保证金</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1.履约保证金的数额：本项目中标后的履约保证金为项目中标价的</w:t>
      </w:r>
      <w:r>
        <w:rPr>
          <w:rFonts w:hint="eastAsia" w:ascii="宋体" w:hAnsi="宋体" w:eastAsia="宋体" w:cs="宋体"/>
          <w:color w:val="auto"/>
          <w:sz w:val="24"/>
          <w:highlight w:val="none"/>
          <w:u w:val="single"/>
          <w:lang w:val="en-US" w:eastAsia="zh-CN"/>
        </w:rPr>
        <w:t xml:space="preserve">5</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 </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2.中标供应商在中标通知书发出之日起</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 xml:space="preserve">日内，以转账形式缴纳至采购人指定账号。否则招标人有权取消其中标资格。</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3.退还履约保证金条件：中标供应商在按要求保质保量的完成该项目合同，采购人凭中标供应商提交的申请，一次性退还该合同项目的履约保证金。</w:t>
      </w:r>
      <w:r/>
    </w:p>
    <w:p>
      <w:pPr>
        <w:ind w:firstLine="480"/>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予退还履约保证金的情形：由于中标供应商原因，在签订合同后出现不按合同履行的情况，采购单位有权将履约保证金作为违约金，全额不予退还，同时采购单位亦有权终止合同，中标供应商还须承担相应的法律赔偿责任。</w:t>
      </w:r>
      <w:r/>
    </w:p>
    <w:p>
      <w:pPr>
        <w:numPr>
          <w:ilvl w:val="0"/>
          <w:numId w:val="37"/>
        </w:numPr>
        <w:ind w:firstLine="482"/>
        <w:jc w:val="left"/>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其他技术、服务要求：</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1.供应商应按招标文件规定的货物性能、技术要求、质量标准向采购人提供未经使用的全新产品，符合国家法律规定和技术规格、质量标准的出厂原装合格产品。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2.技术支持：供应商应及时免费提供合同货物软件的升级，免费提供合同货物新功能和应用的资料。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3.安装调试：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安装地点：采购人指定地点；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安装完成时间：接到采购人通知后在规定时间内完成安装和调试，如在规定的时间内由于供应商的原因不能完成安装和调试，供应商应承担由此给采购人造成的损失；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3.3 如供应商委托国内代理（或其他机构）负责安装或配合安装应在签约时指明，但供应商仍要对合同货物及其安装质量负全部责任；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3.4 安装标准：符合我国国家有关技术规范要求和技术标准，所有的软件和硬件必须保证同时安装到位；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3.5 供应商免费提供合同货物的安装服务；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3.6 供应商在响应文件中应提供安装调试计划、对安装场地和环境的要求。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4.供应商应提供质保期满后主要零部件报价单、质保期满后维护费、软件升级及其相关服务内容；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5.供货时提供有关的全套技术文件。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6.供应商应保证所提供的货物或其中任何一部分均不会侵犯第三方的知识产权。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7.项目实施过程中造成的人员伤亡及财产损失，由供应商自行承担。 </w:t>
      </w:r>
      <w:r/>
    </w:p>
    <w:p>
      <w:pPr>
        <w:numPr>
          <w:ilvl w:val="0"/>
          <w:numId w:val="37"/>
        </w:numPr>
        <w:ind w:firstLine="482"/>
        <w:jc w:val="left"/>
        <w:keepLines w:val="0"/>
        <w:keepNext w:val="0"/>
        <w:pageBreakBefore w:val="0"/>
        <w:spacing w:line="48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其它要求： </w:t>
      </w:r>
      <w:r/>
    </w:p>
    <w:p>
      <w:pPr>
        <w:ind w:firstLine="480"/>
        <w:jc w:val="left"/>
        <w:keepLines w:val="0"/>
        <w:keepNext w:val="0"/>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1.投标人一旦参加投标,就意味着已接受招标文件的所有条款及要求,并受其约束；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2.中标供应商相关人员在进入学校及安装现场后，应遵守国家相关法律法规和学校管理规定，做好安全防护措施，注意安全文明施工，施工范围内的一切安全责任由中标供应商负责承担；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3.投标产品必须为全新原装产品，中标供应商所提供的产品、资料等要满足中华人民共和国的相应标准。项目采购的设备质量问题达不到采购人使用需求的，采购人有权要求中标供应商更换设备；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4.中标(成交)人在签订合同前,需提供投标产品要求内的检测报告原件核查技术参数,核查完成后方可签订合同。不提供或提供参数不符,视为放弃中标资格,采购人将保留追究其相关责任的权利； </w:t>
      </w:r>
      <w:r/>
    </w:p>
    <w:p>
      <w:pPr>
        <w:ind w:firstLine="480"/>
        <w:jc w:val="left"/>
        <w:keepLines w:val="0"/>
        <w:keepNext w:val="0"/>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5.中标人提供的产品及服务不满足招标文件要求导致验收不合格的,采购人有权解除合同并追究中标人的法律责任； </w:t>
      </w:r>
      <w:r/>
    </w:p>
    <w:p>
      <w:pPr>
        <w:ind w:firstLine="480"/>
        <w:jc w:val="left"/>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bidi="ar"/>
        </w:rPr>
        <w:t xml:space="preserve">6.投标人根据招标人的需求、现场勘察的情况,设计项目实施方案,编制相关图纸。</w:t>
      </w:r>
      <w:r/>
    </w:p>
    <w:p>
      <w:pPr>
        <w:numPr>
          <w:ilvl w:val="0"/>
          <w:numId w:val="0"/>
        </w:numPr>
        <w:jc w:val="both"/>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rPr>
          <w:rFonts w:hint="eastAsia" w:ascii="宋体" w:hAnsi="宋体" w:eastAsia="宋体" w:cs="宋体"/>
          <w:b/>
          <w:bCs/>
          <w:color w:val="auto"/>
          <w:sz w:val="24"/>
          <w:szCs w:val="24"/>
          <w:highlight w:val="none"/>
          <w:lang w:val="en-US" w:eastAsia="zh-CN" w:bidi="ar-SA"/>
        </w:rPr>
        <w:t xml:space="preserve">十二、本项目不接受进口产品投标。</w:t>
      </w:r>
      <w:r/>
    </w:p>
    <w:p>
      <w:pPr>
        <w:jc w:val="center"/>
        <w:spacing w:line="360" w:lineRule="auto"/>
        <w:tabs>
          <w:tab w:val="left" w:pos="1050" w:leader="none"/>
          <w:tab w:val="right" w:pos="9402" w:leader="dot"/>
        </w:tabs>
        <w:rPr>
          <w:rFonts w:hint="eastAsia" w:ascii="宋体" w:hAnsi="宋体" w:eastAsia="宋体" w:cs="宋体"/>
          <w:color w:val="auto"/>
          <w:highlight w:val="none"/>
        </w:rPr>
        <w:outlineLvl w:val="0"/>
      </w:pPr>
      <w:r>
        <w:rPr>
          <w:rFonts w:hint="eastAsia" w:ascii="宋体" w:hAnsi="宋体" w:eastAsia="宋体" w:cs="宋体"/>
          <w:color w:val="auto"/>
          <w:sz w:val="24"/>
          <w:szCs w:val="24"/>
          <w:highlight w:val="none"/>
        </w:rPr>
        <w:br w:type="page" w:clear="all"/>
      </w:r>
      <w:bookmarkStart w:id="62" w:name="_Toc182848996"/>
      <w:r>
        <w:rPr>
          <w:rFonts w:hint="eastAsia" w:ascii="宋体" w:hAnsi="宋体" w:eastAsia="宋体" w:cs="宋体"/>
          <w:b/>
          <w:color w:val="auto"/>
          <w:sz w:val="36"/>
          <w:szCs w:val="36"/>
          <w:highlight w:val="none"/>
        </w:rPr>
        <w:t xml:space="preserve">第四章 评审方法和程序</w:t>
      </w:r>
      <w:bookmarkEnd w:id="62"/>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一、招标人委托代理机构组织招标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1.成立评标委员会小组，评标委员会由招标人代表和评审专家组成，成员人数应当为5人以上单数，其中评审专家不得少于成员总数的三分之二。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二、开标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不见面远程开标模式：开标当天各投标人在各自地点通过苏采云系统及时登录不见面开标大厅，参加投标活动。</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三、资格审查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由采购人代表对投标人资格进行审查。投标人资格不合格的，其投标文件判定为无效投标文件。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1.评标时间</w:t>
      </w:r>
      <w:r>
        <w:rPr>
          <w:rFonts w:hint="eastAsia" w:ascii="宋体" w:hAnsi="宋体" w:eastAsia="宋体" w:cs="宋体"/>
          <w:b/>
          <w:color w:val="auto"/>
          <w:sz w:val="24"/>
          <w:szCs w:val="24"/>
          <w:highlight w:val="none"/>
        </w:rPr>
        <w:t xml:space="preserve">：资格审查结束以后。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2.代理机构负责组织评标工作，并履行下列职责：</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（1）核对评审专家身份和招标人代表授权函，对评审专家在招标采购活动中的职责履行情况予以记录，并及时将有关违法违规行为向相关部门报告。</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（4）组织评标委员会推选评标组长，招标人代表不得担任组长。</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（6）根据评标委员会的要求介绍采购相关政策法规、招标文件。</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（8）核对评标结果，有下列规定情形的，要求评标委员会复核或者书面说明理由，评标委员会拒绝的，则予以书面记录并向本级相关部门报告：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分值汇总计算错误的；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分项评分超出评分标准范围的；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评标委员会成员对客观评审因素评分不一致的；</w:t>
      </w:r>
      <w:r/>
    </w:p>
    <w:p>
      <w:pPr>
        <w:contextualSpacing/>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 经评标委员会认定评分畸高、畸低的。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3.评标委员会负责具体评标事务：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发现招标文件存在歧义、重大缺陷导致评标工作无法进行，或者招标文件内容违反国家有关强制性规定的，应当停止评标工作，与招标人或者代理机构沟通并作书面记录。招标人或者代理机构确认后，应当修改招标文件，重新组织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4.评标委员会成员独立履行以下职责与义务：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（1）遵纪守法，客观、公正、廉洁地履行职责；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（2）审查合格投标人的投标文件是否实质性响应招标文件要求，并作出评价；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（3）按照招标文件规定的评标办法和评标标准进行评标，对评审意见承担个人责任；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（4）可以要求投标人对投标文件有关事项作出解释或澄清；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（5）对评标过程和结果，以及投标人的商业秘密保密；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（6）配合相关部门的投诉处理工作；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（7）配合招标人或代理机构答复投标人提出的质疑。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7.评审期间，合格投标人的投标文件仍有可能被评标委员会根据规定判为无效投标。</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8.在投标文件的评审、澄清、评价和比较以及授予合同的过程中，投标人对招标人和评标委员会成员有施加影响的任何行为，都将取消其可能的中标资格。</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五、评标流程和评标标准</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采用综合评分法。分资格审查文件、商务技术文件、报价文件三部分评审，总分值为100分，加分和减分因素除外。</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首先由</w:t>
      </w:r>
      <w:r>
        <w:rPr>
          <w:rFonts w:hint="eastAsia" w:ascii="宋体" w:hAnsi="宋体" w:eastAsia="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对投标人资格进行审查，然后评标委员会对符合资格的投标人的投标文件进行符合性审查，最后评标委员会对符合性审查合格的投标文件商务、技术部分进行评估，综合比较与评价。待商务技术文件评审结束后，进行报价文件的开启、评审。投标人商务、技术部分和价格部分的合计分值，为该投标人的评标总得分。</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p>
    <w:p>
      <w:pPr>
        <w:ind w:firstLine="555"/>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评委在认真审阅投标文件的基础上，根据各投标文件的响应程度独立评判，不得统一打分。</w:t>
      </w:r>
      <w:r/>
    </w:p>
    <w:p>
      <w:pPr>
        <w:ind w:firstLine="570"/>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（一）采购人机构对投标人资格进行审查。</w:t>
      </w:r>
      <w:r/>
    </w:p>
    <w:p>
      <w:pPr>
        <w:pStyle w:val="1012"/>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投标人资格不合格的，其投标文件判定为无效投标文件。</w:t>
      </w:r>
      <w:r/>
    </w:p>
    <w:p>
      <w:pPr>
        <w:ind w:firstLine="570"/>
        <w:spacing w:line="4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（二）评标委员会对符合资格投标人的投标文件进行符合性审查。</w:t>
      </w:r>
      <w:r/>
    </w:p>
    <w:p>
      <w:pPr>
        <w:pStyle w:val="1012"/>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未通过符合性审查的投标文件，将被判为不满足招标文件实质性要求。 </w:t>
      </w:r>
      <w:r/>
    </w:p>
    <w:p>
      <w:pPr>
        <w:ind w:firstLine="570"/>
        <w:spacing w:line="480" w:lineRule="exact"/>
        <w:rPr>
          <w:rFonts w:hint="eastAsia" w:ascii="宋体" w:hAnsi="宋体" w:eastAsia="宋体" w:cs="宋体"/>
          <w:bCs/>
          <w:color w:val="auto"/>
          <w:sz w:val="24"/>
          <w:highlight w:val="none"/>
          <w:lang w:val="zh-CN"/>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zh-CN"/>
        </w:rPr>
        <w:t xml:space="preserve">三</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zh-CN"/>
        </w:rPr>
        <w:t xml:space="preserve">商务技术分：</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60</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 xml:space="preserve">分</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各投标人得分为评委会成员评分的算术平均分，分值</w:t>
      </w:r>
      <w:r>
        <w:rPr>
          <w:rFonts w:hint="eastAsia" w:ascii="宋体" w:hAnsi="宋体" w:eastAsia="宋体" w:cs="宋体"/>
          <w:color w:val="auto"/>
          <w:sz w:val="24"/>
          <w:highlight w:val="none"/>
          <w:lang w:val="en-US" w:eastAsia="zh-CN"/>
        </w:rPr>
        <w:t xml:space="preserve">四舍五入后</w:t>
      </w:r>
      <w:r>
        <w:rPr>
          <w:rFonts w:hint="eastAsia" w:ascii="宋体" w:hAnsi="宋体" w:eastAsia="宋体" w:cs="宋体"/>
          <w:color w:val="auto"/>
          <w:sz w:val="24"/>
          <w:highlight w:val="none"/>
        </w:rPr>
        <w:t xml:space="preserve">保留小数点后两位。</w:t>
      </w:r>
      <w:r/>
    </w:p>
    <w:tbl>
      <w:tblPr>
        <w:tblStyle w:val="8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1"/>
        <w:gridCol w:w="697"/>
        <w:gridCol w:w="7115"/>
      </w:tblGrid>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评审因素</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根据供应商的技术指标对招标文件的偏离度进行打分，具体由评委根据供应商的投标文件中《技术部分正负偏离表》及相关证明资料评审。符合招标文件基本要求的得基准分2</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分。标“▲”为重要参数，每有一项负偏离，每项减2分，减完为止；未标“▲”参数，每有一项负偏离，每项减0.</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分，减完为止。</w:t>
            </w:r>
            <w:r/>
          </w:p>
          <w:p>
            <w:pPr>
              <w:ind w:firstLine="422"/>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备注：《技术部分正负偏离表》必须按招标文件对应要求在投标文件内提供技术响应证明材料（如彩页或者白皮书或者检测报告或者实际应用截图等），并在《技术部分正负偏离表》中详细标明技术响应证明材料在投标文件中的页码和位置。未提供技术响应证明材料的作负偏离处理，如因未在《技术部分正负偏离表》中注明证明材料具体页码和位置导致本项不得分的，由此产生的后果由投标人自行承担。</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根据投标人提供的施工方案、技术措施、进度安排、验收方案等进行评分，优得4分，良得2分，一般1分，未提供不得分；</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根据投标人提供的资源配备计划、投入的劳动力、机械设备等进行评分，优得3分，良得1分，一般0.5分，未提供不得分。</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根据投标人针对本项目提供的售后服务方案,包含但不限于：①售后技术支持和服务；②故障响应与处理及时；③售后服务团队；④具体服务措施；⑤关键零部件备品备件等。综合评价：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售后服务方案完整、详细，科学合理，可行性强且完全满足项目实际需求，得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售后服务方案基本完整，基本合理可行，可基本满足项目实际需求，得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方案内容缺失，有瑕疵，需进一步完善方案，可行性弱，得1分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其他或未提供不得分。</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投标人具有建筑机电安装工程专业承包和安全生产许可证，得3分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拟派项目负责人具有有效的机电工程二级及以上注册建造师</w:t>
            </w:r>
            <w:r>
              <w:rPr>
                <w:rFonts w:hint="eastAsia" w:ascii="宋体" w:hAnsi="宋体" w:eastAsia="宋体" w:cs="宋体"/>
                <w:color w:val="auto"/>
                <w:sz w:val="21"/>
                <w:szCs w:val="21"/>
                <w:highlight w:val="none"/>
              </w:rPr>
              <w:t xml:space="preserve">，得2分</w:t>
            </w:r>
            <w:r>
              <w:rPr>
                <w:rFonts w:hint="eastAsia" w:ascii="宋体" w:hAnsi="宋体" w:eastAsia="宋体" w:cs="宋体"/>
                <w:color w:val="auto"/>
                <w:sz w:val="21"/>
                <w:szCs w:val="21"/>
                <w:highlight w:val="none"/>
                <w:lang w:eastAsia="zh-CN"/>
              </w:rPr>
              <w:t xml:space="preserve">；</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拟派项目组人员具有注册</w:t>
            </w:r>
            <w:r>
              <w:rPr>
                <w:rFonts w:hint="eastAsia" w:ascii="宋体" w:hAnsi="宋体" w:eastAsia="宋体" w:cs="宋体"/>
                <w:color w:val="auto"/>
                <w:sz w:val="21"/>
                <w:szCs w:val="21"/>
                <w:highlight w:val="none"/>
              </w:rPr>
              <w:t xml:space="preserve">安全工程师</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每有1人，</w:t>
            </w:r>
            <w:r>
              <w:rPr>
                <w:rFonts w:hint="eastAsia" w:ascii="宋体" w:hAnsi="宋体" w:eastAsia="宋体" w:cs="宋体"/>
                <w:color w:val="auto"/>
                <w:sz w:val="21"/>
                <w:szCs w:val="21"/>
                <w:highlight w:val="none"/>
              </w:rPr>
              <w:t xml:space="preserve">得1.5分，最多得3分。</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）投标人拟派项目组人员</w:t>
            </w:r>
            <w:r>
              <w:rPr>
                <w:rFonts w:hint="eastAsia" w:ascii="宋体" w:hAnsi="宋体" w:eastAsia="宋体" w:cs="宋体"/>
                <w:color w:val="auto"/>
                <w:sz w:val="21"/>
                <w:szCs w:val="21"/>
                <w:highlight w:val="none"/>
                <w:lang w:val="en-US" w:eastAsia="zh-CN"/>
              </w:rPr>
              <w:t xml:space="preserve">中具有</w:t>
            </w:r>
            <w:r>
              <w:rPr>
                <w:rFonts w:hint="eastAsia" w:ascii="宋体" w:hAnsi="宋体" w:eastAsia="宋体" w:cs="宋体"/>
                <w:color w:val="auto"/>
                <w:sz w:val="21"/>
                <w:szCs w:val="21"/>
                <w:highlight w:val="none"/>
                <w:lang w:eastAsia="zh-CN"/>
              </w:rPr>
              <w:t xml:space="preserve">国家注册消防工程</w:t>
            </w:r>
            <w:r>
              <w:rPr>
                <w:rFonts w:hint="eastAsia" w:ascii="宋体" w:hAnsi="宋体" w:eastAsia="宋体" w:cs="宋体"/>
                <w:color w:val="auto"/>
                <w:sz w:val="21"/>
                <w:szCs w:val="21"/>
                <w:highlight w:val="none"/>
                <w:lang w:val="en-US" w:eastAsia="zh-CN"/>
              </w:rPr>
              <w:t xml:space="preserve">师的，每有1人，得2分，最多得2分。</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注：①提供投标人的资质证书及安全生产许可证证书扫描件；</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②提供人员对应的注册证书扫描件；</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③对应人员与供应商签订的有效的劳动合同及社保机构出具的由供应商为其缴纳的近三个月（指：2026年1月至2026年3月）中任意一个月的社保缴费记录扫描件。</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企业注册地为江苏省内的企业，本工程供应商拟派项目负责人为二级注册建造师的，必须根据《省住房和城乡建设厅关于我省二级建造师、二级造价工程师、二级注册建筑师、二级注册结构工程师注册证书电子证照换发的公告》（〔2023〕第26号）文件要求使用并提供证书，如未按文件要求提供证书，该证书无效，视为项目负责人的资格不符合要求。</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如本工程供应商拟派项目负责人为一级注册建造师的，必须根据《住房和城乡建设部办公厅关于全面实行一级建造师电子注册证书的通知》（建办市〔2021〕40号）文件要求使用并提供电子证书，如未按文件要求提供电子证书，该电子证书无效，视为拟派项目负责人的资格不符合要求。</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未提供或提供的佐证资料不满足要求的不得分。</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保修期</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lang w:val="zh-TW"/>
              </w:rPr>
            </w:pPr>
            <w:r>
              <w:rPr>
                <w:rFonts w:hint="eastAsia" w:ascii="宋体" w:hAnsi="宋体" w:eastAsia="宋体" w:cs="宋体"/>
                <w:color w:val="auto"/>
                <w:sz w:val="21"/>
                <w:szCs w:val="21"/>
                <w:highlight w:val="none"/>
                <w:lang w:val="zh-TW"/>
              </w:rPr>
              <w:t xml:space="preserve">满足招标文件要求</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三年</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的基础上；每延长一年加</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TW"/>
              </w:rPr>
              <w:t xml:space="preserve">分，最多加</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分。</w:t>
            </w:r>
            <w:r/>
          </w:p>
          <w:p>
            <w:pPr>
              <w:pStyle w:val="882"/>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注：提供承诺书（格式自拟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加盖投标人单位公章</w:t>
            </w:r>
            <w:r>
              <w:rPr>
                <w:rFonts w:hint="eastAsia" w:ascii="宋体" w:hAnsi="宋体" w:eastAsia="宋体" w:cs="宋体"/>
                <w:color w:val="auto"/>
                <w:sz w:val="21"/>
                <w:szCs w:val="21"/>
                <w:highlight w: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售后技术服务</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售后服务方案完善，维修响应时间迅速，能够满足“24小时内响应，48小时内完成维修”的要求的基础上，提供的专职售后人员充足，售后服务体系完善，各项售后服务承诺均完全满足或优于招标文件要求，且提供维修响应时间的相关承诺，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提供了常规、通用的售后服务解决方案、维修响应时间、专职售后服务人员少、人员分工交叉，售后服务承诺基本满足招标文件要求，且提供维修响应时间的相关承诺，得2分；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售后服务方案及售后服务承诺有欠缺，未提供专职售后服务人员，但提供维修响应时间的相关承诺，得1分；</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未提供相关方案或承诺，不得分。</w:t>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产品选型</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投标人针对本项目提供完整的产品选型方案，包括但不限于产品选型依据、产品技术资料、质量证明材料、产品操作说明、产品业务拓展功能等：</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产品选型方案较完整，产品符合本项目特点，选型依据充分，证明材料完整且齐全。产品操作性强、功能较全面、安全稳定度高，能完美实现系统功能，并具有拓展性的，得5分；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产品选型方案基本完整，产品选型基本满足要求，有选型依据，证明材料相对完整。产品易于操作、功能基本满足的，可实现系统功能，得3分；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有产品选型方案，但部分产品的相关内容有明显缺失，或所选产品不能完全实现系统功能要求的，得1分；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未提供选型方案相关内容，不得分。</w:t>
            </w:r>
            <w:r/>
          </w:p>
          <w:p>
            <w:pPr>
              <w:ind w:firstLine="420"/>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注：</w:t>
            </w:r>
            <w:r>
              <w:rPr>
                <w:rFonts w:hint="eastAsia" w:ascii="宋体" w:hAnsi="宋体" w:eastAsia="宋体" w:cs="宋体"/>
                <w:bCs/>
                <w:color w:val="auto"/>
                <w:sz w:val="21"/>
                <w:szCs w:val="21"/>
                <w:highlight w:val="none"/>
              </w:rPr>
              <w:t xml:space="preserve">投标文件中提供产品选型方案，依据方案内容进行得分，未提供或提供的方案不满足要求的不得分。</w:t>
            </w:r>
            <w:r/>
          </w:p>
        </w:tc>
      </w:tr>
      <w:tr>
        <w:trPr>
          <w:jc w:val="center"/>
          <w:trHeight w:val="1198"/>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投标人提供自2022年1月1日至今有类似项目（</w:t>
            </w:r>
            <w:r>
              <w:rPr>
                <w:rFonts w:hint="eastAsia" w:ascii="宋体" w:hAnsi="宋体" w:eastAsia="宋体" w:cs="宋体"/>
                <w:bCs/>
                <w:color w:val="auto"/>
                <w:sz w:val="21"/>
                <w:szCs w:val="21"/>
                <w:highlight w:val="none"/>
                <w:lang w:val="en-US" w:eastAsia="zh-CN"/>
              </w:rPr>
              <w:t xml:space="preserve">至少包</w:t>
            </w:r>
            <w:r>
              <w:rPr>
                <w:rFonts w:hint="eastAsia" w:ascii="宋体" w:hAnsi="宋体" w:eastAsia="宋体" w:cs="宋体"/>
                <w:bCs/>
                <w:color w:val="auto"/>
                <w:sz w:val="21"/>
                <w:szCs w:val="21"/>
                <w:highlight w:val="none"/>
              </w:rPr>
              <w:t xml:space="preserve">含实验室通风</w:t>
            </w:r>
            <w:r>
              <w:rPr>
                <w:rFonts w:hint="eastAsia" w:ascii="宋体" w:hAnsi="宋体" w:eastAsia="宋体" w:cs="宋体"/>
                <w:bCs/>
                <w:color w:val="auto"/>
                <w:sz w:val="21"/>
                <w:szCs w:val="21"/>
                <w:highlight w:val="none"/>
                <w:lang w:val="en-US" w:eastAsia="zh-CN"/>
              </w:rPr>
              <w:t xml:space="preserve">或</w:t>
            </w:r>
            <w:r>
              <w:rPr>
                <w:rFonts w:hint="eastAsia" w:ascii="宋体" w:hAnsi="宋体" w:eastAsia="宋体" w:cs="宋体"/>
                <w:bCs/>
                <w:color w:val="auto"/>
                <w:sz w:val="21"/>
                <w:szCs w:val="21"/>
                <w:highlight w:val="none"/>
              </w:rPr>
              <w:t xml:space="preserve">实验家具）成功案例，每提供一个成功案例得1分，最高得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注：</w:t>
            </w:r>
            <w:r>
              <w:rPr>
                <w:rFonts w:hint="eastAsia" w:ascii="宋体" w:hAnsi="宋体" w:eastAsia="宋体" w:cs="宋体"/>
                <w:bCs/>
                <w:color w:val="auto"/>
                <w:sz w:val="21"/>
                <w:szCs w:val="21"/>
                <w:highlight w:val="none"/>
              </w:rPr>
              <w:t xml:space="preserve">时间以合同签订时间为准，同一买方的多份合同仅算一份业绩，提供合同、用户盖章验收报告两者缺一不可</w:t>
            </w:r>
            <w:r>
              <w:rPr>
                <w:rFonts w:hint="eastAsia" w:ascii="宋体" w:hAnsi="宋体" w:eastAsia="宋体" w:cs="宋体"/>
                <w:bCs/>
                <w:color w:val="auto"/>
                <w:sz w:val="21"/>
                <w:szCs w:val="21"/>
                <w:highlight w:val="none"/>
                <w:lang w:eastAsia="zh-CN"/>
              </w:rPr>
              <w:t xml:space="preserve">。</w:t>
            </w:r>
            <w:bookmarkStart w:id="78" w:name="_GoBack"/>
            <w:r/>
            <w:bookmarkEnd w:id="78"/>
            <w:r/>
            <w:r/>
          </w:p>
        </w:tc>
      </w:tr>
      <w:tr>
        <w:trPr>
          <w:jc w:val="center"/>
        </w:trPr>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节能环保</w:t>
            </w:r>
            <w:r/>
          </w:p>
        </w:tc>
        <w:tc>
          <w:tcPr>
            <w:tcBorders>
              <w:top w:val="single" w:color="auto" w:sz="4" w:space="0"/>
              <w:left w:val="single" w:color="auto" w:sz="4" w:space="0"/>
              <w:bottom w:val="single" w:color="auto" w:sz="4" w:space="0"/>
              <w:right w:val="single" w:color="auto" w:sz="4" w:space="0"/>
            </w:tcBorders>
            <w:tcW w:w="70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191" w:type="dxa"/>
            <w:vAlign w:val="center"/>
            <w:textDirection w:val="lrTb"/>
            <w:noWrap w:val="false"/>
          </w:tcPr>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扫描件的，有1个得0.25分，最多得0.5分。如投标产品均属于政府强制采购节能产品品目清单范围内，本项不得分。</w:t>
            </w:r>
            <w:r/>
          </w:p>
          <w:p>
            <w:pPr>
              <w:ind w:firstLine="420"/>
              <w:jc w:val="left"/>
              <w:keepLines w:val="0"/>
              <w:keepNext w:val="0"/>
              <w:pageBreakBefore w:val="0"/>
              <w:spacing w:line="44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（2）投标产品属于财政部、生态环境部公布的“环境标志产品品目清单”范围内的，投标人提供国家确定的认证机构出具的、处于有效期内的该环保产品认证证书扫描件的，有1个得0.25分，最多得0.5分。</w:t>
            </w:r>
            <w:r/>
          </w:p>
        </w:tc>
      </w:tr>
    </w:tbl>
    <w:p>
      <w:pPr>
        <w:ind w:firstLine="602"/>
        <w:jc w:val="left"/>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（四）</w:t>
      </w:r>
      <w:r>
        <w:rPr>
          <w:rFonts w:hint="eastAsia" w:ascii="宋体" w:hAnsi="宋体" w:eastAsia="宋体" w:cs="宋体"/>
          <w:b/>
          <w:color w:val="auto"/>
          <w:sz w:val="24"/>
          <w:highlight w:val="none"/>
          <w:lang w:val="zh-CN"/>
        </w:rPr>
        <w:t xml:space="preserve">价格分</w:t>
      </w:r>
      <w:r>
        <w:rPr>
          <w:rFonts w:hint="eastAsia" w:ascii="宋体" w:hAnsi="宋体" w:eastAsia="宋体" w:cs="宋体"/>
          <w:b/>
          <w:color w:val="auto"/>
          <w:sz w:val="24"/>
          <w:highlight w:val="none"/>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40</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zh-CN"/>
        </w:rPr>
        <w:t xml:space="preserve">分</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投标报价得分=（评标基准价/投标报价）×</w:t>
      </w:r>
      <w:r>
        <w:rPr>
          <w:rFonts w:hint="eastAsia" w:ascii="宋体" w:hAnsi="宋体" w:eastAsia="宋体" w:cs="宋体"/>
          <w:color w:val="auto"/>
          <w:sz w:val="24"/>
          <w:highlight w:val="none"/>
          <w:lang w:val="en-US" w:eastAsia="zh-CN"/>
        </w:rPr>
        <w:t xml:space="preserve">40</w:t>
      </w:r>
      <w:r/>
    </w:p>
    <w:p>
      <w:pPr>
        <w:ind w:firstLine="480"/>
        <w:keepLines w:val="0"/>
        <w:keepNext w:val="0"/>
        <w:pageBreakBefore w:val="0"/>
        <w:spacing w:line="48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投标报价得分四舍五入后保留小数点后两位。</w:t>
      </w:r>
      <w:r/>
    </w:p>
    <w:p>
      <w:pPr>
        <w:ind w:firstLine="57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（五）政府采购政策功能落实</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1、小微型企业价格扣除</w:t>
      </w:r>
      <w:r>
        <w:rPr>
          <w:rFonts w:hint="eastAsia" w:ascii="宋体" w:hAnsi="宋体" w:eastAsia="宋体" w:cs="宋体"/>
          <w:b/>
          <w:color w:val="auto"/>
          <w:sz w:val="24"/>
          <w:szCs w:val="24"/>
          <w:highlight w:val="none"/>
        </w:rPr>
        <w:t xml:space="preserve">（本项目标的需求明确的所属行业为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工业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（1）本项目对小型和微型企业产品给予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%的扣除价格，用扣除后的价格参与评审。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（2）供应商需按照采购文件的要求提供相应的《中小企业声明函》。</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2、残疾人福利单位价格扣除</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（1）本项目对残疾人福利性单位视同小型、微型企业，给予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（2）残疾人福利单位需按照采购文件的要求提供《残疾人福利性单位声明函》。</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3、监狱和戒毒企业价格扣除</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（1）本项目对监狱和戒毒企业（简称监狱企业）视同小型、微型企业，给予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w:t>
      </w:r>
      <w:r>
        <w:rPr>
          <w:rFonts w:hint="eastAsia" w:ascii="宋体" w:hAnsi="宋体" w:eastAsia="宋体" w:cs="宋体"/>
          <w:b/>
          <w:color w:val="auto"/>
          <w:sz w:val="24"/>
          <w:szCs w:val="24"/>
          <w:highlight w:val="none"/>
          <w:u w:val="single"/>
        </w:rPr>
        <w:t xml:space="preserve"> 4 </w:t>
      </w:r>
      <w:r>
        <w:rPr>
          <w:rFonts w:hint="eastAsia" w:ascii="宋体" w:hAnsi="宋体" w:eastAsia="宋体" w:cs="宋体"/>
          <w:b/>
          <w:color w:val="auto"/>
          <w:sz w:val="24"/>
          <w:szCs w:val="24"/>
          <w:highlight w:val="none"/>
        </w:rPr>
        <w:t xml:space="preserve">%的扣除，用扣除后的价格参与评审。</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6、联合体各方均为小型、微型企业（残疾人福利单位、监狱企业）的，联合体享受</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lang w:val="en-US" w:eastAsia="zh-CN"/>
        </w:rPr>
        <w:t xml:space="preserve">10 </w:t>
      </w:r>
      <w:r>
        <w:rPr>
          <w:rFonts w:hint="eastAsia" w:ascii="宋体" w:hAnsi="宋体" w:eastAsia="宋体" w:cs="宋体"/>
          <w:bCs/>
          <w:color w:val="auto"/>
          <w:sz w:val="24"/>
          <w:szCs w:val="24"/>
          <w:highlight w:val="none"/>
        </w:rPr>
        <w:t xml:space="preserve">%的价格扣除，用扣除后的价格参与评审。</w:t>
      </w:r>
      <w:r/>
    </w:p>
    <w:p>
      <w:pPr>
        <w:ind w:firstLine="480"/>
        <w:keepLines w:val="0"/>
        <w:keepNext w:val="0"/>
        <w:pageBreakBefore w:val="0"/>
        <w:spacing w:line="480" w:lineRule="exact"/>
        <w:widowControl w:val="off"/>
        <w:rPr>
          <w:rFonts w:hint="eastAsia" w:ascii="宋体" w:hAnsi="宋体" w:eastAsia="宋体" w:cs="宋体"/>
          <w:color w:val="auto"/>
          <w:sz w:val="24"/>
          <w:szCs w:val="20"/>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0"/>
          <w:highlight w:val="none"/>
        </w:rPr>
        <w:t xml:space="preserve">专门面向中小企业采购的项目或者采购包，不再执行价格评审优惠的扶持政策。</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8、根据《江苏省政府采购信用管理暂行办法》的规定，对有失信行为的供应商将根据信用评价结果按规定予以扣分或价格加成。</w:t>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（六）异常低价投标审查程序</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（1）评审过程中出现下列情形之一的，评审委员会应当启动异常低价投标审查程序：</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1.1 投标（响应）报价低于全部通过符合性审查供应商投标（响应）报价平均值50%的，即投标（响应）报价&lt;全部通过符合性审查供应商投标（响应）报价平均值×50%；</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1.2 投标（响应）报价低于通过符合性审查的次低报价供应商投标（响应）报价50%的，即投标（响应）报价&lt;通过符合性审查的次低报价供应商投标（响应）报价×50%；</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1.3 投标（响应）报价低于采购项目最高限价45%的，即投标（响应）报价&lt;采购项目最高限价×45%；</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1.4 评审委员会基于专业判断，认为供应商报价过低，有可能影响产品质量或者不能诚信履约的其他情形。</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p>
    <w:p>
      <w:pPr>
        <w:ind w:firstLine="570"/>
        <w:keepLines w:val="0"/>
        <w:keepNext w:val="0"/>
        <w:pageBreakBefore w:val="0"/>
        <w:spacing w:line="480" w:lineRule="exact"/>
        <w:widowControl w:val="off"/>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（七）</w:t>
      </w:r>
      <w:r>
        <w:rPr>
          <w:rFonts w:hint="eastAsia" w:ascii="宋体" w:hAnsi="宋体" w:eastAsia="宋体" w:cs="宋体"/>
          <w:b/>
          <w:color w:val="auto"/>
          <w:sz w:val="24"/>
          <w:highlight w:val="none"/>
        </w:rPr>
        <w:t xml:space="preserve">中标人的确定</w:t>
      </w:r>
      <w:r/>
    </w:p>
    <w:p>
      <w:pPr>
        <w:ind w:firstLine="57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委会认为投标人的报价明显低于其他通过符合性审查投标人的报价，有可能影响产品质量或者不能诚信履约的，应当要求其在合理的时间内提供书面说明，必要时提交相关证明材料；投标人不能证明其报价合理性的，评委会应当将其作为无效投标处理。</w:t>
      </w:r>
      <w:r/>
    </w:p>
    <w:p>
      <w:pPr>
        <w:ind w:firstLine="57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w:t>
      </w:r>
      <w:r>
        <w:rPr>
          <w:rFonts w:hint="eastAsia" w:ascii="宋体" w:hAnsi="宋体" w:eastAsia="宋体" w:cs="宋体"/>
          <w:bCs/>
          <w:color w:val="auto"/>
          <w:sz w:val="24"/>
          <w:highlight w:val="none"/>
          <w:lang w:eastAsia="zh-CN"/>
        </w:rPr>
        <w:t xml:space="preserve">是</w:t>
      </w:r>
      <w:r>
        <w:rPr>
          <w:rFonts w:hint="eastAsia" w:ascii="宋体" w:hAnsi="宋体" w:eastAsia="宋体" w:cs="宋体"/>
          <w:bCs/>
          <w:color w:val="auto"/>
          <w:sz w:val="24"/>
          <w:highlight w:val="none"/>
        </w:rPr>
        <w:t xml:space="preserve">否</w:t>
      </w:r>
      <w:r>
        <w:rPr>
          <w:rFonts w:hint="eastAsia" w:ascii="宋体" w:hAnsi="宋体" w:eastAsia="宋体" w:cs="宋体"/>
          <w:bCs/>
          <w:color w:val="auto"/>
          <w:sz w:val="24"/>
          <w:highlight w:val="none"/>
          <w:lang w:eastAsia="zh-CN"/>
        </w:rPr>
        <w:t xml:space="preserve">有</w:t>
      </w:r>
      <w:r>
        <w:rPr>
          <w:rFonts w:hint="eastAsia" w:ascii="宋体" w:hAnsi="宋体" w:eastAsia="宋体" w:cs="宋体"/>
          <w:bCs/>
          <w:color w:val="auto"/>
          <w:sz w:val="24"/>
          <w:highlight w:val="none"/>
        </w:rPr>
        <w:t xml:space="preserve">重大重复报价或漏项报价等情况，一经发现，现场请中标候选人予以澄清，明显过错或不能澄清的，经超半数以上评委认定，有权取消供应商中标候选人资格。</w:t>
      </w:r>
      <w:r/>
    </w:p>
    <w:p>
      <w:pPr>
        <w:ind w:firstLine="57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评委会汇总各评委评分后，按照得分从高到低的顺序推荐三名中标候选人，并编写评标报告。</w:t>
      </w:r>
      <w:r/>
    </w:p>
    <w:p>
      <w:pPr>
        <w:ind w:firstLine="570"/>
        <w:keepLines w:val="0"/>
        <w:keepNext w:val="0"/>
        <w:pageBreakBefore w:val="0"/>
        <w:spacing w:line="480" w:lineRule="exact"/>
        <w:widowControl w:val="off"/>
        <w:rPr>
          <w:rFonts w:hint="eastAsia" w:ascii="宋体" w:hAnsi="宋体" w:eastAsia="宋体" w:cs="宋体"/>
          <w:bCs/>
          <w:color w:val="auto"/>
          <w:sz w:val="24"/>
          <w:highlight w:val="none"/>
        </w:rPr>
      </w:pPr>
      <w:r>
        <w:rPr>
          <w:rFonts w:hint="eastAsia" w:ascii="宋体" w:hAnsi="宋体" w:eastAsia="宋体" w:cs="宋体"/>
          <w:b w:val="0"/>
          <w:bCs/>
          <w:color w:val="auto"/>
          <w:sz w:val="24"/>
          <w:highlight w:val="none"/>
        </w:rPr>
        <w:t xml:space="preserve">采购人在</w:t>
      </w:r>
      <w:r>
        <w:rPr>
          <w:rFonts w:hint="eastAsia" w:ascii="宋体" w:hAnsi="宋体" w:eastAsia="宋体" w:cs="宋体"/>
          <w:bCs/>
          <w:color w:val="auto"/>
          <w:sz w:val="24"/>
          <w:highlight w:val="none"/>
        </w:rPr>
        <w:t xml:space="preserve">评标报告确定的中标候选人名单中按顺序确定中标人。中标候选人并列的，由采购人或者采购人委托评标委员会按照现场抽签方式确定中标人。</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八</w:t>
      </w:r>
      <w:r>
        <w:rPr>
          <w:rFonts w:hint="eastAsia" w:ascii="宋体" w:hAnsi="宋体" w:eastAsia="宋体" w:cs="宋体"/>
          <w:b/>
          <w:color w:val="auto"/>
          <w:sz w:val="24"/>
          <w:highlight w:val="none"/>
        </w:rPr>
        <w:t xml:space="preserve">）公告中标结果</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自确定中标人之日起2个工作日内，在江苏省政府采购网公告中标结果，公告期限为1个工作日。</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九</w:t>
      </w:r>
      <w:r>
        <w:rPr>
          <w:rFonts w:hint="eastAsia" w:ascii="宋体" w:hAnsi="宋体" w:eastAsia="宋体" w:cs="宋体"/>
          <w:b/>
          <w:color w:val="auto"/>
          <w:sz w:val="24"/>
          <w:highlight w:val="none"/>
        </w:rPr>
        <w:t xml:space="preserve">）发放中标通知书</w:t>
      </w:r>
      <w:r/>
    </w:p>
    <w:p>
      <w:pPr>
        <w:contextualSpacing/>
        <w:ind w:firstLine="480"/>
        <w:keepLines w:val="0"/>
        <w:keepNext w:val="0"/>
        <w:pageBreakBefore w:val="0"/>
        <w:spacing w:line="480" w:lineRule="exact"/>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中标通知书发放条件和途径：发布中标结果公告的同时，采购人或者采购代理机构应当向中标人发放中标通知书。领取地址：</w:t>
      </w:r>
      <w:r>
        <w:rPr>
          <w:rFonts w:hint="eastAsia" w:ascii="宋体" w:hAnsi="宋体" w:eastAsia="宋体" w:cs="宋体"/>
          <w:color w:val="auto"/>
          <w:sz w:val="24"/>
          <w:highlight w:val="none"/>
          <w:u w:val="single"/>
        </w:rPr>
        <w:t xml:space="preserve">南通市崇川区星城路299号创源科技园3号楼501室</w:t>
      </w: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lang w:val="en-US" w:eastAsia="zh-CN"/>
        </w:rPr>
        <w:t xml:space="preserve">18862913262</w:t>
      </w:r>
      <w:r>
        <w:rPr>
          <w:rFonts w:hint="eastAsia" w:ascii="宋体" w:hAnsi="宋体" w:eastAsia="宋体" w:cs="宋体"/>
          <w:color w:val="auto"/>
          <w:sz w:val="24"/>
          <w:highlight w:val="none"/>
          <w:u w:val="single"/>
        </w:rPr>
        <w:t xml:space="preserve">。</w:t>
      </w:r>
      <w:r/>
    </w:p>
    <w:p>
      <w:pPr>
        <w:ind w:firstLine="480"/>
        <w:keepLines w:val="0"/>
        <w:keepNext w:val="0"/>
        <w:pageBreakBefore w:val="0"/>
        <w:spacing w:line="480" w:lineRule="exact"/>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中标通知书发出后，采购人不得违法改变中标结果，中标供应商无正当理由不得放弃中标。</w:t>
      </w:r>
      <w:r/>
    </w:p>
    <w:p>
      <w:pPr>
        <w:ind w:firstLine="570"/>
        <w:keepLines w:val="0"/>
        <w:keepNext w:val="0"/>
        <w:pageBreakBefore w:val="0"/>
        <w:spacing w:line="48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、其他注意事项</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1、在投标、开标时间，投标人不得向评委询问情况，不得进行旨在影响评标结果的活动。</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2、评委会不得向投标人解释落标原因。</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3、在投标、评标过程中，如果投标人联合故意抬高报价或出现其他不正当行为，采购人有权中止投标或评标。</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4、凡在投标、开标过程中，已提示是否异议的事项，投标人当时没有提出异议的，事后不得针对上述事项提出质疑。</w:t>
      </w:r>
      <w:r/>
    </w:p>
    <w:p>
      <w:pPr>
        <w:ind w:firstLine="480"/>
        <w:keepLines w:val="0"/>
        <w:keepNext w:val="0"/>
        <w:pageBreakBefore w:val="0"/>
        <w:spacing w:line="480" w:lineRule="exact"/>
        <w:widowControl w:val="off"/>
        <w:rPr>
          <w:rFonts w:hint="eastAsia" w:ascii="宋体" w:hAnsi="宋体" w:eastAsia="宋体" w:cs="宋体"/>
          <w:color w:val="auto"/>
          <w:szCs w:val="21"/>
          <w:highlight w:val="none"/>
        </w:rPr>
        <w:sectPr>
          <w:headerReference w:type="default" r:id="rId12"/>
          <w:footnotePr/>
          <w:endnotePr/>
          <w:type w:val="nextPage"/>
          <w:pgSz w:w="11905" w:h="16838" w:orient="portrait"/>
          <w:pgMar w:top="1440" w:right="1519" w:bottom="1440" w:left="1519" w:header="850" w:footer="992" w:gutter="0"/>
          <w:cols w:num="1" w:sep="0" w:space="1701" w:equalWidth="1"/>
          <w:docGrid w:linePitch="360"/>
        </w:sectPr>
      </w:pPr>
      <w:r>
        <w:rPr>
          <w:rFonts w:hint="eastAsia" w:ascii="宋体" w:hAnsi="宋体" w:eastAsia="宋体" w:cs="宋体"/>
          <w:color w:val="auto"/>
          <w:szCs w:val="21"/>
          <w:highlight w:val="none"/>
        </w:rPr>
      </w:r>
      <w:bookmarkEnd w:id="10"/>
      <w:r/>
      <w:r/>
    </w:p>
    <w:p>
      <w:pPr>
        <w:jc w:val="center"/>
        <w:spacing w:line="360" w:lineRule="auto"/>
        <w:tabs>
          <w:tab w:val="left" w:pos="1050" w:leader="none"/>
          <w:tab w:val="right" w:pos="9402" w:leader="dot"/>
        </w:tabs>
        <w:rPr>
          <w:rFonts w:hint="eastAsia" w:ascii="宋体" w:hAnsi="宋体" w:eastAsia="宋体" w:cs="宋体"/>
          <w:b/>
          <w:color w:val="auto"/>
          <w:sz w:val="36"/>
          <w:szCs w:val="36"/>
          <w:highlight w:val="none"/>
        </w:rPr>
        <w:outlineLvl w:val="0"/>
      </w:pPr>
      <w:r/>
      <w:bookmarkStart w:id="63" w:name="_Toc363573857"/>
      <w:r/>
      <w:bookmarkStart w:id="64" w:name="_Toc363573859"/>
      <w:r>
        <w:rPr>
          <w:rFonts w:hint="eastAsia" w:ascii="宋体" w:hAnsi="宋体" w:eastAsia="宋体" w:cs="宋体"/>
          <w:b/>
          <w:color w:val="auto"/>
          <w:sz w:val="36"/>
          <w:szCs w:val="36"/>
          <w:highlight w:val="none"/>
        </w:rPr>
        <w:t xml:space="preserve">第五章 合同主要条款</w:t>
      </w:r>
      <w:bookmarkEnd w:id="63"/>
      <w:r/>
      <w:r/>
    </w:p>
    <w:p>
      <w:pPr>
        <w:ind w:firstLine="482"/>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rPr>
        <w:t xml:space="preserve">付款方式</w:t>
      </w:r>
      <w:r/>
    </w:p>
    <w:p>
      <w:pPr>
        <w:ind w:firstLine="480"/>
        <w:keepLines w:val="0"/>
        <w:keepNext w:val="0"/>
        <w:pageBreakBefore w:val="0"/>
        <w:spacing w:line="480" w:lineRule="exact"/>
        <w:rPr>
          <w:rFonts w:hint="eastAsia" w:ascii="宋体" w:hAnsi="宋体" w:eastAsia="宋体" w:cs="宋体"/>
          <w:b/>
          <w:bCs/>
          <w:color w:val="auto"/>
          <w:sz w:val="24"/>
          <w:highlight w:val="none"/>
        </w:rPr>
      </w:pPr>
      <w:r>
        <w:rPr>
          <w:rFonts w:hint="eastAsia" w:ascii="宋体" w:hAnsi="宋体" w:eastAsia="宋体" w:cs="宋体"/>
          <w:color w:val="auto"/>
          <w:spacing w:val="0"/>
          <w:sz w:val="24"/>
          <w:szCs w:val="24"/>
          <w:highlight w:val="none"/>
          <w:lang w:val="en-US" w:eastAsia="zh-CN" w:bidi="ar-SA"/>
        </w:rPr>
        <w:t xml:space="preserve">本项目全部货物进场后付合同价的30%，余款待</w:t>
      </w:r>
      <w:r>
        <w:rPr>
          <w:rFonts w:hint="eastAsia" w:ascii="宋体" w:hAnsi="宋体" w:eastAsia="宋体" w:cs="宋体"/>
          <w:b w:val="0"/>
          <w:bCs w:val="0"/>
          <w:color w:val="auto"/>
          <w:sz w:val="24"/>
          <w:szCs w:val="24"/>
          <w:highlight w:val="none"/>
          <w:lang w:val="en-US" w:eastAsia="zh-CN"/>
        </w:rPr>
        <w:t xml:space="preserve">验收合格</w:t>
      </w:r>
      <w:r>
        <w:rPr>
          <w:rFonts w:hint="eastAsia" w:ascii="宋体" w:hAnsi="宋体" w:eastAsia="宋体" w:cs="宋体"/>
          <w:color w:val="auto"/>
          <w:spacing w:val="0"/>
          <w:sz w:val="24"/>
          <w:szCs w:val="24"/>
          <w:highlight w:val="none"/>
          <w:lang w:val="en-US" w:eastAsia="zh-CN" w:bidi="ar-SA"/>
        </w:rPr>
        <w:t xml:space="preserve">后一次性付清。</w:t>
      </w:r>
      <w:r/>
    </w:p>
    <w:p>
      <w:pPr>
        <w:ind w:firstLine="482"/>
        <w:keepLines w:val="0"/>
        <w:keepNext w:val="0"/>
        <w:pageBreakBefore w:val="0"/>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（二）验收标准</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1.验收由采购人负责实施；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2.验收依据：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2.1 合同、招标文件、响应文件；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2.2 供应商提供的技术规格、经采购人认可的合同货物的有效检验文件；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2.3 供应商响应文件中提供的经采购人认可的合同货物的验收标准（符合中国有关的国家、地方、行业标准）和检测办法及相应检测手段。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3.供应商应派员在所供货物到采购人处时进行到货验收，有需要时能联系产品制造商到场共同验收，若发现任何损坏及质量问题，供应商负责妥善处理直至采购人满意，由此产生的费用由供应商承担。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4.验收合格的条件：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4.1 所供货物符合产品标准和及合同的要求；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4.2 在进行测试和验收过程中发现的问题已被解决并得到采购人的认可；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4.3 合同中规定的所有货物和材料均已交付；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4.4 所供货物已通过使用单位组织的验收；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4.5 所有相关的技术文件及资料均已提交并得到接受。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bidi="ar"/>
        </w:rPr>
        <w:t xml:space="preserve">5. 验收结果要求出具书面验收报告。 </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第六章 合同授予</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w:t>
      </w:r>
      <w:r>
        <w:rPr>
          <w:rFonts w:hint="eastAsia" w:ascii="宋体" w:hAnsi="宋体" w:eastAsia="宋体" w:cs="宋体"/>
          <w:bCs/>
          <w:color w:val="auto"/>
          <w:sz w:val="24"/>
          <w:szCs w:val="24"/>
          <w:highlight w:val="none"/>
        </w:rPr>
        <w:t xml:space="preserve">自中标通知书发出之日起30日内，中标人凭“中标通知书”与招标人签订合同。</w:t>
      </w:r>
      <w:r>
        <w:rPr>
          <w:rFonts w:hint="eastAsia" w:ascii="宋体" w:hAnsi="宋体" w:eastAsia="宋体" w:cs="宋体"/>
          <w:color w:val="auto"/>
          <w:sz w:val="24"/>
          <w:szCs w:val="21"/>
          <w:highlight w:val="none"/>
        </w:rPr>
        <w:t xml:space="preserve">合同一式肆份，招标人、中标人各执贰份。所签合同不得对招标文件作实质性修改。招标人不得向中标人提出不合理的要求作为签订合同的条件，不得与中标人私下订立背离招标文件实质性内容的协议。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二、招标人按合同约定积极配合中标人履约，中标人履约到位后，请以书面形式向招标人提出验收申请。</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三、中标人出现违约情形，应当及时纠正或补偿；造成损失的，按合同约定追究违约责任。</w:t>
      </w:r>
      <w:bookmarkEnd w:id="64"/>
      <w:r/>
      <w:r/>
    </w:p>
    <w:p>
      <w:pPr>
        <w:contextualSpacing/>
        <w:ind w:firstLine="480"/>
        <w:spacing w:line="360" w:lineRule="auto"/>
        <w:rPr>
          <w:rFonts w:hint="eastAsia" w:ascii="宋体" w:hAnsi="宋体" w:eastAsia="宋体" w:cs="宋体"/>
          <w:color w:val="auto"/>
          <w:sz w:val="24"/>
          <w:szCs w:val="21"/>
          <w:highlight w:val="none"/>
        </w:rPr>
      </w:pPr>
      <w:r/>
      <w:bookmarkStart w:id="65" w:name="_Toc363573860"/>
      <w:r>
        <w:rPr>
          <w:rFonts w:hint="eastAsia" w:ascii="宋体" w:hAnsi="宋体" w:eastAsia="宋体" w:cs="宋体"/>
          <w:color w:val="auto"/>
          <w:sz w:val="24"/>
          <w:szCs w:val="21"/>
          <w:highlight w:val="none"/>
        </w:rPr>
        <w:t xml:space="preserve">四、不响应付款方式的，视同投标文件无效，按无效投标文件处理。</w:t>
      </w:r>
      <w:r/>
    </w:p>
    <w:p>
      <w:pPr>
        <w:contextualSpacing/>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五、付款方式详见招标文件第五章，以上项目款的支付不计息。</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contextualSpacing/>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16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582"/>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36"/>
          <w:szCs w:val="36"/>
          <w:highlight w:val="none"/>
        </w:rPr>
        <w:t xml:space="preserve">第七章 质疑与投诉</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一、质疑的提出</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(一)质疑人的身份要求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1.提出质疑的供应商应当是参与所质疑项目采购活动的供应商。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2.潜在供应商已依法获取其可质疑的采购文件的，可以对该文件提出质疑。对采购文件提出质疑的，应当在获取采购文件或者采购文件公告期限届满之日起7个工作日内提出。</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(二)质疑提出的格式要求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1.质疑必须按《</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中华人民共和国政府采购法实施条例</w:t>
      </w:r>
      <w:r>
        <w:rPr>
          <w:rFonts w:hint="eastAsia" w:ascii="宋体" w:hAnsi="宋体" w:eastAsia="宋体" w:cs="宋体"/>
          <w:color w:val="auto"/>
          <w:sz w:val="24"/>
          <w:szCs w:val="24"/>
          <w:highlight w:val="none"/>
        </w:rPr>
        <w:t xml:space="preserve">》及《江苏省政府采购供应商监督管理暂行办法》的相关规定提交，质疑实行实名制，不得进行虚假、恶意质疑，未按上述要求提交的质疑函，采购人和采购代理机构有权不予受理。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2.质疑函应包括：</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（1）质疑供应商的名称、地址、邮编、联系人及联系电话；</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采购代理机构将不予受理。质疑人委托代理质疑的，应当提交授权委托书，并载明委托代理的具体权限和事项。</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3.质疑函需遵循的原则：</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（三）质疑提出的时效要求</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认为采购文件、采购过程和采购结果使自己的权益受到损害的，可以在知道或应知其权益受到损害之日起七个工作日内，以书面形式向采购人、采购代理机构提出质疑。上述应知其权益受到损害之日，是指：</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（1）对可以质疑的采购文件提出质疑的，为收到采购文件之日或者采购文件公告期限届满之日；</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（3）对中标或者成交结果提出质疑的，为中标或者成交结果公告期限届满之日。</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供应商认为采购文件使自己的权益受到损害的，可以向采购人、采购代理机构提出质疑；供应商认为采购过程和采购结果使自己的权益受到损害的，可以以书面形式向采购人、采购代理机构提出质疑。</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2.供应商应在法定质疑期一次性提出针对同一采购程序环节的质疑。</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二、《质疑函》的受理和答复</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1.采购人、采购代理机构收到质疑函后，将对质疑的形式和内容进行审查，如质疑函内容、格式不符合规定，需告知质疑人进行补正。</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质疑人应当在法定质疑期限内进行补正并重新提交质疑函，拒不补正或者在法定期限内未重新提交质疑函的，为无效质疑，不予受理。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3.采购人、采购代理机构答复供应商质疑应当采用书面方式并依法送达，质疑供应商或其委托代理人拒绝签收的视为已经送达。</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4.采购人负责供应商质疑答复。采购人委托采购代理机构采购的，采购代理机构在委托授权范围内作出答复。</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三、质疑处理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质疑成立的处理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（1）对于内容、格式符合规定的质疑函，采购人、采购代理机构在收到响应供应商的书面质疑后七个工作日内作出书面答复，但答复的内容不得涉及商业秘密。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（3）对采购过程、中标或者成交结果提出的质疑，合格供应商符合法定数量时，可以从合格的候选人中另行确定中标、成交供应商的，应当依法另行确定中标供应商；否则应当重新开展采购活动。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质疑答复导致中标、成交结果改变的，采购人或者采购代理机构应当将有关情况书面报告本级财政部门。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2.质疑不成立的处理</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若质疑不成立，或者成立未对中标、成交结果构成影响的，继续开展采购活动。</w:t>
      </w:r>
      <w:r/>
    </w:p>
    <w:p>
      <w:pPr>
        <w:contextualSpacing/>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3.虚假质疑的处理</w:t>
      </w:r>
      <w:r/>
    </w:p>
    <w:p>
      <w:pPr>
        <w:contextualSpacing/>
        <w:ind w:firstLine="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（1）供应商提出书面质疑必须有理、有据，不得恶意质疑或提交虚假质疑。否则，一经查实，采购人有权依据政府采购的有关规定，报请政府采购监管部门对该供应商进行相应的行政处罚。</w:t>
      </w:r>
      <w:r/>
    </w:p>
    <w:p>
      <w:pPr>
        <w:contextualSpacing/>
        <w:ind w:firstLine="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（2）在江苏省范围内一年累计三次以上质疑，均查无实据的供应商将按失信行为记入该注册供应商诚信档案中。</w:t>
      </w:r>
      <w:r/>
    </w:p>
    <w:p>
      <w:pPr>
        <w:contextualSpacing/>
        <w:ind w:firstLine="480"/>
        <w:spacing w:line="48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（3）采购人、采购代理机构受理质疑和答复相关咨询，联系电话详见采购公告。</w:t>
      </w:r>
      <w:r/>
    </w:p>
    <w:p>
      <w:pPr>
        <w:contextualSpacing/>
        <w:spacing w:line="48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4"/>
          <w:szCs w:val="21"/>
          <w:highlight w:val="none"/>
        </w:rPr>
        <w:t xml:space="preserve">附件：</w:t>
      </w:r>
      <w:r/>
    </w:p>
    <w:p>
      <w:pPr>
        <w:contextualSpacing/>
        <w:ind w:firstLine="480"/>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质疑函范本</w:t>
      </w:r>
      <w:r/>
    </w:p>
    <w:p>
      <w:pPr>
        <w:contextualSpacing/>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一、质疑</w:t>
      </w: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rPr>
        <w:t xml:space="preserve">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联系电话：</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邮编：            邮箱：</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                包号：</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contextualSpacing/>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1"/>
          <w:highlight w:val="none"/>
        </w:rPr>
        <w:t xml:space="preserve">    </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contextualSpacing/>
        <w:ind w:firstLine="482"/>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质疑函制作说明：</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1.投标人提出质疑时，应提交质疑函和必要的证明材料。</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3.质疑投标人若对项目的某一分包进行质疑，质疑函中应列明具体分包号。</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4.质疑函的质疑事项应具体、明确，并有必要的事实依据和法律依据。</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5.质疑函的质疑请求应与质疑事项相关。</w:t>
      </w:r>
      <w:r/>
    </w:p>
    <w:p>
      <w:pPr>
        <w:contextualSpacing/>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6.质疑投标人为自然人的，质疑函应由本人签字；质疑投标人为法人或者其他组织的，质疑函应由法定代表人、主要负责人，或者其授权代表签字或者盖章，并加盖公章。</w:t>
      </w:r>
      <w:r/>
    </w:p>
    <w:p>
      <w:pPr>
        <w:contextualSpacing/>
        <w:ind w:firstLine="388"/>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24"/>
          <w:szCs w:val="21"/>
          <w:highlight w:val="none"/>
        </w:rPr>
        <w:br w:type="page" w:clear="all"/>
      </w:r>
      <w:r>
        <w:rPr>
          <w:rFonts w:hint="eastAsia" w:ascii="宋体" w:hAnsi="宋体" w:eastAsia="宋体" w:cs="宋体"/>
          <w:b/>
          <w:color w:val="auto"/>
          <w:sz w:val="36"/>
          <w:szCs w:val="36"/>
          <w:highlight w:val="none"/>
        </w:rPr>
        <w:t xml:space="preserve">第八章 投标文件组成及格式</w:t>
      </w:r>
      <w:bookmarkEnd w:id="65"/>
      <w:r/>
      <w:r/>
    </w:p>
    <w:p>
      <w:pPr>
        <w:ind w:left="480"/>
        <w:spacing w:line="400" w:lineRule="exact"/>
        <w:rPr>
          <w:rFonts w:hint="eastAsia" w:ascii="宋体" w:hAnsi="宋体" w:eastAsia="宋体" w:cs="宋体"/>
          <w:b/>
          <w:color w:val="auto"/>
          <w:sz w:val="24"/>
          <w:szCs w:val="21"/>
          <w:highlight w:val="none"/>
        </w:rPr>
      </w:pPr>
      <w:r/>
      <w:bookmarkStart w:id="66" w:name="_Toc185280145"/>
      <w:r>
        <w:rPr>
          <w:rFonts w:hint="eastAsia" w:ascii="宋体" w:hAnsi="宋体" w:eastAsia="宋体" w:cs="宋体"/>
          <w:b/>
          <w:color w:val="auto"/>
          <w:sz w:val="24"/>
          <w:szCs w:val="21"/>
          <w:highlight w:val="none"/>
        </w:rPr>
        <w:t xml:space="preserve">一、基本目录</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1.开标一览表（格式见附件）</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2.投标分项报价表（格式见附件）</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3.技术要求响应及偏离表（格式见附件）</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4.商务要求响应及偏离表（格式见附件）</w:t>
      </w:r>
      <w:r/>
    </w:p>
    <w:p>
      <w:pPr>
        <w:ind w:left="480"/>
        <w:spacing w:line="400" w:lineRule="exact"/>
        <w:rPr>
          <w:rFonts w:hint="eastAsia" w:ascii="宋体" w:hAnsi="宋体" w:eastAsia="宋体" w:cs="宋体"/>
          <w:color w:val="auto"/>
          <w:sz w:val="24"/>
          <w:szCs w:val="21"/>
          <w:highlight w:val="none"/>
          <w:lang w:val="zh-CN"/>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lang w:val="zh-CN"/>
        </w:rPr>
        <w:t xml:space="preserve">商务技术评分标准中须提供的相关得分佐证材料</w:t>
      </w:r>
      <w:r/>
    </w:p>
    <w:p>
      <w:pPr>
        <w:ind w:left="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6.投标人认为需要提交的其他商务技术材料</w:t>
      </w:r>
      <w:r/>
    </w:p>
    <w:p>
      <w:p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二、资格审查内容</w:t>
      </w:r>
      <w:r/>
    </w:p>
    <w:p>
      <w:pPr>
        <w:ind w:left="480"/>
        <w:spacing w:line="40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1.法人或者其他组织的营业执照等证明文件，自然人的身份证明</w:t>
      </w:r>
      <w:r>
        <w:rPr>
          <w:rFonts w:hint="eastAsia" w:ascii="宋体" w:hAnsi="宋体" w:eastAsia="宋体" w:cs="宋体"/>
          <w:color w:val="auto"/>
          <w:sz w:val="24"/>
          <w:szCs w:val="21"/>
          <w:highlight w:val="none"/>
          <w:lang w:eastAsia="zh-CN"/>
        </w:rPr>
        <w:t xml:space="preserve">。</w:t>
      </w:r>
      <w:r/>
    </w:p>
    <w:p>
      <w:pPr>
        <w:ind w:left="48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4"/>
          <w:highlight w:val="none"/>
        </w:rPr>
        <w:t xml:space="preserve">满足《中华人民共和国政府采购法》第二十二条规定</w:t>
      </w:r>
      <w:r>
        <w:rPr>
          <w:rFonts w:hint="eastAsia" w:ascii="宋体" w:hAnsi="宋体" w:eastAsia="宋体" w:cs="宋体"/>
          <w:color w:val="auto"/>
          <w:sz w:val="24"/>
          <w:szCs w:val="24"/>
          <w:highlight w:val="none"/>
          <w:lang w:eastAsia="zh-CN"/>
        </w:rPr>
        <w:t xml:space="preserve">。</w:t>
      </w:r>
      <w:r/>
    </w:p>
    <w:p>
      <w:pPr>
        <w:ind w:left="0" w:firstLine="48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rPr>
        <w:t xml:space="preserve">（投标文件中无需提供证明材料）</w:t>
      </w:r>
      <w:r>
        <w:rPr>
          <w:rFonts w:hint="eastAsia" w:ascii="宋体" w:hAnsi="宋体" w:eastAsia="宋体" w:cs="宋体"/>
          <w:color w:val="auto"/>
          <w:sz w:val="24"/>
          <w:szCs w:val="24"/>
          <w:highlight w:val="none"/>
          <w:lang w:eastAsia="zh-CN"/>
        </w:rPr>
        <w:t xml:space="preserve">。</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.特定资格要求的证明文件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bCs/>
          <w:color w:val="auto"/>
          <w:sz w:val="24"/>
          <w:szCs w:val="24"/>
          <w:highlight w:val="none"/>
          <w:lang w:val="en-US" w:eastAsia="zh-CN"/>
        </w:rPr>
        <w:t xml:space="preserve">本次采购的</w:t>
      </w:r>
      <w:r>
        <w:rPr>
          <w:rFonts w:hint="eastAsia" w:ascii="宋体" w:hAnsi="宋体" w:eastAsia="宋体" w:cs="宋体"/>
          <w:b/>
          <w:bCs w:val="0"/>
          <w:color w:val="auto"/>
          <w:sz w:val="24"/>
          <w:szCs w:val="24"/>
          <w:highlight w:val="none"/>
          <w:lang w:val="en-US" w:eastAsia="zh-CN"/>
        </w:rPr>
        <w:t xml:space="preserve">空调设备</w:t>
      </w:r>
      <w:r>
        <w:rPr>
          <w:rFonts w:hint="eastAsia" w:ascii="宋体" w:hAnsi="宋体" w:eastAsia="宋体" w:cs="宋体"/>
          <w:bCs/>
          <w:color w:val="auto"/>
          <w:sz w:val="24"/>
          <w:szCs w:val="24"/>
          <w:highlight w:val="none"/>
          <w:lang w:val="en-US" w:eastAsia="zh-CN"/>
        </w:rPr>
        <w:t xml:space="preserve">，属于节能产品政府采购品目清单强制采购范围，投标文件中必须提供所投产品的相关证书(由国家确定的认证机构出具的、处于有效期之内的节能产品认证证书)。</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.法定代表人身份证明书（格式见附件）</w:t>
      </w:r>
      <w:r/>
    </w:p>
    <w:p>
      <w:pPr>
        <w:ind w:firstLine="480"/>
        <w:spacing w:line="40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6.法定代表人授权书</w:t>
      </w:r>
      <w:r>
        <w:rPr>
          <w:rFonts w:hint="eastAsia" w:ascii="宋体" w:hAnsi="宋体" w:eastAsia="宋体" w:cs="宋体"/>
          <w:color w:val="auto"/>
          <w:sz w:val="24"/>
          <w:szCs w:val="21"/>
          <w:highlight w:val="none"/>
        </w:rPr>
        <w:t xml:space="preserve">（格式见附件）</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.投标响应函（格式见附件）</w:t>
      </w:r>
      <w:r/>
    </w:p>
    <w:p>
      <w:pPr>
        <w:ind w:firstLine="480"/>
        <w:spacing w:line="400" w:lineRule="exact"/>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lang w:val="zh-CN"/>
        </w:rPr>
        <w:t xml:space="preserve">现场勘察承诺函</w:t>
      </w:r>
      <w:r>
        <w:rPr>
          <w:rFonts w:hint="eastAsia" w:ascii="宋体" w:hAnsi="宋体" w:eastAsia="宋体" w:cs="宋体"/>
          <w:color w:val="auto"/>
          <w:sz w:val="24"/>
          <w:szCs w:val="21"/>
          <w:highlight w:val="none"/>
        </w:rPr>
        <w:t xml:space="preserve">（格式见附件）</w:t>
      </w:r>
      <w:r/>
    </w:p>
    <w:p>
      <w:p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三、符合性审查内容</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投标人必须对招标文件（含技术要求和商务要求）中</w:t>
      </w:r>
      <w:r>
        <w:rPr>
          <w:rFonts w:hint="eastAsia" w:ascii="宋体" w:hAnsi="宋体" w:eastAsia="宋体" w:cs="宋体"/>
          <w:b/>
          <w:bCs/>
          <w:color w:val="auto"/>
          <w:sz w:val="24"/>
          <w:szCs w:val="21"/>
          <w:highlight w:val="none"/>
        </w:rPr>
        <w:t xml:space="preserve">加</w:t>
      </w:r>
      <w:r>
        <w:rPr>
          <w:rFonts w:hint="eastAsia" w:ascii="宋体" w:hAnsi="宋体" w:eastAsia="宋体" w:cs="宋体"/>
          <w:b/>
          <w:bCs/>
          <w:color w:val="auto"/>
          <w:sz w:val="24"/>
          <w:szCs w:val="21"/>
          <w:highlight w:val="none"/>
          <w:lang w:val="en-US" w:eastAsia="zh-CN"/>
        </w:rPr>
        <w:t xml:space="preserve">★</w:t>
      </w:r>
      <w:r>
        <w:rPr>
          <w:rFonts w:hint="eastAsia" w:ascii="宋体" w:hAnsi="宋体" w:eastAsia="宋体" w:cs="宋体"/>
          <w:b/>
          <w:bCs/>
          <w:color w:val="auto"/>
          <w:sz w:val="24"/>
          <w:szCs w:val="21"/>
          <w:highlight w:val="none"/>
        </w:rPr>
        <w:t xml:space="preserve">号条款</w:t>
      </w:r>
      <w:r>
        <w:rPr>
          <w:rFonts w:hint="eastAsia" w:ascii="宋体" w:hAnsi="宋体" w:eastAsia="宋体" w:cs="宋体"/>
          <w:color w:val="auto"/>
          <w:sz w:val="24"/>
          <w:szCs w:val="21"/>
          <w:highlight w:val="none"/>
        </w:rPr>
        <w:t xml:space="preserve">的实质性要求逐条做出响应。</w:t>
      </w:r>
      <w:r/>
    </w:p>
    <w:p>
      <w:pPr>
        <w:ind w:firstLine="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四、价格扣除证明文件</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1.中小微企业声明函（格式见附件）</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2.残疾人福利性单位声明函（格式见附件）</w:t>
      </w:r>
      <w:r/>
    </w:p>
    <w:p>
      <w:pPr>
        <w:jc w:val="left"/>
        <w:spacing w:line="42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24"/>
          <w:szCs w:val="24"/>
          <w:highlight w:val="none"/>
        </w:rPr>
        <w:t xml:space="preserve">投标文件格式</w:t>
      </w:r>
      <w:bookmarkEnd w:id="66"/>
      <w:r/>
      <w:r/>
    </w:p>
    <w:p>
      <w:pPr>
        <w:ind w:firstLine="488"/>
        <w:jc w:val="left"/>
        <w:spacing w:line="420" w:lineRule="exact"/>
        <w:rPr>
          <w:rFonts w:hint="eastAsia" w:ascii="宋体" w:hAnsi="宋体" w:eastAsia="宋体" w:cs="宋体"/>
          <w:b/>
          <w:bCs/>
          <w:color w:val="auto"/>
          <w:sz w:val="24"/>
          <w:szCs w:val="24"/>
          <w:highlight w:val="none"/>
        </w:rPr>
        <w:outlineLvl w:val="2"/>
      </w:pPr>
      <w:r/>
      <w:bookmarkStart w:id="67" w:name="_Toc185280146"/>
      <w:r>
        <w:rPr>
          <w:rFonts w:hint="eastAsia" w:ascii="宋体" w:hAnsi="宋体" w:eastAsia="宋体" w:cs="宋体"/>
          <w:b/>
          <w:bCs/>
          <w:color w:val="auto"/>
          <w:sz w:val="24"/>
          <w:szCs w:val="24"/>
          <w:highlight w:val="none"/>
        </w:rPr>
        <w:t xml:space="preserve">（一）投标文件封面</w:t>
      </w:r>
      <w:bookmarkEnd w:id="67"/>
      <w:r/>
      <w:r/>
    </w:p>
    <w:p>
      <w:pPr>
        <w:ind w:firstLine="48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投标文件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项目编号：</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21"/>
          <w:highlight w:val="none"/>
          <w:u w:val="single"/>
        </w:rPr>
        <w:t xml:space="preserve">（盖公章）</w:t>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日期：</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7"/>
        <w:jc w:val="left"/>
        <w:spacing w:line="420" w:lineRule="exact"/>
        <w:rPr>
          <w:rFonts w:hint="eastAsia" w:ascii="宋体" w:hAnsi="宋体" w:eastAsia="宋体" w:cs="宋体"/>
          <w:b/>
          <w:bCs/>
          <w:color w:val="auto"/>
          <w:highlight w:val="none"/>
        </w:rPr>
        <w:sectPr>
          <w:footnotePr/>
          <w:endnotePr/>
          <w:type w:val="nextPage"/>
          <w:pgSz w:w="11906" w:h="16838" w:orient="portrait"/>
          <w:pgMar w:top="1417" w:right="1417" w:bottom="1417" w:left="1417" w:header="567" w:footer="454" w:gutter="0"/>
          <w:cols w:num="1" w:sep="0" w:space="1701" w:equalWidth="1"/>
          <w:docGrid w:linePitch="360"/>
        </w:sectPr>
        <w:outlineLvl w:val="1"/>
      </w:pPr>
      <w:r>
        <w:rPr>
          <w:rFonts w:hint="eastAsia" w:ascii="宋体" w:hAnsi="宋体" w:eastAsia="宋体" w:cs="宋体"/>
          <w:b/>
          <w:bCs/>
          <w:color w:val="auto"/>
          <w:highlight w:val="none"/>
        </w:rPr>
      </w:r>
      <w:r/>
    </w:p>
    <w:p>
      <w:pPr>
        <w:ind w:firstLine="566"/>
        <w:jc w:val="left"/>
        <w:spacing w:line="420" w:lineRule="exact"/>
        <w:rPr>
          <w:rFonts w:hint="default" w:ascii="宋体" w:hAnsi="宋体" w:eastAsia="宋体" w:cs="宋体"/>
          <w:b/>
          <w:bCs/>
          <w:color w:val="auto"/>
          <w:sz w:val="24"/>
          <w:szCs w:val="24"/>
          <w:highlight w:val="none"/>
          <w:lang w:val="en-US" w:eastAsia="zh-CN"/>
        </w:rPr>
        <w:outlineLvl w:val="3"/>
      </w:pPr>
      <w:r/>
      <w:bookmarkStart w:id="68" w:name="_Hlk183992601"/>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附件</w:t>
      </w:r>
      <w:r/>
    </w:p>
    <w:p>
      <w:pPr>
        <w:ind w:firstLine="566"/>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b/>
          <w:bCs/>
          <w:color w:val="auto"/>
          <w:sz w:val="24"/>
          <w:szCs w:val="24"/>
          <w:highlight w:val="none"/>
        </w:rPr>
        <w:t xml:space="preserve">附件1：</w:t>
      </w:r>
      <w:bookmarkEnd w:id="68"/>
      <w:r/>
      <w:bookmarkStart w:id="69" w:name="_Hlk183993254"/>
      <w:r/>
      <w:r/>
    </w:p>
    <w:p>
      <w:pPr>
        <w:jc w:val="center"/>
        <w:spacing w:before="240" w:after="240"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投标报价表（</w:t>
      </w:r>
      <w:r>
        <w:rPr>
          <w:rFonts w:hint="eastAsia" w:ascii="宋体" w:hAnsi="宋体" w:eastAsia="宋体" w:cs="宋体"/>
          <w:b/>
          <w:bCs/>
          <w:color w:val="auto"/>
          <w:sz w:val="28"/>
          <w:szCs w:val="28"/>
          <w:highlight w:val="none"/>
          <w:u w:val="single"/>
        </w:rPr>
        <w:t xml:space="preserve">以苏采云系统内的格式为准</w:t>
      </w:r>
      <w:r>
        <w:rPr>
          <w:rFonts w:hint="eastAsia" w:ascii="宋体" w:hAnsi="宋体" w:eastAsia="宋体" w:cs="宋体"/>
          <w:b/>
          <w:bCs/>
          <w:color w:val="auto"/>
          <w:sz w:val="28"/>
          <w:szCs w:val="28"/>
          <w:highlight w:val="none"/>
        </w:rPr>
        <w:t xml:space="preserve">）</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货币单位：人民币元</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59"/>
        <w:tblW w:w="50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6"/>
        <w:gridCol w:w="6800"/>
      </w:tblGrid>
      <w:tr>
        <w:trPr>
          <w:trHeight w:val="684"/>
        </w:trPr>
        <w:tc>
          <w:tcPr>
            <w:tcW w:w="2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项目名称</w:t>
            </w:r>
            <w:r/>
          </w:p>
        </w:tc>
        <w:tc>
          <w:tcPr>
            <w:tcW w:w="6799" w:type="dxa"/>
            <w:vAlign w:val="center"/>
            <w:textDirection w:val="lrTb"/>
            <w:noWrap w:val="false"/>
          </w:tcPr>
          <w:p>
            <w:pP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684"/>
        </w:trPr>
        <w:tc>
          <w:tcPr>
            <w:tcW w:w="2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项目编号</w:t>
            </w:r>
            <w:r/>
          </w:p>
        </w:tc>
        <w:tc>
          <w:tcPr>
            <w:tcW w:w="6799" w:type="dxa"/>
            <w:vAlign w:val="center"/>
            <w:textDirection w:val="lrTb"/>
            <w:noWrap w:val="false"/>
          </w:tcPr>
          <w:p>
            <w:pP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684"/>
        </w:trPr>
        <w:tc>
          <w:tcPr>
            <w:tcW w:w="2665"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项目</w:t>
            </w:r>
            <w:r>
              <w:rPr>
                <w:rFonts w:hint="eastAsia" w:ascii="宋体" w:hAnsi="宋体" w:eastAsia="宋体" w:cs="宋体"/>
                <w:color w:val="auto"/>
                <w:sz w:val="24"/>
                <w:szCs w:val="24"/>
                <w:highlight w:val="none"/>
                <w:lang w:val="en-US" w:eastAsia="zh-CN"/>
              </w:rPr>
              <w:t xml:space="preserve">内容</w:t>
            </w:r>
            <w:r/>
          </w:p>
        </w:tc>
        <w:tc>
          <w:tcPr>
            <w:tcW w:w="679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427"/>
        </w:trPr>
        <w:tc>
          <w:tcPr>
            <w:tcW w:w="266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eastAsia="en-US"/>
              </w:rPr>
              <w:t xml:space="preserve">投标报价</w:t>
            </w:r>
            <w:r/>
          </w:p>
        </w:tc>
        <w:tc>
          <w:tcPr>
            <w:tcW w:w="6799" w:type="dxa"/>
            <w:vAlign w:val="center"/>
            <w:textDirection w:val="lrTb"/>
            <w:noWrap w:val="false"/>
          </w:tcPr>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大写</w:t>
            </w:r>
            <w:r>
              <w:rPr>
                <w:rFonts w:hint="eastAsia" w:ascii="宋体" w:hAnsi="宋体" w:eastAsia="宋体" w:cs="宋体"/>
                <w:bCs/>
                <w:color w:val="auto"/>
                <w:sz w:val="24"/>
                <w:szCs w:val="24"/>
                <w:highlight w:val="none"/>
                <w:u w:val="single"/>
                <w:lang w:eastAsia="en-US"/>
              </w:rPr>
              <w:t xml:space="preserve">：                    </w:t>
            </w:r>
            <w:r>
              <w:rPr>
                <w:rFonts w:hint="eastAsia" w:ascii="宋体" w:hAnsi="宋体" w:eastAsia="宋体" w:cs="宋体"/>
                <w:bCs/>
                <w:color w:val="auto"/>
                <w:sz w:val="24"/>
                <w:szCs w:val="24"/>
                <w:highlight w:val="none"/>
                <w:lang w:eastAsia="en-US"/>
              </w:rPr>
              <w:t xml:space="preserve">；</w:t>
            </w:r>
            <w:r/>
          </w:p>
          <w:p>
            <w:pP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小写</w:t>
            </w:r>
            <w:r>
              <w:rPr>
                <w:rFonts w:hint="eastAsia" w:ascii="宋体" w:hAnsi="宋体" w:eastAsia="宋体" w:cs="宋体"/>
                <w:bCs/>
                <w:color w:val="auto"/>
                <w:sz w:val="24"/>
                <w:szCs w:val="24"/>
                <w:highlight w:val="none"/>
                <w:u w:val="single"/>
                <w:lang w:eastAsia="en-US"/>
              </w:rPr>
              <w:t xml:space="preserve">：                     元</w:t>
            </w:r>
            <w:r>
              <w:rPr>
                <w:rFonts w:hint="eastAsia" w:ascii="宋体" w:hAnsi="宋体" w:eastAsia="宋体" w:cs="宋体"/>
                <w:bCs/>
                <w:color w:val="auto"/>
                <w:sz w:val="24"/>
                <w:szCs w:val="24"/>
                <w:highlight w:val="none"/>
                <w:lang w:eastAsia="en-US"/>
              </w:rPr>
              <w:t xml:space="preserve">。</w:t>
            </w:r>
            <w:r/>
          </w:p>
        </w:tc>
      </w:tr>
    </w:tbl>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20" w:lineRule="exact"/>
        <w:rPr>
          <w:rFonts w:hint="eastAsia" w:ascii="宋体" w:hAnsi="宋体" w:eastAsia="宋体" w:cs="宋体"/>
          <w:color w:val="auto"/>
          <w:sz w:val="24"/>
          <w:szCs w:val="24"/>
          <w:highlight w:val="none"/>
        </w:rPr>
      </w:pPr>
      <w:r/>
      <w:bookmarkStart w:id="70" w:name="_Hlk183442949"/>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1.报价包括完成项目的所有费用。招标人不再支付报价以外的任何费用。</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2.报价以总价为准，大小写不一致以大写为准。</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投标人（盖公章）：</w:t>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bookmarkEnd w:id="70"/>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24"/>
        <w:spacing w:line="420" w:lineRule="exact"/>
        <w:rPr>
          <w:rFonts w:hint="eastAsia" w:ascii="宋体" w:hAnsi="宋体" w:eastAsia="宋体" w:cs="宋体"/>
          <w:b/>
          <w:bCs/>
          <w:color w:val="auto"/>
          <w:sz w:val="24"/>
          <w:szCs w:val="24"/>
          <w:highlight w:val="none"/>
        </w:rPr>
        <w:sectPr>
          <w:footnotePr/>
          <w:endnotePr/>
          <w:type w:val="nextPage"/>
          <w:pgSz w:w="11906" w:h="16838" w:orient="portrait"/>
          <w:pgMar w:top="1417" w:right="1417" w:bottom="1417" w:left="1417" w:header="567" w:footer="454" w:gutter="0"/>
          <w:cols w:num="1" w:sep="0" w:space="1701" w:equalWidth="1"/>
          <w:docGrid w:linePitch="360"/>
        </w:sectPr>
        <w:outlineLvl w:val="3"/>
      </w:pPr>
      <w:r>
        <w:rPr>
          <w:rFonts w:hint="eastAsia" w:ascii="宋体" w:hAnsi="宋体" w:eastAsia="宋体" w:cs="宋体"/>
          <w:b/>
          <w:bCs/>
          <w:color w:val="auto"/>
          <w:sz w:val="24"/>
          <w:szCs w:val="24"/>
          <w:highlight w:val="none"/>
        </w:rPr>
      </w:r>
      <w:r/>
    </w:p>
    <w:p>
      <w:pPr>
        <w:ind w:firstLine="566"/>
        <w:jc w:val="left"/>
        <w:spacing w:line="42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w:t>
      </w:r>
      <w:r/>
    </w:p>
    <w:p>
      <w:pPr>
        <w:ind w:firstLine="566"/>
        <w:jc w:val="left"/>
        <w:spacing w:line="42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r>
      <w:r/>
    </w:p>
    <w:p>
      <w:pPr>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投标分项报价表</w:t>
      </w:r>
      <w:r/>
    </w:p>
    <w:tbl>
      <w:tblPr>
        <w:tblStyle w:val="859"/>
        <w:tblW w:w="9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860"/>
        <w:gridCol w:w="813"/>
        <w:gridCol w:w="1212"/>
        <w:gridCol w:w="1100"/>
        <w:gridCol w:w="962"/>
      </w:tblGrid>
      <w:tr>
        <w:trPr>
          <w:cantSplit/>
          <w:jc w:val="center"/>
          <w:trHeight w:val="866" w:hRule="exact"/>
        </w:trPr>
        <w:tc>
          <w:tcPr>
            <w:tcW w:w="1037"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34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名称</w:t>
            </w:r>
            <w:r/>
          </w:p>
        </w:tc>
        <w:tc>
          <w:tcPr>
            <w:tcW w:w="1211" w:type="dxa"/>
            <w:vAlign w:val="center"/>
            <w:textDirection w:val="lrTb"/>
            <w:noWrap w:val="false"/>
          </w:tcPr>
          <w:p>
            <w:pPr>
              <w:jc w:val="center"/>
              <w:spacing w:line="360" w:lineRule="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规格型号</w:t>
            </w:r>
            <w:r/>
          </w:p>
        </w:tc>
        <w:tc>
          <w:tcPr>
            <w:tcW w:w="1276"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w:t>
            </w:r>
            <w:r/>
          </w:p>
        </w:tc>
        <w:tc>
          <w:tcPr>
            <w:tcW w:w="86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单位</w:t>
            </w:r>
            <w:r/>
          </w:p>
        </w:tc>
        <w:tc>
          <w:tcPr>
            <w:tcW w:w="813"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tcW w:w="121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单价（元）</w:t>
            </w:r>
            <w:r/>
          </w:p>
        </w:tc>
        <w:tc>
          <w:tcPr>
            <w:tcW w:w="1100"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小计（元）</w:t>
            </w:r>
            <w:r/>
          </w:p>
        </w:tc>
        <w:tc>
          <w:tcPr>
            <w:tcW w:w="96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tc>
      </w:tr>
      <w:tr>
        <w:trPr>
          <w:cantSplit/>
          <w:jc w:val="center"/>
          <w:trHeight w:val="479"/>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top"/>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02"/>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top"/>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top"/>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top"/>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center"/>
            <w:textDirection w:val="lrTb"/>
            <w:noWrap w:val="false"/>
          </w:tcPr>
          <w:p>
            <w:pPr>
              <w:numPr>
                <w:ilvl w:val="0"/>
                <w:numId w:val="0"/>
              </w:numPr>
              <w:ind w:left="0" w:firstLine="0"/>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513"/>
        </w:trPr>
        <w:tc>
          <w:tcPr>
            <w:tcW w:w="1037" w:type="dxa"/>
            <w:vAlign w:val="center"/>
            <w:textDirection w:val="lrTb"/>
            <w:noWrap w:val="false"/>
          </w:tcPr>
          <w:p>
            <w:pPr>
              <w:jc w:val="center"/>
              <w:keepLines w:val="0"/>
              <w:keepNext w:val="0"/>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W w:w="1340" w:type="dxa"/>
            <w:vAlign w:val="center"/>
            <w:textDirection w:val="lrTb"/>
            <w:noWrap w:val="false"/>
          </w:tcPr>
          <w:p>
            <w:pPr>
              <w:jc w:val="center"/>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11" w:type="dxa"/>
            <w:vAlign w:val="center"/>
            <w:textDirection w:val="lrTb"/>
            <w:noWrap w:val="false"/>
          </w:tcPr>
          <w:p>
            <w:pPr>
              <w:jc w:val="left"/>
              <w:keepLines w:val="0"/>
              <w:keepNext w:val="0"/>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27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6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13"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1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0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6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441"/>
        </w:trPr>
        <w:tc>
          <w:tcPr>
            <w:tcW w:w="1037"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gridSpan w:val="8"/>
            <w:tcW w:w="877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116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2.“投标分项报价表”中“投标总报价”数额应当与“开标一览表”中“投标总报价”数额一致。</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4"/>
        <w:spacing w:line="420" w:lineRule="exact"/>
        <w:rPr>
          <w:rFonts w:hint="eastAsia" w:ascii="宋体" w:hAnsi="宋体" w:eastAsia="宋体" w:cs="宋体"/>
          <w:b/>
          <w:bCs/>
          <w:color w:val="auto"/>
          <w:sz w:val="24"/>
          <w:szCs w:val="24"/>
          <w:highlight w:val="none"/>
        </w:rPr>
        <w:sectPr>
          <w:footnotePr/>
          <w:endnotePr/>
          <w:type w:val="nextPage"/>
          <w:pgSz w:w="11906" w:h="16838" w:orient="portrait"/>
          <w:pgMar w:top="1417" w:right="1417" w:bottom="1417" w:left="1417" w:header="567" w:footer="454" w:gutter="0"/>
          <w:cols w:num="1" w:sep="0" w:space="1701" w:equalWidth="1"/>
          <w:docGrid w:linePitch="360"/>
        </w:sectPr>
        <w:outlineLvl w:val="3"/>
      </w:pPr>
      <w:r>
        <w:rPr>
          <w:rFonts w:hint="eastAsia" w:ascii="宋体" w:hAnsi="宋体" w:eastAsia="宋体" w:cs="宋体"/>
          <w:b/>
          <w:bCs/>
          <w:color w:val="auto"/>
          <w:sz w:val="24"/>
          <w:szCs w:val="24"/>
          <w:highlight w:val="none"/>
        </w:rPr>
      </w:r>
      <w:r/>
    </w:p>
    <w:p>
      <w:pPr>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法定代表人身份证明书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南通大学</w:t>
      </w:r>
      <w:r>
        <w:rPr>
          <w:rFonts w:hint="eastAsia" w:ascii="宋体" w:hAnsi="宋体" w:eastAsia="宋体" w:cs="宋体"/>
          <w:color w:val="auto"/>
          <w:sz w:val="24"/>
          <w:szCs w:val="24"/>
          <w:highlight w:val="none"/>
        </w:rPr>
        <w:t xml:space="preserve">：</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的法定代表人，现任我单位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p>
    <w:p>
      <w:pPr>
        <w:ind w:firstLine="566"/>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p>
    <w:p>
      <w:pPr>
        <w:ind w:firstLine="566"/>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jc w:val="left"/>
        <w:spacing w:line="42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859"/>
        <w:tblW w:w="887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05"/>
        <w:gridCol w:w="5070"/>
      </w:tblGrid>
      <w:tr>
        <w:trPr>
          <w:trHeight w:val="3158"/>
        </w:trPr>
        <w:tc>
          <w:tcPr>
            <w:tcW w:w="3805" w:type="dxa"/>
            <w:vAlign w:val="top"/>
            <w:textDirection w:val="lrTb"/>
            <w:noWrap/>
          </w:tcPr>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070" w:type="dxa"/>
            <w:vAlign w:val="top"/>
            <w:textDirection w:val="lrTb"/>
            <w:noWrap/>
          </w:tcPr>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20"/>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3840"/>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投标人（盖公章）：___________</w:t>
      </w:r>
      <w:r/>
    </w:p>
    <w:p>
      <w:pPr>
        <w:ind w:firstLine="4320"/>
        <w:spacing w:line="420" w:lineRule="exact"/>
        <w:rPr>
          <w:rFonts w:hint="eastAsia" w:ascii="宋体" w:hAnsi="宋体" w:eastAsia="宋体" w:cs="宋体"/>
          <w:color w:val="auto"/>
          <w:sz w:val="24"/>
          <w:szCs w:val="24"/>
          <w:highlight w:val="none"/>
        </w:rPr>
      </w:pPr>
      <w:r/>
      <w:bookmarkStart w:id="71" w:name="_Hlk185111807"/>
      <w:r>
        <w:rPr>
          <w:rFonts w:hint="eastAsia" w:ascii="宋体" w:hAnsi="宋体" w:eastAsia="宋体" w:cs="宋体"/>
          <w:color w:val="auto"/>
          <w:sz w:val="24"/>
          <w:szCs w:val="24"/>
          <w:highlight w:val="none"/>
        </w:rPr>
        <w:t xml:space="preserve">法定代表人（签字或盖章）：</w:t>
      </w:r>
      <w:bookmarkEnd w:id="71"/>
      <w:r/>
      <w:r/>
    </w:p>
    <w:p>
      <w:pPr>
        <w:ind w:firstLine="4320"/>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4"/>
        <w:spacing w:line="420" w:lineRule="exact"/>
        <w:rPr>
          <w:rFonts w:hint="eastAsia" w:ascii="宋体" w:hAnsi="宋体" w:eastAsia="宋体" w:cs="宋体"/>
          <w:b/>
          <w:bCs/>
          <w:color w:val="auto"/>
          <w:sz w:val="24"/>
          <w:szCs w:val="24"/>
          <w:highlight w:val="none"/>
        </w:rPr>
        <w:outlineLvl w:val="3"/>
      </w:pPr>
      <w:r>
        <w:rPr>
          <w:rFonts w:hint="eastAsia" w:ascii="宋体" w:hAnsi="宋体" w:eastAsia="宋体" w:cs="宋体"/>
          <w:b/>
          <w:bCs/>
          <w:color w:val="auto"/>
          <w:sz w:val="24"/>
          <w:szCs w:val="24"/>
          <w:highlight w:val="none"/>
        </w:rPr>
      </w:r>
      <w:r/>
    </w:p>
    <w:p>
      <w:pPr>
        <w:jc w:val="center"/>
        <w:spacing w:line="42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4"/>
          <w:szCs w:val="24"/>
          <w:highlight w:val="none"/>
          <w:u w:val="single"/>
        </w:rPr>
        <w:t xml:space="preserve">注：如为授权代表参与投标活动的，除提供“法定代表人授权书”，还须同时提供此“法定代表人身份证明书”。</w:t>
      </w:r>
      <w:r/>
    </w:p>
    <w:p>
      <w:pPr>
        <w:pStyle w:val="1067"/>
        <w:rPr>
          <w:rFonts w:hint="eastAsia" w:ascii="宋体" w:hAnsi="宋体" w:eastAsia="宋体" w:cs="宋体"/>
          <w:color w:val="auto"/>
          <w:highlight w:val="none"/>
        </w:rPr>
        <w:sectPr>
          <w:footnotePr/>
          <w:endnotePr/>
          <w:type w:val="nextPage"/>
          <w:pgSz w:w="11906" w:h="16838" w:orient="portrait"/>
          <w:pgMar w:top="1417" w:right="1417" w:bottom="1417" w:left="1417" w:header="567" w:footer="454" w:gutter="0"/>
          <w:cols w:num="1" w:sep="0" w:space="1701" w:equalWidth="1"/>
          <w:docGrid w:linePitch="360"/>
        </w:sectPr>
      </w:pPr>
      <w:r>
        <w:rPr>
          <w:rFonts w:hint="eastAsia" w:ascii="宋体" w:hAnsi="宋体" w:eastAsia="宋体" w:cs="宋体"/>
          <w:color w:val="auto"/>
          <w:highlight w:val="none"/>
        </w:rPr>
      </w:r>
      <w:r/>
    </w:p>
    <w:p>
      <w:pPr>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w:t>
      </w:r>
      <w:r/>
    </w:p>
    <w:p>
      <w:pPr>
        <w:jc w:val="center"/>
        <w:spacing w:before="240" w:after="240" w:line="420" w:lineRule="exact"/>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 xml:space="preserve">法定代表人授权书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 xml:space="preserve">南通大学</w:t>
      </w:r>
      <w:r>
        <w:rPr>
          <w:rFonts w:hint="eastAsia" w:ascii="宋体" w:hAnsi="宋体" w:eastAsia="宋体" w:cs="宋体"/>
          <w:color w:val="auto"/>
          <w:sz w:val="24"/>
          <w:szCs w:val="24"/>
          <w:highlight w:val="none"/>
        </w:rPr>
        <w:t xml:space="preserve">：</w:t>
      </w:r>
      <w:r/>
    </w:p>
    <w:p>
      <w:pPr>
        <w:ind w:firstLine="485"/>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（投标人名称）的法定代表人，现授权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（被授权人的姓名）为我方</w:t>
      </w:r>
      <w:bookmarkStart w:id="72" w:name="_Hlk185112499"/>
      <w:r>
        <w:rPr>
          <w:rFonts w:hint="eastAsia" w:ascii="宋体" w:hAnsi="宋体" w:eastAsia="宋体" w:cs="宋体"/>
          <w:color w:val="auto"/>
          <w:sz w:val="24"/>
          <w:szCs w:val="24"/>
          <w:highlight w:val="none"/>
        </w:rPr>
        <w:t xml:space="preserve">参与</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政府采购活动</w:t>
      </w:r>
      <w:bookmarkEnd w:id="72"/>
      <w:r>
        <w:rPr>
          <w:rFonts w:hint="eastAsia" w:ascii="宋体" w:hAnsi="宋体" w:eastAsia="宋体" w:cs="宋体"/>
          <w:color w:val="auto"/>
          <w:sz w:val="24"/>
          <w:szCs w:val="24"/>
          <w:highlight w:val="none"/>
        </w:rPr>
        <w:t xml:space="preserve">的合法代理人，处理与之有关的一切事务，包含在签署、澄清确认、递交、撤回、修改上述项目的投标文件，以及项目开启、评审、合同签订过程中所签署的一切文件等，我均予以承认。</w:t>
      </w:r>
      <w:r/>
    </w:p>
    <w:p>
      <w:pPr>
        <w:ind w:firstLine="42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被授权人无转授权。</w:t>
      </w:r>
      <w:r/>
    </w:p>
    <w:p>
      <w:pPr>
        <w:ind w:firstLine="42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ind w:firstLine="42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6"/>
        <w:spacing w:line="420" w:lineRule="exact"/>
        <w:rPr>
          <w:rFonts w:hint="eastAsia" w:ascii="宋体" w:hAnsi="宋体" w:eastAsia="宋体" w:cs="宋体"/>
          <w:color w:val="auto"/>
          <w:sz w:val="24"/>
          <w:szCs w:val="24"/>
          <w:highlight w:val="none"/>
          <w:u w:val="single"/>
        </w:rPr>
      </w:pPr>
      <w:r/>
      <w:bookmarkStart w:id="73" w:name="_Hlk183455934"/>
      <w:r>
        <w:rPr>
          <w:rFonts w:hint="eastAsia" w:ascii="宋体" w:hAnsi="宋体" w:eastAsia="宋体" w:cs="宋体"/>
          <w:color w:val="auto"/>
          <w:sz w:val="24"/>
          <w:szCs w:val="24"/>
          <w:highlight w:val="none"/>
        </w:rPr>
        <w:t xml:space="preserve">被授权人</w:t>
      </w:r>
      <w:bookmarkEnd w:id="73"/>
      <w:r>
        <w:rPr>
          <w:rFonts w:hint="eastAsia" w:ascii="宋体" w:hAnsi="宋体" w:eastAsia="宋体" w:cs="宋体"/>
          <w:color w:val="auto"/>
          <w:sz w:val="24"/>
          <w:szCs w:val="24"/>
          <w:highlight w:val="none"/>
        </w:rPr>
        <w:t xml:space="preserve">身份证号码：</w:t>
      </w:r>
      <w:r/>
    </w:p>
    <w:p>
      <w:pPr>
        <w:ind w:firstLine="426"/>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42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6"/>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right="-46"/>
        <w:jc w:val="left"/>
        <w:spacing w:line="420" w:lineRule="exact"/>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被授权人有效期内的身份证正反面电子件。</w:t>
      </w:r>
      <w:r/>
    </w:p>
    <w:tbl>
      <w:tblPr>
        <w:tblStyle w:val="859"/>
        <w:tblW w:w="91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0"/>
        <w:gridCol w:w="4530"/>
      </w:tblGrid>
      <w:tr>
        <w:trPr>
          <w:trHeight w:val="3158"/>
        </w:trPr>
        <w:tc>
          <w:tcPr>
            <w:tcW w:w="4600" w:type="dxa"/>
            <w:vAlign w:val="top"/>
            <w:textDirection w:val="lrTb"/>
            <w:noWrap/>
          </w:tcPr>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530" w:type="dxa"/>
            <w:vAlign w:val="top"/>
            <w:textDirection w:val="lrTb"/>
            <w:noWrap/>
          </w:tcPr>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20"/>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20" w:firstLine="3840"/>
        <w:spacing w:line="420" w:lineRule="exact"/>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投标人（盖公章）：___________</w:t>
      </w:r>
      <w:r/>
    </w:p>
    <w:p>
      <w:pPr>
        <w:ind w:firstLine="432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4320"/>
        <w:spacing w:line="4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26"/>
        <w:spacing w:line="4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jc w:val="center"/>
        <w:spacing w:line="42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4"/>
          <w:szCs w:val="24"/>
          <w:highlight w:val="none"/>
          <w:u w:val="single"/>
        </w:rPr>
        <w:t xml:space="preserve">注：如为法定代表人参与投标活动的，无须提供“法定代表人授权书”。</w:t>
      </w:r>
      <w:r/>
    </w:p>
    <w:p>
      <w:pPr>
        <w:ind w:firstLine="424"/>
        <w:spacing w:line="420" w:lineRule="exact"/>
        <w:rPr>
          <w:rFonts w:hint="eastAsia" w:ascii="宋体" w:hAnsi="宋体" w:eastAsia="宋体" w:cs="宋体"/>
          <w:b/>
          <w:bCs/>
          <w:color w:val="auto"/>
          <w:highlight w:val="none"/>
        </w:rPr>
        <w:sectPr>
          <w:footnotePr/>
          <w:endnotePr/>
          <w:type w:val="nextPage"/>
          <w:pgSz w:w="11906" w:h="16838" w:orient="portrait"/>
          <w:pgMar w:top="1417" w:right="1417" w:bottom="1417" w:left="1417" w:header="567" w:footer="454" w:gutter="0"/>
          <w:cols w:num="1" w:sep="0" w:space="1701" w:equalWidth="1"/>
          <w:docGrid w:linePitch="360"/>
        </w:sectPr>
        <w:outlineLvl w:val="3"/>
      </w:pPr>
      <w:r/>
      <w:bookmarkStart w:id="74" w:name="_Hlk135223429"/>
      <w:r/>
      <w:r/>
    </w:p>
    <w:p>
      <w:pPr>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p>
    <w:p>
      <w:pPr>
        <w:jc w:val="center"/>
        <w:spacing w:line="360" w:lineRule="auto"/>
        <w:rPr>
          <w:rFonts w:hint="eastAsia" w:ascii="宋体" w:hAnsi="宋体" w:eastAsia="宋体" w:cs="宋体"/>
          <w:b/>
          <w:bCs/>
          <w:color w:val="auto"/>
          <w:sz w:val="24"/>
          <w:szCs w:val="21"/>
          <w:highlight w:val="none"/>
        </w:rPr>
        <w:outlineLvl w:val="2"/>
      </w:pPr>
      <w:r>
        <w:rPr>
          <w:rFonts w:hint="eastAsia" w:ascii="宋体" w:hAnsi="宋体" w:eastAsia="宋体" w:cs="宋体"/>
          <w:b/>
          <w:bCs/>
          <w:color w:val="auto"/>
          <w:sz w:val="24"/>
          <w:szCs w:val="21"/>
          <w:highlight w:val="none"/>
        </w:rPr>
      </w:r>
      <w:r/>
    </w:p>
    <w:p>
      <w:pPr>
        <w:jc w:val="center"/>
        <w:spacing w:line="360" w:lineRule="auto"/>
        <w:rPr>
          <w:rFonts w:hint="eastAsia" w:ascii="宋体" w:hAnsi="宋体" w:eastAsia="宋体" w:cs="宋体"/>
          <w:b/>
          <w:bCs/>
          <w:color w:val="auto"/>
          <w:sz w:val="24"/>
          <w:szCs w:val="21"/>
          <w:highlight w:val="none"/>
        </w:rPr>
        <w:outlineLvl w:val="2"/>
      </w:pPr>
      <w:r>
        <w:rPr>
          <w:rFonts w:hint="eastAsia" w:ascii="宋体" w:hAnsi="宋体" w:eastAsia="宋体" w:cs="宋体"/>
          <w:b/>
          <w:bCs/>
          <w:color w:val="auto"/>
          <w:sz w:val="24"/>
          <w:szCs w:val="21"/>
          <w:highlight w:val="none"/>
        </w:rPr>
        <w:t xml:space="preserve">投标人符合《中华人民共和国政府采购法》第二十二条规定条件的声明函</w:t>
      </w:r>
      <w:r/>
    </w:p>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u w:val="single"/>
          <w:lang w:eastAsia="zh-CN"/>
        </w:rPr>
        <w:t xml:space="preserve">南通大学</w:t>
      </w:r>
      <w:r>
        <w:rPr>
          <w:rFonts w:hint="eastAsia" w:ascii="宋体" w:hAnsi="宋体" w:eastAsia="宋体" w:cs="宋体"/>
          <w:bCs/>
          <w:color w:val="auto"/>
          <w:sz w:val="24"/>
          <w:szCs w:val="21"/>
          <w:highlight w:val="none"/>
        </w:rPr>
        <w:t xml:space="preserve">：</w:t>
      </w:r>
      <w:r/>
    </w:p>
    <w:p>
      <w:pPr>
        <w:ind w:firstLine="480"/>
        <w:spacing w:line="360" w:lineRule="auto"/>
        <w:rPr>
          <w:rFonts w:hint="eastAsia" w:ascii="宋体" w:hAnsi="宋体" w:eastAsia="宋体" w:cs="宋体"/>
          <w:b/>
          <w:bCs/>
          <w:color w:val="auto"/>
          <w:sz w:val="24"/>
          <w:szCs w:val="21"/>
          <w:highlight w:val="none"/>
        </w:rPr>
      </w:pPr>
      <w:r>
        <w:rPr>
          <w:rFonts w:hint="eastAsia" w:ascii="宋体" w:hAnsi="宋体" w:eastAsia="宋体" w:cs="宋体"/>
          <w:bCs/>
          <w:color w:val="auto"/>
          <w:sz w:val="24"/>
          <w:szCs w:val="21"/>
          <w:highlight w:val="none"/>
        </w:rPr>
        <w:t xml:space="preserve">我单位参加</w:t>
      </w:r>
      <w:r>
        <w:rPr>
          <w:rFonts w:hint="eastAsia" w:ascii="宋体" w:hAnsi="宋体" w:eastAsia="宋体" w:cs="宋体"/>
          <w:bCs/>
          <w:color w:val="auto"/>
          <w:sz w:val="24"/>
          <w:szCs w:val="21"/>
          <w:highlight w:val="none"/>
          <w:u w:val="single"/>
        </w:rPr>
        <w:t xml:space="preserve">________________ _</w:t>
      </w:r>
      <w:r>
        <w:rPr>
          <w:rFonts w:hint="eastAsia" w:ascii="宋体" w:hAnsi="宋体" w:eastAsia="宋体" w:cs="宋体"/>
          <w:bCs/>
          <w:color w:val="auto"/>
          <w:sz w:val="24"/>
          <w:szCs w:val="21"/>
          <w:highlight w:val="none"/>
        </w:rPr>
        <w:t xml:space="preserve">（项目名称），</w:t>
      </w:r>
      <w:r>
        <w:rPr>
          <w:rFonts w:hint="eastAsia" w:ascii="宋体" w:hAnsi="宋体" w:eastAsia="宋体" w:cs="宋体"/>
          <w:bCs/>
          <w:color w:val="auto"/>
          <w:sz w:val="24"/>
          <w:szCs w:val="21"/>
          <w:highlight w:val="none"/>
          <w:u w:val="single"/>
        </w:rPr>
        <w:t xml:space="preserve">_______ __________</w:t>
      </w:r>
      <w:r>
        <w:rPr>
          <w:rFonts w:hint="eastAsia" w:ascii="宋体" w:hAnsi="宋体" w:eastAsia="宋体" w:cs="宋体"/>
          <w:bCs/>
          <w:color w:val="auto"/>
          <w:sz w:val="24"/>
          <w:szCs w:val="21"/>
          <w:highlight w:val="none"/>
        </w:rPr>
        <w:t xml:space="preserve">（项目编号）投标活动。针对《中华人民共和国政府采购法》第二十二条规定做出如下声明：</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 xml:space="preserve">1.我单位具有独立承担民事责任的能力；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2.我单位具有良好的商业信誉和健全的财务会计制度；</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3.我单位具有履行合同所必需的设备和专业技术能力；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4.我单位有依法缴纳税收和社会保障资金的良好记录；</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6.我单位满足法律、行政法规规定的其他条件。</w:t>
      </w:r>
      <w:r/>
    </w:p>
    <w:p>
      <w:pPr>
        <w:pStyle w:val="96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highlight w:val="none"/>
        </w:rPr>
        <w:t xml:space="preserve">（盖公章）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ind w:firstLine="13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w:t>
      </w:r>
      <w:r/>
    </w:p>
    <w:p>
      <w:pPr>
        <w:ind w:firstLine="132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5"/>
        <w:jc w:val="left"/>
        <w:spacing w:line="42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4"/>
        <w:spacing w:line="420" w:lineRule="exact"/>
        <w:rPr>
          <w:rFonts w:hint="eastAsia" w:ascii="宋体" w:hAnsi="宋体" w:eastAsia="宋体" w:cs="宋体"/>
          <w:b/>
          <w:bCs/>
          <w:color w:val="auto"/>
          <w:highlight w:val="none"/>
        </w:rPr>
        <w:sectPr>
          <w:footnotePr/>
          <w:endnotePr/>
          <w:type w:val="nextPage"/>
          <w:pgSz w:w="11906" w:h="16838" w:orient="portrait"/>
          <w:pgMar w:top="1417" w:right="1417" w:bottom="1417" w:left="1417" w:header="567" w:footer="454" w:gutter="0"/>
          <w:cols w:num="1" w:sep="0" w:space="1701" w:equalWidth="1"/>
          <w:docGrid w:linePitch="360"/>
        </w:sectPr>
        <w:outlineLvl w:val="3"/>
      </w:pPr>
      <w:r>
        <w:rPr>
          <w:rFonts w:hint="eastAsia" w:ascii="宋体" w:hAnsi="宋体" w:eastAsia="宋体" w:cs="宋体"/>
          <w:b/>
          <w:bCs/>
          <w:color w:val="auto"/>
          <w:highlight w:val="none"/>
        </w:rPr>
      </w:r>
      <w:bookmarkEnd w:id="74"/>
      <w:r/>
      <w:r/>
    </w:p>
    <w:p>
      <w:pPr>
        <w:jc w:val="left"/>
        <w:spacing w:line="420" w:lineRule="exact"/>
        <w:rPr>
          <w:rFonts w:hint="eastAsia" w:ascii="宋体" w:hAnsi="宋体" w:eastAsia="宋体" w:cs="宋体"/>
          <w:b/>
          <w:bCs/>
          <w:color w:val="auto"/>
          <w:highlight w:val="none"/>
        </w:rPr>
        <w:outlineLvl w:val="3"/>
      </w:pPr>
      <w:r/>
      <w:bookmarkStart w:id="75" w:name="_Hlk69861907"/>
      <w:r/>
      <w:bookmarkEnd w:id="75"/>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bookmarkStart w:id="76" w:name="_Hlk183451010"/>
      <w:r/>
      <w:bookmarkStart w:id="77" w:name="_Hlk183444939"/>
      <w:r/>
      <w:r/>
    </w:p>
    <w:p>
      <w:pPr>
        <w:jc w:val="center"/>
        <w:spacing w:line="4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投标响应函</w:t>
      </w:r>
      <w:r/>
    </w:p>
    <w:p>
      <w:pPr>
        <w:spacing w:after="240" w:line="4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南通大学</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color w:val="auto"/>
          <w:sz w:val="24"/>
          <w:szCs w:val="24"/>
          <w:highlight w:val="none"/>
          <w:u w:val="single"/>
        </w:rPr>
        <w:t xml:space="preserve">  项目编号：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政府采购活动的招标文件，正式授权______（被授权人姓名）代表我方______________（投标人的名称），全权处理本次项目投标的有关事宜。</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据此函，__________（被授权人签字）兹宣布同意如下：</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1.按照招标文件规定的各项要求，向买方提供所需服务（包含与服务相关的货物）。</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4.同意规定的从提交投标文件截止之日起计的六十（60）天期满之前，我们提交的投标文件均保持有效。开启日期起，本项目招标文件的各项要求，对我们均具有约束力。</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5.同意向贵方提供贵方可能另外要求的与招标有关的任何证据或资料，并保证我方已提供和将要提供的文件是真实的、准确的。</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6.一旦我方中标，我方将根据招标文件的规定，严格履行合同的责任和义务，并保证在招标文件规定的时间内，为买方提供服务。</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7.与本次采购活动有关的正式通讯地址为：</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6"/>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投标人全称（盖公章）：</w:t>
      </w:r>
      <w:r/>
    </w:p>
    <w:p>
      <w:pPr>
        <w:ind w:firstLine="566"/>
        <w:spacing w:line="420" w:lineRule="exact"/>
        <w:rPr>
          <w:rFonts w:hint="eastAsia" w:ascii="宋体" w:hAnsi="宋体" w:eastAsia="宋体" w:cs="宋体"/>
          <w:color w:val="auto"/>
          <w:sz w:val="24"/>
          <w:szCs w:val="24"/>
          <w:highlight w:val="none"/>
        </w:rPr>
        <w:sectPr>
          <w:footnotePr/>
          <w:endnotePr/>
          <w:type w:val="nextPage"/>
          <w:pgSz w:w="11906" w:h="16838" w:orient="portrait"/>
          <w:pgMar w:top="1417" w:right="1417" w:bottom="1417" w:left="1417" w:header="567" w:footer="454" w:gutter="0"/>
          <w:cols w:num="1" w:sep="0" w:space="1701" w:equalWidth="1"/>
          <w:docGrid w:linePitch="360"/>
        </w:sectPr>
      </w:pPr>
      <w:r>
        <w:rPr>
          <w:rFonts w:hint="eastAsia" w:ascii="宋体" w:hAnsi="宋体" w:eastAsia="宋体" w:cs="宋体"/>
          <w:color w:val="auto"/>
          <w:sz w:val="24"/>
          <w:szCs w:val="24"/>
          <w:highlight w:val="none"/>
        </w:rPr>
        <w:t xml:space="preserve">日期：________年____月____</w:t>
      </w:r>
      <w:bookmarkEnd w:id="69"/>
      <w:r/>
      <w:bookmarkEnd w:id="76"/>
      <w:r/>
      <w:bookmarkEnd w:id="77"/>
      <w:r/>
      <w:r/>
    </w:p>
    <w:p>
      <w:pPr>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现场勘察承诺函</w:t>
      </w:r>
      <w:r/>
    </w:p>
    <w:p>
      <w:pPr>
        <w:jc w:val="center"/>
        <w:spacing w:line="520" w:lineRule="exact"/>
        <w:rPr>
          <w:rFonts w:hint="eastAsia" w:ascii="宋体" w:hAnsi="宋体" w:eastAsia="宋体" w:cs="宋体"/>
          <w:b/>
          <w:bCs/>
          <w:color w:val="auto"/>
          <w:sz w:val="28"/>
          <w:szCs w:val="28"/>
          <w:highlight w:val="none"/>
        </w:rPr>
        <w:outlineLvl w:val="4"/>
      </w:pPr>
      <w:r>
        <w:rPr>
          <w:rFonts w:hint="eastAsia" w:ascii="宋体" w:hAnsi="宋体" w:eastAsia="宋体" w:cs="宋体"/>
          <w:b/>
          <w:bCs/>
          <w:color w:val="auto"/>
          <w:sz w:val="28"/>
          <w:szCs w:val="28"/>
          <w:highlight w:val="none"/>
        </w:rPr>
      </w:r>
      <w:r/>
    </w:p>
    <w:p>
      <w:pPr>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u w:val="single"/>
        </w:rPr>
        <w:t xml:space="preserve">    （采购人）    ：</w:t>
      </w:r>
      <w:r/>
    </w:p>
    <w:p>
      <w:pPr>
        <w:ind w:firstLine="480"/>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t xml:space="preserve">依据贵单位________（</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highlight w:val="none"/>
        </w:rPr>
        <w:t xml:space="preserve">)项目招标文件的要求。我方已于202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t xml:space="preserve">1、经现场勘察，我方已熟悉与该项目相关的供货及安装现场、施工环境、现场周围交通道路等所有情况。</w:t>
      </w:r>
      <w:r/>
    </w:p>
    <w:p>
      <w:pPr>
        <w:ind w:firstLine="480"/>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r>
      <w:r/>
    </w:p>
    <w:p>
      <w:pPr>
        <w:ind w:firstLine="482"/>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自行进行现场勘察，如现场勘察需要协助，请联系现场勘察联系人：魏老师</w:t>
      </w:r>
      <w:r>
        <w:rPr>
          <w:rFonts w:hint="eastAsia" w:ascii="宋体" w:hAnsi="宋体" w:eastAsia="宋体" w:cs="宋体"/>
          <w:b/>
          <w:bCs/>
          <w:color w:val="auto"/>
          <w:sz w:val="24"/>
          <w:szCs w:val="24"/>
          <w:highlight w:val="none"/>
          <w:lang w:val="en-US" w:eastAsia="zh-CN"/>
        </w:rPr>
        <w:t xml:space="preserve">，联系电话：13862929860。</w:t>
      </w:r>
      <w:r/>
    </w:p>
    <w:p>
      <w:pPr>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r>
      <w:r/>
    </w:p>
    <w:p>
      <w:pPr>
        <w:jc w:val="left"/>
        <w:spacing w:line="520" w:lineRule="exact"/>
        <w:rPr>
          <w:rFonts w:hint="eastAsia" w:ascii="宋体" w:hAnsi="宋体" w:eastAsia="宋体" w:cs="宋体"/>
          <w:color w:val="auto"/>
          <w:sz w:val="24"/>
          <w:highlight w:val="none"/>
        </w:rPr>
        <w:outlineLvl w:val="4"/>
      </w:pPr>
      <w:r>
        <w:rPr>
          <w:rFonts w:hint="eastAsia" w:ascii="宋体" w:hAnsi="宋体" w:eastAsia="宋体" w:cs="宋体"/>
          <w:color w:val="auto"/>
          <w:sz w:val="24"/>
          <w:highlight w:val="none"/>
        </w:rPr>
      </w:r>
      <w:r/>
    </w:p>
    <w:p>
      <w:pPr>
        <w:jc w:val="center"/>
        <w:spacing w:line="480" w:lineRule="exact"/>
        <w:rPr>
          <w:rFonts w:hint="eastAsia" w:ascii="宋体" w:hAnsi="宋体" w:eastAsia="宋体" w:cs="宋体"/>
          <w:bCs/>
          <w:color w:val="auto"/>
          <w:sz w:val="24"/>
          <w:highlight w:val="none"/>
        </w:rPr>
        <w:outlineLvl w:val="4"/>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  投标供应商：（加盖公章）</w:t>
      </w:r>
      <w:r/>
    </w:p>
    <w:p>
      <w:pPr>
        <w:jc w:val="center"/>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                      法定代表人或被授权人：（签字或盖章）</w:t>
      </w:r>
      <w:r/>
    </w:p>
    <w:p>
      <w:pPr>
        <w:spacing w:line="480" w:lineRule="exact"/>
        <w:rPr>
          <w:rFonts w:hint="eastAsia" w:ascii="宋体" w:hAnsi="宋体" w:eastAsia="宋体" w:cs="宋体"/>
          <w:bCs/>
          <w:color w:val="auto"/>
          <w:sz w:val="24"/>
          <w:highlight w:val="none"/>
        </w:rPr>
        <w:outlineLvl w:val="4"/>
      </w:pPr>
      <w:r>
        <w:rPr>
          <w:rFonts w:hint="eastAsia" w:ascii="宋体" w:hAnsi="宋体" w:eastAsia="宋体" w:cs="宋体"/>
          <w:bCs/>
          <w:color w:val="auto"/>
          <w:sz w:val="24"/>
          <w:highlight w:val="none"/>
        </w:rPr>
        <w:t xml:space="preserve">                                           年  月  日</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bCs/>
          <w:color w:val="auto"/>
          <w:szCs w:val="24"/>
          <w:highlight w:val="none"/>
        </w:rPr>
        <w:t xml:space="preserve">商务部分正负偏离表</w:t>
      </w:r>
      <w:r/>
    </w:p>
    <w:p>
      <w:pPr>
        <w:ind w:firstLine="560"/>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（由投标人据实填写，表格不够自行添加）</w:t>
      </w:r>
      <w:r/>
    </w:p>
    <w:tbl>
      <w:tblPr>
        <w:tblStyle w:val="859"/>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2"/>
        <w:gridCol w:w="2275"/>
        <w:gridCol w:w="1988"/>
        <w:gridCol w:w="2561"/>
        <w:gridCol w:w="1417"/>
      </w:tblGrid>
      <w:tr>
        <w:trPr>
          <w:trHeight w:val="994"/>
        </w:trPr>
        <w:tc>
          <w:tcPr>
            <w:tcW w:w="85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序号</w:t>
            </w:r>
            <w:r/>
          </w:p>
        </w:tc>
        <w:tc>
          <w:tcPr>
            <w:tcW w:w="2329"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货物或服务名称</w:t>
            </w:r>
            <w:r/>
          </w:p>
        </w:tc>
        <w:tc>
          <w:tcPr>
            <w:tcW w:w="203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招标文件要求的商务条款</w:t>
            </w:r>
            <w:r/>
          </w:p>
        </w:tc>
        <w:tc>
          <w:tcPr>
            <w:tcW w:w="2624" w:type="dxa"/>
            <w:vAlign w:val="center"/>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投标文件响应情况</w:t>
            </w:r>
            <w:r/>
          </w:p>
        </w:tc>
        <w:tc>
          <w:tcPr>
            <w:tcW w:w="1445" w:type="dxa"/>
            <w:vAlign w:val="top"/>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偏离说明</w:t>
            </w:r>
            <w:r/>
          </w:p>
        </w:tc>
      </w:tr>
      <w:tr>
        <w:trPr>
          <w:trHeight w:val="414"/>
        </w:trPr>
        <w:tc>
          <w:tcPr>
            <w:tcW w:w="854" w:type="dxa"/>
            <w:vAlign w:val="top"/>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1</w:t>
            </w:r>
            <w:r/>
          </w:p>
        </w:tc>
        <w:tc>
          <w:tcPr>
            <w:tcW w:w="2329"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3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62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1445" w:type="dxa"/>
            <w:vAlign w:val="top"/>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r>
      <w:tr>
        <w:trPr>
          <w:trHeight w:val="548"/>
        </w:trPr>
        <w:tc>
          <w:tcPr>
            <w:tcW w:w="854" w:type="dxa"/>
            <w:vAlign w:val="top"/>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2</w:t>
            </w:r>
            <w:r/>
          </w:p>
        </w:tc>
        <w:tc>
          <w:tcPr>
            <w:tcW w:w="2329"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3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62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1445" w:type="dxa"/>
            <w:vAlign w:val="top"/>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r>
      <w:tr>
        <w:trPr>
          <w:trHeight w:val="400"/>
        </w:trPr>
        <w:tc>
          <w:tcPr>
            <w:tcW w:w="854" w:type="dxa"/>
            <w:vAlign w:val="top"/>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3</w:t>
            </w:r>
            <w:r/>
          </w:p>
        </w:tc>
        <w:tc>
          <w:tcPr>
            <w:tcW w:w="2329"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3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62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1445" w:type="dxa"/>
            <w:vAlign w:val="top"/>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r>
      <w:tr>
        <w:trPr>
          <w:trHeight w:val="419"/>
        </w:trPr>
        <w:tc>
          <w:tcPr>
            <w:tcW w:w="854" w:type="dxa"/>
            <w:vAlign w:val="top"/>
            <w:textDirection w:val="lrTb"/>
            <w:noWrap w:val="false"/>
          </w:tcPr>
          <w:p>
            <w:pPr>
              <w:jc w:val="center"/>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t xml:space="preserve">4</w:t>
            </w:r>
            <w:r/>
          </w:p>
        </w:tc>
        <w:tc>
          <w:tcPr>
            <w:tcW w:w="2329"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03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2624" w:type="dxa"/>
            <w:vAlign w:val="center"/>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c>
          <w:tcPr>
            <w:tcW w:w="1445" w:type="dxa"/>
            <w:vAlign w:val="top"/>
            <w:textDirection w:val="lrTb"/>
            <w:noWrap w:val="false"/>
          </w:tcPr>
          <w:p>
            <w:pPr>
              <w:jc w:val="left"/>
              <w:spacing w:line="360" w:lineRule="auto"/>
              <w:rPr>
                <w:rFonts w:hint="eastAsia" w:ascii="宋体" w:hAnsi="宋体" w:eastAsia="宋体" w:cs="宋体"/>
                <w:color w:val="auto"/>
                <w:sz w:val="24"/>
                <w:highlight w:val="none"/>
                <w:lang w:eastAsia="en-US"/>
              </w:rPr>
            </w:pPr>
            <w:r>
              <w:rPr>
                <w:rFonts w:hint="eastAsia" w:ascii="宋体" w:hAnsi="宋体" w:eastAsia="宋体" w:cs="宋体"/>
                <w:color w:val="auto"/>
                <w:sz w:val="24"/>
                <w:highlight w:val="none"/>
                <w:lang w:eastAsia="en-US"/>
              </w:rPr>
            </w:r>
            <w:r/>
          </w:p>
        </w:tc>
      </w:tr>
    </w:tbl>
    <w:p>
      <w:pPr>
        <w:contextualSpacing/>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1.1.投标供应商提交的投标文件中与招标文件第三章“项目需求”中的商务部分的要求不同的，应逐条填列在偏离表中。</w:t>
      </w:r>
      <w:r>
        <w:rPr>
          <w:rFonts w:hint="eastAsia" w:ascii="宋体" w:hAnsi="宋体" w:eastAsia="宋体" w:cs="宋体"/>
          <w:b/>
          <w:bCs/>
          <w:color w:val="auto"/>
          <w:sz w:val="24"/>
          <w:highlight w:val="none"/>
        </w:rPr>
        <w:t xml:space="preserve">投标供应商未在此表明示的商务部分内容，视为完全响应招标文件。</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3.本项目商务条款不接受负偏离，有负偏离的按无效标处理。投标人若提供其他增值服务，可以在表中自行据实填写。</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r>
      <w:r/>
    </w:p>
    <w:p>
      <w:pPr>
        <w:jc w:val="left"/>
        <w:spacing w:line="360" w:lineRule="auto"/>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供应商全称（</w:t>
      </w:r>
      <w:r>
        <w:rPr>
          <w:rFonts w:hint="eastAsia" w:ascii="宋体" w:hAnsi="宋体" w:eastAsia="宋体" w:cs="宋体"/>
          <w:color w:val="auto"/>
          <w:highlight w:val="none"/>
        </w:rPr>
        <w:t xml:space="preserve">盖公章</w:t>
      </w:r>
      <w:r>
        <w:rPr>
          <w:rFonts w:hint="eastAsia" w:ascii="宋体" w:hAnsi="宋体" w:eastAsia="宋体" w:cs="宋体"/>
          <w:color w:val="auto"/>
          <w:sz w:val="24"/>
          <w:szCs w:val="21"/>
          <w:highlight w:val="none"/>
        </w:rPr>
        <w:t xml:space="preserve">）：</w:t>
      </w:r>
      <w:r/>
    </w:p>
    <w:p>
      <w:pPr>
        <w:jc w:val="left"/>
        <w:spacing w:line="360" w:lineRule="auto"/>
        <w:rPr>
          <w:rFonts w:hint="eastAsia" w:ascii="宋体" w:hAnsi="宋体" w:eastAsia="宋体" w:cs="宋体"/>
          <w:color w:val="auto"/>
          <w:sz w:val="24"/>
          <w:szCs w:val="21"/>
          <w:highlight w:val="none"/>
        </w:rPr>
        <w:outlineLvl w:val="2"/>
      </w:pPr>
      <w:r>
        <w:rPr>
          <w:rFonts w:hint="eastAsia" w:ascii="宋体" w:hAnsi="宋体" w:eastAsia="宋体" w:cs="宋体"/>
          <w:color w:val="auto"/>
          <w:sz w:val="24"/>
          <w:szCs w:val="21"/>
          <w:highlight w:val="none"/>
        </w:rPr>
        <w:t xml:space="preserve">日  期：</w:t>
      </w:r>
      <w:r/>
    </w:p>
    <w:p>
      <w:pPr>
        <w:jc w:val="left"/>
        <w:spacing w:line="420" w:lineRule="exact"/>
        <w:rPr>
          <w:rFonts w:hint="eastAsia" w:ascii="宋体" w:hAnsi="宋体" w:eastAsia="宋体" w:cs="宋体"/>
          <w:b/>
          <w:bCs/>
          <w:color w:val="auto"/>
          <w:highlight w:val="none"/>
        </w:rPr>
        <w:outlineLvl w:val="3"/>
      </w:pPr>
      <w:r>
        <w:rPr>
          <w:rFonts w:hint="eastAsia" w:ascii="宋体" w:hAnsi="宋体" w:eastAsia="宋体" w:cs="宋体"/>
          <w:b/>
          <w:bCs/>
          <w:color w:val="auto"/>
          <w:sz w:val="24"/>
          <w:szCs w:val="21"/>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p>
    <w:p>
      <w:pPr>
        <w:jc w:val="center"/>
        <w:spacing w:line="360" w:lineRule="auto"/>
        <w:rPr>
          <w:rFonts w:hint="eastAsia" w:ascii="宋体" w:hAnsi="宋体" w:eastAsia="宋体" w:cs="宋体"/>
          <w:color w:val="auto"/>
          <w:sz w:val="24"/>
          <w:highlight w:val="none"/>
        </w:rPr>
        <w:outlineLvl w:val="2"/>
      </w:pPr>
      <w:r>
        <w:rPr>
          <w:rFonts w:hint="eastAsia" w:ascii="宋体" w:hAnsi="宋体" w:eastAsia="宋体" w:cs="宋体"/>
          <w:b/>
          <w:bCs/>
          <w:color w:val="auto"/>
          <w:sz w:val="24"/>
          <w:szCs w:val="24"/>
          <w:highlight w:val="none"/>
        </w:rPr>
        <w:t xml:space="preserve">技术部分正负偏离表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（由投标人据实填写，表格不够自行添加）</w:t>
      </w:r>
      <w:r/>
    </w:p>
    <w:tbl>
      <w:tblPr>
        <w:tblStyle w:val="859"/>
        <w:tblW w:w="5000" w:type="pct"/>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1"/>
        <w:gridCol w:w="2277"/>
        <w:gridCol w:w="1988"/>
        <w:gridCol w:w="2561"/>
        <w:gridCol w:w="1416"/>
      </w:tblGrid>
      <w:tr>
        <w:trPr>
          <w:trHeight w:val="994"/>
        </w:trPr>
        <w:tc>
          <w:tcPr>
            <w:tcW w:w="852"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序号</w:t>
            </w:r>
            <w:r/>
          </w:p>
        </w:tc>
        <w:tc>
          <w:tcPr>
            <w:tcW w:w="2331"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货物或服务名称</w:t>
            </w:r>
            <w:r/>
          </w:p>
        </w:tc>
        <w:tc>
          <w:tcPr>
            <w:tcW w:w="2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招标文件要求的技术要求</w:t>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投标文件响应情况</w:t>
            </w:r>
            <w:r/>
          </w:p>
        </w:tc>
        <w:tc>
          <w:tcPr>
            <w:tcW w:w="1445"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偏离说明</w:t>
            </w:r>
            <w:r/>
          </w:p>
        </w:tc>
      </w:tr>
      <w:tr>
        <w:trPr>
          <w:trHeight w:val="414"/>
        </w:trPr>
        <w:tc>
          <w:tcPr>
            <w:tcW w:w="852"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w:t>
            </w:r>
            <w:r/>
          </w:p>
        </w:tc>
        <w:tc>
          <w:tcPr>
            <w:tcW w:w="2331"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1445"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548"/>
        </w:trPr>
        <w:tc>
          <w:tcPr>
            <w:tcW w:w="852"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w:t>
            </w:r>
            <w:r/>
          </w:p>
        </w:tc>
        <w:tc>
          <w:tcPr>
            <w:tcW w:w="2331"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1445"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400"/>
        </w:trPr>
        <w:tc>
          <w:tcPr>
            <w:tcW w:w="852"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w:t>
            </w:r>
            <w:r/>
          </w:p>
        </w:tc>
        <w:tc>
          <w:tcPr>
            <w:tcW w:w="2331"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1445"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419"/>
        </w:trPr>
        <w:tc>
          <w:tcPr>
            <w:tcW w:w="852"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4</w:t>
            </w:r>
            <w:r/>
          </w:p>
        </w:tc>
        <w:tc>
          <w:tcPr>
            <w:tcW w:w="2331"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03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2624"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W w:w="1445" w:type="dxa"/>
            <w:vAlign w:val="top"/>
            <w:textDirection w:val="lrTb"/>
            <w:noWrap w:val="false"/>
          </w:tcPr>
          <w:p>
            <w:pPr>
              <w:jc w:val="center"/>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contextualSpacing/>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1.投标供应商提交的投标文件中与招标文件第三章“项目需求”中的技术部分的要求不同的，应逐条填列在偏离表中。</w:t>
      </w:r>
      <w:r>
        <w:rPr>
          <w:rFonts w:hint="eastAsia" w:ascii="宋体" w:hAnsi="宋体" w:eastAsia="宋体" w:cs="宋体"/>
          <w:b/>
          <w:bCs/>
          <w:color w:val="auto"/>
          <w:sz w:val="24"/>
          <w:highlight w:val="none"/>
        </w:rPr>
        <w:t xml:space="preserve">投标供应商未在此表明示的技术部分内容，视为完全响应招标文件。</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2.“偏离说明”一栏选择“正偏离”“负偏离”“无偏离”进行填写。正偏离、负偏离、无偏离的确认，由评审小组认定。</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3.投标人若提供其他增值服务，可以在表中自行据实填写。</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供应商全称（盖公章）：</w:t>
      </w:r>
      <w:r/>
    </w:p>
    <w:p>
      <w:pPr>
        <w:contextualSpacing/>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jc w:val="left"/>
        <w:spacing w:line="360" w:lineRule="auto"/>
        <w:rPr>
          <w:rFonts w:hint="eastAsia" w:ascii="宋体" w:hAnsi="宋体" w:eastAsia="宋体" w:cs="宋体"/>
          <w:color w:val="auto"/>
          <w:sz w:val="24"/>
          <w:szCs w:val="21"/>
          <w:highlight w:val="none"/>
        </w:rPr>
        <w:sectPr>
          <w:headerReference w:type="default" r:id="rId13"/>
          <w:footerReference w:type="default" r:id="rId17"/>
          <w:footnotePr/>
          <w:endnotePr/>
          <w:type w:val="nextPage"/>
          <w:pgSz w:w="11905" w:h="16838" w:orient="portrait"/>
          <w:pgMar w:top="1440" w:right="1519" w:bottom="1440" w:left="1519" w:header="850" w:footer="992" w:gutter="0"/>
          <w:cols w:num="1" w:sep="0" w:space="1701" w:equalWidth="1"/>
          <w:docGrid w:linePitch="360"/>
        </w:sectPr>
        <w:outlineLvl w:val="2"/>
      </w:pPr>
      <w:r>
        <w:rPr>
          <w:rFonts w:hint="eastAsia" w:ascii="宋体" w:hAnsi="宋体" w:eastAsia="宋体" w:cs="宋体"/>
          <w:color w:val="auto"/>
          <w:sz w:val="24"/>
          <w:szCs w:val="21"/>
          <w:highlight w:val="none"/>
        </w:rPr>
      </w:r>
      <w:r/>
    </w:p>
    <w:p>
      <w:pPr>
        <w:jc w:val="lef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bidi="zh-CN"/>
        </w:rPr>
        <w:t xml:space="preserve">（单位名称）</w:t>
      </w:r>
      <w:r>
        <w:rPr>
          <w:rFonts w:hint="eastAsia" w:ascii="宋体" w:hAnsi="宋体" w:eastAsia="宋体" w:cs="宋体"/>
          <w:color w:val="auto"/>
          <w:sz w:val="24"/>
          <w:highlight w:val="none"/>
          <w:lang w:bidi="zh-CN"/>
        </w:rPr>
        <w:t xml:space="preserve">的</w:t>
      </w:r>
      <w:r>
        <w:rPr>
          <w:rFonts w:hint="eastAsia" w:ascii="宋体" w:hAnsi="宋体" w:eastAsia="宋体" w:cs="宋体"/>
          <w:color w:val="auto"/>
          <w:sz w:val="24"/>
          <w:highlight w:val="none"/>
          <w:u w:val="single"/>
          <w:lang w:bidi="zh-CN"/>
        </w:rPr>
        <w:t xml:space="preserve">（项目名称）</w:t>
      </w:r>
      <w:r>
        <w:rPr>
          <w:rFonts w:hint="eastAsia" w:ascii="宋体" w:hAnsi="宋体" w:eastAsia="宋体" w:cs="宋体"/>
          <w:color w:val="auto"/>
          <w:sz w:val="24"/>
          <w:highlight w:val="none"/>
          <w:lang w:bidi="zh-CN"/>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1.</w:t>
      </w:r>
      <w:r>
        <w:rPr>
          <w:rFonts w:hint="eastAsia" w:ascii="宋体" w:hAnsi="宋体" w:eastAsia="宋体" w:cs="宋体"/>
          <w:color w:val="auto"/>
          <w:sz w:val="24"/>
          <w:highlight w:val="none"/>
          <w:u w:val="single"/>
          <w:lang w:val="en-US" w:bidi="zh-CN"/>
        </w:rPr>
        <w:t xml:space="preserve">（标的名称）</w:t>
      </w:r>
      <w:r>
        <w:rPr>
          <w:rFonts w:hint="eastAsia" w:ascii="宋体" w:hAnsi="宋体" w:eastAsia="宋体" w:cs="宋体"/>
          <w:color w:val="auto"/>
          <w:sz w:val="24"/>
          <w:highlight w:val="none"/>
          <w:lang w:bidi="zh-CN"/>
        </w:rPr>
        <w:t xml:space="preserve">，属于</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（采购文件中明确的所属行业 </w:t>
      </w:r>
      <w:r>
        <w:rPr>
          <w:rFonts w:hint="eastAsia" w:ascii="宋体" w:hAnsi="宋体" w:eastAsia="宋体" w:cs="宋体"/>
          <w:color w:val="auto"/>
          <w:sz w:val="24"/>
          <w:highlight w:val="none"/>
          <w:lang w:bidi="zh-CN"/>
        </w:rPr>
        <w:t xml:space="preserve">；制造商为</w:t>
      </w:r>
      <w:r>
        <w:rPr>
          <w:rFonts w:hint="eastAsia" w:ascii="宋体" w:hAnsi="宋体" w:eastAsia="宋体" w:cs="宋体"/>
          <w:color w:val="auto"/>
          <w:sz w:val="24"/>
          <w:highlight w:val="none"/>
          <w:u w:val="single"/>
          <w:lang w:bidi="zh-CN"/>
        </w:rPr>
        <w:t xml:space="preserve">（企业名称）</w:t>
      </w:r>
      <w:r>
        <w:rPr>
          <w:rFonts w:hint="eastAsia" w:ascii="宋体" w:hAnsi="宋体" w:eastAsia="宋体" w:cs="宋体"/>
          <w:color w:val="auto"/>
          <w:sz w:val="24"/>
          <w:highlight w:val="none"/>
          <w:lang w:bidi="zh-CN"/>
        </w:rPr>
        <w:t xml:space="preserve">，从业人员</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lang w:bidi="zh-CN"/>
        </w:rPr>
        <w:t xml:space="preserve">人，营业收入为</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lang w:bidi="zh-CN"/>
        </w:rPr>
        <w:t xml:space="preserve">万元，属于</w:t>
      </w:r>
      <w:r>
        <w:rPr>
          <w:rFonts w:hint="eastAsia" w:ascii="宋体" w:hAnsi="宋体" w:eastAsia="宋体" w:cs="宋体"/>
          <w:color w:val="auto"/>
          <w:sz w:val="24"/>
          <w:highlight w:val="none"/>
          <w:u w:val="single"/>
          <w:lang w:bidi="zh-CN"/>
        </w:rPr>
        <w:t xml:space="preserve">（中型企业、小型企业、微型企业）</w:t>
      </w:r>
      <w:r>
        <w:rPr>
          <w:rFonts w:hint="eastAsia" w:ascii="宋体" w:hAnsi="宋体" w:eastAsia="宋体" w:cs="宋体"/>
          <w:color w:val="auto"/>
          <w:sz w:val="24"/>
          <w:highlight w:val="none"/>
          <w:lang w:bidi="zh-CN"/>
        </w:rPr>
        <w:t xml:space="preserve">；</w:t>
      </w:r>
      <w:r/>
    </w:p>
    <w:p>
      <w:pPr>
        <w:ind w:firstLine="480"/>
        <w:spacing w:line="360" w:lineRule="auto"/>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bidi="zh-CN"/>
        </w:rPr>
        <w:t xml:space="preserve">2.</w:t>
      </w:r>
      <w:r>
        <w:rPr>
          <w:rFonts w:hint="eastAsia" w:ascii="宋体" w:hAnsi="宋体" w:eastAsia="宋体" w:cs="宋体"/>
          <w:color w:val="auto"/>
          <w:sz w:val="24"/>
          <w:highlight w:val="none"/>
          <w:u w:val="single"/>
          <w:lang w:val="en-US" w:bidi="zh-CN"/>
        </w:rPr>
        <w:t xml:space="preserve">（标的名称）</w:t>
      </w:r>
      <w:r>
        <w:rPr>
          <w:rFonts w:hint="eastAsia" w:ascii="宋体" w:hAnsi="宋体" w:eastAsia="宋体" w:cs="宋体"/>
          <w:color w:val="auto"/>
          <w:sz w:val="24"/>
          <w:highlight w:val="none"/>
          <w:lang w:bidi="zh-CN"/>
        </w:rPr>
        <w:t xml:space="preserve">，属于</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（采购文件中明确的所属行业 </w:t>
      </w:r>
      <w:r>
        <w:rPr>
          <w:rFonts w:hint="eastAsia" w:ascii="宋体" w:hAnsi="宋体" w:eastAsia="宋体" w:cs="宋体"/>
          <w:color w:val="auto"/>
          <w:sz w:val="24"/>
          <w:highlight w:val="none"/>
          <w:lang w:bidi="zh-CN"/>
        </w:rPr>
        <w:t xml:space="preserve">；制造商为</w:t>
      </w:r>
      <w:r>
        <w:rPr>
          <w:rFonts w:hint="eastAsia" w:ascii="宋体" w:hAnsi="宋体" w:eastAsia="宋体" w:cs="宋体"/>
          <w:color w:val="auto"/>
          <w:sz w:val="24"/>
          <w:highlight w:val="none"/>
          <w:u w:val="single"/>
          <w:lang w:bidi="zh-CN"/>
        </w:rPr>
        <w:t xml:space="preserve">（企业名称）</w:t>
      </w:r>
      <w:r>
        <w:rPr>
          <w:rFonts w:hint="eastAsia" w:ascii="宋体" w:hAnsi="宋体" w:eastAsia="宋体" w:cs="宋体"/>
          <w:color w:val="auto"/>
          <w:sz w:val="24"/>
          <w:highlight w:val="none"/>
          <w:lang w:bidi="zh-CN"/>
        </w:rPr>
        <w:t xml:space="preserve">，从业人员</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lang w:bidi="zh-CN"/>
        </w:rPr>
        <w:t xml:space="preserve">人，营业收入为</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lang w:bidi="zh-CN"/>
        </w:rPr>
        <w:t xml:space="preserve">万元，属于</w:t>
      </w:r>
      <w:r>
        <w:rPr>
          <w:rFonts w:hint="eastAsia" w:ascii="宋体" w:hAnsi="宋体" w:eastAsia="宋体" w:cs="宋体"/>
          <w:color w:val="auto"/>
          <w:sz w:val="24"/>
          <w:highlight w:val="none"/>
          <w:u w:val="single"/>
          <w:lang w:bidi="zh-CN"/>
        </w:rPr>
        <w:t xml:space="preserve">（中型企业、小型企业、微型企业）</w:t>
      </w:r>
      <w:r>
        <w:rPr>
          <w:rFonts w:hint="eastAsia" w:ascii="宋体" w:hAnsi="宋体" w:eastAsia="宋体" w:cs="宋体"/>
          <w:color w:val="auto"/>
          <w:sz w:val="24"/>
          <w:highlight w:val="none"/>
          <w:lang w:bidi="zh-CN"/>
        </w:rPr>
        <w:t xml:space="preserve">；</w:t>
      </w:r>
      <w:r/>
    </w:p>
    <w:p>
      <w:pPr>
        <w:ind w:firstLine="480"/>
        <w:spacing w:line="360" w:lineRule="auto"/>
        <w:rPr>
          <w:rFonts w:hint="eastAsia" w:ascii="宋体" w:hAnsi="宋体" w:eastAsia="宋体" w:cs="宋体"/>
          <w:color w:val="auto"/>
          <w:highlight w:val="none"/>
          <w:lang w:val="en-US"/>
        </w:rPr>
      </w:pPr>
      <w:r>
        <w:rPr>
          <w:rFonts w:hint="eastAsia" w:ascii="宋体" w:hAnsi="宋体" w:eastAsia="宋体" w:cs="宋体"/>
          <w:color w:val="auto"/>
          <w:sz w:val="24"/>
          <w:highlight w:val="none"/>
          <w:lang w:val="en-US" w:bidi="zh-CN"/>
        </w:rPr>
        <w:t xml:space="preserve">3</w:t>
      </w: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4"/>
          <w:highlight w:val="none"/>
          <w:u w:val="single"/>
          <w:lang w:val="en-US" w:bidi="zh-CN"/>
        </w:rPr>
        <w:t xml:space="preserve">（标的名称）</w:t>
      </w:r>
      <w:r>
        <w:rPr>
          <w:rFonts w:hint="eastAsia" w:ascii="宋体" w:hAnsi="宋体" w:eastAsia="宋体" w:cs="宋体"/>
          <w:color w:val="auto"/>
          <w:sz w:val="24"/>
          <w:highlight w:val="none"/>
          <w:lang w:bidi="zh-CN"/>
        </w:rPr>
        <w:t xml:space="preserve">，属于</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（采购文件中明确的所属行业 </w:t>
      </w:r>
      <w:r>
        <w:rPr>
          <w:rFonts w:hint="eastAsia" w:ascii="宋体" w:hAnsi="宋体" w:eastAsia="宋体" w:cs="宋体"/>
          <w:color w:val="auto"/>
          <w:sz w:val="24"/>
          <w:highlight w:val="none"/>
          <w:lang w:bidi="zh-CN"/>
        </w:rPr>
        <w:t xml:space="preserve">；制造商为</w:t>
      </w:r>
      <w:r>
        <w:rPr>
          <w:rFonts w:hint="eastAsia" w:ascii="宋体" w:hAnsi="宋体" w:eastAsia="宋体" w:cs="宋体"/>
          <w:color w:val="auto"/>
          <w:sz w:val="24"/>
          <w:highlight w:val="none"/>
          <w:u w:val="single"/>
          <w:lang w:bidi="zh-CN"/>
        </w:rPr>
        <w:t xml:space="preserve">（企业名称）</w:t>
      </w:r>
      <w:r>
        <w:rPr>
          <w:rFonts w:hint="eastAsia" w:ascii="宋体" w:hAnsi="宋体" w:eastAsia="宋体" w:cs="宋体"/>
          <w:color w:val="auto"/>
          <w:sz w:val="24"/>
          <w:highlight w:val="none"/>
          <w:lang w:bidi="zh-CN"/>
        </w:rPr>
        <w:t xml:space="preserve">，从业人员</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lang w:bidi="zh-CN"/>
        </w:rPr>
        <w:t xml:space="preserve">人，营业收入为</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lang w:bidi="zh-CN"/>
        </w:rPr>
        <w:t xml:space="preserve">万元，属于</w:t>
      </w:r>
      <w:r>
        <w:rPr>
          <w:rFonts w:hint="eastAsia" w:ascii="宋体" w:hAnsi="宋体" w:eastAsia="宋体" w:cs="宋体"/>
          <w:color w:val="auto"/>
          <w:sz w:val="24"/>
          <w:highlight w:val="none"/>
          <w:u w:val="single"/>
          <w:lang w:bidi="zh-CN"/>
        </w:rPr>
        <w:t xml:space="preserve">（中型企业、小型企业、微型企业）</w:t>
      </w:r>
      <w:r>
        <w:rPr>
          <w:rFonts w:hint="eastAsia" w:ascii="宋体" w:hAnsi="宋体" w:eastAsia="宋体" w:cs="宋体"/>
          <w:color w:val="auto"/>
          <w:sz w:val="24"/>
          <w:highlight w:val="none"/>
          <w:lang w:bidi="zh-CN"/>
        </w:rPr>
        <w:t xml:space="preserve">；</w:t>
      </w:r>
      <w:r/>
    </w:p>
    <w:p>
      <w:pPr>
        <w:ind w:firstLine="480"/>
        <w:spacing w:line="360" w:lineRule="auto"/>
        <w:rPr>
          <w:rFonts w:hint="eastAsia" w:ascii="宋体" w:hAnsi="宋体" w:eastAsia="宋体" w:cs="宋体"/>
          <w:color w:val="auto"/>
          <w:sz w:val="24"/>
          <w:highlight w:val="none"/>
          <w:lang w:bidi="zh-CN"/>
        </w:rPr>
      </w:pPr>
      <w:r>
        <w:rPr>
          <w:rFonts w:hint="eastAsia" w:ascii="宋体" w:hAnsi="宋体" w:eastAsia="宋体" w:cs="宋体"/>
          <w:color w:val="auto"/>
          <w:sz w:val="24"/>
          <w:highlight w:val="none"/>
          <w:lang w:val="en-US" w:bidi="zh-CN"/>
        </w:rPr>
        <w:t xml:space="preserve">4</w:t>
      </w:r>
      <w:r>
        <w:rPr>
          <w:rFonts w:hint="eastAsia" w:ascii="宋体" w:hAnsi="宋体" w:eastAsia="宋体" w:cs="宋体"/>
          <w:color w:val="auto"/>
          <w:sz w:val="24"/>
          <w:highlight w:val="none"/>
          <w:lang w:bidi="zh-CN"/>
        </w:rPr>
        <w:t xml:space="preserve">.</w:t>
      </w:r>
      <w:r>
        <w:rPr>
          <w:rFonts w:hint="eastAsia" w:ascii="宋体" w:hAnsi="宋体" w:eastAsia="宋体" w:cs="宋体"/>
          <w:color w:val="auto"/>
          <w:sz w:val="24"/>
          <w:highlight w:val="none"/>
          <w:u w:val="single"/>
          <w:lang w:val="en-US" w:bidi="zh-CN"/>
        </w:rPr>
        <w:t xml:space="preserve">（标的名称） </w:t>
      </w:r>
      <w:r>
        <w:rPr>
          <w:rFonts w:hint="eastAsia" w:ascii="宋体" w:hAnsi="宋体" w:eastAsia="宋体" w:cs="宋体"/>
          <w:color w:val="auto"/>
          <w:sz w:val="24"/>
          <w:highlight w:val="none"/>
          <w:lang w:bidi="zh-CN"/>
        </w:rPr>
        <w:t xml:space="preserve">，属于</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（采购文件中明确的所属行业 </w:t>
      </w:r>
      <w:r>
        <w:rPr>
          <w:rFonts w:hint="eastAsia" w:ascii="宋体" w:hAnsi="宋体" w:eastAsia="宋体" w:cs="宋体"/>
          <w:color w:val="auto"/>
          <w:sz w:val="24"/>
          <w:highlight w:val="none"/>
          <w:lang w:bidi="zh-CN"/>
        </w:rPr>
        <w:t xml:space="preserve">；制造商为</w:t>
      </w:r>
      <w:r>
        <w:rPr>
          <w:rFonts w:hint="eastAsia" w:ascii="宋体" w:hAnsi="宋体" w:eastAsia="宋体" w:cs="宋体"/>
          <w:color w:val="auto"/>
          <w:sz w:val="24"/>
          <w:highlight w:val="none"/>
          <w:u w:val="single"/>
          <w:lang w:bidi="zh-CN"/>
        </w:rPr>
        <w:t xml:space="preserve">（企业名称）</w:t>
      </w:r>
      <w:r>
        <w:rPr>
          <w:rFonts w:hint="eastAsia" w:ascii="宋体" w:hAnsi="宋体" w:eastAsia="宋体" w:cs="宋体"/>
          <w:color w:val="auto"/>
          <w:sz w:val="24"/>
          <w:highlight w:val="none"/>
          <w:lang w:bidi="zh-CN"/>
        </w:rPr>
        <w:t xml:space="preserve">，从业人员</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lang w:bidi="zh-CN"/>
        </w:rPr>
        <w:t xml:space="preserve">人，营业收入为</w:t>
      </w:r>
      <w:r>
        <w:rPr>
          <w:rFonts w:hint="eastAsia" w:ascii="宋体" w:hAnsi="宋体" w:eastAsia="宋体" w:cs="宋体"/>
          <w:color w:val="auto"/>
          <w:sz w:val="24"/>
          <w:highlight w:val="none"/>
          <w:u w:val="single"/>
          <w:lang w:bidi="zh-CN"/>
        </w:rPr>
        <w:t xml:space="preserve"> </w:t>
      </w:r>
      <w:r>
        <w:rPr>
          <w:rFonts w:hint="eastAsia" w:ascii="宋体" w:hAnsi="宋体" w:eastAsia="宋体" w:cs="宋体"/>
          <w:color w:val="auto"/>
          <w:sz w:val="24"/>
          <w:highlight w:val="none"/>
          <w:u w:val="single"/>
          <w:lang w:val="en-US" w:bidi="zh-CN"/>
        </w:rPr>
        <w:t xml:space="preserve">  </w:t>
      </w:r>
      <w:r>
        <w:rPr>
          <w:rFonts w:hint="eastAsia" w:ascii="宋体" w:hAnsi="宋体" w:eastAsia="宋体" w:cs="宋体"/>
          <w:color w:val="auto"/>
          <w:sz w:val="24"/>
          <w:highlight w:val="none"/>
          <w:u w:val="single"/>
          <w:lang w:bidi="zh-CN"/>
        </w:rPr>
        <w:tab/>
      </w:r>
      <w:r>
        <w:rPr>
          <w:rFonts w:hint="eastAsia" w:ascii="宋体" w:hAnsi="宋体" w:eastAsia="宋体" w:cs="宋体"/>
          <w:color w:val="auto"/>
          <w:sz w:val="24"/>
          <w:highlight w:val="none"/>
          <w:lang w:bidi="zh-CN"/>
        </w:rPr>
        <w:t xml:space="preserve">万元，属于</w:t>
      </w:r>
      <w:r>
        <w:rPr>
          <w:rFonts w:hint="eastAsia" w:ascii="宋体" w:hAnsi="宋体" w:eastAsia="宋体" w:cs="宋体"/>
          <w:color w:val="auto"/>
          <w:sz w:val="24"/>
          <w:highlight w:val="none"/>
          <w:u w:val="single"/>
          <w:lang w:bidi="zh-CN"/>
        </w:rPr>
        <w:t xml:space="preserve">（中型企业、小型企业、微型企业）</w:t>
      </w:r>
      <w:r>
        <w:rPr>
          <w:rFonts w:hint="eastAsia" w:ascii="宋体" w:hAnsi="宋体" w:eastAsia="宋体" w:cs="宋体"/>
          <w:color w:val="auto"/>
          <w:sz w:val="24"/>
          <w:highlight w:val="none"/>
          <w:lang w:bidi="zh-CN"/>
        </w:rPr>
        <w:t xml:space="preserve">；</w:t>
      </w:r>
      <w:r/>
    </w:p>
    <w:p>
      <w:pPr>
        <w:pStyle w:val="139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本企业对上述声明内容的真实性负责。如有虚假，将依法承担相应责任。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注：1.本项目所属行业：工业，企业标准请参照《关于印发中小企业划型标准规定的通知》（工信部联企业[2011]300号）文件规定自行填写。</w:t>
      </w:r>
      <w:r/>
    </w:p>
    <w:p>
      <w:pPr>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2.从业人员、营业收入、资产总额填报上一年度数据，无上一年度数据的新成立企业可不填报。 </w:t>
      </w:r>
      <w:r/>
    </w:p>
    <w:p>
      <w:pPr>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3.投标供应商须根据上述要求，详细列明货物清单中所有产品制造商的具体情况，否则不能享受中小企业扶持政策。 </w:t>
      </w:r>
      <w:r/>
    </w:p>
    <w:p>
      <w:pPr>
        <w:ind w:firstLine="7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zh-CN"/>
        </w:rPr>
        <w:t xml:space="preserve">                                   企业名称（盖章）：</w:t>
      </w:r>
      <w:r/>
    </w:p>
    <w:p>
      <w:pPr>
        <w:jc w:val="left"/>
        <w:spacing w:line="360" w:lineRule="auto"/>
        <w:rPr>
          <w:rFonts w:hint="eastAsia" w:ascii="宋体" w:hAnsi="宋体" w:eastAsia="宋体" w:cs="宋体"/>
          <w:color w:val="auto"/>
          <w:sz w:val="28"/>
          <w:szCs w:val="28"/>
          <w:highlight w:val="none"/>
          <w:lang w:bidi="zh-CN"/>
        </w:rPr>
      </w:pPr>
      <w:r>
        <w:rPr>
          <w:rFonts w:hint="eastAsia" w:ascii="宋体" w:hAnsi="宋体" w:eastAsia="宋体" w:cs="宋体"/>
          <w:color w:val="auto"/>
          <w:sz w:val="24"/>
          <w:highlight w:val="none"/>
          <w:lang w:bidi="zh-CN"/>
        </w:rPr>
        <w:t xml:space="preserve">                                   日            期：</w:t>
      </w:r>
      <w:r/>
    </w:p>
    <w:p>
      <w:pPr>
        <w:spacing w:line="300" w:lineRule="auto"/>
        <w:rPr>
          <w:rFonts w:hint="eastAsia" w:ascii="宋体" w:hAnsi="宋体" w:eastAsia="宋体" w:cs="宋体"/>
          <w:color w:val="auto"/>
          <w:sz w:val="32"/>
          <w:szCs w:val="32"/>
          <w:highlight w:val="none"/>
        </w:rPr>
        <w:sectPr>
          <w:footnotePr/>
          <w:endnotePr/>
          <w:type w:val="nextPage"/>
          <w:pgSz w:w="11906" w:h="16838" w:orient="portrait"/>
          <w:pgMar w:top="1418" w:right="1474" w:bottom="1418" w:left="1474" w:header="851" w:footer="907" w:gutter="0"/>
          <w:cols w:num="1" w:sep="0" w:space="720" w:equalWidth="1"/>
          <w:docGrid w:linePitch="360"/>
        </w:sectPr>
        <w:outlineLvl w:val="0"/>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56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spacing w:line="588"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1560" w:firstLine="584"/>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lef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4"/>
          <w:highlight w:val="none"/>
        </w:rPr>
        <w:t xml:space="preserve">附件</w:t>
      </w: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w:t>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eastAsia="宋体" w:cs="宋体"/>
          <w:color w:val="auto"/>
          <w:sz w:val="32"/>
          <w:szCs w:val="32"/>
          <w:highlight w:val="none"/>
          <w:lang w:eastAsia="zh-CN"/>
        </w:rPr>
      </w:r>
      <w:r/>
    </w:p>
    <w:p>
      <w:pPr>
        <w:jc w:val="center"/>
        <w:spacing w:line="420" w:lineRule="exact"/>
        <w:rPr>
          <w:rFonts w:hint="eastAsia" w:ascii="宋体" w:hAnsi="宋体" w:eastAsia="宋体" w:cs="宋体"/>
          <w:b/>
          <w:bCs/>
          <w:color w:val="auto"/>
          <w:sz w:val="32"/>
          <w:szCs w:val="32"/>
          <w:highlight w:val="none"/>
        </w:rPr>
        <w:outlineLvl w:val="3"/>
      </w:pPr>
      <w:r>
        <w:rPr>
          <w:rFonts w:hint="eastAsia" w:ascii="宋体" w:hAnsi="宋体" w:eastAsia="宋体" w:cs="宋体"/>
          <w:b/>
          <w:bCs/>
          <w:color w:val="auto"/>
          <w:sz w:val="32"/>
          <w:szCs w:val="32"/>
          <w:highlight w:val="none"/>
        </w:rPr>
        <w:t xml:space="preserve">监狱和戒毒企业证明材料</w:t>
      </w:r>
      <w:r/>
    </w:p>
    <w:p>
      <w:pPr>
        <w:ind w:firstLine="495"/>
        <w:spacing w:line="4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98"/>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（格式自拟）</w:t>
      </w:r>
      <w:r/>
    </w:p>
    <w:p>
      <w:pPr>
        <w:ind w:firstLine="495"/>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6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jc w:val="left"/>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sectPr>
      <w:footnotePr/>
      <w:endnotePr/>
      <w:type w:val="nextPage"/>
      <w:pgSz w:w="11905" w:h="16838" w:orient="portrait"/>
      <w:pgMar w:top="1440" w:right="1519" w:bottom="1440" w:left="1519"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Univers">
    <w:panose1 w:val="020B0503020202020204"/>
  </w:font>
  <w:font w:name="Tahoma">
    <w:panose1 w:val="020B0604030504040204"/>
  </w:font>
  <w:font w:name="等线">
    <w:panose1 w:val="02010600030101010101"/>
  </w:font>
  <w:font w:name="仿宋">
    <w:panose1 w:val="02010609060101010101"/>
  </w:font>
  <w:font w:name="Menlo">
    <w:panose1 w:val="020B0503020202020204"/>
  </w:font>
  <w:font w:name="Courier New">
    <w:panose1 w:val="02070309020205020404"/>
  </w:font>
  <w:font w:name="微软雅黑">
    <w:panose1 w:val="020B0503020204020204"/>
  </w:font>
  <w:font w:name="Calibri">
    <w:panose1 w:val="020F0502020204030204"/>
  </w:font>
  <w:font w:name="PingFangSC-Regular-Identity-H">
    <w:panose1 w:val="020B0503020202020204"/>
  </w:font>
  <w:font w:name="TimesNewRomanPSMT">
    <w:panose1 w:val="02020603050405020304"/>
  </w:font>
  <w:font w:name="黑体">
    <w:panose1 w:val="02010609060101010101"/>
  </w:font>
  <w:font w:name="Verdana">
    <w:panose1 w:val="020B0604030504040204"/>
  </w:font>
  <w:font w:name="仿宋_GB2312">
    <w:panose1 w:val="02010609060101010101"/>
  </w:font>
  <w:font w:name="Arial">
    <w:panose1 w:val="020B0604020202020204"/>
  </w:font>
  <w:font w:name="创艺简仿宋">
    <w:panose1 w:val="020B0503020202020204"/>
  </w:font>
  <w:font w:name="楷体_GB2312">
    <w:panose1 w:val="02010609060101010101"/>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48"/>
      </w:rPr>
      <w:framePr w:wrap="around" w:vAnchor="text" w:hAnchor="margin" w:xAlign="right" w:y="1"/>
    </w:pPr>
    <w:r>
      <w:fldChar w:fldCharType="begin"/>
    </w:r>
    <w:r>
      <w:rPr>
        <w:rStyle w:val="948"/>
      </w:rPr>
      <w:instrText xml:space="preserve">PAGE  </w:instrText>
    </w:r>
    <w:r>
      <w:fldChar w:fldCharType="separate"/>
    </w:r>
    <w:r>
      <w:fldChar w:fldCharType="end"/>
    </w:r>
    <w:r/>
  </w:p>
  <w:p>
    <w:pPr>
      <w:pStyle w:val="96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6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63</w:t>
    </w:r>
    <w:r>
      <w:rPr>
        <w:b/>
        <w:sz w:val="24"/>
        <w:szCs w:val="24"/>
      </w:rPr>
      <w:fldChar w:fldCharType="end"/>
    </w:r>
    <w:r/>
  </w:p>
  <w:p>
    <w:pPr>
      <w:pStyle w:val="966"/>
      <w:ind w:firstLine="3420"/>
      <w:jc w:val="both"/>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tabs>
        <w:tab w:val="left" w:pos="540" w:leader="none"/>
      </w:tabs>
      <w:pBdr>
        <w:bottom w:val="none" w:color="000000" w:sz="0" w:space="0"/>
      </w:pBdr>
    </w:pPr>
    <w:r>
      <w:tab/>
    </w:r>
    <w:r>
      <w:tab/>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rPr>
        <w:rFonts w:hint="default"/>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7.%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4.%1)"/>
      <w:lvlJc w:val="left"/>
      <w:pPr>
        <w:ind w:left="126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1)"/>
      <w:lvlJc w:val="left"/>
      <w:pPr>
        <w:ind w:left="42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4.%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425" w:hanging="425"/>
      </w:pPr>
      <w:rPr>
        <w:rFonts w:hint="default" w:ascii="宋体" w:hAnsi="宋体" w:eastAsia="宋体" w:cs="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1141"/>
      <w:isLgl w:val="false"/>
      <w:suff w:val="tab"/>
      <w:lvlText w:val="%1.%2.%3.%4.%5"/>
      <w:lvlJc w:val="left"/>
      <w:pPr>
        <w:ind w:left="1008" w:hanging="1008"/>
        <w:tabs>
          <w:tab w:val="left" w:pos="1008" w:leader="none"/>
        </w:tabs>
      </w:pPr>
    </w:lvl>
    <w:lvl w:ilvl="5">
      <w:start w:val="1"/>
      <w:numFmt w:val="decimal"/>
      <w:pStyle w:val="1191"/>
      <w:isLgl w:val="false"/>
      <w:suff w:val="tab"/>
      <w:lvlText w:val="%1.%2.%3.%4.%5.%6"/>
      <w:lvlJc w:val="left"/>
      <w:pPr>
        <w:ind w:left="1152" w:hanging="1152"/>
        <w:tabs>
          <w:tab w:val="left" w:pos="1152" w:leader="none"/>
        </w:tabs>
      </w:pPr>
    </w:lvl>
    <w:lvl w:ilvl="6">
      <w:start w:val="1"/>
      <w:numFmt w:val="decimal"/>
      <w:pStyle w:val="1187"/>
      <w:isLgl w:val="false"/>
      <w:suff w:val="tab"/>
      <w:lvlText w:val="%1.%2.%3.%4.%5.%6.%7"/>
      <w:lvlJc w:val="left"/>
      <w:pPr>
        <w:ind w:left="1296" w:hanging="1296"/>
        <w:tabs>
          <w:tab w:val="left" w:pos="1296" w:leader="none"/>
        </w:tabs>
      </w:pPr>
    </w:lvl>
    <w:lvl w:ilvl="7">
      <w:start w:val="1"/>
      <w:numFmt w:val="decimal"/>
      <w:pStyle w:val="1086"/>
      <w:isLgl w:val="false"/>
      <w:suff w:val="tab"/>
      <w:lvlText w:val="%1.%2.%3.%4.%5.%6.%7.%8"/>
      <w:lvlJc w:val="left"/>
      <w:pPr>
        <w:ind w:left="1440" w:hanging="1440"/>
        <w:tabs>
          <w:tab w:val="left" w:pos="1440" w:leader="none"/>
        </w:tabs>
      </w:pPr>
    </w:lvl>
    <w:lvl w:ilvl="8">
      <w:start w:val="1"/>
      <w:numFmt w:val="decimal"/>
      <w:pStyle w:val="1189"/>
      <w:isLgl w:val="false"/>
      <w:suff w:val="tab"/>
      <w:lvlText w:val="%1.%2.%3.%4.%5.%6.%7.%8.%9"/>
      <w:lvlJc w:val="left"/>
      <w:pPr>
        <w:ind w:left="1584" w:hanging="1584"/>
        <w:tabs>
          <w:tab w:val="left" w:pos="1584" w:leader="none"/>
        </w:tabs>
      </w:pPr>
    </w:lvl>
  </w:abstractNum>
  <w:abstractNum w:abstractNumId="19">
    <w:multiLevelType w:val="hybridMultilevel"/>
    <w:lvl w:ilvl="0">
      <w:start w:val="1"/>
      <w:numFmt w:val="decimal"/>
      <w:isLgl w:val="false"/>
      <w:suff w:val="space"/>
      <w:lvlText w:val="1.1.%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2.%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EnclosedCircleChinese"/>
      <w:isLgl w:val="false"/>
      <w:suff w:val="nothing"/>
      <w:lvlText w:val="%1　"/>
      <w:lvlJc w:val="left"/>
      <w:pPr>
        <w:ind w:left="0" w:firstLine="400"/>
      </w:pPr>
      <w:rPr>
        <w:rFonts w:hint="eastAsia"/>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29">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874" w:hanging="454"/>
        <w:tabs>
          <w:tab w:val="left" w:pos="81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6.%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2.%1)"/>
      <w:lvlJc w:val="left"/>
      <w:pPr>
        <w:ind w:left="42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3.%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2.%1)"/>
      <w:lvlJc w:val="left"/>
      <w:pPr>
        <w:ind w:left="840" w:firstLine="0"/>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05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12"/>
  </w:num>
  <w:num w:numId="3">
    <w:abstractNumId w:val="4"/>
  </w:num>
  <w:num w:numId="4">
    <w:abstractNumId w:val="13"/>
  </w:num>
  <w:num w:numId="5">
    <w:abstractNumId w:val="10"/>
  </w:num>
  <w:num w:numId="6">
    <w:abstractNumId w:val="8"/>
  </w:num>
  <w:num w:numId="7">
    <w:abstractNumId w:val="19"/>
  </w:num>
  <w:num w:numId="8">
    <w:abstractNumId w:val="22"/>
  </w:num>
  <w:num w:numId="9">
    <w:abstractNumId w:val="32"/>
  </w:num>
  <w:num w:numId="10">
    <w:abstractNumId w:val="33"/>
  </w:num>
  <w:num w:numId="11">
    <w:abstractNumId w:val="2"/>
  </w:num>
  <w:num w:numId="12">
    <w:abstractNumId w:val="23"/>
  </w:num>
  <w:num w:numId="13">
    <w:abstractNumId w:val="29"/>
  </w:num>
  <w:num w:numId="14">
    <w:abstractNumId w:val="11"/>
  </w:num>
  <w:num w:numId="15">
    <w:abstractNumId w:val="15"/>
  </w:num>
  <w:num w:numId="16">
    <w:abstractNumId w:val="14"/>
  </w:num>
  <w:num w:numId="17">
    <w:abstractNumId w:val="5"/>
  </w:num>
  <w:num w:numId="18">
    <w:abstractNumId w:val="7"/>
  </w:num>
  <w:num w:numId="19">
    <w:abstractNumId w:val="26"/>
  </w:num>
  <w:num w:numId="20">
    <w:abstractNumId w:val="30"/>
  </w:num>
  <w:num w:numId="21">
    <w:abstractNumId w:val="20"/>
  </w:num>
  <w:num w:numId="22">
    <w:abstractNumId w:val="25"/>
  </w:num>
  <w:num w:numId="23">
    <w:abstractNumId w:val="6"/>
  </w:num>
  <w:num w:numId="24">
    <w:abstractNumId w:val="35"/>
  </w:num>
  <w:num w:numId="25">
    <w:abstractNumId w:val="34"/>
  </w:num>
  <w:num w:numId="26">
    <w:abstractNumId w:val="9"/>
  </w:num>
  <w:num w:numId="27">
    <w:abstractNumId w:val="31"/>
  </w:num>
  <w:num w:numId="28">
    <w:abstractNumId w:val="3"/>
  </w:num>
  <w:num w:numId="29">
    <w:abstractNumId w:val="24"/>
  </w:num>
  <w:num w:numId="30">
    <w:abstractNumId w:val="1"/>
  </w:num>
  <w:num w:numId="31">
    <w:abstractNumId w:val="28"/>
  </w:num>
  <w:num w:numId="32">
    <w:abstractNumId w:val="36"/>
  </w:num>
  <w:num w:numId="33">
    <w:abstractNumId w:val="0"/>
  </w:num>
  <w:num w:numId="34">
    <w:abstractNumId w:val="21"/>
  </w:num>
  <w:num w:numId="35">
    <w:abstractNumId w:val="27"/>
  </w:num>
  <w:num w:numId="36">
    <w:abstractNumId w:val="17"/>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8" w:default="1">
    <w:name w:val="Normal"/>
    <w:link w:val="1082"/>
    <w:uiPriority w:val="0"/>
    <w:qFormat/>
    <w:pPr>
      <w:jc w:val="both"/>
      <w:widowControl w:val="off"/>
    </w:pPr>
    <w:rPr>
      <w:rFonts w:hint="default" w:ascii="Times New Roman" w:hAnsi="Times New Roman" w:eastAsia="楷体_GB2312" w:cs="Times New Roman"/>
      <w:sz w:val="26"/>
      <w:lang w:val="en-US" w:eastAsia="zh-CN" w:bidi="ar-SA"/>
    </w:rPr>
  </w:style>
  <w:style w:type="paragraph" w:styleId="849">
    <w:name w:val="Heading 1"/>
    <w:basedOn w:val="848"/>
    <w:next w:val="848"/>
    <w:uiPriority w:val="9"/>
    <w:qFormat/>
    <w:pPr>
      <w:keepLines/>
      <w:keepNext/>
      <w:spacing w:before="480" w:after="200"/>
      <w:outlineLvl w:val="0"/>
    </w:pPr>
    <w:rPr>
      <w:rFonts w:ascii="Arial" w:hAnsi="Arial" w:eastAsia="Arial" w:cs="Arial"/>
      <w:sz w:val="40"/>
      <w:szCs w:val="40"/>
    </w:rPr>
  </w:style>
  <w:style w:type="paragraph" w:styleId="850">
    <w:name w:val="Heading 2"/>
    <w:basedOn w:val="848"/>
    <w:next w:val="848"/>
    <w:uiPriority w:val="9"/>
    <w:unhideWhenUsed/>
    <w:qFormat/>
    <w:pPr>
      <w:keepLines/>
      <w:keepNext/>
      <w:spacing w:before="360" w:after="200"/>
      <w:outlineLvl w:val="1"/>
    </w:pPr>
    <w:rPr>
      <w:rFonts w:ascii="Arial" w:hAnsi="Arial" w:eastAsia="Arial" w:cs="Arial"/>
      <w:sz w:val="34"/>
    </w:rPr>
  </w:style>
  <w:style w:type="paragraph" w:styleId="851">
    <w:name w:val="Heading 3"/>
    <w:basedOn w:val="848"/>
    <w:next w:val="848"/>
    <w:uiPriority w:val="9"/>
    <w:unhideWhenUsed/>
    <w:qFormat/>
    <w:pPr>
      <w:keepLines/>
      <w:keepNext/>
      <w:spacing w:before="320" w:after="200"/>
      <w:outlineLvl w:val="2"/>
    </w:pPr>
    <w:rPr>
      <w:rFonts w:ascii="Arial" w:hAnsi="Arial" w:eastAsia="Arial" w:cs="Arial"/>
      <w:sz w:val="30"/>
      <w:szCs w:val="30"/>
    </w:rPr>
  </w:style>
  <w:style w:type="paragraph" w:styleId="852">
    <w:name w:val="Heading 4"/>
    <w:basedOn w:val="848"/>
    <w:next w:val="848"/>
    <w:uiPriority w:val="9"/>
    <w:unhideWhenUsed/>
    <w:qFormat/>
    <w:pPr>
      <w:keepLines/>
      <w:keepNext/>
      <w:spacing w:before="320" w:after="200"/>
      <w:outlineLvl w:val="3"/>
    </w:pPr>
    <w:rPr>
      <w:rFonts w:ascii="Arial" w:hAnsi="Arial" w:eastAsia="Arial" w:cs="Arial"/>
      <w:b/>
      <w:bCs/>
      <w:sz w:val="26"/>
      <w:szCs w:val="26"/>
    </w:rPr>
  </w:style>
  <w:style w:type="paragraph" w:styleId="853">
    <w:name w:val="Heading 5"/>
    <w:basedOn w:val="848"/>
    <w:next w:val="848"/>
    <w:uiPriority w:val="9"/>
    <w:unhideWhenUsed/>
    <w:qFormat/>
    <w:pPr>
      <w:keepLines/>
      <w:keepNext/>
      <w:spacing w:before="320" w:after="200"/>
      <w:outlineLvl w:val="4"/>
    </w:pPr>
    <w:rPr>
      <w:rFonts w:ascii="Arial" w:hAnsi="Arial" w:eastAsia="Arial" w:cs="Arial"/>
      <w:b/>
      <w:bCs/>
      <w:sz w:val="24"/>
      <w:szCs w:val="24"/>
    </w:rPr>
  </w:style>
  <w:style w:type="paragraph" w:styleId="854">
    <w:name w:val="Heading 6"/>
    <w:basedOn w:val="848"/>
    <w:next w:val="848"/>
    <w:uiPriority w:val="9"/>
    <w:unhideWhenUsed/>
    <w:qFormat/>
    <w:pPr>
      <w:keepLines/>
      <w:keepNext/>
      <w:spacing w:before="320" w:after="200"/>
      <w:outlineLvl w:val="5"/>
    </w:pPr>
    <w:rPr>
      <w:rFonts w:ascii="Arial" w:hAnsi="Arial" w:eastAsia="Arial" w:cs="Arial"/>
      <w:b/>
      <w:bCs/>
      <w:sz w:val="22"/>
      <w:szCs w:val="22"/>
    </w:rPr>
  </w:style>
  <w:style w:type="paragraph" w:styleId="855">
    <w:name w:val="Heading 7"/>
    <w:basedOn w:val="848"/>
    <w:next w:val="848"/>
    <w:uiPriority w:val="9"/>
    <w:unhideWhenUsed/>
    <w:qFormat/>
    <w:pPr>
      <w:keepLines/>
      <w:keepNext/>
      <w:spacing w:before="320" w:after="200"/>
      <w:outlineLvl w:val="6"/>
    </w:pPr>
    <w:rPr>
      <w:rFonts w:ascii="Arial" w:hAnsi="Arial" w:eastAsia="Arial" w:cs="Arial"/>
      <w:b/>
      <w:bCs/>
      <w:i/>
      <w:iCs/>
      <w:sz w:val="22"/>
      <w:szCs w:val="22"/>
    </w:rPr>
  </w:style>
  <w:style w:type="paragraph" w:styleId="856">
    <w:name w:val="Heading 8"/>
    <w:basedOn w:val="848"/>
    <w:next w:val="848"/>
    <w:uiPriority w:val="9"/>
    <w:unhideWhenUsed/>
    <w:qFormat/>
    <w:pPr>
      <w:keepLines/>
      <w:keepNext/>
      <w:spacing w:before="320" w:after="200"/>
      <w:outlineLvl w:val="7"/>
    </w:pPr>
    <w:rPr>
      <w:rFonts w:ascii="Arial" w:hAnsi="Arial" w:eastAsia="Arial" w:cs="Arial"/>
      <w:i/>
      <w:iCs/>
      <w:sz w:val="22"/>
      <w:szCs w:val="22"/>
    </w:rPr>
  </w:style>
  <w:style w:type="paragraph" w:styleId="857">
    <w:name w:val="Heading 9"/>
    <w:basedOn w:val="848"/>
    <w:next w:val="848"/>
    <w:uiPriority w:val="9"/>
    <w:unhideWhenUsed/>
    <w:qFormat/>
    <w:pPr>
      <w:keepLines/>
      <w:keepNext/>
      <w:spacing w:before="320" w:after="200"/>
      <w:outlineLvl w:val="8"/>
    </w:pPr>
    <w:rPr>
      <w:rFonts w:ascii="Arial" w:hAnsi="Arial" w:eastAsia="Arial" w:cs="Arial"/>
      <w:i/>
      <w:iCs/>
      <w:sz w:val="21"/>
      <w:szCs w:val="21"/>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toc 7"/>
    <w:basedOn w:val="848"/>
    <w:next w:val="848"/>
    <w:uiPriority w:val="39"/>
    <w:unhideWhenUsed/>
    <w:qFormat/>
    <w:pPr>
      <w:ind w:left="1701" w:right="0" w:firstLine="0"/>
      <w:spacing w:after="57"/>
    </w:pPr>
  </w:style>
  <w:style w:type="paragraph" w:styleId="861">
    <w:name w:val="Caption"/>
    <w:basedOn w:val="848"/>
    <w:next w:val="848"/>
    <w:uiPriority w:val="35"/>
    <w:semiHidden/>
    <w:unhideWhenUsed/>
    <w:qFormat/>
    <w:pPr>
      <w:spacing w:line="276" w:lineRule="auto"/>
    </w:pPr>
    <w:rPr>
      <w:b/>
      <w:bCs/>
      <w:color w:val="4f81bd" w:themeColor="accent1"/>
      <w:sz w:val="18"/>
      <w:szCs w:val="18"/>
    </w:rPr>
  </w:style>
  <w:style w:type="paragraph" w:styleId="862">
    <w:name w:val="annotation text"/>
    <w:basedOn w:val="848"/>
    <w:uiPriority w:val="0"/>
    <w:qFormat/>
    <w:pPr>
      <w:jc w:val="left"/>
    </w:pPr>
  </w:style>
  <w:style w:type="paragraph" w:styleId="863">
    <w:name w:val="Body Text"/>
    <w:basedOn w:val="848"/>
    <w:uiPriority w:val="0"/>
    <w:qFormat/>
    <w:rPr>
      <w:rFonts w:ascii="楷体_GB2312" w:hAnsi="Arial" w:eastAsia="楷体_GB2312" w:cs="Times New Roman"/>
      <w:sz w:val="28"/>
      <w:szCs w:val="28"/>
    </w:rPr>
  </w:style>
  <w:style w:type="paragraph" w:styleId="864">
    <w:name w:val="Body Text Indent"/>
    <w:basedOn w:val="848"/>
    <w:next w:val="848"/>
    <w:uiPriority w:val="0"/>
    <w:unhideWhenUsed/>
    <w:qFormat/>
    <w:pPr>
      <w:ind w:left="420"/>
      <w:spacing w:after="120"/>
    </w:pPr>
  </w:style>
  <w:style w:type="paragraph" w:styleId="865">
    <w:name w:val="Block Text"/>
    <w:basedOn w:val="848"/>
    <w:uiPriority w:val="0"/>
    <w:qFormat/>
    <w:pPr>
      <w:ind w:left="237" w:right="216" w:firstLine="420"/>
      <w:spacing w:line="360" w:lineRule="auto"/>
    </w:pPr>
    <w:rPr>
      <w:rFonts w:ascii="宋体" w:hAnsi="宋体"/>
      <w:sz w:val="24"/>
      <w:szCs w:val="21"/>
    </w:rPr>
  </w:style>
  <w:style w:type="paragraph" w:styleId="866">
    <w:name w:val="toc 5"/>
    <w:basedOn w:val="848"/>
    <w:next w:val="848"/>
    <w:uiPriority w:val="39"/>
    <w:unhideWhenUsed/>
    <w:qFormat/>
    <w:pPr>
      <w:ind w:left="1134" w:right="0" w:firstLine="0"/>
      <w:spacing w:after="57"/>
    </w:pPr>
  </w:style>
  <w:style w:type="paragraph" w:styleId="867">
    <w:name w:val="toc 3"/>
    <w:basedOn w:val="848"/>
    <w:next w:val="848"/>
    <w:uiPriority w:val="39"/>
    <w:unhideWhenUsed/>
    <w:qFormat/>
    <w:pPr>
      <w:ind w:left="567" w:right="0" w:firstLine="0"/>
      <w:spacing w:after="57"/>
    </w:pPr>
  </w:style>
  <w:style w:type="paragraph" w:styleId="868">
    <w:name w:val="toc 8"/>
    <w:basedOn w:val="848"/>
    <w:next w:val="848"/>
    <w:uiPriority w:val="39"/>
    <w:unhideWhenUsed/>
    <w:qFormat/>
    <w:pPr>
      <w:ind w:left="1984" w:right="0" w:firstLine="0"/>
      <w:spacing w:after="57"/>
    </w:pPr>
  </w:style>
  <w:style w:type="paragraph" w:styleId="869">
    <w:name w:val="endnote text"/>
    <w:basedOn w:val="848"/>
    <w:uiPriority w:val="99"/>
    <w:semiHidden/>
    <w:unhideWhenUsed/>
    <w:qFormat/>
    <w:pPr>
      <w:spacing w:after="0" w:line="240" w:lineRule="auto"/>
    </w:pPr>
    <w:rPr>
      <w:sz w:val="20"/>
    </w:rPr>
  </w:style>
  <w:style w:type="paragraph" w:styleId="870">
    <w:name w:val="Footer"/>
    <w:basedOn w:val="848"/>
    <w:uiPriority w:val="99"/>
    <w:unhideWhenUsed/>
    <w:qFormat/>
    <w:pPr>
      <w:spacing w:after="0" w:line="240" w:lineRule="auto"/>
      <w:tabs>
        <w:tab w:val="center" w:pos="7143" w:leader="none"/>
        <w:tab w:val="right" w:pos="14287" w:leader="none"/>
      </w:tabs>
    </w:pPr>
  </w:style>
  <w:style w:type="paragraph" w:styleId="871">
    <w:name w:val="Header"/>
    <w:basedOn w:val="848"/>
    <w:uiPriority w:val="99"/>
    <w:unhideWhenUsed/>
    <w:qFormat/>
    <w:pPr>
      <w:spacing w:after="0" w:line="240" w:lineRule="auto"/>
      <w:tabs>
        <w:tab w:val="center" w:pos="7143" w:leader="none"/>
        <w:tab w:val="right" w:pos="14287" w:leader="none"/>
      </w:tabs>
    </w:pPr>
  </w:style>
  <w:style w:type="paragraph" w:styleId="872">
    <w:name w:val="toc 1"/>
    <w:basedOn w:val="848"/>
    <w:next w:val="848"/>
    <w:uiPriority w:val="39"/>
    <w:unhideWhenUsed/>
    <w:qFormat/>
    <w:pPr>
      <w:ind w:left="0" w:right="0" w:firstLine="0"/>
      <w:spacing w:after="57"/>
    </w:pPr>
  </w:style>
  <w:style w:type="paragraph" w:styleId="873">
    <w:name w:val="toc 4"/>
    <w:basedOn w:val="848"/>
    <w:next w:val="848"/>
    <w:uiPriority w:val="39"/>
    <w:unhideWhenUsed/>
    <w:qFormat/>
    <w:pPr>
      <w:ind w:left="850" w:right="0" w:firstLine="0"/>
      <w:spacing w:after="57"/>
    </w:pPr>
  </w:style>
  <w:style w:type="paragraph" w:styleId="874">
    <w:name w:val="Subtitle"/>
    <w:basedOn w:val="848"/>
    <w:next w:val="848"/>
    <w:uiPriority w:val="11"/>
    <w:qFormat/>
    <w:pPr>
      <w:spacing w:before="200" w:after="200"/>
    </w:pPr>
    <w:rPr>
      <w:sz w:val="24"/>
      <w:szCs w:val="24"/>
    </w:rPr>
  </w:style>
  <w:style w:type="paragraph" w:styleId="875">
    <w:name w:val="footnote text"/>
    <w:basedOn w:val="848"/>
    <w:uiPriority w:val="99"/>
    <w:semiHidden/>
    <w:unhideWhenUsed/>
    <w:qFormat/>
    <w:pPr>
      <w:spacing w:after="40" w:line="240" w:lineRule="auto"/>
    </w:pPr>
    <w:rPr>
      <w:sz w:val="18"/>
    </w:rPr>
  </w:style>
  <w:style w:type="paragraph" w:styleId="876">
    <w:name w:val="toc 6"/>
    <w:basedOn w:val="848"/>
    <w:next w:val="848"/>
    <w:uiPriority w:val="39"/>
    <w:unhideWhenUsed/>
    <w:qFormat/>
    <w:pPr>
      <w:ind w:left="1417" w:right="0" w:firstLine="0"/>
      <w:spacing w:after="57"/>
    </w:pPr>
  </w:style>
  <w:style w:type="paragraph" w:styleId="877">
    <w:name w:val="table of figures"/>
    <w:basedOn w:val="848"/>
    <w:next w:val="848"/>
    <w:uiPriority w:val="99"/>
    <w:unhideWhenUsed/>
    <w:qFormat/>
    <w:pPr>
      <w:spacing w:after="0" w:afterAutospacing="0"/>
    </w:pPr>
  </w:style>
  <w:style w:type="paragraph" w:styleId="878">
    <w:name w:val="toc 2"/>
    <w:basedOn w:val="848"/>
    <w:next w:val="848"/>
    <w:uiPriority w:val="39"/>
    <w:unhideWhenUsed/>
    <w:qFormat/>
    <w:pPr>
      <w:ind w:left="283" w:right="0" w:firstLine="0"/>
      <w:spacing w:after="57"/>
    </w:pPr>
  </w:style>
  <w:style w:type="paragraph" w:styleId="879">
    <w:name w:val="toc 9"/>
    <w:basedOn w:val="848"/>
    <w:next w:val="848"/>
    <w:uiPriority w:val="39"/>
    <w:unhideWhenUsed/>
    <w:qFormat/>
    <w:pPr>
      <w:ind w:left="2268" w:right="0" w:firstLine="0"/>
      <w:spacing w:after="57"/>
    </w:pPr>
  </w:style>
  <w:style w:type="paragraph" w:styleId="880">
    <w:name w:val="Normal (Web)"/>
    <w:basedOn w:val="848"/>
    <w:uiPriority w:val="0"/>
    <w:qFormat/>
    <w:pPr>
      <w:ind w:left="0" w:right="0"/>
      <w:jc w:val="left"/>
      <w:spacing w:before="0" w:beforeAutospacing="1" w:after="0" w:afterAutospacing="1"/>
    </w:pPr>
    <w:rPr>
      <w:sz w:val="24"/>
      <w:lang w:val="en-US" w:eastAsia="zh-CN" w:bidi="ar"/>
    </w:rPr>
  </w:style>
  <w:style w:type="paragraph" w:styleId="881">
    <w:name w:val="Title"/>
    <w:basedOn w:val="848"/>
    <w:uiPriority w:val="10"/>
    <w:qFormat/>
    <w:pPr>
      <w:contextualSpacing/>
      <w:spacing w:before="300" w:after="200"/>
    </w:pPr>
    <w:rPr>
      <w:sz w:val="48"/>
      <w:szCs w:val="48"/>
    </w:rPr>
  </w:style>
  <w:style w:type="paragraph" w:styleId="882">
    <w:name w:val="Body Text First Indent"/>
    <w:basedOn w:val="863"/>
    <w:next w:val="883"/>
    <w:uiPriority w:val="0"/>
    <w:qFormat/>
    <w:pPr>
      <w:ind w:firstLine="200"/>
      <w:spacing w:line="360" w:lineRule="auto"/>
    </w:pPr>
    <w:rPr>
      <w:rFonts w:ascii="仿宋_GB2312" w:hAnsi="Times New Roman" w:eastAsia="仿宋_GB2312" w:cs="Times New Roman"/>
      <w:sz w:val="30"/>
      <w:szCs w:val="30"/>
    </w:rPr>
  </w:style>
  <w:style w:type="paragraph" w:styleId="883">
    <w:name w:val="Body Text First Indent 2"/>
    <w:basedOn w:val="864"/>
    <w:next w:val="882"/>
    <w:uiPriority w:val="0"/>
    <w:qFormat/>
    <w:pPr>
      <w:ind w:left="0" w:firstLine="420"/>
      <w:spacing w:after="0" w:line="360" w:lineRule="auto"/>
    </w:pPr>
    <w:rPr>
      <w:rFonts w:ascii="宋体" w:hAnsi="宋体" w:eastAsia="宋体" w:cs="Times New Roman"/>
      <w:szCs w:val="20"/>
    </w:rPr>
  </w:style>
  <w:style w:type="table" w:styleId="88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5">
    <w:name w:val="endnote reference"/>
    <w:uiPriority w:val="99"/>
    <w:semiHidden/>
    <w:unhideWhenUsed/>
    <w:qFormat/>
    <w:rPr>
      <w:vertAlign w:val="superscript"/>
    </w:rPr>
  </w:style>
  <w:style w:type="character" w:styleId="886">
    <w:name w:val="Hyperlink"/>
    <w:uiPriority w:val="99"/>
    <w:unhideWhenUsed/>
    <w:qFormat/>
    <w:rPr>
      <w:color w:val="0000ff" w:themeColor="hyperlink"/>
      <w:u w:val="single"/>
    </w:rPr>
  </w:style>
  <w:style w:type="character" w:styleId="887">
    <w:name w:val="footnote reference"/>
    <w:uiPriority w:val="99"/>
    <w:unhideWhenUsed/>
    <w:qFormat/>
    <w:rPr>
      <w:vertAlign w:val="superscript"/>
    </w:rPr>
  </w:style>
  <w:style w:type="paragraph" w:styleId="888">
    <w:name w:val="List Paragraph"/>
    <w:basedOn w:val="848"/>
    <w:uiPriority w:val="34"/>
    <w:qFormat/>
    <w:pPr>
      <w:contextualSpacing/>
      <w:ind w:left="720"/>
    </w:pPr>
  </w:style>
  <w:style w:type="paragraph" w:styleId="889">
    <w:name w:val="No Spacing"/>
    <w:uiPriority w:val="1"/>
    <w:qFormat/>
    <w:pPr>
      <w:spacing w:before="0" w:after="0" w:line="240" w:lineRule="auto"/>
    </w:pPr>
    <w:rPr>
      <w:rFonts w:hint="default" w:ascii="Times New Roman" w:hAnsi="Times New Roman" w:eastAsia="宋体" w:cs="Times New Roman"/>
    </w:rPr>
  </w:style>
  <w:style w:type="paragraph" w:styleId="890">
    <w:name w:val="Quote"/>
    <w:basedOn w:val="848"/>
    <w:next w:val="848"/>
    <w:uiPriority w:val="29"/>
    <w:qFormat/>
    <w:pPr>
      <w:ind w:left="720" w:right="720"/>
    </w:pPr>
    <w:rPr>
      <w:i/>
    </w:rPr>
  </w:style>
  <w:style w:type="paragraph" w:styleId="891">
    <w:name w:val="Intense Quote"/>
    <w:basedOn w:val="848"/>
    <w:next w:val="8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1" w:customStyle="1">
    <w:name w:val="TOC Heading"/>
    <w:uiPriority w:val="39"/>
    <w:unhideWhenUsed/>
    <w:qFormat/>
    <w:rPr>
      <w:rFonts w:hint="default" w:ascii="Times New Roman" w:hAnsi="Times New Roman" w:eastAsia="宋体" w:cs="Times New Roman"/>
    </w:rPr>
  </w:style>
  <w:style w:type="character" w:styleId="912" w:customStyle="1">
    <w:name w:val="默认段落字体11"/>
    <w:link w:val="848"/>
    <w:uiPriority w:val="1"/>
    <w:unhideWhenUsed/>
    <w:qFormat/>
  </w:style>
  <w:style w:type="table" w:styleId="913" w:customStyle="1">
    <w:name w:val="普通表格11"/>
    <w:uiPriority w:val="99"/>
    <w:unhideWhenUsed/>
    <w:qFormat/>
    <w:tblPr/>
  </w:style>
  <w:style w:type="paragraph" w:styleId="914" w:customStyle="1">
    <w:name w:val="目录 711"/>
    <w:basedOn w:val="848"/>
    <w:next w:val="848"/>
    <w:uiPriority w:val="39"/>
    <w:unhideWhenUsed/>
    <w:qFormat/>
    <w:pPr>
      <w:ind w:left="1701" w:right="0" w:firstLine="0"/>
      <w:spacing w:after="57"/>
    </w:pPr>
  </w:style>
  <w:style w:type="paragraph" w:styleId="915" w:customStyle="1">
    <w:name w:val="批注文字11"/>
    <w:basedOn w:val="848"/>
    <w:link w:val="916"/>
    <w:uiPriority w:val="99"/>
    <w:unhideWhenUsed/>
    <w:qFormat/>
    <w:pPr>
      <w:jc w:val="left"/>
    </w:pPr>
  </w:style>
  <w:style w:type="character" w:styleId="916" w:customStyle="1">
    <w:name w:val="批注文字 字符"/>
    <w:link w:val="915"/>
    <w:uiPriority w:val="99"/>
    <w:qFormat/>
    <w:rPr>
      <w:rFonts w:eastAsia="楷体_GB2312"/>
      <w:sz w:val="26"/>
    </w:rPr>
  </w:style>
  <w:style w:type="paragraph" w:styleId="917" w:customStyle="1">
    <w:name w:val="目录 511"/>
    <w:basedOn w:val="848"/>
    <w:next w:val="848"/>
    <w:uiPriority w:val="39"/>
    <w:unhideWhenUsed/>
    <w:qFormat/>
    <w:pPr>
      <w:ind w:left="1134" w:right="0" w:firstLine="0"/>
      <w:spacing w:after="57"/>
    </w:pPr>
  </w:style>
  <w:style w:type="paragraph" w:styleId="918" w:customStyle="1">
    <w:name w:val="目录 311"/>
    <w:basedOn w:val="848"/>
    <w:next w:val="848"/>
    <w:uiPriority w:val="39"/>
    <w:unhideWhenUsed/>
    <w:qFormat/>
    <w:pPr>
      <w:ind w:left="567" w:right="0" w:firstLine="0"/>
      <w:spacing w:after="57"/>
    </w:pPr>
  </w:style>
  <w:style w:type="paragraph" w:styleId="919" w:customStyle="1">
    <w:name w:val="目录 811"/>
    <w:basedOn w:val="848"/>
    <w:next w:val="848"/>
    <w:uiPriority w:val="39"/>
    <w:unhideWhenUsed/>
    <w:qFormat/>
    <w:pPr>
      <w:ind w:left="1984" w:right="0" w:firstLine="0"/>
      <w:spacing w:after="57"/>
    </w:pPr>
  </w:style>
  <w:style w:type="paragraph" w:styleId="920" w:customStyle="1">
    <w:name w:val="尾注文本11"/>
    <w:basedOn w:val="848"/>
    <w:uiPriority w:val="99"/>
    <w:unhideWhenUsed/>
    <w:qFormat/>
    <w:pPr>
      <w:spacing w:after="0" w:line="240" w:lineRule="auto"/>
    </w:pPr>
    <w:rPr>
      <w:sz w:val="20"/>
    </w:rPr>
  </w:style>
  <w:style w:type="paragraph" w:styleId="921" w:customStyle="1">
    <w:name w:val="目录 111"/>
    <w:basedOn w:val="848"/>
    <w:next w:val="848"/>
    <w:uiPriority w:val="39"/>
    <w:unhideWhenUsed/>
    <w:qFormat/>
    <w:pPr>
      <w:ind w:left="0" w:right="0" w:firstLine="0"/>
      <w:spacing w:after="57"/>
    </w:pPr>
  </w:style>
  <w:style w:type="paragraph" w:styleId="922" w:customStyle="1">
    <w:name w:val="目录 411"/>
    <w:basedOn w:val="848"/>
    <w:next w:val="848"/>
    <w:uiPriority w:val="39"/>
    <w:unhideWhenUsed/>
    <w:qFormat/>
    <w:pPr>
      <w:ind w:left="850" w:right="0" w:firstLine="0"/>
      <w:spacing w:after="57"/>
    </w:pPr>
  </w:style>
  <w:style w:type="paragraph" w:styleId="923" w:customStyle="1">
    <w:name w:val="副标题11"/>
    <w:basedOn w:val="848"/>
    <w:next w:val="848"/>
    <w:uiPriority w:val="11"/>
    <w:qFormat/>
    <w:pPr>
      <w:spacing w:before="200" w:after="200"/>
    </w:pPr>
    <w:rPr>
      <w:sz w:val="24"/>
      <w:szCs w:val="24"/>
    </w:rPr>
  </w:style>
  <w:style w:type="paragraph" w:styleId="924" w:customStyle="1">
    <w:name w:val="脚注文本11"/>
    <w:basedOn w:val="848"/>
    <w:uiPriority w:val="99"/>
    <w:unhideWhenUsed/>
    <w:qFormat/>
    <w:pPr>
      <w:spacing w:after="40" w:line="240" w:lineRule="auto"/>
    </w:pPr>
    <w:rPr>
      <w:sz w:val="18"/>
    </w:rPr>
  </w:style>
  <w:style w:type="paragraph" w:styleId="925" w:customStyle="1">
    <w:name w:val="目录 611"/>
    <w:basedOn w:val="848"/>
    <w:next w:val="848"/>
    <w:uiPriority w:val="39"/>
    <w:unhideWhenUsed/>
    <w:qFormat/>
    <w:pPr>
      <w:ind w:left="1417" w:right="0" w:firstLine="0"/>
      <w:spacing w:after="57"/>
    </w:pPr>
  </w:style>
  <w:style w:type="paragraph" w:styleId="926" w:customStyle="1">
    <w:name w:val="图表目录11"/>
    <w:basedOn w:val="848"/>
    <w:next w:val="848"/>
    <w:uiPriority w:val="99"/>
    <w:unhideWhenUsed/>
    <w:qFormat/>
    <w:pPr>
      <w:spacing w:after="0" w:afterAutospacing="0"/>
    </w:pPr>
  </w:style>
  <w:style w:type="paragraph" w:styleId="927" w:customStyle="1">
    <w:name w:val="目录 211"/>
    <w:basedOn w:val="848"/>
    <w:next w:val="848"/>
    <w:uiPriority w:val="39"/>
    <w:unhideWhenUsed/>
    <w:qFormat/>
    <w:pPr>
      <w:ind w:left="283" w:right="0" w:firstLine="0"/>
      <w:spacing w:after="57"/>
    </w:pPr>
  </w:style>
  <w:style w:type="paragraph" w:styleId="928" w:customStyle="1">
    <w:name w:val="目录 911"/>
    <w:basedOn w:val="848"/>
    <w:next w:val="848"/>
    <w:uiPriority w:val="39"/>
    <w:unhideWhenUsed/>
    <w:qFormat/>
    <w:pPr>
      <w:ind w:left="2268" w:right="0" w:firstLine="0"/>
      <w:spacing w:after="57"/>
    </w:pPr>
  </w:style>
  <w:style w:type="paragraph" w:styleId="929" w:customStyle="1">
    <w:name w:val="标题11"/>
    <w:basedOn w:val="848"/>
    <w:next w:val="848"/>
    <w:uiPriority w:val="10"/>
    <w:qFormat/>
    <w:pPr>
      <w:contextualSpacing/>
      <w:spacing w:before="300" w:after="200"/>
    </w:pPr>
    <w:rPr>
      <w:sz w:val="48"/>
      <w:szCs w:val="48"/>
    </w:rPr>
  </w:style>
  <w:style w:type="paragraph" w:styleId="930" w:customStyle="1">
    <w:name w:val="批注主题11"/>
    <w:basedOn w:val="915"/>
    <w:next w:val="915"/>
    <w:link w:val="931"/>
    <w:uiPriority w:val="99"/>
    <w:unhideWhenUsed/>
    <w:qFormat/>
    <w:rPr>
      <w:b/>
      <w:bCs/>
    </w:rPr>
  </w:style>
  <w:style w:type="character" w:styleId="931" w:customStyle="1">
    <w:name w:val="批注主题 字符"/>
    <w:link w:val="930"/>
    <w:uiPriority w:val="99"/>
    <w:semiHidden/>
    <w:qFormat/>
    <w:rPr>
      <w:rFonts w:eastAsia="楷体_GB2312"/>
      <w:b/>
      <w:bCs/>
      <w:sz w:val="26"/>
    </w:rPr>
  </w:style>
  <w:style w:type="table" w:styleId="932" w:customStyle="1">
    <w:name w:val="网格型111"/>
    <w:uiPriority w:val="59"/>
    <w:qFormat/>
    <w:rPr>
      <w:lang w:val="en-US" w:eastAsia="zh-CN" w:bidi="ar-SA"/>
    </w:rPr>
    <w:tblPr/>
  </w:style>
  <w:style w:type="character" w:styleId="933" w:customStyle="1">
    <w:name w:val="尾注引用11"/>
    <w:link w:val="848"/>
    <w:uiPriority w:val="99"/>
    <w:unhideWhenUsed/>
    <w:qFormat/>
    <w:rPr>
      <w:vertAlign w:val="superscript"/>
    </w:rPr>
  </w:style>
  <w:style w:type="character" w:styleId="934" w:customStyle="1">
    <w:name w:val="超链接11"/>
    <w:link w:val="848"/>
    <w:uiPriority w:val="99"/>
    <w:unhideWhenUsed/>
    <w:qFormat/>
    <w:rPr>
      <w:color w:val="0000ff"/>
      <w:u w:val="single"/>
    </w:rPr>
  </w:style>
  <w:style w:type="character" w:styleId="935" w:customStyle="1">
    <w:name w:val="批注引用11"/>
    <w:link w:val="848"/>
    <w:uiPriority w:val="99"/>
    <w:unhideWhenUsed/>
    <w:qFormat/>
    <w:rPr>
      <w:sz w:val="21"/>
      <w:szCs w:val="21"/>
    </w:rPr>
  </w:style>
  <w:style w:type="character" w:styleId="936" w:customStyle="1">
    <w:name w:val="脚注引用11"/>
    <w:link w:val="848"/>
    <w:uiPriority w:val="99"/>
    <w:unhideWhenUsed/>
    <w:qFormat/>
    <w:rPr>
      <w:vertAlign w:val="superscript"/>
    </w:rPr>
  </w:style>
  <w:style w:type="character" w:styleId="937" w:customStyle="1">
    <w:name w:val="hilite6"/>
    <w:link w:val="848"/>
    <w:uiPriority w:val="0"/>
    <w:qFormat/>
    <w:rPr>
      <w:color w:val="ffffff"/>
      <w:shd w:val="clear" w:color="auto" w:fill="776666"/>
    </w:rPr>
  </w:style>
  <w:style w:type="character" w:styleId="938" w:customStyle="1">
    <w:name w:val="目录 3 Char"/>
    <w:link w:val="939"/>
    <w:uiPriority w:val="0"/>
    <w:qFormat/>
    <w:rPr>
      <w:rFonts w:eastAsia="楷体_GB2312"/>
      <w:sz w:val="26"/>
    </w:rPr>
  </w:style>
  <w:style w:type="paragraph" w:styleId="939" w:customStyle="1">
    <w:name w:val="目录 31"/>
    <w:basedOn w:val="848"/>
    <w:next w:val="848"/>
    <w:link w:val="938"/>
    <w:uiPriority w:val="0"/>
    <w:qFormat/>
    <w:pPr>
      <w:ind w:left="840"/>
    </w:pPr>
  </w:style>
  <w:style w:type="character" w:styleId="940" w:customStyle="1">
    <w:name w:val="Balloon Text Char"/>
    <w:link w:val="848"/>
    <w:uiPriority w:val="0"/>
    <w:semiHidden/>
    <w:qFormat/>
    <w:rPr>
      <w:rFonts w:eastAsia="宋体"/>
      <w:sz w:val="18"/>
      <w:lang w:val="en-US" w:eastAsia="zh-CN"/>
    </w:rPr>
  </w:style>
  <w:style w:type="character" w:styleId="941" w:customStyle="1">
    <w:name w:val="fontstyle11"/>
    <w:link w:val="848"/>
    <w:uiPriority w:val="0"/>
    <w:qFormat/>
    <w:rPr>
      <w:rFonts w:ascii="TimesNewRomanPSMT" w:hAnsi="TimesNewRomanPSMT"/>
      <w:color w:val="000008"/>
      <w:sz w:val="24"/>
      <w:szCs w:val="24"/>
    </w:rPr>
  </w:style>
  <w:style w:type="character" w:styleId="942" w:customStyle="1">
    <w:name w:val="bds_more6"/>
    <w:link w:val="848"/>
    <w:uiPriority w:val="0"/>
    <w:qFormat/>
  </w:style>
  <w:style w:type="character" w:styleId="943" w:customStyle="1">
    <w:name w:val="fontstyle01"/>
    <w:link w:val="848"/>
    <w:uiPriority w:val="0"/>
    <w:qFormat/>
    <w:rPr>
      <w:rFonts w:ascii="PingFangSC-Regular-Identity-H" w:hAnsi="PingFangSC-Regular-Identity-H"/>
      <w:color w:val="000008"/>
      <w:sz w:val="24"/>
      <w:szCs w:val="24"/>
    </w:rPr>
  </w:style>
  <w:style w:type="character" w:styleId="944" w:customStyle="1">
    <w:name w:val="页眉 字符"/>
    <w:link w:val="848"/>
    <w:uiPriority w:val="99"/>
    <w:qFormat/>
    <w:rPr>
      <w:rFonts w:eastAsia="楷体_GB2312"/>
      <w:sz w:val="18"/>
    </w:rPr>
  </w:style>
  <w:style w:type="character" w:styleId="945" w:customStyle="1">
    <w:name w:val="Char Char4"/>
    <w:link w:val="848"/>
    <w:uiPriority w:val="0"/>
    <w:qFormat/>
    <w:rPr>
      <w:rFonts w:ascii="微软雅黑" w:hAnsi="创艺简仿宋" w:eastAsia="微软雅黑"/>
      <w:sz w:val="24"/>
      <w:lang w:val="en-US" w:eastAsia="zh-CN" w:bidi="ar-SA"/>
    </w:rPr>
  </w:style>
  <w:style w:type="character" w:styleId="946" w:customStyle="1">
    <w:name w:val="标题 4 Char"/>
    <w:link w:val="947"/>
    <w:uiPriority w:val="0"/>
    <w:qFormat/>
    <w:rPr>
      <w:rFonts w:ascii="Arial" w:hAnsi="Arial" w:eastAsia="黑体"/>
      <w:b/>
      <w:sz w:val="28"/>
    </w:rPr>
  </w:style>
  <w:style w:type="paragraph" w:styleId="947" w:customStyle="1">
    <w:name w:val="标题 411"/>
    <w:basedOn w:val="848"/>
    <w:next w:val="848"/>
    <w:link w:val="946"/>
    <w:uiPriority w:val="0"/>
    <w:qFormat/>
    <w:pPr>
      <w:ind w:firstLine="200"/>
      <w:keepLines/>
      <w:keepNext/>
      <w:spacing w:before="280" w:after="290" w:line="372" w:lineRule="auto"/>
      <w:outlineLvl w:val="3"/>
    </w:pPr>
    <w:rPr>
      <w:rFonts w:ascii="Arial" w:hAnsi="Arial" w:eastAsia="黑体"/>
      <w:b/>
      <w:sz w:val="28"/>
    </w:rPr>
  </w:style>
  <w:style w:type="character" w:styleId="948" w:customStyle="1">
    <w:name w:val="页码1"/>
    <w:link w:val="848"/>
    <w:uiPriority w:val="0"/>
    <w:qFormat/>
  </w:style>
  <w:style w:type="character" w:styleId="949" w:customStyle="1">
    <w:name w:val="Heading 2 Char"/>
    <w:link w:val="950"/>
    <w:uiPriority w:val="9"/>
    <w:qFormat/>
    <w:rPr>
      <w:rFonts w:ascii="Arial" w:hAnsi="Arial" w:eastAsia="Arial" w:cs="Arial"/>
      <w:sz w:val="34"/>
    </w:rPr>
  </w:style>
  <w:style w:type="paragraph" w:styleId="950" w:customStyle="1">
    <w:name w:val="标题 21"/>
    <w:basedOn w:val="848"/>
    <w:next w:val="848"/>
    <w:link w:val="949"/>
    <w:uiPriority w:val="9"/>
    <w:unhideWhenUsed/>
    <w:qFormat/>
    <w:pPr>
      <w:keepLines/>
      <w:keepNext/>
      <w:spacing w:before="360" w:after="200"/>
      <w:outlineLvl w:val="1"/>
    </w:pPr>
    <w:rPr>
      <w:rFonts w:ascii="Arial" w:hAnsi="Arial" w:eastAsia="Arial"/>
      <w:sz w:val="34"/>
    </w:rPr>
  </w:style>
  <w:style w:type="character" w:styleId="951" w:customStyle="1">
    <w:name w:val="正文首行缩进 2 Char"/>
    <w:link w:val="952"/>
    <w:uiPriority w:val="0"/>
    <w:qFormat/>
    <w:rPr>
      <w:rFonts w:hint="eastAsia" w:ascii="楷体_GB2312" w:eastAsia="楷体_GB2312" w:cs="楷体_GB2312"/>
      <w:sz w:val="26"/>
    </w:rPr>
  </w:style>
  <w:style w:type="paragraph" w:styleId="952" w:customStyle="1">
    <w:name w:val="正文首行缩进 211"/>
    <w:basedOn w:val="953"/>
    <w:link w:val="951"/>
    <w:uiPriority w:val="0"/>
    <w:unhideWhenUsed/>
    <w:qFormat/>
    <w:pPr>
      <w:ind w:firstLine="420"/>
    </w:pPr>
  </w:style>
  <w:style w:type="paragraph" w:styleId="953" w:customStyle="1">
    <w:name w:val="正文文本缩进11"/>
    <w:basedOn w:val="848"/>
    <w:next w:val="954"/>
    <w:link w:val="955"/>
    <w:uiPriority w:val="0"/>
    <w:qFormat/>
    <w:pPr>
      <w:ind w:left="570"/>
      <w:spacing w:line="520" w:lineRule="exact"/>
    </w:pPr>
    <w:rPr>
      <w:rFonts w:hint="eastAsia" w:ascii="楷体_GB2312"/>
    </w:rPr>
  </w:style>
  <w:style w:type="paragraph" w:styleId="954" w:customStyle="1">
    <w:name w:val="寄信人地址11"/>
    <w:basedOn w:val="848"/>
    <w:uiPriority w:val="99"/>
    <w:unhideWhenUsed/>
    <w:qFormat/>
    <w:rPr>
      <w:rFonts w:ascii="Arial" w:hAnsi="Arial"/>
    </w:rPr>
  </w:style>
  <w:style w:type="character" w:styleId="955" w:customStyle="1">
    <w:name w:val="正文文本缩进 Char"/>
    <w:link w:val="953"/>
    <w:uiPriority w:val="0"/>
    <w:qFormat/>
    <w:rPr>
      <w:rFonts w:hint="eastAsia" w:ascii="楷体_GB2312" w:eastAsia="楷体_GB2312" w:cs="楷体_GB2312"/>
      <w:sz w:val="26"/>
    </w:rPr>
  </w:style>
  <w:style w:type="character" w:styleId="956" w:customStyle="1">
    <w:name w:val="引用 字符"/>
    <w:link w:val="957"/>
    <w:uiPriority w:val="29"/>
    <w:qFormat/>
    <w:rPr>
      <w:i/>
    </w:rPr>
  </w:style>
  <w:style w:type="paragraph" w:styleId="957" w:customStyle="1">
    <w:name w:val="引用"/>
    <w:basedOn w:val="848"/>
    <w:next w:val="848"/>
    <w:link w:val="956"/>
    <w:uiPriority w:val="29"/>
    <w:qFormat/>
    <w:pPr>
      <w:ind w:left="720" w:right="720"/>
    </w:pPr>
    <w:rPr>
      <w:rFonts w:eastAsia="宋体"/>
      <w:i/>
      <w:sz w:val="20"/>
    </w:rPr>
  </w:style>
  <w:style w:type="character" w:styleId="958" w:customStyle="1">
    <w:name w:val="标题 Char"/>
    <w:link w:val="959"/>
    <w:uiPriority w:val="10"/>
    <w:qFormat/>
    <w:rPr>
      <w:sz w:val="48"/>
      <w:szCs w:val="48"/>
    </w:rPr>
  </w:style>
  <w:style w:type="paragraph" w:styleId="959" w:customStyle="1">
    <w:name w:val="标题1"/>
    <w:basedOn w:val="848"/>
    <w:next w:val="848"/>
    <w:link w:val="958"/>
    <w:uiPriority w:val="10"/>
    <w:qFormat/>
    <w:pPr>
      <w:contextualSpacing/>
      <w:spacing w:before="300" w:after="200"/>
    </w:pPr>
    <w:rPr>
      <w:rFonts w:eastAsia="宋体"/>
      <w:sz w:val="48"/>
      <w:szCs w:val="48"/>
    </w:rPr>
  </w:style>
  <w:style w:type="character" w:styleId="960" w:customStyle="1">
    <w:name w:val="超链接1"/>
    <w:link w:val="848"/>
    <w:uiPriority w:val="99"/>
    <w:qFormat/>
    <w:rPr>
      <w:color w:val="333333"/>
      <w:u w:val="none"/>
    </w:rPr>
  </w:style>
  <w:style w:type="character" w:styleId="961" w:customStyle="1">
    <w:name w:val="grid"/>
    <w:link w:val="848"/>
    <w:uiPriority w:val="0"/>
    <w:qFormat/>
  </w:style>
  <w:style w:type="character" w:styleId="962" w:customStyle="1">
    <w:name w:val="Quote Char"/>
    <w:link w:val="848"/>
    <w:uiPriority w:val="29"/>
    <w:qFormat/>
    <w:rPr>
      <w:i/>
    </w:rPr>
  </w:style>
  <w:style w:type="character" w:styleId="963" w:customStyle="1">
    <w:name w:val="正文文本 Char"/>
    <w:link w:val="964"/>
    <w:uiPriority w:val="0"/>
    <w:qFormat/>
    <w:rPr>
      <w:rFonts w:ascii="楷体_GB2312" w:eastAsia="楷体_GB2312"/>
      <w:sz w:val="28"/>
    </w:rPr>
  </w:style>
  <w:style w:type="paragraph" w:styleId="964" w:customStyle="1">
    <w:name w:val="正文文本11"/>
    <w:basedOn w:val="848"/>
    <w:next w:val="848"/>
    <w:link w:val="963"/>
    <w:uiPriority w:val="0"/>
    <w:qFormat/>
    <w:pPr>
      <w:spacing w:line="400" w:lineRule="exact"/>
    </w:pPr>
    <w:rPr>
      <w:rFonts w:ascii="楷体_GB2312"/>
      <w:sz w:val="28"/>
    </w:rPr>
  </w:style>
  <w:style w:type="character" w:styleId="965" w:customStyle="1">
    <w:name w:val="页脚 Char"/>
    <w:link w:val="966"/>
    <w:uiPriority w:val="99"/>
    <w:qFormat/>
    <w:rPr>
      <w:rFonts w:eastAsia="楷体_GB2312"/>
      <w:sz w:val="18"/>
    </w:rPr>
  </w:style>
  <w:style w:type="paragraph" w:styleId="966" w:customStyle="1">
    <w:name w:val="页脚111"/>
    <w:basedOn w:val="848"/>
    <w:link w:val="965"/>
    <w:uiPriority w:val="99"/>
    <w:qFormat/>
    <w:pPr>
      <w:jc w:val="left"/>
      <w:tabs>
        <w:tab w:val="center" w:pos="4153" w:leader="none"/>
        <w:tab w:val="right" w:pos="8306" w:leader="none"/>
      </w:tabs>
    </w:pPr>
    <w:rPr>
      <w:sz w:val="18"/>
    </w:rPr>
  </w:style>
  <w:style w:type="character" w:styleId="967" w:customStyle="1">
    <w:name w:val="active8"/>
    <w:link w:val="848"/>
    <w:uiPriority w:val="0"/>
    <w:qFormat/>
    <w:rPr>
      <w:color w:val="00ff00"/>
      <w:shd w:val="clear" w:color="auto" w:fill="000000"/>
    </w:rPr>
  </w:style>
  <w:style w:type="character" w:styleId="968" w:customStyle="1">
    <w:name w:val="批注框文本 Char"/>
    <w:link w:val="969"/>
    <w:uiPriority w:val="0"/>
    <w:qFormat/>
    <w:rPr>
      <w:rFonts w:eastAsia="楷体_GB2312"/>
      <w:sz w:val="18"/>
      <w:szCs w:val="18"/>
    </w:rPr>
  </w:style>
  <w:style w:type="paragraph" w:styleId="969" w:customStyle="1">
    <w:name w:val="批注框文本1"/>
    <w:basedOn w:val="848"/>
    <w:link w:val="968"/>
    <w:uiPriority w:val="0"/>
    <w:qFormat/>
    <w:rPr>
      <w:sz w:val="18"/>
      <w:szCs w:val="18"/>
    </w:rPr>
  </w:style>
  <w:style w:type="character" w:styleId="970" w:customStyle="1">
    <w:name w:val="bds_more5"/>
    <w:link w:val="848"/>
    <w:uiPriority w:val="0"/>
    <w:qFormat/>
  </w:style>
  <w:style w:type="character" w:styleId="971" w:customStyle="1">
    <w:name w:val="页脚 字符"/>
    <w:link w:val="848"/>
    <w:uiPriority w:val="99"/>
    <w:qFormat/>
    <w:rPr>
      <w:rFonts w:eastAsia="楷体_GB2312"/>
      <w:sz w:val="18"/>
    </w:rPr>
  </w:style>
  <w:style w:type="character" w:styleId="972" w:customStyle="1">
    <w:name w:val="NormalCharacter1_0"/>
    <w:link w:val="848"/>
    <w:uiPriority w:val="0"/>
    <w:semiHidden/>
    <w:qFormat/>
  </w:style>
  <w:style w:type="character" w:styleId="973" w:customStyle="1">
    <w:name w:val="Footer Char"/>
    <w:link w:val="848"/>
    <w:uiPriority w:val="99"/>
    <w:qFormat/>
  </w:style>
  <w:style w:type="character" w:styleId="974" w:customStyle="1">
    <w:name w:val="grid2"/>
    <w:link w:val="848"/>
    <w:uiPriority w:val="0"/>
    <w:qFormat/>
  </w:style>
  <w:style w:type="character" w:styleId="975" w:customStyle="1">
    <w:name w:val="NormalCharacter1"/>
    <w:link w:val="848"/>
    <w:uiPriority w:val="0"/>
    <w:qFormat/>
  </w:style>
  <w:style w:type="character" w:styleId="976" w:customStyle="1">
    <w:name w:val="Header Char"/>
    <w:link w:val="977"/>
    <w:uiPriority w:val="0"/>
    <w:qFormat/>
    <w:rPr>
      <w:sz w:val="18"/>
    </w:rPr>
  </w:style>
  <w:style w:type="paragraph" w:styleId="977" w:customStyle="1">
    <w:name w:val="页眉1"/>
    <w:basedOn w:val="848"/>
    <w:link w:val="976"/>
    <w:uiPriority w:val="99"/>
    <w:unhideWhenUsed/>
    <w:qFormat/>
    <w:pPr>
      <w:tabs>
        <w:tab w:val="center" w:pos="7143" w:leader="none"/>
        <w:tab w:val="right" w:pos="14287" w:leader="none"/>
      </w:tabs>
    </w:pPr>
    <w:rPr>
      <w:rFonts w:eastAsia="宋体"/>
      <w:sz w:val="18"/>
    </w:rPr>
  </w:style>
  <w:style w:type="character" w:styleId="978" w:customStyle="1">
    <w:name w:val="Intense Quote Char"/>
    <w:link w:val="848"/>
    <w:uiPriority w:val="30"/>
    <w:qFormat/>
    <w:rPr>
      <w:i/>
    </w:rPr>
  </w:style>
  <w:style w:type="character" w:styleId="979" w:customStyle="1">
    <w:name w:val="Heading 4 Char"/>
    <w:link w:val="980"/>
    <w:uiPriority w:val="9"/>
    <w:qFormat/>
    <w:rPr>
      <w:rFonts w:ascii="Arial" w:hAnsi="Arial" w:eastAsia="Arial" w:cs="Arial"/>
      <w:b/>
      <w:bCs/>
      <w:sz w:val="26"/>
      <w:szCs w:val="26"/>
    </w:rPr>
  </w:style>
  <w:style w:type="paragraph" w:styleId="980" w:customStyle="1">
    <w:name w:val="标题 41"/>
    <w:basedOn w:val="848"/>
    <w:next w:val="848"/>
    <w:link w:val="979"/>
    <w:uiPriority w:val="9"/>
    <w:unhideWhenUsed/>
    <w:qFormat/>
    <w:pPr>
      <w:keepLines/>
      <w:keepNext/>
      <w:spacing w:before="320" w:after="200"/>
      <w:outlineLvl w:val="3"/>
    </w:pPr>
    <w:rPr>
      <w:rFonts w:ascii="Arial" w:hAnsi="Arial" w:eastAsia="Arial"/>
      <w:b/>
      <w:bCs/>
      <w:szCs w:val="26"/>
    </w:rPr>
  </w:style>
  <w:style w:type="character" w:styleId="981" w:customStyle="1">
    <w:name w:val="明显引用 字符"/>
    <w:link w:val="982"/>
    <w:uiPriority w:val="30"/>
    <w:qFormat/>
    <w:rPr>
      <w:i/>
    </w:rPr>
  </w:style>
  <w:style w:type="paragraph" w:styleId="982" w:customStyle="1">
    <w:name w:val="明显引用"/>
    <w:basedOn w:val="848"/>
    <w:next w:val="848"/>
    <w:link w:val="9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983" w:customStyle="1">
    <w:name w:val="font01"/>
    <w:link w:val="848"/>
    <w:uiPriority w:val="0"/>
    <w:qFormat/>
    <w:rPr>
      <w:rFonts w:hint="eastAsia" w:ascii="宋体" w:hAnsi="宋体" w:eastAsia="宋体" w:cs="宋体"/>
      <w:b/>
      <w:color w:val="000000"/>
      <w:sz w:val="20"/>
      <w:szCs w:val="20"/>
      <w:u w:val="none"/>
    </w:rPr>
  </w:style>
  <w:style w:type="character" w:styleId="984" w:customStyle="1">
    <w:name w:val="文档结构图 Char"/>
    <w:link w:val="985"/>
    <w:uiPriority w:val="0"/>
    <w:qFormat/>
    <w:rPr>
      <w:rFonts w:eastAsia="楷体_GB2312"/>
      <w:sz w:val="26"/>
      <w:shd w:val="clear" w:color="auto" w:fill="000080"/>
    </w:rPr>
  </w:style>
  <w:style w:type="paragraph" w:styleId="985" w:customStyle="1">
    <w:name w:val="文档结构图1"/>
    <w:basedOn w:val="848"/>
    <w:link w:val="984"/>
    <w:uiPriority w:val="0"/>
    <w:qFormat/>
    <w:pPr>
      <w:shd w:val="clear" w:color="auto" w:fill="000080"/>
    </w:pPr>
  </w:style>
  <w:style w:type="character" w:styleId="986" w:customStyle="1">
    <w:name w:val="正文文本 字符"/>
    <w:link w:val="848"/>
    <w:uiPriority w:val="0"/>
    <w:qFormat/>
    <w:rPr>
      <w:rFonts w:ascii="楷体_GB2312" w:eastAsia="楷体_GB2312"/>
      <w:sz w:val="28"/>
    </w:rPr>
  </w:style>
  <w:style w:type="character" w:styleId="987" w:customStyle="1">
    <w:name w:val="尾注引用1"/>
    <w:link w:val="848"/>
    <w:uiPriority w:val="99"/>
    <w:unhideWhenUsed/>
    <w:qFormat/>
    <w:rPr>
      <w:vertAlign w:val="superscript"/>
    </w:rPr>
  </w:style>
  <w:style w:type="character" w:styleId="988" w:customStyle="1">
    <w:name w:val="font31"/>
    <w:link w:val="848"/>
    <w:uiPriority w:val="0"/>
    <w:qFormat/>
    <w:rPr>
      <w:rFonts w:ascii="宋体" w:hAnsi="宋体" w:eastAsia="宋体"/>
      <w:color w:val="000000"/>
      <w:sz w:val="20"/>
      <w:u w:val="none"/>
    </w:rPr>
  </w:style>
  <w:style w:type="character" w:styleId="989" w:customStyle="1">
    <w:name w:val="要点1"/>
    <w:link w:val="848"/>
    <w:uiPriority w:val="22"/>
    <w:qFormat/>
    <w:rPr>
      <w:b/>
    </w:rPr>
  </w:style>
  <w:style w:type="character" w:styleId="990" w:customStyle="1">
    <w:name w:val="Heading 8 Char"/>
    <w:link w:val="991"/>
    <w:uiPriority w:val="9"/>
    <w:qFormat/>
    <w:rPr>
      <w:rFonts w:ascii="Arial" w:hAnsi="Arial" w:eastAsia="Arial" w:cs="Arial"/>
      <w:i/>
      <w:iCs/>
      <w:sz w:val="22"/>
      <w:szCs w:val="22"/>
    </w:rPr>
  </w:style>
  <w:style w:type="paragraph" w:styleId="991" w:customStyle="1">
    <w:name w:val="标题 81"/>
    <w:basedOn w:val="848"/>
    <w:next w:val="848"/>
    <w:link w:val="990"/>
    <w:uiPriority w:val="9"/>
    <w:unhideWhenUsed/>
    <w:qFormat/>
    <w:pPr>
      <w:keepLines/>
      <w:keepNext/>
      <w:spacing w:before="320" w:after="200"/>
      <w:outlineLvl w:val="7"/>
    </w:pPr>
    <w:rPr>
      <w:rFonts w:ascii="Arial" w:hAnsi="Arial" w:eastAsia="Arial"/>
      <w:i/>
      <w:iCs/>
      <w:sz w:val="22"/>
      <w:szCs w:val="22"/>
    </w:rPr>
  </w:style>
  <w:style w:type="character" w:styleId="992" w:customStyle="1">
    <w:name w:val="正文文本首行缩进 字符"/>
    <w:link w:val="848"/>
    <w:uiPriority w:val="0"/>
    <w:qFormat/>
    <w:rPr>
      <w:rFonts w:eastAsia="楷体_GB2312"/>
      <w:sz w:val="26"/>
    </w:rPr>
  </w:style>
  <w:style w:type="character" w:styleId="993" w:customStyle="1">
    <w:name w:val="强调1"/>
    <w:link w:val="848"/>
    <w:uiPriority w:val="0"/>
    <w:qFormat/>
    <w:rPr>
      <w:i/>
      <w:iCs/>
    </w:rPr>
  </w:style>
  <w:style w:type="character" w:styleId="994" w:customStyle="1">
    <w:name w:val="纯文本 Char"/>
    <w:link w:val="995"/>
    <w:uiPriority w:val="0"/>
    <w:qFormat/>
    <w:rPr>
      <w:rFonts w:ascii="宋体" w:hAnsi="Courier New" w:eastAsia="楷体_GB2312"/>
      <w:sz w:val="26"/>
      <w:lang w:val="en-US" w:eastAsia="zh-CN" w:bidi="ar-SA"/>
    </w:rPr>
  </w:style>
  <w:style w:type="paragraph" w:styleId="995" w:customStyle="1">
    <w:name w:val="纯文本11"/>
    <w:basedOn w:val="848"/>
    <w:link w:val="994"/>
    <w:uiPriority w:val="0"/>
    <w:qFormat/>
    <w:rPr>
      <w:rFonts w:ascii="宋体" w:hAnsi="Courier New"/>
    </w:rPr>
  </w:style>
  <w:style w:type="character" w:styleId="996" w:customStyle="1">
    <w:name w:val="副标题 Char"/>
    <w:link w:val="997"/>
    <w:uiPriority w:val="11"/>
    <w:qFormat/>
    <w:rPr>
      <w:sz w:val="24"/>
      <w:szCs w:val="24"/>
    </w:rPr>
  </w:style>
  <w:style w:type="paragraph" w:styleId="997" w:customStyle="1">
    <w:name w:val="副标题1"/>
    <w:basedOn w:val="848"/>
    <w:next w:val="848"/>
    <w:link w:val="996"/>
    <w:uiPriority w:val="11"/>
    <w:qFormat/>
    <w:pPr>
      <w:spacing w:before="200" w:after="200"/>
    </w:pPr>
    <w:rPr>
      <w:rFonts w:eastAsia="宋体"/>
      <w:sz w:val="24"/>
      <w:szCs w:val="24"/>
    </w:rPr>
  </w:style>
  <w:style w:type="character" w:styleId="998" w:customStyle="1">
    <w:name w:val="noused"/>
    <w:link w:val="848"/>
    <w:uiPriority w:val="0"/>
    <w:qFormat/>
    <w:rPr>
      <w:b/>
      <w:color w:val="ffffff"/>
      <w:sz w:val="21"/>
      <w:szCs w:val="21"/>
    </w:rPr>
  </w:style>
  <w:style w:type="character" w:styleId="999" w:customStyle="1">
    <w:name w:val="hover61"/>
    <w:link w:val="848"/>
    <w:uiPriority w:val="0"/>
    <w:qFormat/>
    <w:rPr>
      <w:shd w:val="clear" w:color="auto" w:fill="ff0000"/>
    </w:rPr>
  </w:style>
  <w:style w:type="character" w:styleId="1000" w:customStyle="1">
    <w:name w:val="已访问的超链接1"/>
    <w:link w:val="848"/>
    <w:uiPriority w:val="99"/>
    <w:qFormat/>
    <w:rPr>
      <w:color w:val="333333"/>
      <w:u w:val="none"/>
    </w:rPr>
  </w:style>
  <w:style w:type="character" w:styleId="1001" w:customStyle="1">
    <w:name w:val="other"/>
    <w:link w:val="848"/>
    <w:uiPriority w:val="0"/>
    <w:qFormat/>
  </w:style>
  <w:style w:type="character" w:styleId="1002" w:customStyle="1">
    <w:name w:val="state"/>
    <w:link w:val="848"/>
    <w:uiPriority w:val="0"/>
    <w:qFormat/>
    <w:rPr>
      <w:b/>
      <w:color w:val="ffffff"/>
      <w:sz w:val="19"/>
      <w:szCs w:val="19"/>
    </w:rPr>
  </w:style>
  <w:style w:type="character" w:styleId="1003" w:customStyle="1">
    <w:name w:val="Footnote Text Char"/>
    <w:link w:val="848"/>
    <w:uiPriority w:val="99"/>
    <w:qFormat/>
    <w:rPr>
      <w:sz w:val="18"/>
    </w:rPr>
  </w:style>
  <w:style w:type="character" w:styleId="1004" w:customStyle="1">
    <w:name w:val="font101"/>
    <w:link w:val="848"/>
    <w:uiPriority w:val="0"/>
    <w:qFormat/>
    <w:rPr>
      <w:rFonts w:hint="eastAsia" w:ascii="微软雅黑" w:hAnsi="微软雅黑" w:eastAsia="微软雅黑" w:cs="微软雅黑"/>
      <w:color w:val="000000"/>
      <w:sz w:val="20"/>
      <w:szCs w:val="20"/>
      <w:u w:val="none"/>
      <w:vertAlign w:val="superscript"/>
    </w:rPr>
  </w:style>
  <w:style w:type="character" w:styleId="1005" w:customStyle="1">
    <w:name w:val="页眉 Char"/>
    <w:link w:val="1006"/>
    <w:uiPriority w:val="99"/>
    <w:qFormat/>
    <w:rPr>
      <w:rFonts w:eastAsia="楷体_GB2312"/>
      <w:sz w:val="18"/>
    </w:rPr>
  </w:style>
  <w:style w:type="paragraph" w:styleId="1006" w:customStyle="1">
    <w:name w:val="页眉11"/>
    <w:basedOn w:val="848"/>
    <w:link w:val="1005"/>
    <w:uiPriority w:val="99"/>
    <w:qFormat/>
    <w:pPr>
      <w:jc w:val="center"/>
      <w:tabs>
        <w:tab w:val="center" w:pos="4153" w:leader="none"/>
        <w:tab w:val="right" w:pos="8306" w:leader="none"/>
      </w:tabs>
      <w:pBdr>
        <w:bottom w:val="single" w:color="000000" w:sz="6" w:space="1"/>
      </w:pBdr>
    </w:pPr>
    <w:rPr>
      <w:sz w:val="18"/>
    </w:rPr>
  </w:style>
  <w:style w:type="character" w:styleId="1007" w:customStyle="1">
    <w:name w:val="HTML 样本1"/>
    <w:link w:val="848"/>
    <w:uiPriority w:val="0"/>
    <w:qFormat/>
    <w:rPr>
      <w:rFonts w:ascii="Menlo" w:hAnsi="Menlo" w:eastAsia="Menlo" w:cs="Menlo"/>
      <w:sz w:val="21"/>
      <w:szCs w:val="21"/>
    </w:rPr>
  </w:style>
  <w:style w:type="character" w:styleId="1008" w:customStyle="1">
    <w:name w:val="bds_more8"/>
    <w:link w:val="848"/>
    <w:uiPriority w:val="0"/>
    <w:qFormat/>
    <w:rPr>
      <w:rFonts w:hint="eastAsia" w:ascii="宋体" w:hAnsi="宋体" w:eastAsia="宋体" w:cs="宋体"/>
    </w:rPr>
  </w:style>
  <w:style w:type="character" w:styleId="1009" w:customStyle="1">
    <w:name w:val="fontstyle21"/>
    <w:link w:val="848"/>
    <w:uiPriority w:val="0"/>
    <w:qFormat/>
    <w:rPr>
      <w:rFonts w:ascii="TimesNewRomanPSMT" w:hAnsi="TimesNewRomanPSMT"/>
      <w:color w:val="000008"/>
      <w:sz w:val="24"/>
      <w:szCs w:val="24"/>
    </w:rPr>
  </w:style>
  <w:style w:type="character" w:styleId="1010" w:customStyle="1">
    <w:name w:val="active"/>
    <w:link w:val="848"/>
    <w:uiPriority w:val="0"/>
    <w:qFormat/>
    <w:rPr>
      <w:color w:val="00ff00"/>
      <w:shd w:val="clear" w:color="auto" w:fill="000000"/>
    </w:rPr>
  </w:style>
  <w:style w:type="character" w:styleId="1011" w:customStyle="1">
    <w:name w:val="正文缩进2格 Char Char"/>
    <w:link w:val="1012"/>
    <w:uiPriority w:val="0"/>
    <w:qFormat/>
    <w:rPr>
      <w:rFonts w:ascii="仿宋_GB2312" w:hAnsi="宋体" w:eastAsia="仿宋_GB2312"/>
      <w:sz w:val="31"/>
      <w:szCs w:val="28"/>
    </w:rPr>
  </w:style>
  <w:style w:type="paragraph" w:styleId="1012" w:customStyle="1">
    <w:name w:val="正文缩进2格"/>
    <w:basedOn w:val="848"/>
    <w:link w:val="1011"/>
    <w:uiPriority w:val="0"/>
    <w:qFormat/>
    <w:pPr>
      <w:ind w:firstLine="639"/>
      <w:spacing w:line="600" w:lineRule="exact"/>
    </w:pPr>
    <w:rPr>
      <w:rFonts w:ascii="仿宋_GB2312" w:hAnsi="宋体" w:eastAsia="仿宋_GB2312"/>
      <w:sz w:val="31"/>
      <w:szCs w:val="28"/>
    </w:rPr>
  </w:style>
  <w:style w:type="character" w:styleId="1013" w:customStyle="1">
    <w:name w:val="Heading 3 Char"/>
    <w:link w:val="1014"/>
    <w:uiPriority w:val="9"/>
    <w:qFormat/>
    <w:rPr>
      <w:rFonts w:ascii="Arial" w:hAnsi="Arial" w:eastAsia="Arial" w:cs="Arial"/>
      <w:sz w:val="30"/>
      <w:szCs w:val="30"/>
    </w:rPr>
  </w:style>
  <w:style w:type="paragraph" w:styleId="1014" w:customStyle="1">
    <w:name w:val="标题 31"/>
    <w:basedOn w:val="848"/>
    <w:next w:val="848"/>
    <w:link w:val="1013"/>
    <w:uiPriority w:val="9"/>
    <w:unhideWhenUsed/>
    <w:qFormat/>
    <w:pPr>
      <w:keepLines/>
      <w:keepNext/>
      <w:spacing w:before="320" w:after="200"/>
      <w:outlineLvl w:val="2"/>
    </w:pPr>
    <w:rPr>
      <w:rFonts w:ascii="Arial" w:hAnsi="Arial" w:eastAsia="Arial"/>
      <w:sz w:val="30"/>
      <w:szCs w:val="30"/>
    </w:rPr>
  </w:style>
  <w:style w:type="character" w:styleId="1015" w:customStyle="1">
    <w:name w:val="批注文字 Char"/>
    <w:link w:val="1016"/>
    <w:uiPriority w:val="0"/>
    <w:qFormat/>
    <w:rPr>
      <w:rFonts w:eastAsia="楷体_GB2312"/>
      <w:sz w:val="26"/>
    </w:rPr>
  </w:style>
  <w:style w:type="paragraph" w:styleId="1016" w:customStyle="1">
    <w:name w:val="批注文字1"/>
    <w:basedOn w:val="848"/>
    <w:link w:val="1015"/>
    <w:uiPriority w:val="0"/>
    <w:qFormat/>
    <w:pPr>
      <w:jc w:val="left"/>
    </w:pPr>
  </w:style>
  <w:style w:type="character" w:styleId="1017" w:customStyle="1">
    <w:name w:val="Caption Char"/>
    <w:link w:val="1018"/>
    <w:uiPriority w:val="99"/>
    <w:qFormat/>
  </w:style>
  <w:style w:type="paragraph" w:styleId="1018" w:customStyle="1">
    <w:name w:val="页脚1"/>
    <w:basedOn w:val="848"/>
    <w:link w:val="1017"/>
    <w:uiPriority w:val="99"/>
    <w:unhideWhenUsed/>
    <w:qFormat/>
    <w:pPr>
      <w:tabs>
        <w:tab w:val="center" w:pos="7143" w:leader="none"/>
        <w:tab w:val="right" w:pos="14287" w:leader="none"/>
      </w:tabs>
    </w:pPr>
  </w:style>
  <w:style w:type="character" w:styleId="1019" w:customStyle="1">
    <w:name w:val="标题 3 Char"/>
    <w:link w:val="1020"/>
    <w:uiPriority w:val="99"/>
    <w:qFormat/>
    <w:rPr>
      <w:rFonts w:eastAsia="楷体_GB2312"/>
      <w:b/>
      <w:sz w:val="26"/>
    </w:rPr>
  </w:style>
  <w:style w:type="paragraph" w:styleId="1020" w:customStyle="1">
    <w:name w:val="标题 311"/>
    <w:basedOn w:val="848"/>
    <w:next w:val="848"/>
    <w:link w:val="1019"/>
    <w:uiPriority w:val="99"/>
    <w:qFormat/>
    <w:pPr>
      <w:jc w:val="left"/>
      <w:keepLines/>
      <w:keepNext/>
      <w:outlineLvl w:val="2"/>
    </w:pPr>
    <w:rPr>
      <w:b/>
    </w:rPr>
  </w:style>
  <w:style w:type="character" w:styleId="1021" w:customStyle="1">
    <w:name w:val="hilite"/>
    <w:link w:val="848"/>
    <w:uiPriority w:val="0"/>
    <w:qFormat/>
    <w:rPr>
      <w:color w:val="ffffff"/>
      <w:shd w:val="clear" w:color="auto" w:fill="776666"/>
    </w:rPr>
  </w:style>
  <w:style w:type="character" w:styleId="1022" w:customStyle="1">
    <w:name w:val="Char Char2"/>
    <w:link w:val="848"/>
    <w:uiPriority w:val="0"/>
    <w:qFormat/>
    <w:rPr>
      <w:rFonts w:ascii="宋体" w:hAnsi="宋体" w:eastAsia="楷体_GB2312"/>
      <w:b/>
      <w:sz w:val="26"/>
      <w:lang w:val="en-US" w:eastAsia="zh-CN" w:bidi="ar-SA"/>
    </w:rPr>
  </w:style>
  <w:style w:type="character" w:styleId="1023" w:customStyle="1">
    <w:name w:val="正文文本 字符1"/>
    <w:link w:val="848"/>
    <w:uiPriority w:val="0"/>
    <w:qFormat/>
    <w:rPr>
      <w:rFonts w:ascii="楷体_GB2312" w:eastAsia="楷体_GB2312"/>
      <w:sz w:val="28"/>
    </w:rPr>
  </w:style>
  <w:style w:type="character" w:styleId="1024" w:customStyle="1">
    <w:name w:val="列表段落 字符"/>
    <w:link w:val="1025"/>
    <w:uiPriority w:val="0"/>
    <w:qFormat/>
    <w:rPr>
      <w:sz w:val="21"/>
      <w:szCs w:val="24"/>
    </w:rPr>
  </w:style>
  <w:style w:type="paragraph" w:styleId="1025" w:customStyle="1">
    <w:name w:val="列表段落"/>
    <w:basedOn w:val="848"/>
    <w:link w:val="1024"/>
    <w:uiPriority w:val="0"/>
    <w:qFormat/>
    <w:pPr>
      <w:ind w:firstLine="420"/>
    </w:pPr>
    <w:rPr>
      <w:rFonts w:eastAsia="宋体"/>
      <w:sz w:val="21"/>
      <w:szCs w:val="24"/>
    </w:rPr>
  </w:style>
  <w:style w:type="character" w:styleId="1026" w:customStyle="1">
    <w:name w:val="font81"/>
    <w:link w:val="848"/>
    <w:uiPriority w:val="0"/>
    <w:qFormat/>
    <w:rPr>
      <w:rFonts w:ascii="宋体" w:hAnsi="宋体" w:eastAsia="宋体"/>
      <w:b/>
      <w:color w:val="000000"/>
      <w:sz w:val="18"/>
      <w:u w:val="none"/>
    </w:rPr>
  </w:style>
  <w:style w:type="character" w:styleId="1027" w:customStyle="1">
    <w:name w:val="Endnote Text Char"/>
    <w:link w:val="848"/>
    <w:uiPriority w:val="99"/>
    <w:qFormat/>
    <w:rPr>
      <w:sz w:val="20"/>
    </w:rPr>
  </w:style>
  <w:style w:type="character" w:styleId="1028" w:customStyle="1">
    <w:name w:val="默认段落字体1"/>
    <w:link w:val="848"/>
    <w:uiPriority w:val="1"/>
    <w:unhideWhenUsed/>
    <w:qFormat/>
  </w:style>
  <w:style w:type="character" w:styleId="1029" w:customStyle="1">
    <w:name w:val="UserStyle_2"/>
    <w:link w:val="1030"/>
    <w:uiPriority w:val="0"/>
    <w:qFormat/>
    <w:rPr>
      <w:rFonts w:ascii="宋体" w:hAnsi="宋体"/>
      <w:color w:val="000000"/>
      <w:sz w:val="21"/>
    </w:rPr>
  </w:style>
  <w:style w:type="paragraph" w:styleId="1030" w:customStyle="1">
    <w:name w:val="UserStyle_3"/>
    <w:basedOn w:val="848"/>
    <w:link w:val="1029"/>
    <w:uiPriority w:val="0"/>
    <w:qFormat/>
    <w:pPr>
      <w:ind w:firstLine="420"/>
      <w:jc w:val="left"/>
      <w:spacing w:before="40" w:after="160" w:line="288" w:lineRule="auto"/>
      <w:widowControl/>
    </w:pPr>
    <w:rPr>
      <w:rFonts w:ascii="宋体" w:hAnsi="宋体" w:eastAsia="宋体"/>
      <w:color w:val="000000"/>
      <w:sz w:val="21"/>
    </w:rPr>
  </w:style>
  <w:style w:type="character" w:styleId="1031" w:customStyle="1">
    <w:name w:val="HTML 引文1"/>
    <w:link w:val="848"/>
    <w:uiPriority w:val="0"/>
    <w:qFormat/>
  </w:style>
  <w:style w:type="character" w:styleId="1032" w:customStyle="1">
    <w:name w:val="纯文本 字符"/>
    <w:link w:val="848"/>
    <w:uiPriority w:val="0"/>
    <w:qFormat/>
    <w:rPr>
      <w:rFonts w:ascii="宋体" w:hAnsi="Courier New" w:eastAsia="楷体_GB2312"/>
      <w:sz w:val="26"/>
      <w:lang w:val="en-US" w:eastAsia="zh-CN" w:bidi="ar-SA"/>
    </w:rPr>
  </w:style>
  <w:style w:type="character" w:styleId="1033" w:customStyle="1">
    <w:name w:val="标题 1 Char"/>
    <w:link w:val="1034"/>
    <w:uiPriority w:val="0"/>
    <w:qFormat/>
    <w:rPr>
      <w:rFonts w:eastAsia="楷体_GB2312"/>
      <w:b/>
      <w:sz w:val="44"/>
    </w:rPr>
  </w:style>
  <w:style w:type="paragraph" w:styleId="1034" w:customStyle="1">
    <w:name w:val="标题 111"/>
    <w:basedOn w:val="848"/>
    <w:next w:val="848"/>
    <w:link w:val="1033"/>
    <w:uiPriority w:val="0"/>
    <w:qFormat/>
    <w:pPr>
      <w:keepLines/>
      <w:keepNext/>
      <w:spacing w:before="340" w:after="330" w:line="578" w:lineRule="auto"/>
      <w:outlineLvl w:val="0"/>
    </w:pPr>
    <w:rPr>
      <w:b/>
      <w:sz w:val="44"/>
    </w:rPr>
  </w:style>
  <w:style w:type="character" w:styleId="1035" w:customStyle="1">
    <w:name w:val="行号1"/>
    <w:link w:val="848"/>
    <w:uiPriority w:val="0"/>
    <w:qFormat/>
  </w:style>
  <w:style w:type="character" w:styleId="1036" w:customStyle="1">
    <w:name w:val="批注引用1"/>
    <w:link w:val="848"/>
    <w:uiPriority w:val="0"/>
    <w:qFormat/>
    <w:rPr>
      <w:sz w:val="21"/>
      <w:szCs w:val="21"/>
    </w:rPr>
  </w:style>
  <w:style w:type="character" w:styleId="1037" w:customStyle="1">
    <w:name w:val="Heading 5 Char"/>
    <w:link w:val="1038"/>
    <w:uiPriority w:val="9"/>
    <w:qFormat/>
    <w:rPr>
      <w:rFonts w:ascii="Arial" w:hAnsi="Arial" w:eastAsia="Arial" w:cs="Arial"/>
      <w:b/>
      <w:bCs/>
      <w:sz w:val="24"/>
      <w:szCs w:val="24"/>
    </w:rPr>
  </w:style>
  <w:style w:type="paragraph" w:styleId="1038" w:customStyle="1">
    <w:name w:val="标题 51"/>
    <w:basedOn w:val="848"/>
    <w:next w:val="848"/>
    <w:link w:val="1037"/>
    <w:uiPriority w:val="9"/>
    <w:unhideWhenUsed/>
    <w:qFormat/>
    <w:pPr>
      <w:keepLines/>
      <w:keepNext/>
      <w:spacing w:before="320" w:after="200"/>
      <w:outlineLvl w:val="4"/>
    </w:pPr>
    <w:rPr>
      <w:rFonts w:ascii="Arial" w:hAnsi="Arial" w:eastAsia="Arial"/>
      <w:b/>
      <w:bCs/>
      <w:sz w:val="24"/>
      <w:szCs w:val="24"/>
    </w:rPr>
  </w:style>
  <w:style w:type="character" w:styleId="1039" w:customStyle="1">
    <w:name w:val="font41"/>
    <w:link w:val="848"/>
    <w:uiPriority w:val="0"/>
    <w:qFormat/>
    <w:rPr>
      <w:rFonts w:hint="eastAsia" w:ascii="宋体" w:hAnsi="宋体" w:eastAsia="宋体" w:cs="宋体"/>
      <w:color w:val="000000"/>
      <w:sz w:val="20"/>
      <w:szCs w:val="20"/>
      <w:u w:val="none"/>
    </w:rPr>
  </w:style>
  <w:style w:type="character" w:styleId="1040" w:customStyle="1">
    <w:name w:val="bds_nopic"/>
    <w:link w:val="848"/>
    <w:uiPriority w:val="0"/>
    <w:qFormat/>
  </w:style>
  <w:style w:type="character" w:styleId="1041" w:customStyle="1">
    <w:name w:val="尾注文本 Char"/>
    <w:link w:val="1042"/>
    <w:uiPriority w:val="99"/>
    <w:qFormat/>
    <w:rPr>
      <w:sz w:val="20"/>
    </w:rPr>
  </w:style>
  <w:style w:type="paragraph" w:styleId="1042" w:customStyle="1">
    <w:name w:val="尾注文本1"/>
    <w:basedOn w:val="848"/>
    <w:link w:val="1041"/>
    <w:uiPriority w:val="99"/>
    <w:unhideWhenUsed/>
    <w:qFormat/>
    <w:rPr>
      <w:rFonts w:eastAsia="宋体"/>
      <w:sz w:val="20"/>
    </w:rPr>
  </w:style>
  <w:style w:type="character" w:styleId="1043" w:customStyle="1">
    <w:name w:val="font61"/>
    <w:link w:val="848"/>
    <w:uiPriority w:val="0"/>
    <w:qFormat/>
    <w:rPr>
      <w:rFonts w:hint="eastAsia" w:ascii="宋体" w:hAnsi="宋体" w:eastAsia="宋体" w:cs="宋体"/>
      <w:color w:val="000000"/>
      <w:sz w:val="20"/>
      <w:szCs w:val="20"/>
      <w:u w:val="none"/>
    </w:rPr>
  </w:style>
  <w:style w:type="character" w:styleId="1044" w:customStyle="1">
    <w:name w:val="Heading 1 Char"/>
    <w:link w:val="1045"/>
    <w:uiPriority w:val="9"/>
    <w:qFormat/>
    <w:rPr>
      <w:rFonts w:ascii="Arial" w:hAnsi="Arial" w:eastAsia="Arial" w:cs="Arial"/>
      <w:sz w:val="40"/>
      <w:szCs w:val="40"/>
    </w:rPr>
  </w:style>
  <w:style w:type="paragraph" w:styleId="1045" w:customStyle="1">
    <w:name w:val="标题 11"/>
    <w:basedOn w:val="848"/>
    <w:next w:val="848"/>
    <w:link w:val="1044"/>
    <w:uiPriority w:val="9"/>
    <w:qFormat/>
    <w:pPr>
      <w:keepLines/>
      <w:keepNext/>
      <w:spacing w:before="480" w:after="200"/>
      <w:outlineLvl w:val="0"/>
    </w:pPr>
    <w:rPr>
      <w:rFonts w:ascii="Arial" w:hAnsi="Arial" w:eastAsia="Arial"/>
      <w:sz w:val="40"/>
      <w:szCs w:val="40"/>
    </w:rPr>
  </w:style>
  <w:style w:type="character" w:styleId="1046" w:customStyle="1">
    <w:name w:val="正文文本缩进 Char2"/>
    <w:link w:val="848"/>
    <w:uiPriority w:val="0"/>
    <w:qFormat/>
    <w:rPr>
      <w:rFonts w:eastAsia="楷体_GB2312"/>
      <w:sz w:val="26"/>
      <w:szCs w:val="26"/>
    </w:rPr>
  </w:style>
  <w:style w:type="character" w:styleId="1047" w:customStyle="1">
    <w:name w:val="HTML 定义1"/>
    <w:link w:val="848"/>
    <w:uiPriority w:val="0"/>
    <w:qFormat/>
    <w:rPr>
      <w:i/>
    </w:rPr>
  </w:style>
  <w:style w:type="character" w:styleId="1048" w:customStyle="1">
    <w:name w:val="Heading 6 Char"/>
    <w:link w:val="1049"/>
    <w:uiPriority w:val="9"/>
    <w:qFormat/>
    <w:rPr>
      <w:rFonts w:ascii="Arial" w:hAnsi="Arial" w:eastAsia="Arial" w:cs="Arial"/>
      <w:b/>
      <w:bCs/>
      <w:sz w:val="22"/>
      <w:szCs w:val="22"/>
    </w:rPr>
  </w:style>
  <w:style w:type="paragraph" w:styleId="1049" w:customStyle="1">
    <w:name w:val="标题 61"/>
    <w:basedOn w:val="848"/>
    <w:next w:val="848"/>
    <w:link w:val="1048"/>
    <w:uiPriority w:val="9"/>
    <w:unhideWhenUsed/>
    <w:qFormat/>
    <w:pPr>
      <w:keepLines/>
      <w:keepNext/>
      <w:spacing w:before="320" w:after="200"/>
      <w:outlineLvl w:val="5"/>
    </w:pPr>
    <w:rPr>
      <w:rFonts w:ascii="Arial" w:hAnsi="Arial" w:eastAsia="Arial"/>
      <w:b/>
      <w:bCs/>
      <w:sz w:val="22"/>
      <w:szCs w:val="22"/>
    </w:rPr>
  </w:style>
  <w:style w:type="character" w:styleId="1050" w:customStyle="1">
    <w:name w:val="bds_nopic2"/>
    <w:link w:val="848"/>
    <w:uiPriority w:val="0"/>
    <w:qFormat/>
  </w:style>
  <w:style w:type="character" w:styleId="1051" w:customStyle="1">
    <w:name w:val="普通(网站) Char"/>
    <w:link w:val="1052"/>
    <w:uiPriority w:val="0"/>
    <w:qFormat/>
    <w:rPr>
      <w:rFonts w:eastAsia="楷体_GB2312"/>
      <w:sz w:val="24"/>
      <w:szCs w:val="24"/>
      <w:shd w:val="clear" w:color="auto" w:fill="ffffff"/>
    </w:rPr>
  </w:style>
  <w:style w:type="paragraph" w:styleId="1052" w:customStyle="1">
    <w:name w:val="普通(网站)1"/>
    <w:basedOn w:val="848"/>
    <w:link w:val="1051"/>
    <w:uiPriority w:val="0"/>
    <w:qFormat/>
    <w:pPr>
      <w:jc w:val="left"/>
      <w:spacing w:line="360" w:lineRule="auto"/>
      <w:shd w:val="clear" w:color="auto" w:fill="ffffff"/>
    </w:pPr>
    <w:rPr>
      <w:sz w:val="24"/>
      <w:szCs w:val="24"/>
    </w:rPr>
  </w:style>
  <w:style w:type="character" w:styleId="1053" w:customStyle="1">
    <w:name w:val="font21"/>
    <w:link w:val="848"/>
    <w:uiPriority w:val="0"/>
    <w:qFormat/>
    <w:rPr>
      <w:rFonts w:hint="eastAsia" w:ascii="宋体" w:hAnsi="宋体" w:eastAsia="宋体" w:cs="宋体"/>
      <w:b/>
      <w:color w:val="000000"/>
      <w:sz w:val="20"/>
      <w:szCs w:val="20"/>
      <w:u w:val="none"/>
    </w:rPr>
  </w:style>
  <w:style w:type="character" w:styleId="1054" w:customStyle="1">
    <w:name w:val="font51"/>
    <w:link w:val="848"/>
    <w:uiPriority w:val="99"/>
    <w:qFormat/>
    <w:rPr>
      <w:rFonts w:hint="eastAsia" w:ascii="宋体" w:hAnsi="宋体" w:eastAsia="宋体" w:cs="宋体"/>
      <w:color w:val="ff0000"/>
      <w:sz w:val="20"/>
      <w:szCs w:val="20"/>
      <w:u w:val="none"/>
    </w:rPr>
  </w:style>
  <w:style w:type="character" w:styleId="1055" w:customStyle="1">
    <w:name w:val="font11"/>
    <w:link w:val="848"/>
    <w:uiPriority w:val="0"/>
    <w:qFormat/>
    <w:rPr>
      <w:rFonts w:ascii="宋体" w:hAnsi="宋体" w:eastAsia="宋体"/>
      <w:color w:val="000000"/>
      <w:sz w:val="28"/>
      <w:u w:val="none"/>
    </w:rPr>
  </w:style>
  <w:style w:type="character" w:styleId="1056" w:customStyle="1">
    <w:name w:val="脚注引用1"/>
    <w:link w:val="848"/>
    <w:uiPriority w:val="0"/>
    <w:qFormat/>
    <w:rPr>
      <w:vertAlign w:val="superscript"/>
    </w:rPr>
  </w:style>
  <w:style w:type="character" w:styleId="1057" w:customStyle="1">
    <w:name w:val="日期 Char"/>
    <w:link w:val="1058"/>
    <w:uiPriority w:val="0"/>
    <w:qFormat/>
    <w:rPr>
      <w:rFonts w:ascii="宋体" w:hAnsi="宋体" w:eastAsia="楷体_GB2312"/>
      <w:sz w:val="24"/>
    </w:rPr>
  </w:style>
  <w:style w:type="paragraph" w:styleId="1058" w:customStyle="1">
    <w:name w:val="日期1"/>
    <w:basedOn w:val="848"/>
    <w:next w:val="848"/>
    <w:link w:val="1057"/>
    <w:uiPriority w:val="0"/>
    <w:qFormat/>
    <w:rPr>
      <w:rFonts w:ascii="宋体" w:hAnsi="宋体"/>
      <w:sz w:val="24"/>
    </w:rPr>
  </w:style>
  <w:style w:type="character" w:styleId="1059" w:customStyle="1">
    <w:name w:val="HTML 键盘1"/>
    <w:link w:val="848"/>
    <w:uiPriority w:val="0"/>
    <w:qFormat/>
    <w:rPr>
      <w:rFonts w:ascii="Menlo" w:hAnsi="Menlo" w:eastAsia="Menlo" w:cs="Menlo"/>
      <w:sz w:val="21"/>
      <w:szCs w:val="21"/>
    </w:rPr>
  </w:style>
  <w:style w:type="character" w:styleId="1060" w:customStyle="1">
    <w:name w:val="Title Char"/>
    <w:link w:val="848"/>
    <w:uiPriority w:val="10"/>
    <w:qFormat/>
    <w:rPr>
      <w:sz w:val="48"/>
      <w:szCs w:val="48"/>
    </w:rPr>
  </w:style>
  <w:style w:type="character" w:styleId="1061" w:customStyle="1">
    <w:name w:val="脚注文本 Char"/>
    <w:link w:val="1062"/>
    <w:uiPriority w:val="99"/>
    <w:qFormat/>
    <w:rPr>
      <w:sz w:val="18"/>
    </w:rPr>
  </w:style>
  <w:style w:type="paragraph" w:styleId="1062" w:customStyle="1">
    <w:name w:val="脚注文本1"/>
    <w:basedOn w:val="848"/>
    <w:link w:val="1061"/>
    <w:uiPriority w:val="99"/>
    <w:qFormat/>
    <w:pPr>
      <w:jc w:val="left"/>
    </w:pPr>
    <w:rPr>
      <w:rFonts w:eastAsia="宋体"/>
      <w:sz w:val="18"/>
    </w:rPr>
  </w:style>
  <w:style w:type="character" w:styleId="1063" w:customStyle="1">
    <w:name w:val="HTML 代码1"/>
    <w:link w:val="848"/>
    <w:uiPriority w:val="0"/>
    <w:qFormat/>
    <w:rPr>
      <w:rFonts w:ascii="Menlo" w:hAnsi="Menlo" w:eastAsia="Menlo" w:cs="Menlo"/>
      <w:color w:val="c7254e"/>
      <w:sz w:val="21"/>
      <w:szCs w:val="21"/>
      <w:shd w:val="clear" w:color="auto" w:fill="f9f2f4"/>
    </w:rPr>
  </w:style>
  <w:style w:type="character" w:styleId="1064" w:customStyle="1">
    <w:name w:val="Heading 9 Char"/>
    <w:link w:val="1065"/>
    <w:uiPriority w:val="9"/>
    <w:qFormat/>
    <w:rPr>
      <w:rFonts w:ascii="Arial" w:hAnsi="Arial" w:eastAsia="Arial" w:cs="Arial"/>
      <w:i/>
      <w:iCs/>
      <w:sz w:val="21"/>
      <w:szCs w:val="21"/>
    </w:rPr>
  </w:style>
  <w:style w:type="paragraph" w:styleId="1065" w:customStyle="1">
    <w:name w:val="标题 91"/>
    <w:basedOn w:val="848"/>
    <w:next w:val="848"/>
    <w:link w:val="1064"/>
    <w:uiPriority w:val="9"/>
    <w:unhideWhenUsed/>
    <w:qFormat/>
    <w:pPr>
      <w:keepLines/>
      <w:keepNext/>
      <w:spacing w:before="320" w:after="200"/>
      <w:outlineLvl w:val="8"/>
    </w:pPr>
    <w:rPr>
      <w:rFonts w:ascii="Arial" w:hAnsi="Arial" w:eastAsia="Arial"/>
      <w:i/>
      <w:iCs/>
      <w:sz w:val="21"/>
      <w:szCs w:val="21"/>
    </w:rPr>
  </w:style>
  <w:style w:type="character" w:styleId="1066" w:customStyle="1">
    <w:name w:val="正文缩进 Char"/>
    <w:link w:val="1067"/>
    <w:uiPriority w:val="0"/>
    <w:qFormat/>
    <w:rPr>
      <w:rFonts w:eastAsia="楷体_GB2312"/>
      <w:sz w:val="24"/>
      <w:lang w:val="en-US" w:eastAsia="zh-CN" w:bidi="ar-SA"/>
    </w:rPr>
  </w:style>
  <w:style w:type="paragraph" w:styleId="1067" w:customStyle="1">
    <w:name w:val="正文缩进1"/>
    <w:basedOn w:val="848"/>
    <w:link w:val="1066"/>
    <w:uiPriority w:val="0"/>
    <w:qFormat/>
    <w:pPr>
      <w:ind w:firstLine="420"/>
      <w:jc w:val="left"/>
    </w:pPr>
    <w:rPr>
      <w:sz w:val="24"/>
    </w:rPr>
  </w:style>
  <w:style w:type="character" w:styleId="1068" w:customStyle="1">
    <w:name w:val="Subtitle Char"/>
    <w:link w:val="848"/>
    <w:uiPriority w:val="11"/>
    <w:qFormat/>
    <w:rPr>
      <w:sz w:val="24"/>
      <w:szCs w:val="24"/>
    </w:rPr>
  </w:style>
  <w:style w:type="character" w:styleId="1069" w:customStyle="1">
    <w:name w:val="Body Text Indent Char"/>
    <w:link w:val="848"/>
    <w:uiPriority w:val="0"/>
    <w:qFormat/>
    <w:rPr>
      <w:rFonts w:ascii="微软雅黑" w:hAnsi="创艺简仿宋" w:eastAsia="微软雅黑"/>
      <w:sz w:val="24"/>
    </w:rPr>
  </w:style>
  <w:style w:type="character" w:styleId="1070" w:customStyle="1">
    <w:name w:val="Heading 7 Char"/>
    <w:link w:val="1071"/>
    <w:uiPriority w:val="9"/>
    <w:qFormat/>
    <w:rPr>
      <w:rFonts w:ascii="Arial" w:hAnsi="Arial" w:eastAsia="Arial" w:cs="Arial"/>
      <w:b/>
      <w:bCs/>
      <w:i/>
      <w:iCs/>
      <w:sz w:val="22"/>
      <w:szCs w:val="22"/>
    </w:rPr>
  </w:style>
  <w:style w:type="paragraph" w:styleId="1071" w:customStyle="1">
    <w:name w:val="标题 71"/>
    <w:basedOn w:val="848"/>
    <w:next w:val="848"/>
    <w:link w:val="1070"/>
    <w:uiPriority w:val="9"/>
    <w:unhideWhenUsed/>
    <w:qFormat/>
    <w:pPr>
      <w:keepLines/>
      <w:keepNext/>
      <w:spacing w:before="320" w:after="200"/>
      <w:outlineLvl w:val="6"/>
    </w:pPr>
    <w:rPr>
      <w:rFonts w:ascii="Arial" w:hAnsi="Arial" w:eastAsia="Arial"/>
      <w:b/>
      <w:bCs/>
      <w:i/>
      <w:iCs/>
      <w:sz w:val="22"/>
      <w:szCs w:val="22"/>
    </w:rPr>
  </w:style>
  <w:style w:type="character" w:styleId="1072" w:customStyle="1">
    <w:name w:val="bds_nopic1"/>
    <w:link w:val="848"/>
    <w:uiPriority w:val="0"/>
    <w:qFormat/>
  </w:style>
  <w:style w:type="character" w:styleId="1073" w:customStyle="1">
    <w:name w:val="正文文本缩进 Char1"/>
    <w:link w:val="848"/>
    <w:uiPriority w:val="0"/>
    <w:qFormat/>
    <w:rPr>
      <w:rFonts w:eastAsia="楷体_GB2312"/>
      <w:sz w:val="26"/>
    </w:rPr>
  </w:style>
  <w:style w:type="character" w:styleId="1074" w:customStyle="1">
    <w:name w:val="正文首行缩进 Char"/>
    <w:link w:val="1075"/>
    <w:uiPriority w:val="0"/>
    <w:qFormat/>
  </w:style>
  <w:style w:type="paragraph" w:styleId="1075" w:customStyle="1">
    <w:name w:val="正文首行缩进11"/>
    <w:basedOn w:val="964"/>
    <w:link w:val="1074"/>
    <w:uiPriority w:val="0"/>
    <w:qFormat/>
    <w:pPr>
      <w:ind w:firstLine="420"/>
      <w:spacing w:after="120" w:line="240" w:lineRule="auto"/>
    </w:pPr>
    <w:rPr>
      <w:rFonts w:ascii="Calibri"/>
      <w:sz w:val="26"/>
    </w:rPr>
  </w:style>
  <w:style w:type="character" w:styleId="1076" w:customStyle="1">
    <w:name w:val="Header Char1"/>
    <w:link w:val="848"/>
    <w:uiPriority w:val="0"/>
    <w:qFormat/>
    <w:rPr>
      <w:rFonts w:eastAsia="楷体_GB2312"/>
      <w:sz w:val="18"/>
    </w:rPr>
  </w:style>
  <w:style w:type="character" w:styleId="1077" w:customStyle="1">
    <w:name w:val="日期 Char1"/>
    <w:link w:val="848"/>
    <w:uiPriority w:val="0"/>
    <w:qFormat/>
    <w:rPr>
      <w:rFonts w:eastAsia="楷体_GB2312"/>
      <w:sz w:val="26"/>
      <w:szCs w:val="26"/>
    </w:rPr>
  </w:style>
  <w:style w:type="character" w:styleId="1078" w:customStyle="1">
    <w:name w:val="标题 2 Char"/>
    <w:link w:val="1079"/>
    <w:uiPriority w:val="0"/>
    <w:qFormat/>
    <w:rPr>
      <w:rFonts w:ascii="宋体" w:hAnsi="宋体" w:eastAsia="楷体_GB2312"/>
      <w:b/>
      <w:sz w:val="26"/>
      <w:lang w:val="en-US" w:eastAsia="zh-CN" w:bidi="ar-SA"/>
    </w:rPr>
  </w:style>
  <w:style w:type="paragraph" w:styleId="1079" w:customStyle="1">
    <w:name w:val="标题 211"/>
    <w:basedOn w:val="848"/>
    <w:next w:val="848"/>
    <w:link w:val="1078"/>
    <w:uiPriority w:val="0"/>
    <w:qFormat/>
    <w:pPr>
      <w:jc w:val="left"/>
      <w:keepLines/>
      <w:keepNext/>
      <w:outlineLvl w:val="1"/>
    </w:pPr>
    <w:rPr>
      <w:rFonts w:ascii="宋体" w:hAnsi="宋体"/>
      <w:b/>
    </w:rPr>
  </w:style>
  <w:style w:type="character" w:styleId="1080" w:customStyle="1">
    <w:name w:val="font71"/>
    <w:link w:val="848"/>
    <w:uiPriority w:val="0"/>
    <w:qFormat/>
    <w:rPr>
      <w:rFonts w:hint="eastAsia" w:ascii="宋体" w:hAnsi="宋体" w:eastAsia="宋体" w:cs="宋体"/>
      <w:color w:val="000000"/>
      <w:sz w:val="20"/>
      <w:szCs w:val="20"/>
      <w:u w:val="none"/>
      <w:vertAlign w:val="superscript"/>
    </w:rPr>
  </w:style>
  <w:style w:type="character" w:styleId="1081" w:customStyle="1">
    <w:name w:val="bds_more7"/>
    <w:link w:val="848"/>
    <w:uiPriority w:val="0"/>
    <w:qFormat/>
  </w:style>
  <w:style w:type="character" w:styleId="1082" w:customStyle="1">
    <w:name w:val="bds_more4"/>
    <w:link w:val="848"/>
    <w:uiPriority w:val="0"/>
    <w:qFormat/>
    <w:rPr>
      <w:rFonts w:hint="eastAsia" w:ascii="宋体" w:hAnsi="宋体" w:eastAsia="宋体" w:cs="宋体"/>
    </w:rPr>
  </w:style>
  <w:style w:type="paragraph" w:styleId="1083" w:customStyle="1">
    <w:name w:val="正文文本缩进 21"/>
    <w:basedOn w:val="848"/>
    <w:uiPriority w:val="0"/>
    <w:qFormat/>
    <w:pPr>
      <w:ind w:firstLine="502"/>
      <w:spacing w:line="360" w:lineRule="auto"/>
      <w:tabs>
        <w:tab w:val="left" w:pos="0" w:leader="none"/>
      </w:tabs>
    </w:pPr>
    <w:rPr>
      <w:rFonts w:ascii="宋体" w:eastAsia="宋体"/>
      <w:b/>
      <w:bCs/>
      <w:sz w:val="24"/>
    </w:rPr>
  </w:style>
  <w:style w:type="paragraph" w:styleId="1084" w:customStyle="1">
    <w:name w:val="xl11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85" w:customStyle="1">
    <w:name w:val="无间隔"/>
    <w:uiPriority w:val="99"/>
    <w:qFormat/>
    <w:pPr>
      <w:jc w:val="both"/>
      <w:widowControl w:val="off"/>
    </w:pPr>
    <w:rPr>
      <w:rFonts w:hint="default" w:ascii="Times New Roman" w:hAnsi="Times New Roman" w:eastAsia="楷体_GB2312" w:cs="Times New Roman"/>
      <w:sz w:val="26"/>
      <w:lang w:val="en-US" w:eastAsia="zh-CN" w:bidi="ar-SA"/>
    </w:rPr>
  </w:style>
  <w:style w:type="paragraph" w:styleId="1086" w:customStyle="1">
    <w:name w:val="标题 811"/>
    <w:basedOn w:val="848"/>
    <w:next w:val="1067"/>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1087" w:customStyle="1">
    <w:name w:val="索引 51"/>
    <w:basedOn w:val="848"/>
    <w:next w:val="848"/>
    <w:uiPriority w:val="0"/>
    <w:qFormat/>
    <w:pPr>
      <w:ind w:left="1680"/>
    </w:pPr>
  </w:style>
  <w:style w:type="paragraph" w:styleId="1088" w:customStyle="1">
    <w:name w:val="xl15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89" w:customStyle="1">
    <w:name w:val="目录 71"/>
    <w:basedOn w:val="848"/>
    <w:next w:val="848"/>
    <w:uiPriority w:val="0"/>
    <w:qFormat/>
    <w:pPr>
      <w:ind w:left="2520"/>
    </w:pPr>
  </w:style>
  <w:style w:type="paragraph" w:styleId="1090" w:customStyle="1">
    <w:name w:val="Header1"/>
    <w:basedOn w:val="848"/>
    <w:uiPriority w:val="99"/>
    <w:unhideWhenUsed/>
    <w:qFormat/>
    <w:pPr>
      <w:spacing w:after="0" w:line="240" w:lineRule="auto"/>
      <w:tabs>
        <w:tab w:val="center" w:pos="7143" w:leader="none"/>
        <w:tab w:val="right" w:pos="14287" w:leader="none"/>
      </w:tabs>
    </w:pPr>
  </w:style>
  <w:style w:type="paragraph" w:styleId="1091" w:customStyle="1">
    <w:name w:val="xl10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092" w:customStyle="1">
    <w:name w:val="xl120"/>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3" w:customStyle="1">
    <w:name w:val="无间隔1"/>
    <w:uiPriority w:val="0"/>
    <w:qFormat/>
    <w:pPr>
      <w:spacing w:line="300" w:lineRule="auto"/>
      <w:widowControl w:val="off"/>
    </w:pPr>
    <w:rPr>
      <w:rFonts w:hint="default" w:ascii="Times New Roman" w:hAnsi="Times New Roman" w:eastAsia="华文仿宋" w:cs="Times New Roman"/>
      <w:sz w:val="24"/>
      <w:szCs w:val="21"/>
      <w:lang w:val="en-US" w:eastAsia="zh-CN" w:bidi="ar-SA"/>
    </w:rPr>
  </w:style>
  <w:style w:type="paragraph" w:styleId="1094" w:customStyle="1">
    <w:name w:val="xl13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095" w:customStyle="1">
    <w:name w:val="xl10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96" w:customStyle="1">
    <w:name w:val="目录 21"/>
    <w:basedOn w:val="848"/>
    <w:next w:val="848"/>
    <w:uiPriority w:val="0"/>
    <w:qFormat/>
    <w:pPr>
      <w:ind w:left="420"/>
    </w:pPr>
  </w:style>
  <w:style w:type="paragraph" w:styleId="1097" w:customStyle="1">
    <w:name w:val="xl14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098" w:customStyle="1">
    <w:name w:val="段"/>
    <w:basedOn w:val="848"/>
    <w:next w:val="848"/>
    <w:uiPriority w:val="0"/>
    <w:qFormat/>
    <w:pPr>
      <w:ind w:firstLine="200"/>
      <w:spacing w:line="360" w:lineRule="auto"/>
      <w:widowControl/>
    </w:pPr>
    <w:rPr>
      <w:rFonts w:ascii="宋体" w:hAnsi="宋体" w:eastAsia="宋体" w:cs="宋体"/>
      <w:sz w:val="24"/>
      <w:szCs w:val="24"/>
    </w:rPr>
  </w:style>
  <w:style w:type="paragraph" w:styleId="1099" w:customStyle="1">
    <w:name w:val="题注1"/>
    <w:basedOn w:val="848"/>
    <w:next w:val="848"/>
    <w:uiPriority w:val="35"/>
    <w:unhideWhenUsed/>
    <w:qFormat/>
    <w:pPr>
      <w:spacing w:line="276" w:lineRule="auto"/>
    </w:pPr>
    <w:rPr>
      <w:b/>
      <w:bCs/>
      <w:color w:val="4f81bd"/>
      <w:sz w:val="18"/>
      <w:szCs w:val="18"/>
    </w:rPr>
  </w:style>
  <w:style w:type="paragraph" w:styleId="1100" w:customStyle="1">
    <w:name w:val="_Style 7"/>
    <w:basedOn w:val="848"/>
    <w:uiPriority w:val="0"/>
    <w:qFormat/>
    <w:pPr>
      <w:ind w:firstLine="420"/>
    </w:pPr>
    <w:rPr>
      <w:rFonts w:eastAsia="宋体"/>
      <w:szCs w:val="26"/>
    </w:rPr>
  </w:style>
  <w:style w:type="paragraph" w:styleId="1101" w:customStyle="1">
    <w:name w:val="TOC 标题"/>
    <w:uiPriority w:val="39"/>
    <w:qFormat/>
    <w:rPr>
      <w:rFonts w:hint="default" w:ascii="Times New Roman" w:hAnsi="Times New Roman" w:eastAsia="宋体" w:cs="Times New Roman"/>
      <w:lang w:val="en-US" w:eastAsia="zh-CN" w:bidi="ar-SA"/>
    </w:rPr>
  </w:style>
  <w:style w:type="paragraph" w:styleId="1102" w:customStyle="1">
    <w:name w:val="xl15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03" w:customStyle="1">
    <w:name w:val="xl15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4" w:customStyle="1">
    <w:name w:val="null3"/>
    <w:uiPriority w:val="0"/>
    <w:qFormat/>
    <w:rPr>
      <w:rFonts w:hint="default" w:ascii="Calibri" w:hAnsi="Calibri" w:eastAsia="宋体" w:cs="Times New Roman"/>
      <w:lang w:val="en-US" w:eastAsia="zh-CN" w:bidi="ar-SA"/>
    </w:rPr>
  </w:style>
  <w:style w:type="paragraph" w:styleId="1105" w:customStyle="1">
    <w:name w:val="xl148"/>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06" w:customStyle="1">
    <w:name w:val="列出段落11"/>
    <w:basedOn w:val="848"/>
    <w:uiPriority w:val="34"/>
    <w:qFormat/>
    <w:pPr>
      <w:ind w:firstLine="420"/>
    </w:pPr>
    <w:rPr>
      <w:rFonts w:ascii="Calibri" w:hAnsi="Calibri" w:eastAsia="宋体"/>
      <w:szCs w:val="26"/>
    </w:rPr>
  </w:style>
  <w:style w:type="paragraph" w:styleId="1107" w:customStyle="1">
    <w:name w:val="正文文本缩进 31"/>
    <w:basedOn w:val="848"/>
    <w:uiPriority w:val="0"/>
    <w:qFormat/>
    <w:pPr>
      <w:ind w:firstLine="617"/>
      <w:spacing w:line="360" w:lineRule="auto"/>
    </w:pPr>
    <w:rPr>
      <w:rFonts w:eastAsia="宋体"/>
      <w:sz w:val="24"/>
      <w:szCs w:val="24"/>
    </w:rPr>
  </w:style>
  <w:style w:type="paragraph" w:styleId="1108" w:customStyle="1">
    <w:name w:val="font13"/>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09" w:customStyle="1">
    <w:name w:val="Char Char Char Char Char Char Char1 Char"/>
    <w:uiPriority w:val="0"/>
    <w:qFormat/>
    <w:pPr>
      <w:jc w:val="both"/>
      <w:widowControl w:val="off"/>
    </w:pPr>
    <w:rPr>
      <w:rFonts w:hint="default" w:ascii="Tahoma" w:hAnsi="Tahoma" w:eastAsia="宋体" w:cs="Times New Roman"/>
      <w:sz w:val="24"/>
      <w:lang w:val="en-US" w:eastAsia="zh-CN" w:bidi="ar-SA"/>
    </w:rPr>
  </w:style>
  <w:style w:type="paragraph" w:styleId="1110" w:customStyle="1">
    <w:name w:val="xl11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11" w:customStyle="1">
    <w:name w:val="页脚11"/>
    <w:basedOn w:val="848"/>
    <w:uiPriority w:val="99"/>
    <w:qFormat/>
    <w:pPr>
      <w:jc w:val="left"/>
      <w:tabs>
        <w:tab w:val="center" w:pos="4153" w:leader="none"/>
        <w:tab w:val="right" w:pos="8306" w:leader="none"/>
      </w:tabs>
    </w:pPr>
    <w:rPr>
      <w:sz w:val="18"/>
      <w:lang w:eastAsia="en-US"/>
    </w:rPr>
  </w:style>
  <w:style w:type="paragraph" w:styleId="1112" w:customStyle="1">
    <w:name w:val="xl12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3" w:customStyle="1">
    <w:name w:val="font12"/>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14" w:customStyle="1">
    <w:name w:val="p0"/>
    <w:basedOn w:val="848"/>
    <w:uiPriority w:val="0"/>
    <w:qFormat/>
    <w:pPr>
      <w:widowControl/>
    </w:pPr>
    <w:rPr>
      <w:rFonts w:eastAsia="宋体"/>
      <w:sz w:val="21"/>
      <w:szCs w:val="21"/>
    </w:rPr>
  </w:style>
  <w:style w:type="paragraph" w:styleId="1115" w:customStyle="1">
    <w:name w:val="xl127"/>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16" w:customStyle="1">
    <w:name w:val="xl162"/>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17" w:customStyle="1">
    <w:name w:val="_Style 26"/>
    <w:next w:val="848"/>
    <w:uiPriority w:val="99"/>
    <w:qFormat/>
    <w:pPr>
      <w:jc w:val="both"/>
      <w:widowControl w:val="off"/>
    </w:pPr>
    <w:rPr>
      <w:rFonts w:hint="default" w:ascii="Times New Roman" w:hAnsi="Times New Roman" w:eastAsia="楷体_GB2312" w:cs="Times New Roman"/>
      <w:sz w:val="26"/>
      <w:szCs w:val="26"/>
      <w:lang w:val="en-US" w:eastAsia="zh-CN" w:bidi="ar-SA"/>
    </w:rPr>
  </w:style>
  <w:style w:type="paragraph" w:styleId="1118" w:customStyle="1">
    <w:name w:val="寄信人地址1"/>
    <w:basedOn w:val="848"/>
    <w:uiPriority w:val="99"/>
    <w:unhideWhenUsed/>
    <w:qFormat/>
    <w:rPr>
      <w:rFonts w:ascii="Arial" w:hAnsi="Arial"/>
    </w:rPr>
  </w:style>
  <w:style w:type="paragraph" w:styleId="1119" w:customStyle="1">
    <w:name w:val="目录 81"/>
    <w:basedOn w:val="848"/>
    <w:next w:val="848"/>
    <w:uiPriority w:val="0"/>
    <w:qFormat/>
    <w:pPr>
      <w:ind w:left="2940"/>
    </w:pPr>
  </w:style>
  <w:style w:type="paragraph" w:styleId="1120" w:customStyle="1">
    <w:name w:val="索引 11"/>
    <w:basedOn w:val="848"/>
    <w:next w:val="848"/>
    <w:uiPriority w:val="0"/>
    <w:qFormat/>
  </w:style>
  <w:style w:type="paragraph" w:styleId="1121" w:customStyle="1">
    <w:name w:val="图"/>
    <w:basedOn w:val="848"/>
    <w:uiPriority w:val="0"/>
    <w:qFormat/>
    <w:pPr>
      <w:jc w:val="center"/>
      <w:keepNext/>
      <w:spacing w:before="60" w:after="60" w:line="300" w:lineRule="auto"/>
    </w:pPr>
    <w:rPr>
      <w:rFonts w:eastAsia="宋体"/>
      <w:spacing w:val="20"/>
      <w:sz w:val="24"/>
    </w:rPr>
  </w:style>
  <w:style w:type="paragraph" w:styleId="1122" w:customStyle="1">
    <w:name w:val="_Style 225"/>
    <w:uiPriority w:val="0"/>
    <w:qFormat/>
    <w:pPr>
      <w:ind w:firstLine="420"/>
      <w:jc w:val="both"/>
      <w:spacing w:after="120"/>
      <w:widowControl w:val="off"/>
    </w:pPr>
    <w:rPr>
      <w:rFonts w:hint="default" w:ascii="Times New Roman" w:hAnsi="Times New Roman" w:eastAsia="楷体_GB2312" w:cs="Times New Roman"/>
      <w:sz w:val="26"/>
      <w:lang w:val="en-US" w:eastAsia="zh-CN" w:bidi="ar-SA"/>
    </w:rPr>
  </w:style>
  <w:style w:type="paragraph" w:styleId="1123" w:customStyle="1">
    <w:name w:val="纯文本2"/>
    <w:basedOn w:val="848"/>
    <w:uiPriority w:val="0"/>
    <w:qFormat/>
    <w:rPr>
      <w:rFonts w:ascii="宋体" w:hAnsi="Courier New"/>
    </w:rPr>
  </w:style>
  <w:style w:type="paragraph" w:styleId="1124" w:customStyle="1">
    <w:name w:val="xl140"/>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25" w:customStyle="1">
    <w:name w:val="TOC 标题11"/>
    <w:uiPriority w:val="39"/>
    <w:unhideWhenUsed/>
    <w:qFormat/>
    <w:rPr>
      <w:rFonts w:hint="default" w:ascii="Times New Roman" w:hAnsi="Times New Roman" w:eastAsia="宋体" w:cs="Times New Roman"/>
      <w:lang w:val="en-US" w:eastAsia="zh-CN" w:bidi="ar-SA"/>
    </w:rPr>
  </w:style>
  <w:style w:type="paragraph" w:styleId="1126" w:customStyle="1">
    <w:name w:val="Caption1"/>
    <w:basedOn w:val="848"/>
    <w:next w:val="848"/>
    <w:uiPriority w:val="35"/>
    <w:unhideWhenUsed/>
    <w:qFormat/>
    <w:pPr>
      <w:spacing w:line="276" w:lineRule="auto"/>
    </w:pPr>
    <w:rPr>
      <w:b/>
      <w:bCs/>
      <w:color w:val="4f81bd"/>
      <w:sz w:val="18"/>
      <w:szCs w:val="18"/>
    </w:rPr>
  </w:style>
  <w:style w:type="paragraph" w:styleId="1127" w:customStyle="1">
    <w:name w:val="xl11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28" w:customStyle="1">
    <w:name w:val="font16"/>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29" w:customStyle="1">
    <w:name w:val="xl14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30" w:customStyle="1">
    <w:name w:val="font17"/>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31" w:customStyle="1">
    <w:name w:val="Normal_20"/>
    <w:uiPriority w:val="0"/>
    <w:qFormat/>
    <w:pPr>
      <w:jc w:val="both"/>
      <w:spacing w:before="120" w:after="240"/>
    </w:pPr>
    <w:rPr>
      <w:rFonts w:hint="default" w:ascii="Times New Roman" w:hAnsi="Times New Roman" w:eastAsia="Calibri" w:cs="Times New Roman"/>
      <w:sz w:val="22"/>
      <w:szCs w:val="22"/>
      <w:lang w:val="ru-RU" w:eastAsia="zh-CN" w:bidi="ar-SA"/>
    </w:rPr>
  </w:style>
  <w:style w:type="paragraph" w:styleId="1132" w:customStyle="1">
    <w:name w:val="xl13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33" w:customStyle="1">
    <w:name w:val="xl151"/>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34" w:customStyle="1">
    <w:name w:val="xl160"/>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35" w:customStyle="1">
    <w:name w:val="xl10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36" w:customStyle="1">
    <w:name w:val="xl11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37" w:customStyle="1">
    <w:name w:val="xl134"/>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38" w:customStyle="1">
    <w:name w:val="修订"/>
    <w:uiPriority w:val="99"/>
    <w:unhideWhenUsed/>
    <w:qFormat/>
    <w:rPr>
      <w:rFonts w:hint="default" w:ascii="Times New Roman" w:hAnsi="Times New Roman" w:eastAsia="楷体_GB2312" w:cs="Times New Roman"/>
      <w:sz w:val="26"/>
      <w:lang w:val="en-US" w:eastAsia="zh-CN" w:bidi="ar-SA"/>
    </w:rPr>
  </w:style>
  <w:style w:type="paragraph" w:styleId="1139" w:customStyle="1">
    <w:name w:val="xl128"/>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0" w:customStyle="1">
    <w:name w:val="font22"/>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41" w:customStyle="1">
    <w:name w:val="标题 511"/>
    <w:basedOn w:val="848"/>
    <w:next w:val="1067"/>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1142" w:customStyle="1">
    <w:name w:val="font7"/>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43" w:customStyle="1">
    <w:name w:val="xl119"/>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44" w:customStyle="1">
    <w:name w:val="正文文本1"/>
    <w:basedOn w:val="1145"/>
    <w:next w:val="848"/>
    <w:uiPriority w:val="0"/>
    <w:qFormat/>
    <w:pPr>
      <w:spacing w:line="400" w:lineRule="exact"/>
    </w:pPr>
    <w:rPr>
      <w:rFonts w:ascii="楷体_GB2312"/>
      <w:sz w:val="28"/>
      <w:lang w:eastAsia="en-US"/>
    </w:rPr>
  </w:style>
  <w:style w:type="paragraph" w:styleId="1145" w:customStyle="1">
    <w:name w:val="正文11"/>
    <w:next w:val="1144"/>
    <w:uiPriority w:val="0"/>
    <w:qFormat/>
    <w:pPr>
      <w:jc w:val="both"/>
      <w:widowControl w:val="off"/>
    </w:pPr>
    <w:rPr>
      <w:rFonts w:hint="default" w:ascii="Calibri" w:hAnsi="Calibri" w:eastAsia="宋体" w:cs="Times New Roman"/>
      <w:sz w:val="21"/>
      <w:szCs w:val="21"/>
      <w:lang w:val="en-US" w:eastAsia="zh-CN" w:bidi="ar-SA"/>
    </w:rPr>
  </w:style>
  <w:style w:type="paragraph" w:styleId="1146" w:customStyle="1">
    <w:name w:val="索引 81"/>
    <w:basedOn w:val="848"/>
    <w:next w:val="848"/>
    <w:uiPriority w:val="0"/>
    <w:qFormat/>
    <w:pPr>
      <w:ind w:left="2940"/>
    </w:pPr>
  </w:style>
  <w:style w:type="paragraph" w:styleId="1147" w:customStyle="1">
    <w:name w:val="xl112"/>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48" w:customStyle="1">
    <w:name w:val="签名1"/>
    <w:basedOn w:val="848"/>
    <w:uiPriority w:val="0"/>
    <w:qFormat/>
    <w:pPr>
      <w:jc w:val="center"/>
      <w:spacing w:after="600" w:line="312" w:lineRule="atLeast"/>
    </w:pPr>
    <w:rPr>
      <w:rFonts w:eastAsia="仿宋_GB2312"/>
      <w:sz w:val="24"/>
    </w:rPr>
  </w:style>
  <w:style w:type="paragraph" w:styleId="1149" w:customStyle="1">
    <w:name w:val="xl146"/>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0" w:customStyle="1">
    <w:name w:val="xl122"/>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51" w:customStyle="1">
    <w:name w:val="xl115"/>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2" w:customStyle="1">
    <w:name w:val="索引标题1"/>
    <w:basedOn w:val="848"/>
    <w:next w:val="1120"/>
    <w:uiPriority w:val="0"/>
    <w:qFormat/>
  </w:style>
  <w:style w:type="paragraph" w:styleId="1153" w:customStyle="1">
    <w:name w:val="索引 91"/>
    <w:basedOn w:val="848"/>
    <w:next w:val="848"/>
    <w:uiPriority w:val="0"/>
    <w:qFormat/>
    <w:pPr>
      <w:ind w:left="3360"/>
    </w:pPr>
  </w:style>
  <w:style w:type="paragraph" w:styleId="1154" w:customStyle="1">
    <w:name w:val="font18"/>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55" w:customStyle="1">
    <w:name w:val="正文文本缩进1"/>
    <w:basedOn w:val="848"/>
    <w:next w:val="1118"/>
    <w:uiPriority w:val="0"/>
    <w:unhideWhenUsed/>
    <w:qFormat/>
    <w:pPr>
      <w:ind w:left="420"/>
      <w:spacing w:after="120"/>
    </w:pPr>
    <w:rPr>
      <w:lang w:eastAsia="en-US"/>
    </w:rPr>
  </w:style>
  <w:style w:type="paragraph" w:styleId="1156" w:customStyle="1">
    <w:name w:val="列出段落1"/>
    <w:basedOn w:val="848"/>
    <w:uiPriority w:val="0"/>
    <w:qFormat/>
    <w:pPr>
      <w:ind w:firstLine="420"/>
    </w:pPr>
    <w:rPr>
      <w:rFonts w:ascii="Calibri" w:hAnsi="Calibri" w:eastAsia="宋体" w:cs="黑体"/>
      <w:szCs w:val="22"/>
    </w:rPr>
  </w:style>
  <w:style w:type="paragraph" w:styleId="1157" w:customStyle="1">
    <w:name w:val="xl14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8" w:customStyle="1">
    <w:name w:val="xl13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59" w:customStyle="1">
    <w:name w:val="xl105"/>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0" w:customStyle="1">
    <w:name w:val="Footer1"/>
    <w:basedOn w:val="848"/>
    <w:uiPriority w:val="99"/>
    <w:unhideWhenUsed/>
    <w:qFormat/>
    <w:pPr>
      <w:spacing w:after="0" w:line="240" w:lineRule="auto"/>
      <w:tabs>
        <w:tab w:val="center" w:pos="7143" w:leader="none"/>
        <w:tab w:val="right" w:pos="14287" w:leader="none"/>
      </w:tabs>
    </w:pPr>
  </w:style>
  <w:style w:type="paragraph" w:styleId="1161" w:customStyle="1">
    <w:name w:val="Char1"/>
    <w:basedOn w:val="848"/>
    <w:uiPriority w:val="0"/>
    <w:qFormat/>
    <w:rPr>
      <w:rFonts w:ascii="Tahoma" w:hAnsi="Tahoma" w:eastAsia="宋体"/>
      <w:sz w:val="24"/>
    </w:rPr>
  </w:style>
  <w:style w:type="paragraph" w:styleId="1162" w:customStyle="1">
    <w:name w:val="索引 31"/>
    <w:basedOn w:val="848"/>
    <w:next w:val="848"/>
    <w:uiPriority w:val="0"/>
    <w:qFormat/>
    <w:pPr>
      <w:ind w:left="840"/>
    </w:pPr>
  </w:style>
  <w:style w:type="paragraph" w:styleId="1163" w:customStyle="1">
    <w:name w:val="xl117"/>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64" w:customStyle="1">
    <w:name w:val="正文首行缩进1"/>
    <w:basedOn w:val="1144"/>
    <w:uiPriority w:val="0"/>
    <w:qFormat/>
    <w:pPr>
      <w:ind w:firstLine="200"/>
    </w:pPr>
    <w:rPr>
      <w:rFonts w:ascii="仿宋_GB2312" w:eastAsia="仿宋_GB2312"/>
      <w:sz w:val="30"/>
      <w:szCs w:val="30"/>
    </w:rPr>
  </w:style>
  <w:style w:type="paragraph" w:styleId="1165" w:customStyle="1">
    <w:name w:val="目录 11"/>
    <w:basedOn w:val="848"/>
    <w:next w:val="848"/>
    <w:uiPriority w:val="0"/>
    <w:qFormat/>
    <w:pPr>
      <w:jc w:val="left"/>
    </w:pPr>
    <w:rPr>
      <w:sz w:val="24"/>
    </w:rPr>
  </w:style>
  <w:style w:type="paragraph" w:styleId="1166" w:customStyle="1">
    <w:name w:val="目录 61"/>
    <w:basedOn w:val="848"/>
    <w:next w:val="848"/>
    <w:uiPriority w:val="0"/>
    <w:qFormat/>
    <w:pPr>
      <w:ind w:left="2100"/>
    </w:pPr>
  </w:style>
  <w:style w:type="paragraph" w:styleId="1167" w:customStyle="1">
    <w:name w:val="xl15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68" w:customStyle="1">
    <w:name w:val="xl10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69" w:customStyle="1">
    <w:name w:val="索引 71"/>
    <w:basedOn w:val="848"/>
    <w:next w:val="848"/>
    <w:uiPriority w:val="0"/>
    <w:qFormat/>
    <w:pPr>
      <w:ind w:left="2520"/>
    </w:pPr>
  </w:style>
  <w:style w:type="paragraph" w:styleId="1170" w:customStyle="1">
    <w:name w:val="xl11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1" w:customStyle="1">
    <w:name w:val="列出段落3"/>
    <w:basedOn w:val="848"/>
    <w:uiPriority w:val="0"/>
    <w:qFormat/>
    <w:pPr>
      <w:ind w:firstLine="420"/>
    </w:pPr>
    <w:rPr>
      <w:rFonts w:ascii="Calibri" w:hAnsi="Calibri" w:eastAsia="宋体"/>
      <w:szCs w:val="22"/>
    </w:rPr>
  </w:style>
  <w:style w:type="paragraph" w:styleId="1172" w:customStyle="1">
    <w:name w:val="xl10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3" w:customStyle="1">
    <w:name w:val="xl13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4" w:customStyle="1">
    <w:name w:val="索引 41"/>
    <w:basedOn w:val="848"/>
    <w:next w:val="848"/>
    <w:uiPriority w:val="0"/>
    <w:qFormat/>
    <w:pPr>
      <w:ind w:left="1260"/>
    </w:pPr>
  </w:style>
  <w:style w:type="paragraph" w:styleId="1175" w:customStyle="1">
    <w:name w:val="xl147"/>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76" w:customStyle="1">
    <w:name w:val="font9"/>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77" w:customStyle="1">
    <w:name w:val="xl11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78" w:customStyle="1">
    <w:name w:val="xl10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79" w:customStyle="1">
    <w:name w:val="HtmlNormal1"/>
    <w:basedOn w:val="848"/>
    <w:uiPriority w:val="0"/>
    <w:qFormat/>
    <w:pPr>
      <w:jc w:val="left"/>
    </w:pPr>
    <w:rPr>
      <w:sz w:val="24"/>
    </w:rPr>
  </w:style>
  <w:style w:type="paragraph" w:styleId="1180" w:customStyle="1">
    <w:name w:val="xl10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181" w:customStyle="1">
    <w:name w:val="首行缩进"/>
    <w:basedOn w:val="848"/>
    <w:uiPriority w:val="0"/>
    <w:qFormat/>
    <w:pPr>
      <w:ind w:firstLine="480"/>
    </w:pPr>
    <w:rPr>
      <w:lang w:val="zh-CN"/>
    </w:rPr>
  </w:style>
  <w:style w:type="paragraph" w:styleId="1182" w:customStyle="1">
    <w:name w:val="Char Char1 Char Char Char Char"/>
    <w:basedOn w:val="985"/>
    <w:uiPriority w:val="0"/>
    <w:qFormat/>
    <w:pPr>
      <w:spacing w:line="360" w:lineRule="auto"/>
    </w:pPr>
    <w:rPr>
      <w:rFonts w:ascii="Tahoma" w:hAnsi="Tahoma" w:eastAsia="宋体"/>
      <w:sz w:val="24"/>
      <w:szCs w:val="24"/>
    </w:rPr>
  </w:style>
  <w:style w:type="paragraph" w:styleId="1183" w:customStyle="1">
    <w:name w:val="xl154"/>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84" w:customStyle="1">
    <w:name w:val="xl153"/>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185" w:customStyle="1">
    <w:name w:val="xl139"/>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86" w:customStyle="1">
    <w:name w:val="Table Paragraph"/>
    <w:basedOn w:val="848"/>
    <w:uiPriority w:val="1"/>
    <w:qFormat/>
    <w:rPr>
      <w:rFonts w:ascii="仿宋" w:hAnsi="仿宋" w:eastAsia="仿宋" w:cs="仿宋"/>
      <w:sz w:val="21"/>
      <w:szCs w:val="22"/>
      <w:lang w:val="zh-CN" w:bidi="zh-CN"/>
    </w:rPr>
  </w:style>
  <w:style w:type="paragraph" w:styleId="1187" w:customStyle="1">
    <w:name w:val="标题 711"/>
    <w:basedOn w:val="848"/>
    <w:next w:val="1067"/>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1188" w:customStyle="1">
    <w:name w:val="xl15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189" w:customStyle="1">
    <w:name w:val="标题 911"/>
    <w:basedOn w:val="848"/>
    <w:next w:val="1067"/>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paragraph" w:styleId="1190" w:customStyle="1">
    <w:name w:val="xl131"/>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191" w:customStyle="1">
    <w:name w:val="标题 611"/>
    <w:basedOn w:val="848"/>
    <w:next w:val="1067"/>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1192" w:customStyle="1">
    <w:name w:val="题注11"/>
    <w:basedOn w:val="848"/>
    <w:next w:val="848"/>
    <w:uiPriority w:val="35"/>
    <w:unhideWhenUsed/>
    <w:qFormat/>
    <w:pPr>
      <w:spacing w:line="276" w:lineRule="auto"/>
    </w:pPr>
    <w:rPr>
      <w:b/>
      <w:bCs/>
      <w:color w:val="4f81bd"/>
      <w:sz w:val="18"/>
      <w:szCs w:val="18"/>
    </w:rPr>
  </w:style>
  <w:style w:type="paragraph" w:styleId="1193" w:customStyle="1">
    <w:name w:val="xl145"/>
    <w:basedOn w:val="84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194" w:customStyle="1">
    <w:name w:val="xl99"/>
    <w:basedOn w:val="848"/>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195" w:customStyle="1">
    <w:name w:val="xl158"/>
    <w:basedOn w:val="848"/>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196" w:customStyle="1">
    <w:name w:val="xl161"/>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197" w:customStyle="1">
    <w:name w:val="TOC 标题1"/>
    <w:uiPriority w:val="39"/>
    <w:unhideWhenUsed/>
    <w:qFormat/>
    <w:rPr>
      <w:rFonts w:hint="default" w:ascii="Times New Roman" w:hAnsi="Times New Roman" w:eastAsia="宋体" w:cs="Times New Roman"/>
      <w:lang w:val="en-US" w:eastAsia="zh-CN" w:bidi="ar-SA"/>
    </w:rPr>
  </w:style>
  <w:style w:type="paragraph" w:styleId="1198" w:customStyle="1">
    <w:name w:val="font5"/>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199" w:customStyle="1">
    <w:name w:val="批注主题1"/>
    <w:basedOn w:val="1016"/>
    <w:next w:val="1016"/>
    <w:uiPriority w:val="0"/>
    <w:qFormat/>
    <w:rPr>
      <w:b/>
      <w:bCs/>
    </w:rPr>
  </w:style>
  <w:style w:type="paragraph" w:styleId="1200" w:customStyle="1">
    <w:name w:val="xl142"/>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1" w:customStyle="1">
    <w:name w:val="xl15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02" w:customStyle="1">
    <w:name w:val="xl129"/>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3" w:customStyle="1">
    <w:name w:val="xl136"/>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04" w:customStyle="1">
    <w:name w:val="xl143"/>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5" w:customStyle="1">
    <w:name w:val="font14"/>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206" w:customStyle="1">
    <w:name w:val="font8"/>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207" w:customStyle="1">
    <w:name w:val="xl108"/>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08" w:customStyle="1">
    <w:name w:val="正文首行缩进 21"/>
    <w:basedOn w:val="1155"/>
    <w:next w:val="848"/>
    <w:uiPriority w:val="0"/>
    <w:unhideWhenUsed/>
    <w:qFormat/>
    <w:pPr>
      <w:ind w:firstLine="420"/>
    </w:pPr>
  </w:style>
  <w:style w:type="paragraph" w:styleId="1209" w:customStyle="1">
    <w:name w:val="_Style 62"/>
    <w:basedOn w:val="848"/>
    <w:next w:val="1025"/>
    <w:uiPriority w:val="34"/>
    <w:qFormat/>
    <w:pPr>
      <w:ind w:firstLine="420"/>
    </w:pPr>
    <w:rPr>
      <w:sz w:val="20"/>
    </w:rPr>
  </w:style>
  <w:style w:type="paragraph" w:styleId="1210" w:customStyle="1">
    <w:name w:val="xl126"/>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1" w:customStyle="1">
    <w:name w:val="样式 标题 1 + 宋体 段前: 0 磅 段后: 0 磅 行距: 单倍行距"/>
    <w:basedOn w:val="1034"/>
    <w:next w:val="848"/>
    <w:uiPriority w:val="0"/>
    <w:qFormat/>
    <w:pPr>
      <w:jc w:val="center"/>
      <w:spacing w:line="240" w:lineRule="auto"/>
    </w:pPr>
    <w:rPr>
      <w:rFonts w:ascii="仿宋_GB2312" w:hAnsi="宋体" w:eastAsia="仿宋_GB2312" w:cs="宋体"/>
      <w:bCs/>
      <w:szCs w:val="44"/>
    </w:rPr>
  </w:style>
  <w:style w:type="paragraph" w:styleId="1212" w:customStyle="1">
    <w:name w:val="纯文本1"/>
    <w:basedOn w:val="848"/>
    <w:uiPriority w:val="0"/>
    <w:qFormat/>
    <w:rPr>
      <w:rFonts w:ascii="宋体" w:hAnsi="Courier New"/>
      <w:sz w:val="28"/>
    </w:rPr>
  </w:style>
  <w:style w:type="paragraph" w:styleId="1213" w:customStyle="1">
    <w:name w:val="font10"/>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214" w:customStyle="1">
    <w:name w:val="font6"/>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215" w:customStyle="1">
    <w:name w:val="font15"/>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216" w:customStyle="1">
    <w:name w:val="xl10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7" w:customStyle="1">
    <w:name w:val="目录 41"/>
    <w:basedOn w:val="848"/>
    <w:next w:val="848"/>
    <w:uiPriority w:val="0"/>
    <w:qFormat/>
    <w:pPr>
      <w:ind w:left="1260"/>
    </w:pPr>
  </w:style>
  <w:style w:type="paragraph" w:styleId="1218" w:customStyle="1">
    <w:name w:val="Char"/>
    <w:basedOn w:val="848"/>
    <w:uiPriority w:val="0"/>
    <w:qFormat/>
    <w:pPr>
      <w:jc w:val="left"/>
      <w:spacing w:after="160" w:line="240" w:lineRule="exact"/>
      <w:widowControl/>
    </w:pPr>
    <w:rPr>
      <w:rFonts w:ascii="Verdana" w:hAnsi="Verdana" w:eastAsia="宋体"/>
      <w:sz w:val="21"/>
      <w:lang w:eastAsia="en-US"/>
    </w:rPr>
  </w:style>
  <w:style w:type="paragraph" w:styleId="1219" w:customStyle="1">
    <w:name w:val="xl123"/>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0" w:customStyle="1">
    <w:name w:val="样式4"/>
    <w:basedOn w:val="848"/>
    <w:uiPriority w:val="0"/>
    <w:qFormat/>
    <w:rPr>
      <w:sz w:val="24"/>
      <w:szCs w:val="24"/>
    </w:rPr>
  </w:style>
  <w:style w:type="paragraph" w:styleId="1221" w:customStyle="1">
    <w:name w:val="font20"/>
    <w:basedOn w:val="848"/>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22" w:customStyle="1">
    <w:name w:val="Char Char1 Char Char Char Char Char Char Char"/>
    <w:basedOn w:val="848"/>
    <w:uiPriority w:val="0"/>
    <w:qFormat/>
    <w:rPr>
      <w:rFonts w:ascii="Tahoma" w:hAnsi="Tahoma"/>
      <w:sz w:val="24"/>
    </w:rPr>
  </w:style>
  <w:style w:type="paragraph" w:styleId="1223" w:customStyle="1">
    <w:name w:val="目录 51"/>
    <w:basedOn w:val="848"/>
    <w:next w:val="848"/>
    <w:uiPriority w:val="0"/>
    <w:qFormat/>
    <w:pPr>
      <w:ind w:left="1680"/>
    </w:pPr>
  </w:style>
  <w:style w:type="paragraph" w:styleId="1224" w:customStyle="1">
    <w:name w:val="HTML 预设格式1"/>
    <w:basedOn w:val="8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225" w:customStyle="1">
    <w:name w:val="目录 91"/>
    <w:basedOn w:val="848"/>
    <w:next w:val="848"/>
    <w:uiPriority w:val="0"/>
    <w:qFormat/>
    <w:pPr>
      <w:ind w:left="3360"/>
    </w:pPr>
  </w:style>
  <w:style w:type="paragraph" w:styleId="1226" w:customStyle="1">
    <w:name w:val="索引 21"/>
    <w:basedOn w:val="848"/>
    <w:next w:val="848"/>
    <w:uiPriority w:val="0"/>
    <w:qFormat/>
    <w:pPr>
      <w:ind w:left="420"/>
    </w:pPr>
  </w:style>
  <w:style w:type="paragraph" w:styleId="1227" w:customStyle="1">
    <w:name w:val="xl124"/>
    <w:basedOn w:val="84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8" w:customStyle="1">
    <w:name w:val="图表目录1"/>
    <w:basedOn w:val="848"/>
    <w:next w:val="848"/>
    <w:uiPriority w:val="0"/>
    <w:qFormat/>
    <w:pPr>
      <w:ind w:left="420" w:hanging="420"/>
      <w:jc w:val="left"/>
    </w:pPr>
    <w:rPr>
      <w:smallCaps/>
      <w:sz w:val="24"/>
    </w:rPr>
  </w:style>
  <w:style w:type="paragraph" w:styleId="1229" w:customStyle="1">
    <w:name w:val="xl130"/>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0" w:customStyle="1">
    <w:name w:val="xl138"/>
    <w:basedOn w:val="8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1" w:customStyle="1">
    <w:name w:val="索引 61"/>
    <w:basedOn w:val="848"/>
    <w:next w:val="848"/>
    <w:uiPriority w:val="0"/>
    <w:qFormat/>
    <w:pPr>
      <w:ind w:left="2100"/>
    </w:pPr>
  </w:style>
  <w:style w:type="paragraph" w:styleId="1232" w:customStyle="1">
    <w:name w:val="样式 首行缩进:  2 字符"/>
    <w:basedOn w:val="848"/>
    <w:uiPriority w:val="0"/>
    <w:qFormat/>
    <w:pPr>
      <w:ind w:firstLine="560"/>
      <w:spacing w:line="360" w:lineRule="auto"/>
    </w:pPr>
    <w:rPr>
      <w:rFonts w:eastAsia="仿宋_GB2312" w:cs="宋体"/>
      <w:sz w:val="24"/>
    </w:rPr>
  </w:style>
  <w:style w:type="paragraph" w:styleId="1233" w:customStyle="1">
    <w:name w:val="font19"/>
    <w:basedOn w:val="848"/>
    <w:uiPriority w:val="0"/>
    <w:qFormat/>
    <w:pPr>
      <w:jc w:val="left"/>
      <w:spacing w:before="100" w:beforeAutospacing="1" w:after="100" w:afterAutospacing="1"/>
      <w:widowControl/>
    </w:pPr>
    <w:rPr>
      <w:rFonts w:ascii="宋体" w:hAnsi="宋体" w:eastAsia="宋体" w:cs="宋体"/>
      <w:sz w:val="18"/>
      <w:szCs w:val="18"/>
    </w:rPr>
  </w:style>
  <w:style w:type="paragraph" w:styleId="1234" w:customStyle="1">
    <w:name w:val="正文1"/>
    <w:uiPriority w:val="0"/>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235" w:customStyle="1">
    <w:name w:val="xl121"/>
    <w:basedOn w:val="8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table" w:styleId="1236" w:customStyle="1">
    <w:name w:val="无格式表格 5"/>
    <w:basedOn w:val="1237"/>
    <w:uiPriority w:val="99"/>
    <w:qFormat/>
    <w:pPr>
      <w:spacing w:after="0" w:line="240" w:lineRule="auto"/>
    </w:pPr>
    <w:tblPr/>
  </w:style>
  <w:style w:type="table" w:styleId="1237" w:customStyle="1">
    <w:name w:val="普通表格1"/>
    <w:uiPriority w:val="99"/>
    <w:unhideWhenUsed/>
    <w:qFormat/>
    <w:rPr>
      <w:lang w:val="en-US" w:eastAsia="zh-CN" w:bidi="ar-SA"/>
    </w:rPr>
    <w:tblPr/>
  </w:style>
  <w:style w:type="table" w:styleId="1238" w:customStyle="1">
    <w:name w:val="无格式表格 3"/>
    <w:basedOn w:val="1237"/>
    <w:uiPriority w:val="99"/>
    <w:qFormat/>
    <w:pPr>
      <w:spacing w:after="0" w:line="240" w:lineRule="auto"/>
    </w:pPr>
    <w:tblPr/>
  </w:style>
  <w:style w:type="table" w:styleId="1239" w:customStyle="1">
    <w:name w:val="Table Normal"/>
    <w:uiPriority w:val="2"/>
    <w:unhideWhenUsed/>
    <w:qFormat/>
    <w:pPr>
      <w:widowControl w:val="off"/>
    </w:pPr>
    <w:rPr>
      <w:sz w:val="22"/>
      <w:szCs w:val="22"/>
      <w:lang w:val="en-US" w:eastAsia="en-US" w:bidi="ar-SA"/>
    </w:rPr>
    <w:tblPr/>
  </w:style>
  <w:style w:type="table" w:styleId="1240" w:customStyle="1">
    <w:name w:val="Grid Table 7 Colorful - Accent 5"/>
    <w:uiPriority w:val="99"/>
    <w:qFormat/>
    <w:rPr>
      <w:lang w:val="en-US" w:eastAsia="zh-CN" w:bidi="ar-SA"/>
    </w:rPr>
    <w:tblPr/>
  </w:style>
  <w:style w:type="table" w:styleId="1241" w:customStyle="1">
    <w:name w:val="Bordered"/>
    <w:uiPriority w:val="99"/>
    <w:qFormat/>
    <w:rPr>
      <w:lang w:val="en-US" w:eastAsia="zh-CN" w:bidi="ar-SA"/>
    </w:rPr>
    <w:tblPr/>
  </w:style>
  <w:style w:type="table" w:styleId="1242" w:customStyle="1">
    <w:name w:val="Grid Table 2 - Accent 3"/>
    <w:uiPriority w:val="99"/>
    <w:qFormat/>
    <w:rPr>
      <w:lang w:val="en-US" w:eastAsia="zh-CN" w:bidi="ar-SA"/>
    </w:rPr>
    <w:tblPr/>
  </w:style>
  <w:style w:type="table" w:styleId="1243" w:customStyle="1">
    <w:name w:val="List Table 4 - Accent 3"/>
    <w:uiPriority w:val="99"/>
    <w:qFormat/>
    <w:rPr>
      <w:lang w:val="en-US" w:eastAsia="zh-CN" w:bidi="ar-SA"/>
    </w:rPr>
    <w:tblPr/>
  </w:style>
  <w:style w:type="table" w:styleId="1244" w:customStyle="1">
    <w:name w:val="List Table 4 - Accent 1"/>
    <w:uiPriority w:val="99"/>
    <w:qFormat/>
    <w:rPr>
      <w:lang w:val="en-US" w:eastAsia="zh-CN" w:bidi="ar-SA"/>
    </w:rPr>
    <w:tblPr/>
  </w:style>
  <w:style w:type="table" w:styleId="1245" w:customStyle="1">
    <w:name w:val="清单表 7 彩色"/>
    <w:basedOn w:val="1237"/>
    <w:uiPriority w:val="99"/>
    <w:qFormat/>
    <w:pPr>
      <w:spacing w:after="0" w:line="240" w:lineRule="auto"/>
    </w:pPr>
    <w:tblPr/>
  </w:style>
  <w:style w:type="table" w:styleId="1246" w:customStyle="1">
    <w:name w:val="网格表 7 彩色1"/>
    <w:uiPriority w:val="99"/>
    <w:qFormat/>
    <w:rPr>
      <w:lang w:val="en-US" w:eastAsia="zh-CN" w:bidi="ar-SA"/>
    </w:rPr>
    <w:tblPr/>
  </w:style>
  <w:style w:type="table" w:styleId="1247" w:customStyle="1">
    <w:name w:val="网格表 1 浅色"/>
    <w:basedOn w:val="1237"/>
    <w:uiPriority w:val="99"/>
    <w:qFormat/>
    <w:pPr>
      <w:spacing w:after="0" w:line="240" w:lineRule="auto"/>
    </w:pPr>
    <w:tblPr/>
  </w:style>
  <w:style w:type="table" w:styleId="1248" w:customStyle="1">
    <w:name w:val="清单表 2"/>
    <w:basedOn w:val="1237"/>
    <w:uiPriority w:val="99"/>
    <w:qFormat/>
    <w:pPr>
      <w:spacing w:after="0" w:line="240" w:lineRule="auto"/>
    </w:pPr>
    <w:tblPr/>
  </w:style>
  <w:style w:type="table" w:styleId="1249" w:customStyle="1">
    <w:name w:val="Table Normal3"/>
    <w:uiPriority w:val="2"/>
    <w:unhideWhenUsed/>
    <w:qFormat/>
    <w:pPr>
      <w:widowControl w:val="off"/>
    </w:pPr>
    <w:rPr>
      <w:sz w:val="22"/>
      <w:szCs w:val="22"/>
      <w:lang w:val="en-US" w:eastAsia="en-US" w:bidi="ar-SA"/>
    </w:rPr>
    <w:tblPr/>
  </w:style>
  <w:style w:type="table" w:styleId="1250" w:customStyle="1">
    <w:name w:val="List Table 1 Light - Accent 1"/>
    <w:uiPriority w:val="99"/>
    <w:qFormat/>
    <w:rPr>
      <w:lang w:val="en-US" w:eastAsia="zh-CN" w:bidi="ar-SA"/>
    </w:rPr>
    <w:tblPr/>
  </w:style>
  <w:style w:type="table" w:styleId="1251" w:customStyle="1">
    <w:name w:val="Bordered - Accent 2"/>
    <w:uiPriority w:val="99"/>
    <w:qFormat/>
    <w:rPr>
      <w:lang w:val="en-US" w:eastAsia="zh-CN" w:bidi="ar-SA"/>
    </w:rPr>
    <w:tblPr/>
  </w:style>
  <w:style w:type="table" w:styleId="1252" w:customStyle="1">
    <w:name w:val="Bordered - Accent 4"/>
    <w:uiPriority w:val="99"/>
    <w:qFormat/>
    <w:rPr>
      <w:lang w:val="en-US" w:eastAsia="zh-CN" w:bidi="ar-SA"/>
    </w:rPr>
    <w:tblPr/>
  </w:style>
  <w:style w:type="table" w:styleId="1253" w:customStyle="1">
    <w:name w:val="Lined - Accent 1"/>
    <w:uiPriority w:val="99"/>
    <w:qFormat/>
    <w:rPr>
      <w:color w:val="404040"/>
      <w:lang w:val="en-US" w:eastAsia="zh-CN" w:bidi="ar-SA"/>
    </w:rPr>
    <w:tblPr/>
  </w:style>
  <w:style w:type="table" w:styleId="1254" w:customStyle="1">
    <w:name w:val="网格表 5 深色1"/>
    <w:uiPriority w:val="99"/>
    <w:qFormat/>
    <w:rPr>
      <w:lang w:val="en-US" w:eastAsia="zh-CN" w:bidi="ar-SA"/>
    </w:rPr>
    <w:tblPr/>
  </w:style>
  <w:style w:type="table" w:styleId="1255" w:customStyle="1">
    <w:name w:val="Grid Table 7 Colorful - Accent 3"/>
    <w:uiPriority w:val="99"/>
    <w:qFormat/>
    <w:rPr>
      <w:lang w:val="en-US" w:eastAsia="zh-CN" w:bidi="ar-SA"/>
    </w:rPr>
    <w:tblPr/>
  </w:style>
  <w:style w:type="table" w:styleId="1256" w:customStyle="1">
    <w:name w:val="Grid Table 2 - Accent 5"/>
    <w:uiPriority w:val="99"/>
    <w:qFormat/>
    <w:rPr>
      <w:lang w:val="en-US" w:eastAsia="zh-CN" w:bidi="ar-SA"/>
    </w:rPr>
    <w:tblPr/>
  </w:style>
  <w:style w:type="table" w:styleId="1257" w:customStyle="1">
    <w:name w:val="List Table 5 Dark - Accent 2"/>
    <w:uiPriority w:val="99"/>
    <w:qFormat/>
    <w:rPr>
      <w:lang w:val="en-US" w:eastAsia="zh-CN" w:bidi="ar-SA"/>
    </w:rPr>
    <w:tblPr/>
  </w:style>
  <w:style w:type="table" w:styleId="1258" w:customStyle="1">
    <w:name w:val="Grid Table 4 - Accent 3"/>
    <w:uiPriority w:val="59"/>
    <w:qFormat/>
    <w:rPr>
      <w:lang w:val="en-US" w:eastAsia="zh-CN" w:bidi="ar-SA"/>
    </w:rPr>
    <w:tblPr/>
  </w:style>
  <w:style w:type="table" w:styleId="1259" w:customStyle="1">
    <w:name w:val="Bordered &amp; Lined - Accent 4"/>
    <w:uiPriority w:val="99"/>
    <w:qFormat/>
    <w:rPr>
      <w:color w:val="404040"/>
      <w:lang w:val="en-US" w:eastAsia="zh-CN" w:bidi="ar-SA"/>
    </w:rPr>
    <w:tblPr/>
  </w:style>
  <w:style w:type="table" w:styleId="1260" w:customStyle="1">
    <w:name w:val="List Table 2 - Accent 2"/>
    <w:uiPriority w:val="99"/>
    <w:qFormat/>
    <w:rPr>
      <w:lang w:val="en-US" w:eastAsia="zh-CN" w:bidi="ar-SA"/>
    </w:rPr>
    <w:tblPr/>
  </w:style>
  <w:style w:type="table" w:styleId="1261" w:customStyle="1">
    <w:name w:val="Lined - Accent 2"/>
    <w:uiPriority w:val="99"/>
    <w:qFormat/>
    <w:rPr>
      <w:color w:val="404040"/>
      <w:lang w:val="en-US" w:eastAsia="zh-CN" w:bidi="ar-SA"/>
    </w:rPr>
    <w:tblPr/>
  </w:style>
  <w:style w:type="table" w:styleId="1262" w:customStyle="1">
    <w:name w:val="List Table 7 Colorful - Accent 6"/>
    <w:uiPriority w:val="99"/>
    <w:qFormat/>
    <w:rPr>
      <w:lang w:val="en-US" w:eastAsia="zh-CN" w:bidi="ar-SA"/>
    </w:rPr>
    <w:tblPr/>
  </w:style>
  <w:style w:type="table" w:styleId="1263" w:customStyle="1">
    <w:name w:val="网格表 6 彩色"/>
    <w:basedOn w:val="1237"/>
    <w:uiPriority w:val="99"/>
    <w:qFormat/>
    <w:pPr>
      <w:spacing w:after="0" w:line="240" w:lineRule="auto"/>
    </w:pPr>
    <w:tblPr/>
  </w:style>
  <w:style w:type="table" w:styleId="1264" w:customStyle="1">
    <w:name w:val="网格型1"/>
    <w:basedOn w:val="1237"/>
    <w:uiPriority w:val="0"/>
    <w:qFormat/>
    <w:pPr>
      <w:jc w:val="both"/>
      <w:widowControl w:val="off"/>
    </w:pPr>
    <w:tblPr/>
  </w:style>
  <w:style w:type="table" w:styleId="1265" w:customStyle="1">
    <w:name w:val="Grid Table 2 - Accent 4"/>
    <w:uiPriority w:val="99"/>
    <w:qFormat/>
    <w:rPr>
      <w:lang w:val="en-US" w:eastAsia="zh-CN" w:bidi="ar-SA"/>
    </w:rPr>
    <w:tblPr/>
  </w:style>
  <w:style w:type="table" w:styleId="1266" w:customStyle="1">
    <w:name w:val="Grid Table 3 - Accent 6"/>
    <w:uiPriority w:val="99"/>
    <w:qFormat/>
    <w:rPr>
      <w:lang w:val="en-US" w:eastAsia="zh-CN" w:bidi="ar-SA"/>
    </w:rPr>
    <w:tblPr/>
  </w:style>
  <w:style w:type="table" w:styleId="1267" w:customStyle="1">
    <w:name w:val="List Table 3 - Accent 1"/>
    <w:uiPriority w:val="99"/>
    <w:qFormat/>
    <w:rPr>
      <w:lang w:val="en-US" w:eastAsia="zh-CN" w:bidi="ar-SA"/>
    </w:rPr>
    <w:tblPr/>
  </w:style>
  <w:style w:type="table" w:styleId="1268" w:customStyle="1">
    <w:name w:val="清单表 31"/>
    <w:uiPriority w:val="99"/>
    <w:qFormat/>
    <w:rPr>
      <w:lang w:val="en-US" w:eastAsia="zh-CN" w:bidi="ar-SA"/>
    </w:rPr>
    <w:tblPr/>
  </w:style>
  <w:style w:type="table" w:styleId="1269" w:customStyle="1">
    <w:name w:val="Bordered &amp; Lined - Accent 6"/>
    <w:uiPriority w:val="99"/>
    <w:qFormat/>
    <w:rPr>
      <w:color w:val="404040"/>
      <w:lang w:val="en-US" w:eastAsia="zh-CN" w:bidi="ar-SA"/>
    </w:rPr>
    <w:tblPr/>
  </w:style>
  <w:style w:type="table" w:styleId="1270" w:customStyle="1">
    <w:name w:val="Grid Table 5 Dark - Accent 6"/>
    <w:uiPriority w:val="99"/>
    <w:qFormat/>
    <w:rPr>
      <w:lang w:val="en-US" w:eastAsia="zh-CN" w:bidi="ar-SA"/>
    </w:rPr>
    <w:tblPr/>
  </w:style>
  <w:style w:type="table" w:styleId="1271" w:customStyle="1">
    <w:name w:val="Grid Table 4 - Accent 5"/>
    <w:uiPriority w:val="59"/>
    <w:qFormat/>
    <w:rPr>
      <w:lang w:val="en-US" w:eastAsia="zh-CN" w:bidi="ar-SA"/>
    </w:rPr>
    <w:tblPr/>
  </w:style>
  <w:style w:type="table" w:styleId="1272" w:customStyle="1">
    <w:name w:val="Grid Table 1 Light - Accent 2"/>
    <w:uiPriority w:val="99"/>
    <w:qFormat/>
    <w:rPr>
      <w:lang w:val="en-US" w:eastAsia="zh-CN" w:bidi="ar-SA"/>
    </w:rPr>
    <w:tblPr/>
  </w:style>
  <w:style w:type="table" w:styleId="1273" w:customStyle="1">
    <w:name w:val="Bordered &amp; Lined - Accent 5"/>
    <w:uiPriority w:val="99"/>
    <w:qFormat/>
    <w:rPr>
      <w:color w:val="404040"/>
      <w:lang w:val="en-US" w:eastAsia="zh-CN" w:bidi="ar-SA"/>
    </w:rPr>
    <w:tblPr/>
  </w:style>
  <w:style w:type="table" w:styleId="1274" w:customStyle="1">
    <w:name w:val="无格式表格 4"/>
    <w:basedOn w:val="1237"/>
    <w:uiPriority w:val="99"/>
    <w:qFormat/>
    <w:pPr>
      <w:spacing w:after="0" w:line="240" w:lineRule="auto"/>
    </w:pPr>
    <w:tblPr/>
  </w:style>
  <w:style w:type="table" w:styleId="1275" w:customStyle="1">
    <w:name w:val="Lined - Accent 5"/>
    <w:uiPriority w:val="99"/>
    <w:qFormat/>
    <w:rPr>
      <w:color w:val="404040"/>
      <w:lang w:val="en-US" w:eastAsia="zh-CN" w:bidi="ar-SA"/>
    </w:rPr>
    <w:tblPr/>
  </w:style>
  <w:style w:type="table" w:styleId="1276" w:customStyle="1">
    <w:name w:val="List Table 3 - Accent 4"/>
    <w:uiPriority w:val="99"/>
    <w:qFormat/>
    <w:rPr>
      <w:lang w:val="en-US" w:eastAsia="zh-CN" w:bidi="ar-SA"/>
    </w:rPr>
    <w:tblPr/>
  </w:style>
  <w:style w:type="table" w:styleId="1277" w:customStyle="1">
    <w:name w:val="Table Normal1"/>
    <w:uiPriority w:val="2"/>
    <w:unhideWhenUsed/>
    <w:qFormat/>
    <w:pPr>
      <w:widowControl w:val="off"/>
    </w:pPr>
    <w:rPr>
      <w:sz w:val="22"/>
      <w:szCs w:val="22"/>
      <w:lang w:val="en-US" w:eastAsia="en-US" w:bidi="ar-SA"/>
    </w:rPr>
    <w:tblPr/>
  </w:style>
  <w:style w:type="table" w:styleId="1278" w:customStyle="1">
    <w:name w:val="网格表 5 深色"/>
    <w:basedOn w:val="1237"/>
    <w:uiPriority w:val="99"/>
    <w:qFormat/>
    <w:pPr>
      <w:spacing w:after="0" w:line="240" w:lineRule="auto"/>
    </w:pPr>
    <w:tblPr/>
  </w:style>
  <w:style w:type="table" w:styleId="1279" w:customStyle="1">
    <w:name w:val="Lined - Accent"/>
    <w:uiPriority w:val="99"/>
    <w:qFormat/>
    <w:rPr>
      <w:color w:val="404040"/>
      <w:lang w:val="en-US" w:eastAsia="zh-CN" w:bidi="ar-SA"/>
    </w:rPr>
    <w:tblPr/>
  </w:style>
  <w:style w:type="table" w:styleId="1280" w:customStyle="1">
    <w:name w:val="Grid Table 3 - Accent 2"/>
    <w:uiPriority w:val="99"/>
    <w:qFormat/>
    <w:rPr>
      <w:lang w:val="en-US" w:eastAsia="zh-CN" w:bidi="ar-SA"/>
    </w:rPr>
    <w:tblPr/>
  </w:style>
  <w:style w:type="table" w:styleId="1281" w:customStyle="1">
    <w:name w:val="无格式表格 2"/>
    <w:basedOn w:val="1237"/>
    <w:uiPriority w:val="59"/>
    <w:qFormat/>
    <w:pPr>
      <w:spacing w:after="0" w:line="240" w:lineRule="auto"/>
    </w:pPr>
    <w:tblPr/>
  </w:style>
  <w:style w:type="table" w:styleId="1282" w:customStyle="1">
    <w:name w:val="Grid Table 6 Colorful - Accent 1"/>
    <w:uiPriority w:val="99"/>
    <w:qFormat/>
    <w:rPr>
      <w:lang w:val="en-US" w:eastAsia="zh-CN" w:bidi="ar-SA"/>
    </w:rPr>
    <w:tblPr/>
  </w:style>
  <w:style w:type="table" w:styleId="1283" w:customStyle="1">
    <w:name w:val="Lined - Accent 6"/>
    <w:uiPriority w:val="99"/>
    <w:qFormat/>
    <w:rPr>
      <w:color w:val="404040"/>
      <w:lang w:val="en-US" w:eastAsia="zh-CN" w:bidi="ar-SA"/>
    </w:rPr>
    <w:tblPr/>
  </w:style>
  <w:style w:type="table" w:styleId="1284" w:customStyle="1">
    <w:name w:val="Grid Table 6 Colorful - Accent 2"/>
    <w:uiPriority w:val="99"/>
    <w:qFormat/>
    <w:rPr>
      <w:lang w:val="en-US" w:eastAsia="zh-CN" w:bidi="ar-SA"/>
    </w:rPr>
    <w:tblPr/>
  </w:style>
  <w:style w:type="table" w:styleId="1285" w:customStyle="1">
    <w:name w:val="List Table 6 Colorful - Accent 4"/>
    <w:uiPriority w:val="99"/>
    <w:qFormat/>
    <w:rPr>
      <w:lang w:val="en-US" w:eastAsia="zh-CN" w:bidi="ar-SA"/>
    </w:rPr>
    <w:tblPr/>
  </w:style>
  <w:style w:type="table" w:styleId="1286" w:customStyle="1">
    <w:name w:val="网格表 6 彩色1"/>
    <w:uiPriority w:val="99"/>
    <w:qFormat/>
    <w:rPr>
      <w:lang w:val="en-US" w:eastAsia="zh-CN" w:bidi="ar-SA"/>
    </w:rPr>
    <w:tblPr/>
  </w:style>
  <w:style w:type="table" w:styleId="1287" w:customStyle="1">
    <w:name w:val="Grid Table 6 Colorful - Accent 5"/>
    <w:uiPriority w:val="99"/>
    <w:qFormat/>
    <w:rPr>
      <w:lang w:val="en-US" w:eastAsia="zh-CN" w:bidi="ar-SA"/>
    </w:rPr>
    <w:tblPr/>
  </w:style>
  <w:style w:type="table" w:styleId="1288" w:customStyle="1">
    <w:name w:val="Bordered - Accent 1"/>
    <w:uiPriority w:val="99"/>
    <w:qFormat/>
    <w:rPr>
      <w:lang w:val="en-US" w:eastAsia="zh-CN" w:bidi="ar-SA"/>
    </w:rPr>
    <w:tblPr/>
  </w:style>
  <w:style w:type="table" w:styleId="1289" w:customStyle="1">
    <w:name w:val="Grid Table 4 - Accent 6"/>
    <w:uiPriority w:val="59"/>
    <w:qFormat/>
    <w:rPr>
      <w:lang w:val="en-US" w:eastAsia="zh-CN" w:bidi="ar-SA"/>
    </w:rPr>
    <w:tblPr/>
  </w:style>
  <w:style w:type="table" w:styleId="1290" w:customStyle="1">
    <w:name w:val="Bordered &amp; Lined - Accent 1"/>
    <w:uiPriority w:val="99"/>
    <w:qFormat/>
    <w:rPr>
      <w:color w:val="404040"/>
      <w:lang w:val="en-US" w:eastAsia="zh-CN" w:bidi="ar-SA"/>
    </w:rPr>
    <w:tblPr/>
  </w:style>
  <w:style w:type="table" w:styleId="1291" w:customStyle="1">
    <w:name w:val="List Table 6 Colorful - Accent 3"/>
    <w:uiPriority w:val="99"/>
    <w:qFormat/>
    <w:rPr>
      <w:lang w:val="en-US" w:eastAsia="zh-CN" w:bidi="ar-SA"/>
    </w:rPr>
    <w:tblPr/>
  </w:style>
  <w:style w:type="table" w:styleId="1292" w:customStyle="1">
    <w:name w:val="无格式表格 41"/>
    <w:uiPriority w:val="99"/>
    <w:qFormat/>
    <w:rPr>
      <w:lang w:val="en-US" w:eastAsia="zh-CN" w:bidi="ar-SA"/>
    </w:rPr>
    <w:tblPr/>
  </w:style>
  <w:style w:type="table" w:styleId="1293" w:customStyle="1">
    <w:name w:val="Grid Table 3 - Accent 1"/>
    <w:uiPriority w:val="99"/>
    <w:qFormat/>
    <w:rPr>
      <w:lang w:val="en-US" w:eastAsia="zh-CN" w:bidi="ar-SA"/>
    </w:rPr>
    <w:tblPr/>
  </w:style>
  <w:style w:type="table" w:styleId="1294" w:customStyle="1">
    <w:name w:val="List Table 5 Dark - Accent 1"/>
    <w:uiPriority w:val="99"/>
    <w:qFormat/>
    <w:rPr>
      <w:lang w:val="en-US" w:eastAsia="zh-CN" w:bidi="ar-SA"/>
    </w:rPr>
    <w:tblPr/>
  </w:style>
  <w:style w:type="table" w:styleId="1295" w:customStyle="1">
    <w:name w:val="Grid Table 3 - Accent 4"/>
    <w:uiPriority w:val="99"/>
    <w:qFormat/>
    <w:rPr>
      <w:lang w:val="en-US" w:eastAsia="zh-CN" w:bidi="ar-SA"/>
    </w:rPr>
    <w:tblPr/>
  </w:style>
  <w:style w:type="table" w:styleId="1296" w:customStyle="1">
    <w:name w:val="List Table 5 Dark - Accent 4"/>
    <w:uiPriority w:val="99"/>
    <w:qFormat/>
    <w:rPr>
      <w:lang w:val="en-US" w:eastAsia="zh-CN" w:bidi="ar-SA"/>
    </w:rPr>
    <w:tblPr/>
  </w:style>
  <w:style w:type="table" w:styleId="1297" w:customStyle="1">
    <w:name w:val="List Table 4 - Accent 6"/>
    <w:uiPriority w:val="99"/>
    <w:qFormat/>
    <w:rPr>
      <w:lang w:val="en-US" w:eastAsia="zh-CN" w:bidi="ar-SA"/>
    </w:rPr>
    <w:tblPr/>
  </w:style>
  <w:style w:type="table" w:styleId="1298" w:customStyle="1">
    <w:name w:val="清单表 5 深色"/>
    <w:basedOn w:val="1237"/>
    <w:uiPriority w:val="99"/>
    <w:qFormat/>
    <w:pPr>
      <w:spacing w:after="0" w:line="240" w:lineRule="auto"/>
    </w:pPr>
    <w:tblPr/>
  </w:style>
  <w:style w:type="table" w:styleId="1299" w:customStyle="1">
    <w:name w:val="清单表 3"/>
    <w:basedOn w:val="1237"/>
    <w:uiPriority w:val="99"/>
    <w:qFormat/>
    <w:pPr>
      <w:spacing w:after="0" w:line="240" w:lineRule="auto"/>
    </w:pPr>
    <w:tblPr/>
  </w:style>
  <w:style w:type="table" w:styleId="1300" w:customStyle="1">
    <w:name w:val="List Table 3 - Accent 2"/>
    <w:uiPriority w:val="99"/>
    <w:qFormat/>
    <w:rPr>
      <w:lang w:val="en-US" w:eastAsia="zh-CN" w:bidi="ar-SA"/>
    </w:rPr>
    <w:tblPr/>
  </w:style>
  <w:style w:type="table" w:styleId="1301" w:customStyle="1">
    <w:name w:val="List Table 2 - Accent 5"/>
    <w:uiPriority w:val="99"/>
    <w:qFormat/>
    <w:rPr>
      <w:lang w:val="en-US" w:eastAsia="zh-CN" w:bidi="ar-SA"/>
    </w:rPr>
    <w:tblPr/>
  </w:style>
  <w:style w:type="table" w:styleId="1302" w:customStyle="1">
    <w:name w:val="网格表 4"/>
    <w:basedOn w:val="1237"/>
    <w:uiPriority w:val="59"/>
    <w:qFormat/>
    <w:pPr>
      <w:spacing w:after="0" w:line="240" w:lineRule="auto"/>
    </w:pPr>
    <w:tblPr/>
  </w:style>
  <w:style w:type="table" w:styleId="1303" w:customStyle="1">
    <w:name w:val="网格表 1 浅色1"/>
    <w:uiPriority w:val="99"/>
    <w:qFormat/>
    <w:rPr>
      <w:lang w:val="en-US" w:eastAsia="zh-CN" w:bidi="ar-SA"/>
    </w:rPr>
    <w:tblPr/>
  </w:style>
  <w:style w:type="table" w:styleId="1304" w:customStyle="1">
    <w:name w:val="List Table 5 Dark - Accent 3"/>
    <w:uiPriority w:val="99"/>
    <w:qFormat/>
    <w:rPr>
      <w:lang w:val="en-US" w:eastAsia="zh-CN" w:bidi="ar-SA"/>
    </w:rPr>
    <w:tblPr/>
  </w:style>
  <w:style w:type="table" w:styleId="1305" w:customStyle="1">
    <w:name w:val="无格式表格 1"/>
    <w:basedOn w:val="1237"/>
    <w:uiPriority w:val="59"/>
    <w:qFormat/>
    <w:pPr>
      <w:spacing w:after="0" w:line="240" w:lineRule="auto"/>
    </w:pPr>
    <w:tblPr/>
  </w:style>
  <w:style w:type="table" w:styleId="1306" w:customStyle="1">
    <w:name w:val="Table Grid Light"/>
    <w:uiPriority w:val="59"/>
    <w:qFormat/>
    <w:rPr>
      <w:lang w:val="en-US" w:eastAsia="zh-CN" w:bidi="ar-SA"/>
    </w:rPr>
    <w:tblPr/>
  </w:style>
  <w:style w:type="table" w:styleId="1307" w:customStyle="1">
    <w:name w:val="Grid Table 1 Light - Accent 4"/>
    <w:uiPriority w:val="99"/>
    <w:qFormat/>
    <w:rPr>
      <w:lang w:val="en-US" w:eastAsia="zh-CN" w:bidi="ar-SA"/>
    </w:rPr>
    <w:tblPr/>
  </w:style>
  <w:style w:type="table" w:styleId="1308" w:customStyle="1">
    <w:name w:val="Grid Table 4 - Accent 1"/>
    <w:uiPriority w:val="59"/>
    <w:qFormat/>
    <w:rPr>
      <w:lang w:val="en-US" w:eastAsia="zh-CN" w:bidi="ar-SA"/>
    </w:rPr>
    <w:tblPr/>
  </w:style>
  <w:style w:type="table" w:styleId="1309" w:customStyle="1">
    <w:name w:val="List Table 3 - Accent 3"/>
    <w:uiPriority w:val="99"/>
    <w:qFormat/>
    <w:rPr>
      <w:lang w:val="en-US" w:eastAsia="zh-CN" w:bidi="ar-SA"/>
    </w:rPr>
    <w:tblPr/>
  </w:style>
  <w:style w:type="table" w:styleId="1310" w:customStyle="1">
    <w:name w:val="无格式表格 11"/>
    <w:uiPriority w:val="59"/>
    <w:qFormat/>
    <w:rPr>
      <w:lang w:val="en-US" w:eastAsia="zh-CN" w:bidi="ar-SA"/>
    </w:rPr>
    <w:tblPr/>
  </w:style>
  <w:style w:type="table" w:styleId="1311" w:customStyle="1">
    <w:name w:val="Grid Table 3 - Accent 3"/>
    <w:uiPriority w:val="99"/>
    <w:qFormat/>
    <w:rPr>
      <w:lang w:val="en-US" w:eastAsia="zh-CN" w:bidi="ar-SA"/>
    </w:rPr>
    <w:tblPr/>
  </w:style>
  <w:style w:type="table" w:styleId="1312" w:customStyle="1">
    <w:name w:val="Grid Table 5 Dark - Accent 3"/>
    <w:uiPriority w:val="99"/>
    <w:qFormat/>
    <w:rPr>
      <w:lang w:val="en-US" w:eastAsia="zh-CN" w:bidi="ar-SA"/>
    </w:rPr>
    <w:tblPr/>
  </w:style>
  <w:style w:type="table" w:styleId="1313" w:customStyle="1">
    <w:name w:val="List Table 2 - Accent 3"/>
    <w:uiPriority w:val="99"/>
    <w:qFormat/>
    <w:rPr>
      <w:lang w:val="en-US" w:eastAsia="zh-CN" w:bidi="ar-SA"/>
    </w:rPr>
    <w:tblPr/>
  </w:style>
  <w:style w:type="table" w:styleId="1314" w:customStyle="1">
    <w:name w:val="List Table 2 - Accent 1"/>
    <w:uiPriority w:val="99"/>
    <w:qFormat/>
    <w:rPr>
      <w:lang w:val="en-US" w:eastAsia="zh-CN" w:bidi="ar-SA"/>
    </w:rPr>
    <w:tblPr/>
  </w:style>
  <w:style w:type="table" w:styleId="1315" w:customStyle="1">
    <w:name w:val="List Table 7 Colorful - Accent 2"/>
    <w:uiPriority w:val="99"/>
    <w:qFormat/>
    <w:rPr>
      <w:lang w:val="en-US" w:eastAsia="zh-CN" w:bidi="ar-SA"/>
    </w:rPr>
    <w:tblPr/>
  </w:style>
  <w:style w:type="table" w:styleId="1316" w:customStyle="1">
    <w:name w:val="清单表 4"/>
    <w:basedOn w:val="1237"/>
    <w:uiPriority w:val="99"/>
    <w:qFormat/>
    <w:pPr>
      <w:spacing w:after="0" w:line="240" w:lineRule="auto"/>
    </w:pPr>
    <w:tblPr/>
  </w:style>
  <w:style w:type="table" w:styleId="1317" w:customStyle="1">
    <w:name w:val="List Table 4 - Accent 2"/>
    <w:uiPriority w:val="99"/>
    <w:qFormat/>
    <w:rPr>
      <w:lang w:val="en-US" w:eastAsia="zh-CN" w:bidi="ar-SA"/>
    </w:rPr>
    <w:tblPr/>
  </w:style>
  <w:style w:type="table" w:styleId="1318" w:customStyle="1">
    <w:name w:val="网格型2"/>
    <w:basedOn w:val="1237"/>
    <w:uiPriority w:val="39"/>
    <w:qFormat/>
    <w:rPr>
      <w:rFonts w:ascii="等线" w:hAnsi="等线" w:eastAsia="等线"/>
    </w:rPr>
    <w:tblPr/>
  </w:style>
  <w:style w:type="table" w:styleId="1319" w:customStyle="1">
    <w:name w:val="网格表 2"/>
    <w:basedOn w:val="1237"/>
    <w:uiPriority w:val="99"/>
    <w:qFormat/>
    <w:pPr>
      <w:spacing w:after="0" w:line="240" w:lineRule="auto"/>
    </w:pPr>
    <w:tblPr/>
  </w:style>
  <w:style w:type="table" w:styleId="1320" w:customStyle="1">
    <w:name w:val="List Table 6 Colorful - Accent 1"/>
    <w:uiPriority w:val="99"/>
    <w:qFormat/>
    <w:rPr>
      <w:lang w:val="en-US" w:eastAsia="zh-CN" w:bidi="ar-SA"/>
    </w:rPr>
    <w:tblPr/>
  </w:style>
  <w:style w:type="table" w:styleId="1321" w:customStyle="1">
    <w:name w:val="Bordered &amp; Lined - Accent"/>
    <w:uiPriority w:val="99"/>
    <w:qFormat/>
    <w:rPr>
      <w:color w:val="404040"/>
      <w:lang w:val="en-US" w:eastAsia="zh-CN" w:bidi="ar-SA"/>
    </w:rPr>
    <w:tblPr/>
  </w:style>
  <w:style w:type="table" w:styleId="1322" w:customStyle="1">
    <w:name w:val="Grid Table 6 Colorful - Accent 6"/>
    <w:uiPriority w:val="99"/>
    <w:qFormat/>
    <w:rPr>
      <w:lang w:val="en-US" w:eastAsia="zh-CN" w:bidi="ar-SA"/>
    </w:rPr>
    <w:tblPr/>
  </w:style>
  <w:style w:type="table" w:styleId="1323" w:customStyle="1">
    <w:name w:val="Bordered - Accent 6"/>
    <w:uiPriority w:val="99"/>
    <w:qFormat/>
    <w:rPr>
      <w:lang w:val="en-US" w:eastAsia="zh-CN" w:bidi="ar-SA"/>
    </w:rPr>
    <w:tblPr/>
  </w:style>
  <w:style w:type="table" w:styleId="1324" w:customStyle="1">
    <w:name w:val="Grid Table 1 Light - Accent 3"/>
    <w:uiPriority w:val="99"/>
    <w:qFormat/>
    <w:rPr>
      <w:lang w:val="en-US" w:eastAsia="zh-CN" w:bidi="ar-SA"/>
    </w:rPr>
    <w:tblPr/>
  </w:style>
  <w:style w:type="table" w:styleId="1325" w:customStyle="1">
    <w:name w:val="无格式表格 21"/>
    <w:uiPriority w:val="59"/>
    <w:qFormat/>
    <w:rPr>
      <w:lang w:val="en-US" w:eastAsia="zh-CN" w:bidi="ar-SA"/>
    </w:rPr>
    <w:tblPr/>
  </w:style>
  <w:style w:type="table" w:styleId="1326" w:customStyle="1">
    <w:name w:val="Grid Table 7 Colorful - Accent 1"/>
    <w:uiPriority w:val="99"/>
    <w:qFormat/>
    <w:rPr>
      <w:lang w:val="en-US" w:eastAsia="zh-CN" w:bidi="ar-SA"/>
    </w:rPr>
    <w:tblPr/>
  </w:style>
  <w:style w:type="table" w:styleId="1327" w:customStyle="1">
    <w:name w:val="List Table 3 - Accent 5"/>
    <w:uiPriority w:val="99"/>
    <w:qFormat/>
    <w:rPr>
      <w:lang w:val="en-US" w:eastAsia="zh-CN" w:bidi="ar-SA"/>
    </w:rPr>
    <w:tblPr/>
  </w:style>
  <w:style w:type="table" w:styleId="1328" w:customStyle="1">
    <w:name w:val="无格式表格 51"/>
    <w:uiPriority w:val="99"/>
    <w:qFormat/>
    <w:rPr>
      <w:lang w:val="en-US" w:eastAsia="zh-CN" w:bidi="ar-SA"/>
    </w:rPr>
    <w:tblPr/>
  </w:style>
  <w:style w:type="table" w:styleId="1329" w:customStyle="1">
    <w:name w:val="清单表 6 彩色1"/>
    <w:uiPriority w:val="99"/>
    <w:qFormat/>
    <w:rPr>
      <w:lang w:val="en-US" w:eastAsia="zh-CN" w:bidi="ar-SA"/>
    </w:rPr>
    <w:tblPr/>
  </w:style>
  <w:style w:type="table" w:styleId="1330" w:customStyle="1">
    <w:name w:val="Grid Table 7 Colorful - Accent 2"/>
    <w:uiPriority w:val="99"/>
    <w:qFormat/>
    <w:rPr>
      <w:lang w:val="en-US" w:eastAsia="zh-CN" w:bidi="ar-SA"/>
    </w:rPr>
    <w:tblPr/>
  </w:style>
  <w:style w:type="table" w:styleId="1331" w:customStyle="1">
    <w:name w:val="Grid Table 1 Light - Accent 5"/>
    <w:uiPriority w:val="99"/>
    <w:qFormat/>
    <w:rPr>
      <w:lang w:val="en-US" w:eastAsia="zh-CN" w:bidi="ar-SA"/>
    </w:rPr>
    <w:tblPr/>
  </w:style>
  <w:style w:type="table" w:styleId="1332" w:customStyle="1">
    <w:name w:val="网格表 41"/>
    <w:uiPriority w:val="59"/>
    <w:qFormat/>
    <w:rPr>
      <w:lang w:val="en-US" w:eastAsia="zh-CN" w:bidi="ar-SA"/>
    </w:rPr>
    <w:tblPr/>
  </w:style>
  <w:style w:type="table" w:styleId="1333" w:customStyle="1">
    <w:name w:val="Grid Table 2 - Accent 6"/>
    <w:uiPriority w:val="99"/>
    <w:qFormat/>
    <w:rPr>
      <w:lang w:val="en-US" w:eastAsia="zh-CN" w:bidi="ar-SA"/>
    </w:rPr>
    <w:tblPr/>
  </w:style>
  <w:style w:type="table" w:styleId="1334" w:customStyle="1">
    <w:name w:val="List Table 4 - Accent 5"/>
    <w:uiPriority w:val="99"/>
    <w:qFormat/>
    <w:rPr>
      <w:lang w:val="en-US" w:eastAsia="zh-CN" w:bidi="ar-SA"/>
    </w:rPr>
    <w:tblPr/>
  </w:style>
  <w:style w:type="table" w:styleId="1335" w:customStyle="1">
    <w:name w:val="List Table 1 Light - Accent 6"/>
    <w:uiPriority w:val="99"/>
    <w:qFormat/>
    <w:rPr>
      <w:lang w:val="en-US" w:eastAsia="zh-CN" w:bidi="ar-SA"/>
    </w:rPr>
    <w:tblPr/>
  </w:style>
  <w:style w:type="table" w:styleId="1336" w:customStyle="1">
    <w:name w:val="清单表 5 深色1"/>
    <w:uiPriority w:val="99"/>
    <w:qFormat/>
    <w:rPr>
      <w:lang w:val="en-US" w:eastAsia="zh-CN" w:bidi="ar-SA"/>
    </w:rPr>
    <w:tblPr/>
  </w:style>
  <w:style w:type="table" w:styleId="1337" w:customStyle="1">
    <w:name w:val="List Table 4 - Accent 4"/>
    <w:uiPriority w:val="99"/>
    <w:qFormat/>
    <w:rPr>
      <w:lang w:val="en-US" w:eastAsia="zh-CN" w:bidi="ar-SA"/>
    </w:rPr>
    <w:tblPr/>
  </w:style>
  <w:style w:type="table" w:styleId="1338" w:customStyle="1">
    <w:name w:val="List Table 2 - Accent 4"/>
    <w:uiPriority w:val="99"/>
    <w:qFormat/>
    <w:rPr>
      <w:lang w:val="en-US" w:eastAsia="zh-CN" w:bidi="ar-SA"/>
    </w:rPr>
    <w:tblPr/>
  </w:style>
  <w:style w:type="table" w:styleId="1339" w:customStyle="1">
    <w:name w:val="List Table 2 - Accent 6"/>
    <w:uiPriority w:val="99"/>
    <w:qFormat/>
    <w:rPr>
      <w:lang w:val="en-US" w:eastAsia="zh-CN" w:bidi="ar-SA"/>
    </w:rPr>
    <w:tblPr/>
  </w:style>
  <w:style w:type="table" w:styleId="1340" w:customStyle="1">
    <w:name w:val="List Table 7 Colorful - Accent 5"/>
    <w:uiPriority w:val="99"/>
    <w:qFormat/>
    <w:rPr>
      <w:lang w:val="en-US" w:eastAsia="zh-CN" w:bidi="ar-SA"/>
    </w:rPr>
    <w:tblPr/>
  </w:style>
  <w:style w:type="table" w:styleId="1341" w:customStyle="1">
    <w:name w:val="Table Normal2"/>
    <w:uiPriority w:val="2"/>
    <w:unhideWhenUsed/>
    <w:qFormat/>
    <w:pPr>
      <w:widowControl w:val="off"/>
    </w:pPr>
    <w:rPr>
      <w:sz w:val="22"/>
      <w:szCs w:val="22"/>
      <w:lang w:val="en-US" w:eastAsia="en-US" w:bidi="ar-SA"/>
    </w:rPr>
    <w:tblPr/>
  </w:style>
  <w:style w:type="table" w:styleId="1342" w:customStyle="1">
    <w:name w:val="网格表 7 彩色"/>
    <w:basedOn w:val="1237"/>
    <w:uiPriority w:val="99"/>
    <w:qFormat/>
    <w:pPr>
      <w:spacing w:after="0" w:line="240" w:lineRule="auto"/>
    </w:pPr>
    <w:tblPr/>
  </w:style>
  <w:style w:type="table" w:styleId="1343" w:customStyle="1">
    <w:name w:val="List Table 7 Colorful - Accent 3"/>
    <w:uiPriority w:val="99"/>
    <w:qFormat/>
    <w:rPr>
      <w:lang w:val="en-US" w:eastAsia="zh-CN" w:bidi="ar-SA"/>
    </w:rPr>
    <w:tblPr/>
  </w:style>
  <w:style w:type="table" w:styleId="1344" w:customStyle="1">
    <w:name w:val="网格表 31"/>
    <w:uiPriority w:val="99"/>
    <w:qFormat/>
    <w:rPr>
      <w:lang w:val="en-US" w:eastAsia="zh-CN" w:bidi="ar-SA"/>
    </w:rPr>
    <w:tblPr/>
  </w:style>
  <w:style w:type="table" w:styleId="1345" w:customStyle="1">
    <w:name w:val="清单表 21"/>
    <w:uiPriority w:val="99"/>
    <w:qFormat/>
    <w:rPr>
      <w:lang w:val="en-US" w:eastAsia="zh-CN" w:bidi="ar-SA"/>
    </w:rPr>
    <w:tblPr/>
  </w:style>
  <w:style w:type="table" w:styleId="1346" w:customStyle="1">
    <w:name w:val="List Table 7 Colorful - Accent 4"/>
    <w:uiPriority w:val="99"/>
    <w:qFormat/>
    <w:rPr>
      <w:lang w:val="en-US" w:eastAsia="zh-CN" w:bidi="ar-SA"/>
    </w:rPr>
    <w:tblPr/>
  </w:style>
  <w:style w:type="table" w:styleId="1347" w:customStyle="1">
    <w:name w:val="网格表 3"/>
    <w:basedOn w:val="1237"/>
    <w:uiPriority w:val="99"/>
    <w:qFormat/>
    <w:pPr>
      <w:spacing w:after="0" w:line="240" w:lineRule="auto"/>
    </w:pPr>
    <w:tblPr/>
  </w:style>
  <w:style w:type="table" w:styleId="1348" w:customStyle="1">
    <w:name w:val="无格式表格 31"/>
    <w:uiPriority w:val="99"/>
    <w:qFormat/>
    <w:rPr>
      <w:lang w:val="en-US" w:eastAsia="zh-CN" w:bidi="ar-SA"/>
    </w:rPr>
    <w:tblPr/>
  </w:style>
  <w:style w:type="table" w:styleId="1349" w:customStyle="1">
    <w:name w:val="Grid Table 5 Dark - Accent 2"/>
    <w:uiPriority w:val="99"/>
    <w:qFormat/>
    <w:rPr>
      <w:lang w:val="en-US" w:eastAsia="zh-CN" w:bidi="ar-SA"/>
    </w:rPr>
    <w:tblPr/>
  </w:style>
  <w:style w:type="table" w:styleId="1350" w:customStyle="1">
    <w:name w:val="Grid Table 7 Colorful - Accent 6"/>
    <w:uiPriority w:val="99"/>
    <w:qFormat/>
    <w:rPr>
      <w:lang w:val="en-US" w:eastAsia="zh-CN" w:bidi="ar-SA"/>
    </w:rPr>
    <w:tblPr/>
  </w:style>
  <w:style w:type="table" w:styleId="1351" w:customStyle="1">
    <w:name w:val="List Table 1 Light - Accent 4"/>
    <w:uiPriority w:val="99"/>
    <w:qFormat/>
    <w:rPr>
      <w:lang w:val="en-US" w:eastAsia="zh-CN" w:bidi="ar-SA"/>
    </w:rPr>
    <w:tblPr/>
  </w:style>
  <w:style w:type="table" w:styleId="1352" w:customStyle="1">
    <w:name w:val="Grid Table 5 Dark- Accent 1"/>
    <w:uiPriority w:val="99"/>
    <w:qFormat/>
    <w:rPr>
      <w:lang w:val="en-US" w:eastAsia="zh-CN" w:bidi="ar-SA"/>
    </w:rPr>
    <w:tblPr/>
  </w:style>
  <w:style w:type="table" w:styleId="1353" w:customStyle="1">
    <w:name w:val="Grid Table 2 - Accent 1"/>
    <w:uiPriority w:val="99"/>
    <w:qFormat/>
    <w:rPr>
      <w:lang w:val="en-US" w:eastAsia="zh-CN" w:bidi="ar-SA"/>
    </w:rPr>
    <w:tblPr/>
  </w:style>
  <w:style w:type="table" w:styleId="1354" w:customStyle="1">
    <w:name w:val="Bordered &amp; Lined - Accent 3"/>
    <w:uiPriority w:val="99"/>
    <w:qFormat/>
    <w:rPr>
      <w:color w:val="404040"/>
      <w:lang w:val="en-US" w:eastAsia="zh-CN" w:bidi="ar-SA"/>
    </w:rPr>
    <w:tblPr/>
  </w:style>
  <w:style w:type="table" w:styleId="1355" w:customStyle="1">
    <w:name w:val="List Table 5 Dark - Accent 5"/>
    <w:uiPriority w:val="99"/>
    <w:qFormat/>
    <w:rPr>
      <w:lang w:val="en-US" w:eastAsia="zh-CN" w:bidi="ar-SA"/>
    </w:rPr>
    <w:tblPr/>
  </w:style>
  <w:style w:type="table" w:styleId="1356" w:customStyle="1">
    <w:name w:val="Grid Table 1 Light - Accent 6"/>
    <w:uiPriority w:val="99"/>
    <w:qFormat/>
    <w:rPr>
      <w:lang w:val="en-US" w:eastAsia="zh-CN" w:bidi="ar-SA"/>
    </w:rPr>
    <w:tblPr/>
  </w:style>
  <w:style w:type="table" w:styleId="1357" w:customStyle="1">
    <w:name w:val="Grid Table 6 Colorful - Accent 3"/>
    <w:uiPriority w:val="99"/>
    <w:qFormat/>
    <w:rPr>
      <w:lang w:val="en-US" w:eastAsia="zh-CN" w:bidi="ar-SA"/>
    </w:rPr>
    <w:tblPr/>
  </w:style>
  <w:style w:type="table" w:styleId="1358" w:customStyle="1">
    <w:name w:val="List Table 1 Light - Accent 3"/>
    <w:uiPriority w:val="99"/>
    <w:qFormat/>
    <w:rPr>
      <w:lang w:val="en-US" w:eastAsia="zh-CN" w:bidi="ar-SA"/>
    </w:rPr>
    <w:tblPr/>
  </w:style>
  <w:style w:type="table" w:styleId="1359" w:customStyle="1">
    <w:name w:val="Grid Table 7 Colorful - Accent 4"/>
    <w:uiPriority w:val="99"/>
    <w:qFormat/>
    <w:rPr>
      <w:lang w:val="en-US" w:eastAsia="zh-CN" w:bidi="ar-SA"/>
    </w:rPr>
    <w:tblPr/>
  </w:style>
  <w:style w:type="table" w:styleId="1360" w:customStyle="1">
    <w:name w:val="Bordered - Accent 3"/>
    <w:uiPriority w:val="99"/>
    <w:qFormat/>
    <w:rPr>
      <w:lang w:val="en-US" w:eastAsia="zh-CN" w:bidi="ar-SA"/>
    </w:rPr>
    <w:tblPr/>
  </w:style>
  <w:style w:type="table" w:styleId="1361" w:customStyle="1">
    <w:name w:val="Lined - Accent 3"/>
    <w:uiPriority w:val="99"/>
    <w:qFormat/>
    <w:rPr>
      <w:color w:val="404040"/>
      <w:lang w:val="en-US" w:eastAsia="zh-CN" w:bidi="ar-SA"/>
    </w:rPr>
    <w:tblPr/>
  </w:style>
  <w:style w:type="table" w:styleId="1362" w:customStyle="1">
    <w:name w:val="Lined - Accent 4"/>
    <w:uiPriority w:val="99"/>
    <w:qFormat/>
    <w:rPr>
      <w:color w:val="404040"/>
      <w:lang w:val="en-US" w:eastAsia="zh-CN" w:bidi="ar-SA"/>
    </w:rPr>
    <w:tblPr/>
  </w:style>
  <w:style w:type="table" w:styleId="1363" w:customStyle="1">
    <w:name w:val="Grid Table 4 - Accent 4"/>
    <w:uiPriority w:val="59"/>
    <w:qFormat/>
    <w:rPr>
      <w:lang w:val="en-US" w:eastAsia="zh-CN" w:bidi="ar-SA"/>
    </w:rPr>
    <w:tblPr/>
  </w:style>
  <w:style w:type="table" w:styleId="1364" w:customStyle="1">
    <w:name w:val="清单表 41"/>
    <w:uiPriority w:val="99"/>
    <w:qFormat/>
    <w:rPr>
      <w:lang w:val="en-US" w:eastAsia="zh-CN" w:bidi="ar-SA"/>
    </w:rPr>
    <w:tblPr/>
  </w:style>
  <w:style w:type="table" w:styleId="1365" w:customStyle="1">
    <w:name w:val="Grid Table 2 - Accent 2"/>
    <w:uiPriority w:val="99"/>
    <w:qFormat/>
    <w:rPr>
      <w:lang w:val="en-US" w:eastAsia="zh-CN" w:bidi="ar-SA"/>
    </w:rPr>
    <w:tblPr/>
  </w:style>
  <w:style w:type="table" w:styleId="1366" w:customStyle="1">
    <w:name w:val="List Table 5 Dark - Accent 6"/>
    <w:uiPriority w:val="99"/>
    <w:qFormat/>
    <w:rPr>
      <w:lang w:val="en-US" w:eastAsia="zh-CN" w:bidi="ar-SA"/>
    </w:rPr>
    <w:tblPr/>
  </w:style>
  <w:style w:type="table" w:styleId="1367" w:customStyle="1">
    <w:name w:val="List Table 6 Colorful - Accent 6"/>
    <w:uiPriority w:val="99"/>
    <w:qFormat/>
    <w:rPr>
      <w:lang w:val="en-US" w:eastAsia="zh-CN" w:bidi="ar-SA"/>
    </w:rPr>
    <w:tblPr/>
  </w:style>
  <w:style w:type="table" w:styleId="1368" w:customStyle="1">
    <w:name w:val="List Table 3 - Accent 6"/>
    <w:uiPriority w:val="99"/>
    <w:qFormat/>
    <w:rPr>
      <w:lang w:val="en-US" w:eastAsia="zh-CN" w:bidi="ar-SA"/>
    </w:rPr>
    <w:tblPr/>
  </w:style>
  <w:style w:type="table" w:styleId="1369" w:customStyle="1">
    <w:name w:val="清单表 6 彩色"/>
    <w:basedOn w:val="1237"/>
    <w:uiPriority w:val="99"/>
    <w:qFormat/>
    <w:pPr>
      <w:spacing w:after="0" w:line="240" w:lineRule="auto"/>
    </w:pPr>
    <w:tblPr/>
  </w:style>
  <w:style w:type="table" w:styleId="1370" w:customStyle="1">
    <w:name w:val="List Table 7 Colorful - Accent 1"/>
    <w:uiPriority w:val="99"/>
    <w:qFormat/>
    <w:rPr>
      <w:lang w:val="en-US" w:eastAsia="zh-CN" w:bidi="ar-SA"/>
    </w:rPr>
    <w:tblPr/>
  </w:style>
  <w:style w:type="table" w:styleId="1371" w:customStyle="1">
    <w:name w:val="Grid Table 5 Dark- Accent 4"/>
    <w:uiPriority w:val="99"/>
    <w:qFormat/>
    <w:rPr>
      <w:lang w:val="en-US" w:eastAsia="zh-CN" w:bidi="ar-SA"/>
    </w:rPr>
    <w:tblPr/>
  </w:style>
  <w:style w:type="table" w:styleId="1372" w:customStyle="1">
    <w:name w:val="Grid Table 6 Colorful - Accent 4"/>
    <w:uiPriority w:val="99"/>
    <w:qFormat/>
    <w:rPr>
      <w:lang w:val="en-US" w:eastAsia="zh-CN" w:bidi="ar-SA"/>
    </w:rPr>
    <w:tblPr/>
  </w:style>
  <w:style w:type="table" w:styleId="1373" w:customStyle="1">
    <w:name w:val="List Table 6 Colorful - Accent 2"/>
    <w:uiPriority w:val="99"/>
    <w:qFormat/>
    <w:rPr>
      <w:lang w:val="en-US" w:eastAsia="zh-CN" w:bidi="ar-SA"/>
    </w:rPr>
    <w:tblPr/>
  </w:style>
  <w:style w:type="table" w:styleId="1374" w:customStyle="1">
    <w:name w:val="清单表 7 彩色1"/>
    <w:uiPriority w:val="99"/>
    <w:qFormat/>
    <w:rPr>
      <w:lang w:val="en-US" w:eastAsia="zh-CN" w:bidi="ar-SA"/>
    </w:rPr>
    <w:tblPr/>
  </w:style>
  <w:style w:type="table" w:styleId="1375" w:customStyle="1">
    <w:name w:val="Bordered &amp; Lined - Accent 2"/>
    <w:uiPriority w:val="99"/>
    <w:qFormat/>
    <w:rPr>
      <w:color w:val="404040"/>
      <w:lang w:val="en-US" w:eastAsia="zh-CN" w:bidi="ar-SA"/>
    </w:rPr>
    <w:tblPr/>
  </w:style>
  <w:style w:type="table" w:styleId="1376" w:customStyle="1">
    <w:name w:val="清单表 1 浅色1"/>
    <w:uiPriority w:val="99"/>
    <w:qFormat/>
    <w:rPr>
      <w:lang w:val="en-US" w:eastAsia="zh-CN" w:bidi="ar-SA"/>
    </w:rPr>
    <w:tblPr/>
  </w:style>
  <w:style w:type="table" w:styleId="1377" w:customStyle="1">
    <w:name w:val="Bordered - Accent 5"/>
    <w:uiPriority w:val="99"/>
    <w:qFormat/>
    <w:rPr>
      <w:lang w:val="en-US" w:eastAsia="zh-CN" w:bidi="ar-SA"/>
    </w:rPr>
    <w:tblPr/>
  </w:style>
  <w:style w:type="table" w:styleId="1378" w:customStyle="1">
    <w:name w:val="List Table 1 Light - Accent 5"/>
    <w:uiPriority w:val="99"/>
    <w:qFormat/>
    <w:rPr>
      <w:lang w:val="en-US" w:eastAsia="zh-CN" w:bidi="ar-SA"/>
    </w:rPr>
    <w:tblPr/>
  </w:style>
  <w:style w:type="table" w:styleId="1379" w:customStyle="1">
    <w:name w:val="网格表 21"/>
    <w:uiPriority w:val="99"/>
    <w:qFormat/>
    <w:rPr>
      <w:lang w:val="en-US" w:eastAsia="zh-CN" w:bidi="ar-SA"/>
    </w:rPr>
    <w:tblPr/>
  </w:style>
  <w:style w:type="table" w:styleId="1380" w:customStyle="1">
    <w:name w:val="Grid Table 5 Dark - Accent 5"/>
    <w:uiPriority w:val="99"/>
    <w:qFormat/>
    <w:rPr>
      <w:lang w:val="en-US" w:eastAsia="zh-CN" w:bidi="ar-SA"/>
    </w:rPr>
    <w:tblPr/>
  </w:style>
  <w:style w:type="table" w:styleId="1381" w:customStyle="1">
    <w:name w:val="Grid Table 3 - Accent 5"/>
    <w:uiPriority w:val="99"/>
    <w:qFormat/>
    <w:rPr>
      <w:lang w:val="en-US" w:eastAsia="zh-CN" w:bidi="ar-SA"/>
    </w:rPr>
    <w:tblPr/>
  </w:style>
  <w:style w:type="table" w:styleId="1382" w:customStyle="1">
    <w:name w:val="Grid Table 1 Light - Accent 1"/>
    <w:uiPriority w:val="99"/>
    <w:qFormat/>
    <w:rPr>
      <w:lang w:val="en-US" w:eastAsia="zh-CN" w:bidi="ar-SA"/>
    </w:rPr>
    <w:tblPr/>
  </w:style>
  <w:style w:type="table" w:styleId="1383" w:customStyle="1">
    <w:name w:val="清单表 1 浅色"/>
    <w:basedOn w:val="1237"/>
    <w:uiPriority w:val="99"/>
    <w:qFormat/>
    <w:pPr>
      <w:spacing w:after="0" w:line="240" w:lineRule="auto"/>
    </w:pPr>
    <w:tblPr/>
  </w:style>
  <w:style w:type="table" w:styleId="1384" w:customStyle="1">
    <w:name w:val="List Table 6 Colorful - Accent 5"/>
    <w:uiPriority w:val="99"/>
    <w:qFormat/>
    <w:rPr>
      <w:lang w:val="en-US" w:eastAsia="zh-CN" w:bidi="ar-SA"/>
    </w:rPr>
    <w:tblPr/>
  </w:style>
  <w:style w:type="table" w:styleId="1385" w:customStyle="1">
    <w:name w:val="网格型11"/>
    <w:basedOn w:val="1237"/>
    <w:uiPriority w:val="0"/>
    <w:qFormat/>
    <w:pPr>
      <w:jc w:val="both"/>
      <w:widowControl w:val="off"/>
    </w:pPr>
    <w:tblPr/>
  </w:style>
  <w:style w:type="table" w:styleId="1386" w:customStyle="1">
    <w:name w:val="List Table 1 Light - Accent 2"/>
    <w:uiPriority w:val="99"/>
    <w:qFormat/>
    <w:rPr>
      <w:lang w:val="en-US" w:eastAsia="zh-CN" w:bidi="ar-SA"/>
    </w:rPr>
    <w:tblPr/>
  </w:style>
  <w:style w:type="table" w:styleId="1387" w:customStyle="1">
    <w:name w:val="Grid Table 4 - Accent 2"/>
    <w:uiPriority w:val="59"/>
    <w:qFormat/>
    <w:rPr>
      <w:lang w:val="en-US" w:eastAsia="zh-CN" w:bidi="ar-SA"/>
    </w:rPr>
    <w:tblPr/>
  </w:style>
  <w:style w:type="paragraph" w:styleId="1388"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389" w:customStyle="1">
    <w:name w:val="Style1"/>
    <w:basedOn w:val="848"/>
    <w:uiPriority w:val="0"/>
    <w:qFormat/>
    <w:pPr>
      <w:spacing w:after="120"/>
      <w:widowControl/>
      <w:tabs>
        <w:tab w:val="left" w:pos="-720" w:leader="none"/>
      </w:tabs>
    </w:pPr>
    <w:rPr>
      <w:spacing w:val="-3"/>
      <w:sz w:val="24"/>
      <w:szCs w:val="20"/>
      <w:lang w:val="en-AU" w:eastAsia="en-US"/>
    </w:rPr>
  </w:style>
  <w:style w:type="paragraph" w:styleId="1390" w:customStyle="1">
    <w:name w:val="正文文本 21"/>
    <w:uiPriority w:val="0"/>
    <w:qFormat/>
    <w:pPr>
      <w:jc w:val="center"/>
    </w:pPr>
    <w:rPr>
      <w:rFonts w:hint="default" w:ascii="楷体_GB2312" w:hAnsi="Times New Roman" w:eastAsia="楷体_GB2312" w:cs="Times New Roman"/>
      <w:sz w:val="28"/>
      <w:szCs w:val="28"/>
      <w:lang w:val="en-US" w:eastAsia="zh-CN" w:bidi="ar-SA"/>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w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朱一仁</cp:lastModifiedBy>
  <cp:revision>8</cp:revision>
  <dcterms:created xsi:type="dcterms:W3CDTF">2025-01-17T09:56:00Z</dcterms:created>
  <dcterms:modified xsi:type="dcterms:W3CDTF">2026-05-11T06:25:46Z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eyJoZGlkIjoiNmFkM2Y3ZTNlMjZkYjVhZjcxMmZkMGNlMzY2NGY0M2UiLCJ1c2VySWQiOiI0Mzk4OTE0MjgifQ==</vt:lpwstr>
  </property>
  <property fmtid="{D5CDD505-2E9C-101B-9397-08002B2CF9AE}" pid="3" name="KSOProductBuildVer">
    <vt:lpwstr>2052-12.1.0.25865</vt:lpwstr>
  </property>
  <property fmtid="{D5CDD505-2E9C-101B-9397-08002B2CF9AE}" pid="4" name="ICV">
    <vt:lpwstr>BE3D1EBBCE124049882FBCE16F4F15B4_12</vt:lpwstr>
  </property>
</Properties>
</file>