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highlight w:val="none"/>
        </w:rPr>
      </w:pPr>
      <w:r>
        <w:rPr>
          <w:rFonts w:hint="eastAsia" w:ascii="楷体" w:hAnsi="楷体" w:eastAsia="楷体"/>
          <w:b/>
          <w:color w:val="auto"/>
          <w:sz w:val="72"/>
          <w:szCs w:val="72"/>
          <w:highlight w:val="none"/>
        </w:rPr>
      </w:r>
      <w:r/>
    </w:p>
    <w:p>
      <w:pPr>
        <w:jc w:val="both"/>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公 开 招 标 文 件</w:t>
      </w:r>
      <w:r/>
    </w:p>
    <w:p>
      <w:pPr>
        <w:jc w:val="left"/>
        <w:tabs>
          <w:tab w:val="center" w:pos="4621" w:leader="none"/>
        </w:tabs>
        <w:rPr>
          <w:rFonts w:hint="eastAsia" w:ascii="黑体" w:hAnsi="黑体" w:eastAsia="黑体"/>
          <w:b/>
          <w:color w:val="auto"/>
          <w:sz w:val="72"/>
          <w:highlight w:val="none"/>
        </w:rPr>
      </w:pPr>
      <w:r>
        <w:rPr>
          <w:rFonts w:hint="eastAsia" w:ascii="黑体" w:hAnsi="黑体" w:eastAsia="黑体"/>
          <w:b/>
          <w:color w:val="auto"/>
          <w:sz w:val="7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left="723" w:hanging="723"/>
        <w:jc w:val="center"/>
        <w:keepLines w:val="0"/>
        <w:keepNext w:val="0"/>
        <w:pageBreakBefore w:val="0"/>
        <w:spacing w:line="760" w:lineRule="exact"/>
        <w:widowControl w:val="off"/>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  项目名称：</w:t>
      </w:r>
      <w:r>
        <w:rPr>
          <w:rFonts w:hint="eastAsia" w:ascii="黑体" w:hAnsi="黑体" w:eastAsia="黑体"/>
          <w:b/>
          <w:color w:val="auto"/>
          <w:sz w:val="36"/>
          <w:szCs w:val="36"/>
          <w:highlight w:val="none"/>
          <w:lang w:eastAsia="zh-CN"/>
        </w:rPr>
        <w:t xml:space="preserve">垃圾中转站设施设备、公厕新建及改造项目</w:t>
      </w:r>
      <w:r>
        <w:rPr>
          <w:rFonts w:hint="eastAsia" w:ascii="黑体" w:hAnsi="黑体" w:eastAsia="黑体"/>
          <w:b/>
          <w:color w:val="auto"/>
          <w:sz w:val="36"/>
          <w:szCs w:val="36"/>
          <w:highlight w:val="none"/>
          <w:lang w:val="en-US" w:eastAsia="zh-CN"/>
        </w:rPr>
        <w:t xml:space="preserve">  </w:t>
      </w:r>
      <w:r>
        <w:rPr>
          <w:rFonts w:hint="eastAsia" w:ascii="黑体" w:hAnsi="黑体" w:eastAsia="黑体"/>
          <w:b/>
          <w:color w:val="auto"/>
          <w:sz w:val="36"/>
          <w:szCs w:val="36"/>
          <w:highlight w:val="none"/>
          <w:lang w:eastAsia="zh-CN"/>
        </w:rPr>
        <w:t xml:space="preserve">（移动勾臂箱式12立方中转站设备）</w:t>
      </w:r>
      <w:r/>
    </w:p>
    <w:p>
      <w:pPr>
        <w:spacing w:line="760" w:lineRule="exact"/>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ind w:firstLine="708"/>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t xml:space="preserve">项目编号</w:t>
      </w:r>
      <w:r>
        <w:rPr>
          <w:rFonts w:hint="eastAsia" w:ascii="黑体" w:hAnsi="黑体" w:eastAsia="黑体"/>
          <w:b/>
          <w:color w:val="auto"/>
          <w:sz w:val="36"/>
          <w:highlight w:val="none"/>
          <w:lang w:eastAsia="zh-CN"/>
        </w:rPr>
        <w:t xml:space="preserve">：JSZC-320812-JSFP-G2026-0006</w:t>
      </w:r>
      <w:r>
        <w:rPr>
          <w:rFonts w:hint="eastAsia" w:ascii="黑体" w:hAnsi="黑体" w:eastAsia="黑体"/>
          <w:b/>
          <w:color w:val="auto"/>
          <w:sz w:val="36"/>
          <w:highlight w:val="none"/>
        </w:rPr>
        <w:t xml:space="preserve"> </w:t>
      </w:r>
      <w:r/>
    </w:p>
    <w:p>
      <w:pPr>
        <w:ind w:left="-359" w:firstLine="360"/>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江苏富朋</w:t>
      </w:r>
      <w:r>
        <w:rPr>
          <w:rFonts w:hint="eastAsia" w:ascii="黑体" w:hAnsi="黑体" w:eastAsia="黑体"/>
          <w:b/>
          <w:color w:val="auto"/>
          <w:sz w:val="36"/>
          <w:szCs w:val="36"/>
          <w:highlight w:val="none"/>
        </w:rPr>
        <w:t xml:space="preserve">项目管理有限公司</w:t>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eastAsia="zh-CN"/>
        </w:rPr>
        <w:t xml:space="preserve">二〇二六</w:t>
      </w:r>
      <w:r>
        <w:rPr>
          <w:rFonts w:hint="eastAsia" w:ascii="黑体" w:hAnsi="黑体" w:eastAsia="黑体"/>
          <w:b/>
          <w:color w:val="auto"/>
          <w:sz w:val="36"/>
          <w:szCs w:val="36"/>
          <w:highlight w:val="none"/>
        </w:rPr>
        <w:t xml:space="preserve">年</w:t>
      </w:r>
      <w:r>
        <w:rPr>
          <w:rFonts w:hint="eastAsia" w:ascii="黑体" w:hAnsi="黑体" w:eastAsia="黑体"/>
          <w:b/>
          <w:color w:val="auto"/>
          <w:sz w:val="36"/>
          <w:szCs w:val="36"/>
          <w:highlight w:val="none"/>
          <w:lang w:val="en-US" w:eastAsia="zh-CN"/>
        </w:rPr>
        <w:t xml:space="preserve">六</w:t>
      </w:r>
      <w:r>
        <w:rPr>
          <w:rFonts w:hint="eastAsia" w:ascii="黑体" w:hAnsi="黑体" w:eastAsia="黑体"/>
          <w:b/>
          <w:color w:val="auto"/>
          <w:sz w:val="36"/>
          <w:szCs w:val="36"/>
          <w:highlight w:val="none"/>
        </w:rPr>
        <w:t xml:space="preserve">月</w:t>
      </w:r>
      <w:r/>
    </w:p>
    <w:p>
      <w:pPr>
        <w:rPr>
          <w:rFonts w:hint="eastAsia" w:ascii="宋体" w:hAnsi="宋体"/>
          <w:color w:val="auto"/>
          <w:sz w:val="24"/>
          <w:highlight w:val="none"/>
        </w:rPr>
      </w:pPr>
      <w:r>
        <w:rPr>
          <w:rFonts w:hint="eastAsia" w:ascii="宋体" w:hAnsi="宋体"/>
          <w:color w:val="auto"/>
          <w:sz w:val="24"/>
          <w:highlight w:val="none"/>
        </w:rPr>
      </w:r>
      <w:r/>
    </w:p>
    <w:p>
      <w:pPr>
        <w:ind w:left="0"/>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受淮安市清江浦区环卫事业管理服务中心的委托，</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就</w:t>
      </w:r>
      <w:r>
        <w:rPr>
          <w:rFonts w:hint="eastAsia" w:ascii="仿宋" w:hAnsi="仿宋" w:eastAsia="仿宋"/>
          <w:color w:val="auto"/>
          <w:sz w:val="28"/>
          <w:szCs w:val="28"/>
          <w:highlight w:val="none"/>
          <w:lang w:eastAsia="zh-CN"/>
        </w:rPr>
        <w:t xml:space="preserve">垃圾中转站设施设备、公厕新建及改造项目（移动勾臂箱式12立方中转站设备）</w:t>
      </w:r>
      <w:r>
        <w:rPr>
          <w:rFonts w:hint="eastAsia" w:ascii="仿宋" w:hAnsi="仿宋" w:eastAsia="仿宋"/>
          <w:color w:val="auto"/>
          <w:sz w:val="28"/>
          <w:szCs w:val="28"/>
          <w:highlight w:val="none"/>
        </w:rPr>
        <w:t xml:space="preserve">进行公开招标采购，现邀请符合条件的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参加投标。</w: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319520" cy="1167130"/>
                <wp:effectExtent l="5080" t="4445" r="19050" b="9525"/>
                <wp:wrapNone/>
                <wp:docPr id="1" name="矩形 1"/>
                <wp:cNvGraphicFramePr/>
                <a:graphic xmlns:a="http://schemas.openxmlformats.org/drawingml/2006/main">
                  <a:graphicData uri="http://schemas.microsoft.com/office/word/2010/wordprocessingShape">
                    <wps:wsp>
                      <wps:cNvPr id="0" name=""/>
                      <wps:cNvSpPr/>
                      <wps:spPr bwMode="auto">
                        <a:xfrm>
                          <a:off x="0" y="0"/>
                          <a:ext cx="6319520" cy="1167130"/>
                        </a:xfrm>
                        <a:prstGeom prst="rect">
                          <a:avLst/>
                        </a:prstGeom>
                        <a:solidFill>
                          <a:srgbClr val="FFFFFF"/>
                        </a:solidFill>
                        <a:ln>
                          <a:solidFill>
                            <a:srgbClr val="000000"/>
                          </a:solidFill>
                        </a:ln>
                      </wps:spPr>
                      <wps:txbx>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u w:val="single"/>
                                <w:lang w:eastAsia="zh-CN"/>
                              </w:rPr>
                              <w:t xml:space="preserve">垃圾中转站设施设备、公厕新建及改造项目（移动勾臂箱式12立方中转站设备）</w:t>
                            </w:r>
                            <w:r>
                              <w:rPr>
                                <w:rFonts w:hint="eastAsia" w:ascii="仿宋" w:hAnsi="仿宋" w:eastAsia="仿宋"/>
                                <w:sz w:val="28"/>
                                <w:szCs w:val="28"/>
                                <w:highlight w:val="none"/>
                              </w:rPr>
                              <w:t xml:space="preserve">的潜在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应在淮安市政府采购网自行免费下载招标文件，并于202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07</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分（北京时</w:t>
                            </w:r>
                            <w:r>
                              <w:rPr>
                                <w:rFonts w:hint="eastAsia" w:ascii="仿宋" w:hAnsi="仿宋" w:eastAsia="仿宋"/>
                                <w:sz w:val="28"/>
                                <w:szCs w:val="28"/>
                              </w:rPr>
                              <w:t xml:space="preserve">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97.6pt;height:91.9pt;mso-wrap-distance-left:9.0pt;mso-wrap-distance-top:0.0pt;mso-wrap-distance-right:9.0pt;mso-wrap-distance-bottom:0.0pt;visibility:visible;" fillcolor="#FFFFFF" strokecolor="#000000">
                <v:textbox inset="0,0,0,0">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u w:val="single"/>
                          <w:lang w:eastAsia="zh-CN"/>
                        </w:rPr>
                        <w:t xml:space="preserve">垃圾中转站设施设备、公厕新建及改造项目（移动勾臂箱式12立方中转站设备）</w:t>
                      </w:r>
                      <w:r>
                        <w:rPr>
                          <w:rFonts w:hint="eastAsia" w:ascii="仿宋" w:hAnsi="仿宋" w:eastAsia="仿宋"/>
                          <w:sz w:val="28"/>
                          <w:szCs w:val="28"/>
                          <w:highlight w:val="none"/>
                        </w:rPr>
                        <w:t xml:space="preserve">的潜在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应在淮安市政府采购网自行免费下载招标文件，并于202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07</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分（北京时</w:t>
                      </w:r>
                      <w:r>
                        <w:rPr>
                          <w:rFonts w:hint="eastAsia" w:ascii="仿宋" w:hAnsi="仿宋" w:eastAsia="仿宋"/>
                          <w:sz w:val="28"/>
                          <w:szCs w:val="28"/>
                        </w:rPr>
                        <w:t xml:space="preserve">间）前提交投标文件。</w:t>
                      </w:r>
                      <w:r/>
                    </w:p>
                    <w:p>
                      <w:r/>
                      <w:r/>
                    </w:p>
                  </w:txbxContent>
                </v:textbox>
              </v:shape>
            </w:pict>
          </mc:Fallback>
        </mc:AlternateConten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JSZC-320812-JSFP-G2026-0006</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szCs w:val="28"/>
          <w:highlight w:val="none"/>
          <w:lang w:eastAsia="zh-CN"/>
        </w:rPr>
        <w:t xml:space="preserve">：垃圾中转站设施设备、公厕新建及改造项目（移动勾臂箱式12立方中转站设备）</w:t>
      </w:r>
      <w:r>
        <w:rPr>
          <w:rFonts w:hint="eastAsia" w:ascii="仿宋" w:hAnsi="仿宋" w:eastAsia="仿宋"/>
          <w:color w:val="auto"/>
          <w:sz w:val="28"/>
          <w:szCs w:val="28"/>
          <w:highlight w:val="none"/>
        </w:rPr>
        <w:t xml:space="preserve"> </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527</w:t>
      </w:r>
      <w:r>
        <w:rPr>
          <w:rFonts w:hint="eastAsia" w:ascii="仿宋" w:hAnsi="仿宋" w:eastAsia="仿宋"/>
          <w:color w:val="auto"/>
          <w:sz w:val="28"/>
          <w:szCs w:val="28"/>
          <w:highlight w:val="none"/>
        </w:rPr>
        <w:t xml:space="preserve">万元</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527</w:t>
      </w:r>
      <w:r>
        <w:rPr>
          <w:rFonts w:hint="eastAsia" w:ascii="仿宋" w:hAnsi="仿宋" w:eastAsia="仿宋"/>
          <w:color w:val="auto"/>
          <w:sz w:val="28"/>
          <w:szCs w:val="28"/>
          <w:highlight w:val="none"/>
        </w:rPr>
        <w:t xml:space="preserve">万元</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w:t>
      </w:r>
      <w:r>
        <w:rPr>
          <w:rFonts w:hint="eastAsia" w:ascii="仿宋" w:hAnsi="仿宋" w:eastAsia="仿宋"/>
          <w:color w:val="auto"/>
          <w:sz w:val="28"/>
          <w:szCs w:val="28"/>
          <w:highlight w:val="none"/>
          <w:lang w:eastAsia="zh-CN"/>
        </w:rPr>
        <w:t xml:space="preserve">：垃圾中转站设施设备、公厕新建及改造项目（移动勾臂箱式12立方中转站设备）</w:t>
      </w:r>
      <w:r>
        <w:rPr>
          <w:rFonts w:hint="eastAsia" w:ascii="仿宋" w:hAnsi="仿宋" w:eastAsia="仿宋"/>
          <w:color w:val="auto"/>
          <w:sz w:val="28"/>
          <w:szCs w:val="28"/>
          <w:highlight w:val="none"/>
        </w:rPr>
        <w:t xml:space="preserve">，详细内容见本招标文件第五章。本项目核心产品为：移动勾臂箱式垃圾压缩箱设备。</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合同签订后，中标人接到采购人分批供货通知之日起 7</w:t>
      </w:r>
      <w:r>
        <w:rPr>
          <w:rFonts w:hint="eastAsia" w:ascii="仿宋" w:hAnsi="仿宋" w:eastAsia="仿宋"/>
          <w:color w:val="auto"/>
          <w:sz w:val="28"/>
          <w:szCs w:val="28"/>
          <w:highlight w:val="none"/>
          <w:lang w:val="en-US" w:eastAsia="zh-CN"/>
        </w:rPr>
        <w:t xml:space="preserve">日</w:t>
      </w:r>
      <w:r>
        <w:rPr>
          <w:rFonts w:hint="eastAsia" w:ascii="仿宋" w:hAnsi="仿宋" w:eastAsia="仿宋"/>
          <w:color w:val="auto"/>
          <w:sz w:val="28"/>
          <w:szCs w:val="28"/>
          <w:highlight w:val="none"/>
        </w:rPr>
        <w:t xml:space="preserve">内，完成该批次货物的供货、安装、调试并交付采购人使用。具体批次及每批次供货数量以采购人通知为准。中标人可在投标文件中就交货期限提出合理化建议，经采购人同意后可另行协商。   </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w:t>
      </w:r>
      <w:r>
        <w:rPr>
          <w:rFonts w:ascii="Wingdings" w:hAnsi="Wingdings" w:eastAsia="Wingdings" w:cs="Wingdings"/>
          <w:color w:val="auto"/>
          <w:sz w:val="28"/>
          <w:szCs w:val="28"/>
          <w:highlight w:val="none"/>
        </w:rPr>
        <w:t xml:space="preserve">¨</w:t>
      </w:r>
      <w:r>
        <w:rPr>
          <w:rFonts w:hint="eastAsia" w:ascii="仿宋" w:hAnsi="仿宋" w:eastAsia="仿宋"/>
          <w:color w:val="auto"/>
          <w:sz w:val="28"/>
          <w:szCs w:val="28"/>
          <w:highlight w:val="none"/>
        </w:rPr>
        <w:t xml:space="preserve">是☑否）接受联合体投标。</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rPr>
        <w:t xml:space="preserve">工业</w:t>
      </w:r>
      <w:r>
        <w:rPr>
          <w:rFonts w:hint="eastAsia" w:ascii="仿宋" w:hAnsi="仿宋" w:eastAsia="仿宋"/>
          <w:color w:val="auto"/>
          <w:sz w:val="28"/>
          <w:szCs w:val="28"/>
          <w:highlight w:val="none"/>
        </w:rPr>
        <w:t xml:space="preserve">。</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rPr>
          <w:rFonts w:hint="eastAsia" w:ascii="仿宋" w:hAnsi="仿宋" w:eastAsia="仿宋"/>
          <w:color w:val="auto"/>
          <w:sz w:val="28"/>
          <w:szCs w:val="28"/>
          <w:highlight w:val="none"/>
          <w:lang w:eastAsia="zh-CN"/>
        </w:rPr>
        <w:t xml:space="preserve">：</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（二）落实政府采购政策需满足的资格要求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 xml:space="preserve">种方式落实政府采购促进中小企业发展的要求：</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（1）本项目要求投标人以联合体形式参加，中小企业合同金额应当达到的比例为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（2）本项目要求投标人进行合同分包，中小企业合同金额应当达到的比例为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须知”第33.1项</w:t>
      </w:r>
      <w:r>
        <w:rPr>
          <w:rFonts w:hint="eastAsia" w:ascii="仿宋" w:hAnsi="仿宋" w:eastAsia="仿宋"/>
          <w:color w:val="auto"/>
          <w:sz w:val="28"/>
          <w:szCs w:val="28"/>
          <w:highlight w:val="none"/>
          <w:lang w:val="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无。</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参加本次采购活动</w:t>
      </w:r>
      <w:r>
        <w:rPr>
          <w:rFonts w:hint="eastAsia" w:ascii="仿宋" w:hAnsi="仿宋" w:eastAsia="仿宋" w:cs="宋体"/>
          <w:color w:val="auto"/>
          <w:sz w:val="28"/>
          <w:szCs w:val="28"/>
          <w:highlight w:val="none"/>
          <w:lang w:eastAsia="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单位负责人为同一人或者存在直接控股、管理关系的不同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left="0" w:firstLine="560"/>
        <w:keepLines w:val="0"/>
        <w:keepNext w:val="0"/>
        <w:pageBreakBefore w:val="0"/>
        <w:spacing w:line="336" w:lineRule="auto"/>
        <w:widowControl w:val="off"/>
        <w:rPr>
          <w:rFonts w:hint="eastAsia"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被“信用中国”网站、“中国政府采购网”列入失信被执行人、重大税收违法案件当事人名单、政府采购严重违法失信行为记录名单。</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时间</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自招标公告发布之日起五个工作日。</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方式：在“淮安市政府采购网”自行免费下载招标文件。</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left="0" w:firstLine="652"/>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投标文件提交截止时间及开标时间</w:t>
      </w:r>
      <w:r>
        <w:rPr>
          <w:rFonts w:hint="eastAsia" w:ascii="仿宋" w:hAnsi="仿宋" w:eastAsia="仿宋"/>
          <w:color w:val="auto"/>
          <w:sz w:val="28"/>
          <w:szCs w:val="28"/>
          <w:highlight w:val="none"/>
          <w:lang w:eastAsia="zh-CN"/>
        </w:rPr>
        <w:t xml:space="preserve">：2026年07月01日</w:t>
      </w:r>
      <w:r>
        <w:rPr>
          <w:rFonts w:hint="eastAsia" w:ascii="仿宋" w:hAnsi="仿宋" w:eastAsia="仿宋"/>
          <w:color w:val="auto"/>
          <w:sz w:val="28"/>
          <w:szCs w:val="28"/>
          <w:highlight w:val="none"/>
        </w:rPr>
        <w:t xml:space="preserve">14点30分</w:t>
      </w:r>
      <w:r/>
    </w:p>
    <w:p>
      <w:pPr>
        <w:ind w:left="0" w:firstLine="652"/>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投标文件上传地址：“苏采云”政府采购交易系统网上开标大厅。</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本文件所称进口产品是指通过中国海关报关验放进入中国境内且产自关境外的产品）。</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left="0" w:firstLine="560"/>
        <w:jc w:val="left"/>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称：淮安市清江浦区环卫事业管理服务中心</w:t>
      </w:r>
      <w:r/>
    </w:p>
    <w:p>
      <w:pPr>
        <w:ind w:left="0" w:firstLine="560"/>
        <w:jc w:val="left"/>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淮安市清江浦区健康西路81号</w:t>
      </w:r>
      <w:r/>
    </w:p>
    <w:p>
      <w:pPr>
        <w:ind w:left="0" w:firstLine="565"/>
        <w:keepLines w:val="0"/>
        <w:keepNext w:val="0"/>
        <w:pageBreakBefore w:val="0"/>
        <w:spacing w:line="336" w:lineRule="auto"/>
        <w:widowControl w:val="off"/>
        <w:rPr>
          <w:rFonts w:hint="eastAsia" w:ascii="仿宋" w:hAnsi="仿宋" w:eastAsia="仿宋" w:cs="仿宋"/>
          <w:bCs/>
          <w:color w:val="auto"/>
          <w:sz w:val="28"/>
          <w:szCs w:val="28"/>
          <w:highlight w:val="none"/>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戴</w:t>
      </w:r>
      <w:r>
        <w:rPr>
          <w:rFonts w:hint="eastAsia" w:ascii="仿宋" w:hAnsi="仿宋" w:eastAsia="仿宋"/>
          <w:color w:val="auto"/>
          <w:sz w:val="28"/>
          <w:szCs w:val="28"/>
          <w:highlight w:val="none"/>
          <w:lang w:val="en-US" w:eastAsia="zh-CN"/>
        </w:rPr>
        <w:t xml:space="preserve">先生</w:t>
      </w:r>
      <w:r>
        <w:rPr>
          <w:rFonts w:hint="eastAsia" w:ascii="仿宋" w:hAnsi="仿宋" w:eastAsia="仿宋"/>
          <w:color w:val="auto"/>
          <w:sz w:val="28"/>
          <w:szCs w:val="28"/>
          <w:highlight w:val="none"/>
        </w:rPr>
        <w:t xml:space="preserve">      联系电话：</w:t>
      </w:r>
      <w:r>
        <w:rPr>
          <w:rFonts w:hint="eastAsia" w:ascii="仿宋" w:hAnsi="仿宋" w:eastAsia="仿宋" w:cs="仿宋"/>
          <w:bCs/>
          <w:color w:val="auto"/>
          <w:sz w:val="28"/>
          <w:szCs w:val="28"/>
          <w:highlight w:val="none"/>
        </w:rPr>
        <w:t xml:space="preserve">13952308339</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：江苏富朋项目管理有限公司</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淮安市淮阴区淮河东路江淮科技园4号楼7楼708室</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邵女士</w:t>
      </w:r>
      <w:r>
        <w:rPr>
          <w:rFonts w:hint="eastAsia" w:ascii="仿宋" w:hAnsi="仿宋" w:eastAsia="仿宋"/>
          <w:color w:val="auto"/>
          <w:sz w:val="28"/>
          <w:szCs w:val="28"/>
          <w:highlight w:val="none"/>
        </w:rPr>
        <w:t xml:space="preserve">      联系电话：</w:t>
      </w:r>
      <w:r>
        <w:rPr>
          <w:rFonts w:hint="eastAsia" w:ascii="仿宋" w:hAnsi="仿宋" w:eastAsia="仿宋" w:cs="仿宋"/>
          <w:bCs/>
          <w:color w:val="auto"/>
          <w:sz w:val="28"/>
          <w:szCs w:val="28"/>
          <w:highlight w:val="none"/>
          <w:lang w:eastAsia="zh-CN"/>
        </w:rPr>
        <w:t xml:space="preserve">17314153276</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left="0" w:firstLine="567"/>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通过苏采云系统参与政府采购项目，需要更换CA数字证书和公章。具体办理指南和操作手册见链接：http://www.ccgp-jiangsu.gov.cn/jiangsu/zlxz/ee/ee3a4bc5a3454aa2b0d9312230633ce9.html。</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操作手册》（以下简称《操作手册》）、进行注册并按《操作手册》要求制作、上传电子响应文件。</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.有关本次招标的事项若存在变动或修改，敬请及时关注</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在“淮安市政府采购网”发布的更正公告。</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.本项目不收取投标保证金。</w:t>
      </w:r>
      <w:r/>
    </w:p>
    <w:p>
      <w:pPr>
        <w:jc w:val="center"/>
        <w:keepLines w:val="0"/>
        <w:keepNext w:val="0"/>
        <w:pageBreakBefore w:val="0"/>
        <w:spacing w:line="336" w:lineRule="auto"/>
        <w:rPr>
          <w:rFonts w:hint="eastAsia" w:ascii="仿宋" w:hAnsi="仿宋" w:eastAsia="仿宋"/>
          <w:b/>
          <w:color w:val="auto"/>
          <w:sz w:val="36"/>
          <w:szCs w:val="36"/>
          <w:highlight w:val="none"/>
        </w:rPr>
      </w:pPr>
      <w:r>
        <w:rPr>
          <w:rFonts w:hint="eastAsia" w:ascii="仿宋" w:hAnsi="仿宋" w:eastAsia="仿宋"/>
          <w:color w:val="auto"/>
          <w:sz w:val="28"/>
          <w:szCs w:val="28"/>
          <w:highlight w:val="none"/>
        </w:rPr>
        <w:t xml:space="preserve"> </w:t>
      </w:r>
      <w:r>
        <w:rPr>
          <w:rFonts w:hint="eastAsia" w:ascii="仿宋" w:hAnsi="仿宋" w:eastAsia="仿宋"/>
          <w:b/>
          <w:color w:val="auto"/>
          <w:sz w:val="36"/>
          <w:szCs w:val="36"/>
          <w:highlight w:val="none"/>
        </w:rPr>
        <w:t xml:space="preserve">第二章  </w:t>
      </w:r>
      <w:r>
        <w:rPr>
          <w:rFonts w:hint="eastAsia" w:ascii="仿宋" w:hAnsi="仿宋" w:eastAsia="仿宋"/>
          <w:b/>
          <w:color w:val="auto"/>
          <w:sz w:val="36"/>
          <w:szCs w:val="36"/>
          <w:highlight w:val="none"/>
          <w:lang w:eastAsia="zh-CN"/>
        </w:rPr>
        <w:t xml:space="preserve">投标人</w:t>
      </w:r>
      <w:r>
        <w:rPr>
          <w:rFonts w:hint="eastAsia" w:ascii="仿宋" w:hAnsi="仿宋" w:eastAsia="仿宋"/>
          <w:b/>
          <w:color w:val="auto"/>
          <w:sz w:val="36"/>
          <w:szCs w:val="36"/>
          <w:highlight w:val="none"/>
        </w:rPr>
        <w:t xml:space="preserve">须知</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一、总则</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1.1本招标文件仅适用于本次投标邀请中所述项目的采购。</w:t>
      </w:r>
      <w:r/>
    </w:p>
    <w:p>
      <w:pPr>
        <w:keepLines w:val="0"/>
        <w:keepNext w:val="0"/>
        <w:pageBreakBefore w:val="0"/>
        <w:spacing w:line="336"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2.合格的</w:t>
      </w:r>
      <w:r>
        <w:rPr>
          <w:rFonts w:hint="eastAsia" w:ascii="仿宋" w:hAnsi="仿宋" w:eastAsia="仿宋"/>
          <w:color w:val="auto"/>
          <w:sz w:val="28"/>
          <w:szCs w:val="28"/>
          <w:highlight w:val="none"/>
          <w:lang w:eastAsia="zh-CN"/>
        </w:rPr>
        <w:t xml:space="preserve">投标人</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2.1满足第一章投标邀请中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资格要求的规定。 </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2.2满足招标文件中实质性条款的规定。</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3.1《中华人民共和国政府采购法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中华人民共和国政府采购法实施条例</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政府采购货物和服务招标投标管理办法》等有关法律、规章和规定等。</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应自行承担所有与参加投标有关的费用。不论投标的结果如何，</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（以下简称采购代理机构）和</w:t>
      </w:r>
      <w:r>
        <w:rPr>
          <w:rFonts w:hint="eastAsia" w:ascii="仿宋" w:hAnsi="仿宋" w:eastAsia="仿宋" w:cs="仿宋"/>
          <w:color w:val="auto"/>
          <w:sz w:val="28"/>
          <w:szCs w:val="28"/>
          <w:highlight w:val="none"/>
        </w:rPr>
        <w:t xml:space="preserve">淮安市清江浦区环卫事业管理服务中心</w:t>
      </w:r>
      <w:r>
        <w:rPr>
          <w:rFonts w:hint="eastAsia" w:ascii="仿宋" w:hAnsi="仿宋" w:eastAsia="仿宋"/>
          <w:color w:val="auto"/>
          <w:sz w:val="28"/>
          <w:szCs w:val="28"/>
          <w:highlight w:val="none"/>
        </w:rPr>
        <w:t xml:space="preserve">（以下简称采购人）在任何情况下均无义务和责任承担这些费用。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4.2</w:t>
      </w: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招标代理费按照苏招协[2022]002号文收费标准执行，专家评审费按评标现场实际发放计取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此项</w:t>
      </w:r>
      <w:r>
        <w:rPr>
          <w:rFonts w:hint="eastAsia" w:ascii="仿宋" w:hAnsi="仿宋" w:eastAsia="仿宋" w:cs="仿宋"/>
          <w:color w:val="auto"/>
          <w:sz w:val="28"/>
          <w:szCs w:val="28"/>
          <w:highlight w:val="none"/>
        </w:rPr>
        <w:t xml:space="preserve">费用须包含在投标报价中，但无须单独列项计取，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在报价时综合考虑，由中标</w:t>
      </w:r>
      <w:r>
        <w:rPr>
          <w:rFonts w:hint="eastAsia" w:ascii="仿宋" w:hAnsi="仿宋" w:eastAsia="仿宋"/>
          <w:color w:val="auto"/>
          <w:sz w:val="28"/>
          <w:szCs w:val="28"/>
          <w:highlight w:val="none"/>
          <w:lang w:eastAsia="zh-CN"/>
        </w:rPr>
        <w:t xml:space="preserve">人</w:t>
      </w:r>
      <w:r>
        <w:rPr>
          <w:rFonts w:hint="eastAsia" w:ascii="仿宋" w:hAnsi="仿宋" w:eastAsia="仿宋"/>
          <w:color w:val="auto"/>
          <w:sz w:val="28"/>
          <w:szCs w:val="28"/>
          <w:highlight w:val="none"/>
        </w:rPr>
        <w:t xml:space="preserve">在领取</w:t>
      </w:r>
      <w:r>
        <w:rPr>
          <w:rFonts w:hint="eastAsia" w:ascii="仿宋" w:hAnsi="仿宋" w:eastAsia="仿宋"/>
          <w:color w:val="auto"/>
          <w:sz w:val="28"/>
          <w:szCs w:val="28"/>
          <w:highlight w:val="none"/>
          <w:lang w:val="en-US" w:eastAsia="zh-CN"/>
        </w:rPr>
        <w:t xml:space="preserve">中标</w:t>
      </w:r>
      <w:r>
        <w:rPr>
          <w:rFonts w:hint="eastAsia" w:ascii="仿宋" w:hAnsi="仿宋" w:eastAsia="仿宋"/>
          <w:color w:val="auto"/>
          <w:sz w:val="28"/>
          <w:szCs w:val="28"/>
          <w:highlight w:val="none"/>
        </w:rPr>
        <w:t xml:space="preserve">通知书前向采购代理机构一次性付清。</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招标文件的约束力</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一旦参加本项目采购活动，即被认为接受了本招标文件的规定和约束。</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二、招标文件</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6.招标文件由以下部分组成</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6.1投标邀请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须知</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6.3评标标准 </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6.4合同格式及条款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6.5项目采购需求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6.6投标文件</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keepLines w:val="0"/>
        <w:keepNext w:val="0"/>
        <w:pageBreakBefore w:val="0"/>
        <w:spacing w:line="33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7.1在投标截止时间十五日前，</w:t>
      </w:r>
      <w:r>
        <w:rPr>
          <w:rFonts w:hint="eastAsia" w:ascii="仿宋" w:hAnsi="仿宋" w:eastAsia="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可主动或在解答</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提出的澄清问题时对招标文件用更正公告的方式进行修正。</w:t>
      </w:r>
      <w:r/>
    </w:p>
    <w:p>
      <w:pPr>
        <w:ind w:firstLine="560"/>
        <w:keepLines w:val="0"/>
        <w:keepNext w:val="0"/>
        <w:pageBreakBefore w:val="0"/>
        <w:spacing w:line="33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7.2对招标文件的更正将在淮安市政府采购网进行公告，更正公告将作为招标文件的组成部分，对所有参加本次投标的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都具有约束力。</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7.3为使</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有足够的时间按招标文件的更正要求修正投标文件，</w:t>
      </w:r>
      <w:r>
        <w:rPr>
          <w:rFonts w:hint="eastAsia" w:ascii="仿宋" w:hAnsi="仿宋" w:eastAsia="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有权按照相关法定的要求推迟投标截止时间和开标日期。</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三、投标文件的编制</w:t>
      </w:r>
      <w:r/>
    </w:p>
    <w:p>
      <w:pPr>
        <w:keepLines w:val="0"/>
        <w:keepNext w:val="0"/>
        <w:pageBreakBefore w:val="0"/>
        <w:spacing w:line="336" w:lineRule="auto"/>
        <w:rPr>
          <w:rFonts w:hint="eastAsia" w:ascii="仿宋" w:hAnsi="仿宋" w:eastAsia="仿宋"/>
          <w:color w:val="auto"/>
          <w:sz w:val="28"/>
          <w:szCs w:val="28"/>
          <w:highlight w:val="none"/>
        </w:rPr>
      </w:pPr>
      <w:r/>
      <w:bookmarkStart w:id="0" w:name="_Toc462564073"/>
      <w:r/>
      <w:bookmarkStart w:id="1" w:name="_Toc513029214"/>
      <w:r/>
      <w:bookmarkStart w:id="2" w:name="_Toc20823286"/>
      <w:r/>
      <w:bookmarkStart w:id="3" w:name="_Toc16938530"/>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提交的投标文件以及</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与采购人就有关投标的所有来往通知、函件和文件均应使用简体中文。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8.2除技术性能另有规定外，投标文件所使用的度量衡单位，均须采用国家法定计量单位。</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的投标材料，未按招标文件要求在指定模块上传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的投标材料的，</w:t>
      </w:r>
      <w:r>
        <w:rPr>
          <w:rFonts w:hint="eastAsia" w:ascii="仿宋" w:hAnsi="仿宋" w:eastAsia="仿宋"/>
          <w:color w:val="auto"/>
          <w:sz w:val="28"/>
          <w:szCs w:val="28"/>
          <w:highlight w:val="none"/>
        </w:rPr>
        <w:t xml:space="preserve">视同未提交该投标材料处理。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9.2如标书制作工具中格式和内容与“江苏省政府采购网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淮安市政府采购网”发布的招标文件不一致，请以“江苏省政府采购网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淮安市政府采购网”发布的招标文件为准。</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10.证明</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及投标标的符合招标文件规定的文件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应按照招标文件要求提交证明文件，证明其及投标标的符合招标文件规定。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应按照招标文件规定格式填报投标分项报价表。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需对招标文件中的技术要求与商务要求逐项作出响应或偏离，并说明原因。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可在投标文件中提供认为需要的其他技术文件或说明。</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需根据招标文件要求提供培训计划。</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需根据招标文件要求提供所投标的的主要组成部分、功能设计、实现思路及关键技术等。</w:t>
      </w:r>
      <w:r/>
    </w:p>
    <w:p>
      <w:pPr>
        <w:keepLines w:val="0"/>
        <w:keepNext w:val="0"/>
        <w:pageBreakBefore w:val="0"/>
        <w:spacing w:line="336" w:lineRule="auto"/>
        <w:rPr>
          <w:rFonts w:hint="eastAsia" w:ascii="仿宋" w:hAnsi="仿宋" w:eastAsia="仿宋"/>
          <w:color w:val="auto"/>
          <w:sz w:val="28"/>
          <w:szCs w:val="28"/>
          <w:highlight w:val="none"/>
        </w:rPr>
      </w:pPr>
      <w:r/>
      <w:bookmarkStart w:id="4" w:name="_Toc14577359"/>
      <w:r/>
      <w:bookmarkStart w:id="5" w:name="_Toc49090510"/>
      <w:r>
        <w:rPr>
          <w:rFonts w:hint="eastAsia" w:ascii="仿宋" w:hAnsi="仿宋" w:eastAsia="仿宋"/>
          <w:color w:val="auto"/>
          <w:sz w:val="28"/>
          <w:szCs w:val="28"/>
          <w:highlight w:val="none"/>
        </w:rPr>
        <w:t xml:space="preserve">14.投标函和开标一览表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应按照招标文件中提供的格式完整、正确填写投标函、开标一览表。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336" w:lineRule="auto"/>
        <w:rPr>
          <w:rFonts w:hint="eastAsia" w:ascii="仿宋" w:hAnsi="仿宋" w:eastAsia="仿宋"/>
          <w:color w:val="auto"/>
          <w:sz w:val="28"/>
          <w:szCs w:val="28"/>
          <w:highlight w:val="none"/>
        </w:rPr>
      </w:pPr>
      <w:r/>
      <w:bookmarkStart w:id="6" w:name="_Toc14577360"/>
      <w:r/>
      <w:bookmarkStart w:id="7" w:name="_Toc49090511"/>
      <w:r>
        <w:rPr>
          <w:rFonts w:hint="eastAsia" w:ascii="仿宋" w:hAnsi="仿宋" w:eastAsia="仿宋"/>
          <w:color w:val="auto"/>
          <w:sz w:val="28"/>
          <w:szCs w:val="28"/>
          <w:highlight w:val="none"/>
        </w:rPr>
        <w:t xml:space="preserve">15.投标有效期</w:t>
      </w:r>
      <w:bookmarkEnd w:id="6"/>
      <w:r/>
      <w:bookmarkEnd w:id="7"/>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15.1投标有效期为采购人规定的开标之日后九十（90）天。投标有效期比规定短的将被视为未实质性响应招标文件而予以拒绝。</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16.1在特殊情况下，采购人于原投标有效期满之前，可向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提出延长投标有效期的要求。这种要求与答复均应采用书面形式。</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可以拒绝采购人的这一要求而放弃投标，同意延长投标有效期的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既不能要求也不允许修改其投标文件。受投标有效期约束的所有权利与义务均延长至新的有效期。</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17.方案部分</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本项目评标标准中的方案部分采用明标方式进行评审。</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四、投标文件上传</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18.投标文件的上传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keepLines w:val="0"/>
        <w:keepNext w:val="0"/>
        <w:pageBreakBefore w:val="0"/>
        <w:spacing w:line="336" w:lineRule="auto"/>
        <w:rPr>
          <w:rFonts w:hint="eastAsia"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18.2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lang w:eastAsia="zh-CN"/>
        </w:rPr>
        <w:t xml:space="preserve">投标人</w:t>
      </w:r>
      <w:r>
        <w:rPr>
          <w:rFonts w:hint="eastAsia" w:ascii="仿宋" w:hAnsi="仿宋" w:eastAsia="仿宋" w:cs="宋体"/>
          <w:bCs/>
          <w:color w:val="auto"/>
          <w:sz w:val="28"/>
          <w:szCs w:val="28"/>
          <w:highlight w:val="none"/>
          <w:lang w:val="zh-CN"/>
        </w:rPr>
        <w:t xml:space="preserve">自负。</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上传电子投标文件的时间不得迟于投标邀请中规定的截止时间。</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18.4代理公司可以按第7条规定，通过修改招标文件有权酌情延长投标文件接收截止时间。在此情况下，</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的所有权利和义务以及</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受制约的截止日期均应以延长后新的截止日期为准。</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19.投标文件被拒绝接收的情形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19.1在招标文件规定的提交投标文件截止时间后上传的电子投标文件。</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20.投标文件的修改和撤回</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在上传电子投标文件后可以对其修改或撤回，但这种修改和撤回，必须在规定的开标时间之前，具体操作方法见《操作手册》。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不得在开标时间以后修改电子投标文件。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不得在提交电子投标文件截止时间起至投标有效期满前撤回电子投标文件。</w:t>
      </w:r>
      <w:r/>
    </w:p>
    <w:p>
      <w:pPr>
        <w:keepLines w:val="0"/>
        <w:keepNext w:val="0"/>
        <w:pageBreakBefore w:val="0"/>
        <w:spacing w:line="336" w:lineRule="auto"/>
        <w:rPr>
          <w:rFonts w:hint="eastAsia" w:ascii="仿宋" w:hAnsi="仿宋" w:eastAsia="仿宋"/>
          <w:b/>
          <w:color w:val="auto"/>
          <w:sz w:val="32"/>
          <w:szCs w:val="32"/>
          <w:highlight w:val="none"/>
        </w:rPr>
      </w:pPr>
      <w:r/>
      <w:bookmarkStart w:id="8" w:name="_Toc162083530"/>
      <w:r>
        <w:rPr>
          <w:rFonts w:hint="eastAsia" w:ascii="仿宋" w:hAnsi="仿宋" w:eastAsia="仿宋"/>
          <w:b/>
          <w:color w:val="auto"/>
          <w:sz w:val="32"/>
          <w:szCs w:val="32"/>
          <w:highlight w:val="none"/>
        </w:rPr>
        <w:t xml:space="preserve">五、开标及评标</w:t>
      </w:r>
      <w:bookmarkEnd w:id="8"/>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21.开标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21.1代理公司将在招标公告中规定的时间和地点组织开标。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21.2开标仪式由代理公司组织。苏采云系统将自动对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名称和投标价格。</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在开标过程中涉及到的投标文件解密、开标结果确认等工作，应按照《操作手册》规定执行。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21.4</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如果对开标过程和开标记录有疑义，应当根据《操作手册》规定提出，如苏采云系统中《开标记录表》宣布后5分钟内未提出的，视同认可开标结果。</w:t>
      </w:r>
      <w:r/>
    </w:p>
    <w:p>
      <w:pPr>
        <w:keepLines w:val="0"/>
        <w:keepNext w:val="0"/>
        <w:pageBreakBefore w:val="0"/>
        <w:spacing w:line="336" w:lineRule="auto"/>
        <w:rPr>
          <w:rFonts w:hint="eastAsia" w:ascii="仿宋" w:hAnsi="仿宋" w:eastAsia="仿宋"/>
          <w:color w:val="auto"/>
          <w:sz w:val="28"/>
          <w:szCs w:val="28"/>
          <w:highlight w:val="none"/>
        </w:rPr>
      </w:pPr>
      <w:r/>
      <w:bookmarkStart w:id="9" w:name="_Toc513029231"/>
      <w:r/>
      <w:bookmarkStart w:id="10" w:name="_Toc16938547"/>
      <w:r/>
      <w:bookmarkStart w:id="11" w:name="_Toc20823303"/>
      <w:r>
        <w:rPr>
          <w:rFonts w:hint="eastAsia" w:ascii="仿宋" w:hAnsi="仿宋" w:eastAsia="仿宋"/>
          <w:color w:val="auto"/>
          <w:sz w:val="28"/>
          <w:szCs w:val="28"/>
          <w:highlight w:val="none"/>
        </w:rPr>
        <w:t xml:space="preserve">22.评标委员会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22.1开标后，代理公司将立即组织评标委员会（以下简称评委会）进行评标。</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22.2评委会由采购人代表和有关技术、经济等方面的专家组成，且人员构成符合政府采购有关规定。</w:t>
      </w:r>
      <w:r/>
    </w:p>
    <w:p>
      <w:pPr>
        <w:ind w:firstLine="28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评标过程的保密与公正</w:t>
      </w:r>
      <w:bookmarkEnd w:id="9"/>
      <w:r/>
      <w:bookmarkEnd w:id="10"/>
      <w:r/>
      <w:bookmarkEnd w:id="11"/>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23.1凡是与审查、澄清、评价和比较投标的有关资料以及授标建议等，采购人、评委、代理公司均不得向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或与评标无关的其他人员透露。</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23.2在评标过程中，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不得以任何行为影响评标过程，否则其投标文件将被作为无效投标文件。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代理公司和评标委员会不向未中标的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解释未中标原因，也不公布评标过程中的相关细节。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可于中标结果公告期限届满之日起通过苏采云系统查看自己的评审得分及排序情况。</w:t>
      </w:r>
      <w:r/>
    </w:p>
    <w:p>
      <w:pPr>
        <w:keepLines w:val="0"/>
        <w:keepNext w:val="0"/>
        <w:pageBreakBefore w:val="0"/>
        <w:spacing w:line="336" w:lineRule="auto"/>
        <w:rPr>
          <w:rFonts w:hint="eastAsia" w:ascii="仿宋" w:hAnsi="仿宋" w:eastAsia="仿宋"/>
          <w:color w:val="auto"/>
          <w:sz w:val="28"/>
          <w:szCs w:val="28"/>
          <w:highlight w:val="none"/>
        </w:rPr>
      </w:pPr>
      <w:r/>
      <w:bookmarkStart w:id="12" w:name="_Toc16938548"/>
      <w:r/>
      <w:bookmarkStart w:id="13" w:name="_Toc513029232"/>
      <w:r/>
      <w:bookmarkStart w:id="14" w:name="_Toc20823304"/>
      <w:r>
        <w:rPr>
          <w:rFonts w:hint="eastAsia" w:ascii="仿宋" w:hAnsi="仿宋" w:eastAsia="仿宋"/>
          <w:color w:val="auto"/>
          <w:sz w:val="28"/>
          <w:szCs w:val="28"/>
          <w:highlight w:val="none"/>
        </w:rPr>
        <w:t xml:space="preserve">24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投标文件的澄清</w:t>
      </w:r>
      <w:bookmarkEnd w:id="12"/>
      <w:r/>
      <w:bookmarkEnd w:id="13"/>
      <w:r/>
      <w:bookmarkEnd w:id="14"/>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15" w:name="_Toc20823305"/>
      <w:r/>
      <w:bookmarkStart w:id="16" w:name="_Toc513029233"/>
      <w:r/>
      <w:bookmarkStart w:id="17" w:name="_Toc16938549"/>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作出必要的澄清、说明或者补正。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的澄清、说明或者补正不得超出投标文件的范围或者改变投标文件的实质性内容。</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都做澄清要求</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24.2需要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进行澄清、说明和补正的，评委会将通过苏采云系统向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发出“澄清要求函”，接到“澄清要求函”的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24.3接到评委会澄清、说明和补正要求的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25.对投标文件的初审</w:t>
      </w:r>
      <w:bookmarkEnd w:id="15"/>
      <w:r/>
      <w:bookmarkEnd w:id="16"/>
      <w:r/>
      <w:bookmarkEnd w:id="17"/>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25.1投标文件初审分为资格审查和符合性审查。</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的信用记录，以确定</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是否具备投标资格</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查询结果留存并归档。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的身份共同参加政府采购活动的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联合体成员中任何一方存在不良信用记录的，视同联合体存在不良应用记录。</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25.1.3未通过资格审查或符合性审查的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所谓重大偏离或保留是指与招标文件规定的实质性要求存在负偏离，或者在实质上与招标文件不一致，而且限制了合同中买方和采购人的权利或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的义务，纠正这些偏离或保留将会对其他实质性响应要求的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25.3如果投标文件实质上没有响应招标文件的要求，评委会将予以拒绝，</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不得通过修改或撤销</w:t>
      </w:r>
      <w:r>
        <w:rPr>
          <w:rFonts w:hint="eastAsia" w:ascii="仿宋" w:hAnsi="仿宋" w:eastAsia="仿宋"/>
          <w:color w:val="auto"/>
          <w:sz w:val="28"/>
          <w:szCs w:val="28"/>
          <w:highlight w:val="none"/>
          <w:lang w:eastAsia="zh-CN"/>
        </w:rPr>
        <w:t xml:space="preserve">不符</w:t>
      </w:r>
      <w:r>
        <w:rPr>
          <w:rFonts w:hint="eastAsia" w:ascii="仿宋" w:hAnsi="仿宋" w:eastAsia="仿宋"/>
          <w:color w:val="auto"/>
          <w:sz w:val="28"/>
          <w:szCs w:val="28"/>
          <w:highlight w:val="none"/>
        </w:rPr>
        <w:t xml:space="preserve">合要求的偏离或保留而使其投标成为实质性响应的投标。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25.5评委会将按上述修正错误的方法调整投标文件中的投标报价，并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调整后的价格应对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具有约束力。如果</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不接受修正后的价格，则其投标将被拒绝。</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18" w:name="_Toc20823306"/>
      <w:r/>
      <w:bookmarkStart w:id="19" w:name="_Toc513029234"/>
      <w:r/>
      <w:bookmarkStart w:id="20" w:name="_Toc16938550"/>
      <w:r>
        <w:rPr>
          <w:rFonts w:hint="eastAsia" w:ascii="仿宋" w:hAnsi="仿宋" w:eastAsia="仿宋"/>
          <w:color w:val="auto"/>
          <w:sz w:val="28"/>
          <w:szCs w:val="28"/>
          <w:highlight w:val="none"/>
        </w:rPr>
        <w:t xml:space="preserve">25.6</w:t>
      </w:r>
      <w:r>
        <w:rPr>
          <w:rFonts w:ascii="仿宋" w:hAnsi="仿宋" w:eastAsia="仿宋"/>
          <w:color w:val="auto"/>
          <w:sz w:val="28"/>
          <w:szCs w:val="28"/>
          <w:highlight w:val="none"/>
        </w:rPr>
        <w:t xml:space="preserve">采用最低评标价法的采购项目，提供相同品牌产品的不同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，其他投标无效。</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参加同一合同项下投标的，按一家</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计算，评审后得分最高的同品牌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获得</w:t>
      </w:r>
      <w:r>
        <w:rPr>
          <w:rFonts w:hint="eastAsia" w:ascii="仿宋" w:hAnsi="仿宋" w:eastAsia="仿宋"/>
          <w:color w:val="auto"/>
          <w:sz w:val="28"/>
          <w:szCs w:val="28"/>
          <w:highlight w:val="none"/>
        </w:rPr>
        <w:t xml:space="preserve">中标</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不作为中标候选人。</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提供的核心产品品牌相同的，按前两款规定处理。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25.7</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并安排专人与代理公司及评标委员会联系。</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8"/>
      <w:r/>
      <w:bookmarkEnd w:id="19"/>
      <w:r/>
      <w:bookmarkEnd w:id="20"/>
      <w:r>
        <w:rPr>
          <w:rFonts w:hint="eastAsia" w:ascii="仿宋" w:hAnsi="仿宋" w:eastAsia="仿宋"/>
          <w:color w:val="auto"/>
          <w:sz w:val="28"/>
          <w:szCs w:val="28"/>
          <w:highlight w:val="none"/>
        </w:rPr>
        <w:t xml:space="preserve">6.无效投标条款和废标条款</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21" w:name="_Toc16938551"/>
      <w:r/>
      <w:bookmarkStart w:id="22" w:name="_Toc20823307"/>
      <w:r/>
      <w:bookmarkStart w:id="23" w:name="_Toc513029235"/>
      <w:r>
        <w:rPr>
          <w:rFonts w:hint="eastAsia" w:ascii="仿宋" w:hAnsi="仿宋" w:eastAsia="仿宋"/>
          <w:color w:val="auto"/>
          <w:sz w:val="28"/>
          <w:szCs w:val="28"/>
          <w:highlight w:val="none"/>
        </w:rPr>
        <w:t xml:space="preserve">26.1无效投标条款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在苏采云系统规定的时间内未成功解密电子投标文件的。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未按照招标文件要求上传电子投标文件的。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同一</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不具备招标文件中规定资格要求的。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的报价超过了采购预算或最高限价的。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未通过符合性审查的。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存在其他不符合《中华人民共和国政府采购法》第二十二条规定条件的信用记录。</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投标文件含有采购人不能接受的附加条件的。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rPr>
        <w:t xml:space="preserve">评标委员会按照苏财购〔2025〕62号文件要求启动异常低价投标（响应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审查的情形和具体要求，包括</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（一）</w:t>
      </w:r>
      <w:r>
        <w:rPr>
          <w:rFonts w:hint="eastAsia" w:ascii="仿宋" w:hAnsi="仿宋" w:eastAsia="仿宋"/>
          <w:color w:val="auto"/>
          <w:sz w:val="28"/>
          <w:szCs w:val="28"/>
          <w:highlight w:val="none"/>
        </w:rPr>
        <w:t xml:space="preserve">评审过程中出现下列情形之一的，评审委员会应当启动异常低价投标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审查程序</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报价低于采购项目预算50%的，即投标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报价&lt;采购项目预算x50%</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报价低于采购项目最高限价45%的，即投标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报价&lt;采购项目最高限价x45%</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3.评审委员会认定的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报价过低、有可能影响产品质量或者不能诚信履约的其他情形。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启动异常低价投标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审查后，评审委员会应当要求相关</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在评标现场合理的时间内，提供项目具体成本测算等与报价合理性相关的书面说明及相关证明材料，对投标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价格作出解释，由评审委员会结合同类产品在主要电商平台的价格、该行业当地薪资水平等情况，依据专业经验对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报价合理性进行判断。投标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通过苏采云系统要求其在合理的时间内提供说明，必要时提交相关证明材料；</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不能证明其报价合理性的，评标委员会应当将其作为无效投标处理。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投标文件未按照招标文件要求加盖CA电子公章的；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及本招标文件规定的</w:t>
      </w:r>
      <w:r>
        <w:rPr>
          <w:rFonts w:hint="eastAsia" w:ascii="仿宋" w:hAnsi="仿宋" w:eastAsia="仿宋"/>
          <w:color w:val="auto"/>
          <w:sz w:val="28"/>
          <w:szCs w:val="28"/>
          <w:highlight w:val="none"/>
          <w:lang w:eastAsia="zh-CN"/>
        </w:rPr>
        <w:t xml:space="preserve">属于</w:t>
      </w:r>
      <w:r>
        <w:rPr>
          <w:rFonts w:hint="eastAsia" w:ascii="仿宋" w:hAnsi="仿宋" w:eastAsia="仿宋"/>
          <w:color w:val="auto"/>
          <w:sz w:val="28"/>
          <w:szCs w:val="28"/>
          <w:highlight w:val="none"/>
        </w:rPr>
        <w:t xml:space="preserve">无效投标的情形。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26.2废标条款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26.2.1符合专业条件的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或者对招标文件作实质响应的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26.2.2出现影响采购公正的违法、违规行为的。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26.2.3因重大变故，采购任务取消的。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26.2.4评标委员会认定招标文件存在歧义、重大缺陷导致评审工作无法进行。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26.2.5因苏采云</w:t>
      </w:r>
      <w:r>
        <w:rPr>
          <w:rFonts w:hint="eastAsia" w:ascii="仿宋" w:hAnsi="仿宋" w:eastAsia="仿宋"/>
          <w:color w:val="auto"/>
          <w:sz w:val="28"/>
          <w:szCs w:val="28"/>
          <w:highlight w:val="none"/>
          <w:lang w:eastAsia="zh-CN"/>
        </w:rPr>
        <w:t xml:space="preserve">系统故障</w:t>
      </w:r>
      <w:r>
        <w:rPr>
          <w:rFonts w:ascii="仿宋" w:hAnsi="仿宋" w:eastAsia="仿宋"/>
          <w:color w:val="auto"/>
          <w:sz w:val="28"/>
          <w:szCs w:val="28"/>
          <w:highlight w:val="none"/>
        </w:rPr>
        <w:t xml:space="preserve">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26.3.1如出现投标截止时间结束后参加投标的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或者在评标期间对招标文件做出实质响应的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不足三家情况，按政府采购相关规定执行。</w:t>
      </w:r>
      <w:bookmarkEnd w:id="21"/>
      <w:r/>
      <w:bookmarkEnd w:id="22"/>
      <w:r/>
      <w:bookmarkEnd w:id="23"/>
      <w:r/>
      <w:r/>
    </w:p>
    <w:p>
      <w:pPr>
        <w:keepLines w:val="0"/>
        <w:keepNext w:val="0"/>
        <w:pageBreakBefore w:val="0"/>
        <w:spacing w:line="336" w:lineRule="auto"/>
        <w:rPr>
          <w:rFonts w:hint="eastAsia" w:ascii="仿宋" w:hAnsi="仿宋" w:eastAsia="仿宋"/>
          <w:b/>
          <w:color w:val="auto"/>
          <w:sz w:val="32"/>
          <w:szCs w:val="32"/>
          <w:highlight w:val="none"/>
        </w:rPr>
      </w:pPr>
      <w:r/>
      <w:bookmarkStart w:id="24" w:name="_Toc120614219"/>
      <w:r>
        <w:rPr>
          <w:rFonts w:hint="eastAsia" w:ascii="仿宋" w:hAnsi="仿宋" w:eastAsia="仿宋"/>
          <w:b/>
          <w:color w:val="auto"/>
          <w:sz w:val="32"/>
          <w:szCs w:val="32"/>
          <w:highlight w:val="none"/>
        </w:rPr>
        <w:t xml:space="preserve">六、定标</w:t>
      </w:r>
      <w:bookmarkEnd w:id="24"/>
      <w:r/>
      <w:r/>
    </w:p>
    <w:p>
      <w:pPr>
        <w:keepLines w:val="0"/>
        <w:keepNext w:val="0"/>
        <w:pageBreakBefore w:val="0"/>
        <w:spacing w:line="336" w:lineRule="auto"/>
        <w:rPr>
          <w:rFonts w:hint="eastAsia" w:ascii="仿宋" w:hAnsi="仿宋" w:eastAsia="仿宋"/>
          <w:color w:val="auto"/>
          <w:sz w:val="28"/>
          <w:szCs w:val="28"/>
          <w:highlight w:val="none"/>
        </w:rPr>
      </w:pPr>
      <w:r/>
      <w:bookmarkStart w:id="25" w:name="_Toc513029238"/>
      <w:r/>
      <w:bookmarkStart w:id="26" w:name="_Toc16938554"/>
      <w:r/>
      <w:bookmarkStart w:id="27" w:name="_Toc20823310"/>
      <w:r>
        <w:rPr>
          <w:rFonts w:hint="eastAsia" w:ascii="仿宋" w:hAnsi="仿宋" w:eastAsia="仿宋"/>
          <w:color w:val="auto"/>
          <w:sz w:val="28"/>
          <w:szCs w:val="28"/>
          <w:highlight w:val="none"/>
        </w:rPr>
        <w:t xml:space="preserve">2</w:t>
      </w:r>
      <w:bookmarkEnd w:id="25"/>
      <w:r>
        <w:rPr>
          <w:rFonts w:hint="eastAsia" w:ascii="仿宋" w:hAnsi="仿宋" w:eastAsia="仿宋"/>
          <w:color w:val="auto"/>
          <w:sz w:val="28"/>
          <w:szCs w:val="28"/>
          <w:highlight w:val="none"/>
        </w:rPr>
        <w:t xml:space="preserve">7.确定</w:t>
      </w:r>
      <w:bookmarkEnd w:id="26"/>
      <w:r/>
      <w:bookmarkEnd w:id="27"/>
      <w:r>
        <w:rPr>
          <w:rFonts w:hint="eastAsia" w:ascii="仿宋" w:hAnsi="仿宋" w:eastAsia="仿宋"/>
          <w:color w:val="auto"/>
          <w:sz w:val="28"/>
          <w:szCs w:val="28"/>
          <w:highlight w:val="none"/>
        </w:rPr>
        <w:t xml:space="preserve">中标单位</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27.1中标候选人的选取原则和数量见招标文件第三章规定。 </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27.2采购人应根据评委会推荐的中标候选人确定中标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27.3代理公司将在“江苏省政府采购网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淮安市政府采购网”发布中标公告，公告期限为1个工作日。</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27.4若有充分证据证明，中标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出现下列情况之一的，一经查实，将被取消中标资格：</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27.4.1提供虚假材料谋取中标的。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27.4.2向采购人、代理公司行贿或者提供其他不正当利益的。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27.4.3属于本文件规定的无效条件，但在评标过程中又未被评委会发现的。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27.4.4与采购人或者其他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恶意串通的。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27.4.5采取不正当手段诋毁、排挤其他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28" w:name="_Toc200451960"/>
      <w:r>
        <w:rPr>
          <w:rFonts w:hint="eastAsia" w:ascii="仿宋" w:hAnsi="仿宋" w:eastAsia="仿宋"/>
          <w:color w:val="auto"/>
          <w:sz w:val="28"/>
          <w:szCs w:val="28"/>
          <w:highlight w:val="none"/>
        </w:rPr>
        <w:t xml:space="preserve">27.5.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27.5.1不同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的投标文件由同一单位或者个人编制；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27.5.2不同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委托同一单位或者个人办理投标事宜；</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27.5.3不同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的投标文件载明的项目管理成员或者联系人员为同一人；</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27.5.4不同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的投标文件异常一致或者投标报价呈规律性差异；</w:t>
      </w:r>
      <w:r/>
    </w:p>
    <w:p>
      <w:pPr>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8</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质疑处理</w:t>
      </w:r>
      <w:bookmarkEnd w:id="28"/>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认为采购文件、采购过程和中标结果使自己的权益受到损害的，可以在知道或者应知其权益受到损害之日起七个工作日内，以电子文件</w:t>
      </w:r>
      <w:r>
        <w:rPr>
          <w:rFonts w:hint="eastAsia" w:ascii="仿宋" w:hAnsi="仿宋" w:eastAsia="仿宋"/>
          <w:color w:val="auto"/>
          <w:sz w:val="28"/>
          <w:szCs w:val="28"/>
          <w:highlight w:val="none"/>
          <w:lang w:eastAsia="zh-CN"/>
        </w:rPr>
        <w:t xml:space="preserve">形式</w:t>
      </w:r>
      <w:r>
        <w:rPr>
          <w:rFonts w:hint="eastAsia" w:ascii="仿宋" w:hAnsi="仿宋" w:eastAsia="仿宋"/>
          <w:color w:val="auto"/>
          <w:sz w:val="28"/>
          <w:szCs w:val="28"/>
          <w:highlight w:val="none"/>
        </w:rPr>
        <w:t xml:space="preserve">通过“苏采云平台”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&gt;“</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登录，从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项目质疑申请”模块提出质疑。未通过交易平台提交的、七个工作日之外以及未按27.5条的要求提供质疑的均不予受理。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28.2上述应知其权益受到损害之日是指</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28.3质疑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是指直接参加本次投标活动的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，未参加投标活动的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或在投标活动中自身权益未受到损害的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所提出的质疑不予受理。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28.4质疑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在法定质疑期内应当一次性针对同一采购环节提出质疑，若质疑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针对同一环节提出两次及两次以上质疑，仅受理第一次提出的质疑。</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28.5质疑函应当包括以下主要内容，附上相关证明材料。否则，采购人不予受理。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的名称、地址、邮编、联系人及联系电话；</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28.7对于内容、格式符合规定的质疑函，采购人将在七个工作日内以书面形式作出答复，但质疑答复的内容不涉及商业秘密。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28.8</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提出的质疑必须有理、有据，不得恶意质疑或提交虚假质疑。否则，一经查实，采购人有权依据政府采购的有关规定，报请淮安市财政局政府采购管理处对该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列入失信行为或不良行为记录名单，进行相应的行政处罚。</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29.中标通知书</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29.l中标结果确定后，采购代理机构将向中标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发出中标通知书。请中标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29.2中标通知书将是合同的一个组成部分。对采购人和中标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均具有法律效力。中标通知书发出后，采购人改变中标结果的，或者中标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放弃中标项目的，应当依法承担法律责任。</w:t>
      </w:r>
      <w:r/>
    </w:p>
    <w:p>
      <w:pPr>
        <w:keepLines w:val="0"/>
        <w:keepNext w:val="0"/>
        <w:pageBreakBefore w:val="0"/>
        <w:spacing w:line="336" w:lineRule="auto"/>
        <w:rPr>
          <w:rFonts w:hint="eastAsia" w:ascii="仿宋" w:hAnsi="仿宋" w:eastAsia="仿宋"/>
          <w:b/>
          <w:color w:val="auto"/>
          <w:sz w:val="32"/>
          <w:szCs w:val="32"/>
          <w:highlight w:val="none"/>
        </w:rPr>
      </w:pPr>
      <w:r/>
      <w:bookmarkStart w:id="29" w:name="_Toc120614220"/>
      <w:r/>
      <w:bookmarkStart w:id="30" w:name="_Toc513029236"/>
      <w:r/>
      <w:bookmarkStart w:id="31" w:name="_Toc20823308"/>
      <w:r/>
      <w:bookmarkStart w:id="32" w:name="_Toc16938552"/>
      <w:r>
        <w:rPr>
          <w:rFonts w:hint="eastAsia" w:ascii="仿宋" w:hAnsi="仿宋" w:eastAsia="仿宋"/>
          <w:b/>
          <w:color w:val="auto"/>
          <w:sz w:val="32"/>
          <w:szCs w:val="32"/>
          <w:highlight w:val="none"/>
        </w:rPr>
        <w:t xml:space="preserve">七、授予合同</w:t>
      </w:r>
      <w:bookmarkEnd w:id="29"/>
      <w:r/>
      <w:bookmarkEnd w:id="30"/>
      <w:r/>
      <w:bookmarkEnd w:id="31"/>
      <w:r/>
      <w:bookmarkEnd w:id="32"/>
      <w:r/>
      <w:r/>
    </w:p>
    <w:p>
      <w:pPr>
        <w:keepLines w:val="0"/>
        <w:keepNext w:val="0"/>
        <w:pageBreakBefore w:val="0"/>
        <w:spacing w:line="336" w:lineRule="auto"/>
        <w:rPr>
          <w:rFonts w:hint="eastAsia" w:ascii="仿宋" w:hAnsi="仿宋" w:eastAsia="仿宋"/>
          <w:color w:val="auto"/>
          <w:sz w:val="28"/>
          <w:szCs w:val="28"/>
          <w:highlight w:val="none"/>
        </w:rPr>
      </w:pPr>
      <w:r/>
      <w:bookmarkStart w:id="33" w:name="_Toc16938553"/>
      <w:r/>
      <w:bookmarkStart w:id="34" w:name="_Toc20823309"/>
      <w:r/>
      <w:bookmarkStart w:id="35" w:name="_Toc513029237"/>
      <w:r>
        <w:rPr>
          <w:rFonts w:hint="eastAsia" w:ascii="仿宋" w:hAnsi="仿宋" w:eastAsia="仿宋"/>
          <w:color w:val="auto"/>
          <w:sz w:val="28"/>
          <w:szCs w:val="28"/>
          <w:highlight w:val="none"/>
        </w:rPr>
        <w:t xml:space="preserve">30.签订合同</w:t>
      </w:r>
      <w:r>
        <w:rPr>
          <w:rFonts w:hint="eastAsia" w:ascii="仿宋" w:hAnsi="仿宋" w:eastAsia="仿宋"/>
          <w:color w:val="auto"/>
          <w:sz w:val="28"/>
          <w:szCs w:val="28"/>
          <w:highlight w:val="none"/>
        </w:rPr>
        <w:tab/>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30.l中标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应当在中标通知书发出之日起三十日内，按照招标文件确定的事项与采购人签订政府采购合同。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30.2招标文件、中标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的投标文件及招标过程中有关澄清、承诺文件均应作为合同附件。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30.3签订合同后，中标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不得将合同标的进行转包。未经采购人同意，中标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也不得采用分包的形式履行合同，否则采购人有权终止合同。转包或分包造成采购人损失的，中标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应承担相应赔偿责任。</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31.货物（包含与货物相关的服务）的追加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协商签订补充合同，但所有补充合同的采购金额不超过原合同金额10%。</w:t>
      </w:r>
      <w:r/>
    </w:p>
    <w:p>
      <w:pPr>
        <w:pStyle w:val="878"/>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32.履约保证金</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本项目不收取履约保证金。</w:t>
      </w:r>
      <w:bookmarkEnd w:id="33"/>
      <w:r/>
      <w:bookmarkEnd w:id="34"/>
      <w:r/>
      <w:bookmarkEnd w:id="35"/>
      <w:r/>
      <w:r/>
    </w:p>
    <w:p>
      <w:pPr>
        <w:keepLines w:val="0"/>
        <w:keepNext w:val="0"/>
        <w:pageBreakBefore w:val="0"/>
        <w:spacing w:line="336" w:lineRule="auto"/>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33.1小微型企业价格扣除</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33.1.1</w:t>
      </w:r>
      <w:r>
        <w:rPr>
          <w:rFonts w:hint="eastAsia" w:ascii="仿宋" w:hAnsi="仿宋" w:eastAsia="仿宋"/>
          <w:color w:val="auto"/>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33.1.2在货物采购项目中，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33.2联合体及分包</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33.3小微型企业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须按照招标文件的要求提供相应的《企业声明函》，详见招标文件第六章示范格式。</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）文件规定自行填写。</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33.4残疾人福利单位</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33.5监狱和戒毒企业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w:t>
      </w:r>
      <w:r>
        <w:rPr>
          <w:rFonts w:hint="eastAsia" w:ascii="仿宋" w:hAnsi="仿宋" w:eastAsia="仿宋"/>
          <w:color w:val="auto"/>
          <w:sz w:val="28"/>
          <w:szCs w:val="28"/>
          <w:highlight w:val="none"/>
          <w:lang w:eastAsia="zh-CN"/>
        </w:rPr>
        <w:t xml:space="preserve">〔2014〕68号</w:t>
      </w:r>
      <w:r>
        <w:rPr>
          <w:rFonts w:hint="eastAsia" w:ascii="仿宋" w:hAnsi="仿宋" w:eastAsia="仿宋"/>
          <w:color w:val="auto"/>
          <w:sz w:val="28"/>
          <w:szCs w:val="28"/>
          <w:highlight w:val="none"/>
        </w:rPr>
        <w:t xml:space="preserve">）。</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节能、环保政策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34.2节能产品（本项目不涉及）</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34.3环保产品（本项目不涉及）</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rPr>
        <w:t xml:space="preserve">被列入“环境标志产品品目清单”的，实行优先采购。</w:t>
      </w:r>
      <w:r/>
    </w:p>
    <w:p>
      <w:pPr>
        <w:ind w:firstLine="560"/>
        <w:keepLines w:val="0"/>
        <w:keepNext w:val="0"/>
        <w:pageBreakBefore w:val="0"/>
        <w:spacing w:line="336" w:lineRule="auto"/>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34.4本项目中实行“强制采购”的，需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政府绿色采购</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94"/>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35.2本项目中涉及商品的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894"/>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36</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履约资金扶持政策</w:t>
      </w:r>
      <w:r/>
    </w:p>
    <w:p>
      <w:pPr>
        <w:pStyle w:val="894"/>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36.1政府采购合同信用融资是为支持中小企业发展，缓解中小企业融资难题推出的一项融资服务举措，中标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可凭政府采购合同办理融资贷款。该贷款无需抵押、担保，按照双方自愿的原则提供便捷、优惠的贷款服务。详情请见江苏政府采购网“政采贷”专栏。</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36.2有融资贷款需求的中标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，与采购人在苏采云【合同在线签订】模块中进行合同在线签订时，【账户信息完善】的“是否融资”一栏中需选择</w:t>
      </w:r>
      <w:r>
        <w:rPr>
          <w:rFonts w:hint="eastAsia" w:ascii="仿宋" w:hAnsi="仿宋" w:eastAsia="仿宋" w:cs="Times New Roman"/>
          <w:color w:val="auto"/>
          <w:sz w:val="28"/>
          <w:szCs w:val="28"/>
          <w:highlight w:val="none"/>
        </w:rPr>
        <w:t xml:space="preserve">“是”，同时完善收款账号信息和合同补充协议（融资账号）。</w:t>
      </w:r>
      <w:r/>
    </w:p>
    <w:p>
      <w:pPr>
        <w:pStyle w:val="894"/>
        <w:ind w:left="0" w:firstLine="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.采购本国产品的支持政策</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.2当采购项目或者采购包中含有多种产品，</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为该采购项目或者采购包提供的符合本国产品标准的产品成本之和占该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提供的全部产品成本之和的比例达到80%以上时（</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需在“第六章 投标文件格式”的“</w:t>
      </w:r>
      <w:r>
        <w:rPr>
          <w:rFonts w:hint="eastAsia" w:ascii="仿宋" w:hAnsi="仿宋" w:eastAsia="仿宋" w:cs="Times New Roman"/>
          <w:color w:val="auto"/>
          <w:sz w:val="28"/>
          <w:szCs w:val="28"/>
          <w:highlight w:val="none"/>
          <w:lang w:val="en-US" w:eastAsia="zh-CN"/>
        </w:rPr>
        <w:t xml:space="preserve">三</w:t>
      </w:r>
      <w:r>
        <w:rPr>
          <w:rFonts w:hint="eastAsia" w:ascii="仿宋" w:hAnsi="仿宋" w:eastAsia="仿宋" w:cs="Times New Roman"/>
          <w:color w:val="auto"/>
          <w:sz w:val="28"/>
          <w:szCs w:val="28"/>
          <w:highlight w:val="none"/>
        </w:rPr>
        <w:t xml:space="preserve">、投标报价明细表”中填写比例数值），依法对该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提供的全部产品给予价格评审优惠，即对该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提供的全部产品的总报价给予20%的价格扣除，用扣除后的价格参与评审。</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未填写比例数值，或比例数值未达到80%的，将不享受本国产品价格评审优惠。</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.3 </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需按照</w:t>
      </w:r>
      <w:r>
        <w:rPr>
          <w:rFonts w:hint="eastAsia" w:ascii="仿宋" w:hAnsi="仿宋" w:eastAsia="仿宋" w:cs="Times New Roman"/>
          <w:color w:val="auto"/>
          <w:sz w:val="28"/>
          <w:szCs w:val="28"/>
          <w:highlight w:val="none"/>
          <w:lang w:val="en-US" w:eastAsia="zh-CN"/>
        </w:rPr>
        <w:t xml:space="preserve">招标</w:t>
      </w:r>
      <w:r>
        <w:rPr>
          <w:rFonts w:hint="eastAsia" w:ascii="仿宋" w:hAnsi="仿宋" w:eastAsia="仿宋" w:cs="Times New Roman"/>
          <w:color w:val="auto"/>
          <w:sz w:val="28"/>
          <w:szCs w:val="28"/>
          <w:highlight w:val="none"/>
        </w:rPr>
        <w:t xml:space="preserve">文件的要求提供《关于符合本国产品标准的声明函》（以下简称《声明函》，详见第六章“示范格式</w:t>
      </w:r>
      <w:r>
        <w:rPr>
          <w:rFonts w:hint="eastAsia" w:ascii="仿宋" w:hAnsi="仿宋" w:eastAsia="仿宋" w:cs="Times New Roman"/>
          <w:color w:val="auto"/>
          <w:sz w:val="28"/>
          <w:szCs w:val="28"/>
          <w:highlight w:val="none"/>
          <w:lang w:val="en-US" w:eastAsia="zh-CN"/>
        </w:rPr>
        <w:t xml:space="preserve">六</w:t>
      </w:r>
      <w:r>
        <w:rPr>
          <w:rFonts w:hint="eastAsia" w:ascii="仿宋" w:hAnsi="仿宋" w:eastAsia="仿宋" w:cs="Times New Roman"/>
          <w:color w:val="auto"/>
          <w:sz w:val="28"/>
          <w:szCs w:val="28"/>
          <w:highlight w:val="none"/>
        </w:rPr>
        <w:t xml:space="preserve">”），如不提供将不享受本国产品价格评审优惠。</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.4 </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.5 评标过程中，如发现</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Times New Roman"/>
          <w:color w:val="auto"/>
          <w:sz w:val="28"/>
          <w:szCs w:val="28"/>
          <w:highlight w:val="none"/>
          <w:lang w:val="en-US" w:eastAsia="zh-CN"/>
        </w:rPr>
        <w:t xml:space="preserve">采购</w:t>
      </w:r>
      <w:r>
        <w:rPr>
          <w:rFonts w:hint="eastAsia" w:ascii="仿宋" w:hAnsi="仿宋" w:eastAsia="仿宋" w:cs="Times New Roman"/>
          <w:color w:val="auto"/>
          <w:sz w:val="28"/>
          <w:szCs w:val="28"/>
          <w:highlight w:val="none"/>
        </w:rPr>
        <w:t xml:space="preserve">文件规定的，</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提供的相关产品视为不符合本国产品标准。</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4"/>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进行综合评审，最终按综合评审得分由高到低的顺序推荐出3名中标候选人。</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且按照评审因素的量化指标评审得分最高的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为中标候选人的评标方法。</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keepLines w:val="0"/>
        <w:keepNext w:val="0"/>
        <w:pageBreakBefore w:val="0"/>
        <w:spacing w:line="336" w:lineRule="auto"/>
        <w:widowControl w:val="off"/>
        <w:rPr>
          <w:rFonts w:hint="eastAsia" w:ascii="仿宋" w:hAnsi="仿宋" w:eastAsia="仿宋"/>
          <w:color w:val="auto"/>
          <w:sz w:val="28"/>
          <w:highlight w:val="none"/>
        </w:rPr>
      </w:pPr>
      <w:r>
        <w:rPr>
          <w:rFonts w:hint="eastAsia" w:ascii="仿宋" w:hAnsi="仿宋" w:eastAsia="仿宋"/>
          <w:color w:val="auto"/>
          <w:sz w:val="28"/>
          <w:highlight w:val="none"/>
        </w:rPr>
        <w:t xml:space="preserve">三、具体标准</w:t>
      </w:r>
      <w:r>
        <w:rPr>
          <w:rFonts w:hint="eastAsia" w:ascii="仿宋" w:hAnsi="仿宋" w:eastAsia="仿宋"/>
          <w:color w:val="auto"/>
          <w:sz w:val="28"/>
          <w:highlight w:val="none"/>
          <w:lang w:eastAsia="zh-CN"/>
        </w:rPr>
        <w:t xml:space="preserve">：</w:t>
      </w:r>
      <w:r/>
    </w:p>
    <w:tbl>
      <w:tblPr>
        <w:tblStyle w:val="644"/>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2"/>
        <w:gridCol w:w="1151"/>
        <w:gridCol w:w="6201"/>
        <w:gridCol w:w="788"/>
      </w:tblGrid>
      <w:tr>
        <w:trPr>
          <w:jc w:val="center"/>
          <w:trHeight w:val="0"/>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类别</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评审项</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评审规则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分值</w:t>
            </w:r>
            <w:r/>
          </w:p>
        </w:tc>
      </w:tr>
      <w:tr>
        <w:trPr>
          <w:jc w:val="center"/>
          <w:trHeight w:val="0"/>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价格部分（30分）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指标</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满足招标文件要求且报价最低的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价格为评标基准价，其价格分为满分。其他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的价格分按照下列公式计算（小数点保留两位）</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报价得分＝（评标基准价/投标报价）×30分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p>
        </w:tc>
      </w:tr>
      <w:tr>
        <w:trPr>
          <w:jc w:val="center"/>
          <w:trHeight w:val="0"/>
        </w:trPr>
        <w:tc>
          <w:tcPr>
            <w:tcBorders>
              <w:top w:val="single" w:color="auto" w:sz="4" w:space="0"/>
              <w:left w:val="single" w:color="auto" w:sz="4" w:space="0"/>
              <w:right w:val="single" w:color="auto" w:sz="4" w:space="0"/>
            </w:tcBorders>
            <w:tcW w:w="1442"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技术部分（</w:t>
            </w:r>
            <w:r>
              <w:rPr>
                <w:rFonts w:hint="eastAsia" w:ascii="仿宋" w:hAnsi="仿宋" w:eastAsia="仿宋" w:cs="仿宋"/>
                <w:b/>
                <w:bCs/>
                <w:color w:val="auto"/>
                <w:sz w:val="28"/>
                <w:szCs w:val="28"/>
                <w:highlight w:val="none"/>
                <w:lang w:val="en-US" w:eastAsia="zh-CN"/>
              </w:rPr>
              <w:t xml:space="preserve">40</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技术</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参数</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numPr>
                <w:ilvl w:val="0"/>
                <w:numId w:val="0"/>
              </w:num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所投移动勾臂箱式垃圾压缩箱设备技术参数全部满足</w:t>
            </w:r>
            <w:r>
              <w:rPr>
                <w:rFonts w:hint="eastAsia" w:ascii="仿宋" w:hAnsi="仿宋" w:eastAsia="仿宋" w:cs="仿宋"/>
                <w:color w:val="auto"/>
                <w:sz w:val="28"/>
                <w:szCs w:val="28"/>
                <w:highlight w:val="none"/>
                <w:lang w:val="en-US" w:eastAsia="zh-CN"/>
              </w:rPr>
              <w:t xml:space="preserve">第五章项目</w:t>
            </w: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lang w:val="en-US" w:eastAsia="zh-CN"/>
              </w:rPr>
              <w:t xml:space="preserve">中“二、技术要求，（1）技术参数要求”</w:t>
            </w:r>
            <w:r>
              <w:rPr>
                <w:rFonts w:hint="eastAsia" w:ascii="仿宋" w:hAnsi="仿宋" w:eastAsia="仿宋" w:cs="仿宋"/>
                <w:color w:val="auto"/>
                <w:sz w:val="28"/>
                <w:szCs w:val="28"/>
                <w:highlight w:val="none"/>
              </w:rPr>
              <w:t xml:space="preserve">的得</w:t>
            </w:r>
            <w:r>
              <w:rPr>
                <w:rFonts w:hint="eastAsia" w:ascii="仿宋" w:hAnsi="仿宋" w:eastAsia="仿宋" w:cs="仿宋"/>
                <w:color w:val="auto"/>
                <w:sz w:val="28"/>
                <w:szCs w:val="28"/>
                <w:highlight w:val="none"/>
                <w:lang w:val="en-US" w:eastAsia="zh-CN"/>
              </w:rPr>
              <w:t xml:space="preserve">18</w:t>
            </w:r>
            <w:r>
              <w:rPr>
                <w:rFonts w:hint="eastAsia" w:ascii="仿宋" w:hAnsi="仿宋" w:eastAsia="仿宋" w:cs="仿宋"/>
                <w:color w:val="auto"/>
                <w:sz w:val="28"/>
                <w:szCs w:val="28"/>
                <w:highlight w:val="none"/>
              </w:rPr>
              <w:t xml:space="preserve">分；加</w:t>
            </w:r>
            <w:r>
              <w:rPr>
                <w:rFonts w:hint="eastAsia" w:ascii="仿宋" w:hAnsi="仿宋" w:eastAsia="仿宋" w:cs="仿宋"/>
                <w:color w:val="auto"/>
                <w:sz w:val="24"/>
                <w:highlight w:val="none"/>
              </w:rPr>
              <w:t xml:space="preserve">▲</w:t>
            </w:r>
            <w:r>
              <w:rPr>
                <w:rFonts w:hint="eastAsia" w:ascii="仿宋" w:hAnsi="仿宋" w:eastAsia="仿宋" w:cs="仿宋"/>
                <w:color w:val="auto"/>
                <w:sz w:val="28"/>
                <w:szCs w:val="28"/>
                <w:highlight w:val="none"/>
              </w:rPr>
              <w:t xml:space="preserve">的技术指标为重点指标，每</w:t>
            </w:r>
            <w:r>
              <w:rPr>
                <w:rFonts w:hint="eastAsia" w:ascii="仿宋" w:hAnsi="仿宋" w:eastAsia="仿宋" w:cs="仿宋"/>
                <w:color w:val="auto"/>
                <w:sz w:val="28"/>
                <w:szCs w:val="28"/>
                <w:highlight w:val="none"/>
                <w:lang w:val="en-US" w:eastAsia="zh-CN"/>
              </w:rPr>
              <w:t xml:space="preserve">满足一项得1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其他技术指标</w:t>
            </w:r>
            <w:r>
              <w:rPr>
                <w:rFonts w:hint="eastAsia" w:ascii="仿宋" w:hAnsi="仿宋" w:eastAsia="仿宋" w:cs="仿宋"/>
                <w:color w:val="auto"/>
                <w:sz w:val="28"/>
                <w:szCs w:val="28"/>
                <w:highlight w:val="none"/>
                <w:lang w:val="en-US" w:eastAsia="zh-CN"/>
              </w:rPr>
              <w:t xml:space="preserve">每满足一项得0.5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需提供根据招标文件中的技术参数制定的偏离情况表</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加</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8"/>
                <w:szCs w:val="28"/>
                <w:highlight w:val="none"/>
              </w:rPr>
              <w:t xml:space="preserve">项技术参数需提供国家认证认可的(具</w:t>
            </w:r>
            <w:r>
              <w:rPr>
                <w:rFonts w:hint="eastAsia" w:ascii="仿宋" w:hAnsi="仿宋" w:eastAsia="仿宋" w:cs="仿宋"/>
                <w:b/>
                <w:bCs/>
                <w:color w:val="auto"/>
                <w:sz w:val="28"/>
                <w:szCs w:val="28"/>
                <w:highlight w:val="none"/>
                <w:lang w:val="en-US" w:eastAsia="zh-CN"/>
              </w:rPr>
              <w:t xml:space="preserve">有</w:t>
            </w:r>
            <w:r>
              <w:rPr>
                <w:rFonts w:hint="eastAsia" w:ascii="仿宋" w:hAnsi="仿宋" w:eastAsia="仿宋" w:cs="仿宋"/>
                <w:b/>
                <w:bCs/>
                <w:color w:val="auto"/>
                <w:sz w:val="28"/>
                <w:szCs w:val="28"/>
                <w:highlight w:val="none"/>
              </w:rPr>
              <w:t xml:space="preserve">CMA</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rPr>
              <w:t xml:space="preserve">CNAS标志)检测机构出具的检测报告原件扫描件加盖投标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电子签章，检测报告中不体现或未提供检测报告的视为不满足参数要求，作负偏离处理）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18</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性能配置要求</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numPr>
                <w:ilvl w:val="0"/>
                <w:numId w:val="0"/>
              </w:numPr>
              <w:ind w:firstLine="560"/>
              <w:jc w:val="left"/>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所投移动勾臂箱式垃圾压缩箱设备性能配置要求满足</w:t>
            </w:r>
            <w:r>
              <w:rPr>
                <w:rFonts w:hint="eastAsia" w:ascii="仿宋" w:hAnsi="仿宋" w:eastAsia="仿宋" w:cs="仿宋"/>
                <w:color w:val="auto"/>
                <w:sz w:val="28"/>
                <w:szCs w:val="28"/>
                <w:highlight w:val="none"/>
                <w:lang w:val="en-US" w:eastAsia="zh-CN"/>
              </w:rPr>
              <w:t xml:space="preserve">第五章项目</w:t>
            </w: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lang w:val="en-US" w:eastAsia="zh-CN"/>
              </w:rPr>
              <w:t xml:space="preserve">中“二、技术要求，（2）性能配置要求”</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每满足一项得0.5分，未提供不得分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需提供根据招标文件中的技术参数制定的偏离情况表</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并</w:t>
            </w:r>
            <w:r>
              <w:rPr>
                <w:rFonts w:hint="eastAsia" w:ascii="仿宋" w:hAnsi="仿宋" w:eastAsia="仿宋" w:cs="仿宋"/>
                <w:b/>
                <w:bCs/>
                <w:color w:val="auto"/>
                <w:sz w:val="28"/>
                <w:szCs w:val="28"/>
                <w:highlight w:val="none"/>
              </w:rPr>
              <w:t xml:space="preserve">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default" w:ascii="仿宋" w:hAnsi="仿宋" w:eastAsia="仿宋" w:cs="仿宋"/>
                <w:color w:val="auto"/>
                <w:sz w:val="28"/>
                <w:szCs w:val="28"/>
                <w:highlight w:val="none"/>
                <w:shd w:val="clear" w:color="auto" w:fill="auto"/>
                <w:lang w:val="en-US" w:eastAsia="zh-CN"/>
              </w:rPr>
            </w:pPr>
            <w:r>
              <w:rPr>
                <w:rFonts w:hint="eastAsia" w:ascii="仿宋" w:hAnsi="仿宋" w:eastAsia="仿宋" w:cs="仿宋"/>
                <w:color w:val="auto"/>
                <w:sz w:val="28"/>
                <w:szCs w:val="28"/>
                <w:highlight w:val="none"/>
                <w:shd w:val="clear" w:color="auto" w:fill="auto"/>
                <w:lang w:val="en-US" w:eastAsia="zh-CN"/>
              </w:rPr>
              <w:t xml:space="preserve">14</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color w:val="auto"/>
                <w:highlight w:val="none"/>
              </w:rPr>
            </w:pPr>
            <w:r/>
            <w:bookmarkStart w:id="42" w:name="_GoBack"/>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材质</w:t>
            </w:r>
            <w:r/>
          </w:p>
          <w:p>
            <w:pPr>
              <w:jc w:val="center"/>
              <w:spacing w:line="24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检测</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所用主要槽钢焊接试件材料抗拉强度≥</w:t>
            </w:r>
            <w:r>
              <w:rPr>
                <w:rFonts w:hint="eastAsia" w:ascii="仿宋" w:hAnsi="仿宋" w:eastAsia="仿宋" w:cs="仿宋"/>
                <w:color w:val="auto"/>
                <w:sz w:val="28"/>
                <w:szCs w:val="28"/>
                <w:highlight w:val="none"/>
                <w:lang w:val="en-US" w:eastAsia="zh-CN"/>
              </w:rPr>
              <w:t xml:space="preserve">370</w:t>
            </w:r>
            <w:r>
              <w:rPr>
                <w:rFonts w:hint="eastAsia" w:ascii="仿宋" w:hAnsi="仿宋" w:eastAsia="仿宋" w:cs="仿宋"/>
                <w:color w:val="auto"/>
                <w:sz w:val="28"/>
                <w:szCs w:val="28"/>
                <w:highlight w:val="none"/>
              </w:rPr>
              <w:t xml:space="preserve">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材料屈服强度≥235N/mm²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所用金属板材NM450抗拉强度≥1</w:t>
            </w:r>
            <w:r>
              <w:rPr>
                <w:rFonts w:hint="eastAsia" w:ascii="仿宋" w:hAnsi="仿宋" w:eastAsia="仿宋" w:cs="仿宋"/>
                <w:color w:val="auto"/>
                <w:sz w:val="28"/>
                <w:szCs w:val="28"/>
                <w:highlight w:val="none"/>
                <w:lang w:val="en-US" w:eastAsia="zh-CN"/>
              </w:rPr>
              <w:t xml:space="preserve">250</w:t>
            </w:r>
            <w:r>
              <w:rPr>
                <w:rFonts w:hint="eastAsia" w:ascii="仿宋" w:hAnsi="仿宋" w:eastAsia="仿宋" w:cs="仿宋"/>
                <w:color w:val="auto"/>
                <w:sz w:val="28"/>
                <w:szCs w:val="28"/>
                <w:highlight w:val="none"/>
              </w:rPr>
              <w:t xml:space="preserve">MPa</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断后伸长率≥7%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所用方管与钢板焊接试件屈服强度≥300N/mm²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抗拉强度≥370N/mm²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所用方管焊接试件抗拉强度≥</w:t>
            </w:r>
            <w:r>
              <w:rPr>
                <w:rFonts w:hint="eastAsia" w:ascii="仿宋" w:hAnsi="仿宋" w:eastAsia="仿宋" w:cs="仿宋"/>
                <w:color w:val="auto"/>
                <w:sz w:val="28"/>
                <w:szCs w:val="28"/>
                <w:highlight w:val="none"/>
                <w:lang w:val="en-US" w:eastAsia="zh-CN"/>
              </w:rPr>
              <w:t xml:space="preserve">375</w:t>
            </w:r>
            <w:r>
              <w:rPr>
                <w:rFonts w:hint="eastAsia" w:ascii="仿宋" w:hAnsi="仿宋" w:eastAsia="仿宋" w:cs="仿宋"/>
                <w:color w:val="auto"/>
                <w:sz w:val="28"/>
                <w:szCs w:val="28"/>
                <w:highlight w:val="none"/>
              </w:rPr>
              <w:t xml:space="preserve">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断后伸长率≥26%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eastAsia="zh-CN"/>
              </w:rPr>
              <w:t xml:space="preserve">.移动勾臂箱式垃圾压缩箱设备所用不锈钢金属钢材（不低于304级）与结构钢材（不低于Q355级）焊接试验渗透探伤合格，断后伸长率≥</w:t>
            </w: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lang w:eastAsia="zh-CN"/>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分，未提供不得分。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eastAsia="zh-CN"/>
              </w:rPr>
              <w:t xml:space="preserve">.移动勾臂箱式垃圾压缩箱设备所用不锈钢金属钢材（不低于304级）同材焊接试验渗透探伤合格，焊接接头抗拉强度≥455MPa。本项得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分，未提供不得分。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所用涂装采用水性环氧富锌底漆在Q355材质耐冲击合格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附着力合格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所用涂装采用水性聚氨酯面漆</w:t>
            </w:r>
            <w:r>
              <w:rPr>
                <w:rFonts w:hint="eastAsia" w:ascii="仿宋" w:hAnsi="仿宋" w:eastAsia="仿宋" w:cs="仿宋"/>
                <w:color w:val="auto"/>
                <w:sz w:val="28"/>
                <w:szCs w:val="28"/>
                <w:highlight w:val="none"/>
              </w:rPr>
              <w:t xml:space="preserve">适用于金属材质NM450材质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适用于金属材质Q355材质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2"/>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提供国家认证认可的</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具有CMA</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rPr>
              <w:t xml:space="preserve">CNAS标志</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检测机构出具的检测报告</w:t>
            </w:r>
            <w:r>
              <w:rPr>
                <w:rFonts w:hint="eastAsia" w:ascii="仿宋" w:hAnsi="仿宋" w:eastAsia="仿宋" w:cs="仿宋"/>
                <w:b/>
                <w:bCs/>
                <w:color w:val="auto"/>
                <w:sz w:val="28"/>
                <w:szCs w:val="28"/>
                <w:highlight w:val="none"/>
                <w:lang w:val="en-US" w:eastAsia="zh-CN"/>
              </w:rPr>
              <w:t xml:space="preserve">原件</w:t>
            </w:r>
            <w:r>
              <w:rPr>
                <w:rFonts w:hint="eastAsia" w:ascii="仿宋" w:hAnsi="仿宋" w:eastAsia="仿宋" w:cs="仿宋"/>
                <w:b/>
                <w:bCs/>
                <w:color w:val="auto"/>
                <w:sz w:val="28"/>
                <w:szCs w:val="28"/>
                <w:highlight w:val="none"/>
              </w:rPr>
              <w:t xml:space="preserve">扫描件</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并</w:t>
            </w:r>
            <w:r>
              <w:rPr>
                <w:rFonts w:hint="eastAsia" w:ascii="仿宋" w:hAnsi="仿宋" w:eastAsia="仿宋" w:cs="仿宋"/>
                <w:b/>
                <w:bCs/>
                <w:color w:val="auto"/>
                <w:sz w:val="28"/>
                <w:szCs w:val="28"/>
                <w:highlight w:val="none"/>
              </w:rPr>
              <w:t xml:space="preserve">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电子签章上传至电子投标文件</w:t>
            </w:r>
            <w:r>
              <w:rPr>
                <w:rFonts w:hint="eastAsia" w:ascii="仿宋" w:hAnsi="仿宋" w:eastAsia="仿宋" w:cs="仿宋"/>
                <w:b/>
                <w:bCs/>
                <w:color w:val="auto"/>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8</w:t>
            </w:r>
            <w:bookmarkEnd w:id="42"/>
            <w:r/>
          </w:p>
        </w:tc>
      </w:tr>
      <w:tr>
        <w:trPr>
          <w:jc w:val="center"/>
          <w:trHeight w:val="0"/>
        </w:trPr>
        <w:tc>
          <w:tcPr>
            <w:tcBorders>
              <w:left w:val="single" w:color="auto" w:sz="4" w:space="0"/>
              <w:right w:val="single" w:color="auto" w:sz="4" w:space="0"/>
            </w:tcBorders>
            <w:tcW w:w="1442"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方案部分（</w:t>
            </w:r>
            <w:r>
              <w:rPr>
                <w:rFonts w:hint="eastAsia" w:ascii="仿宋" w:hAnsi="仿宋" w:eastAsia="仿宋" w:cs="仿宋"/>
                <w:b/>
                <w:bCs/>
                <w:color w:val="auto"/>
                <w:sz w:val="28"/>
                <w:szCs w:val="28"/>
                <w:highlight w:val="none"/>
                <w:lang w:val="en-US" w:eastAsia="zh-CN"/>
              </w:rPr>
              <w:t xml:space="preserve">15</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实施</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提供的本项目实施方案（包括</w:t>
            </w:r>
            <w:r>
              <w:rPr>
                <w:rFonts w:hint="eastAsia" w:ascii="仿宋" w:hAnsi="仿宋" w:eastAsia="仿宋" w:cs="仿宋"/>
                <w:color w:val="auto"/>
                <w:sz w:val="28"/>
                <w:szCs w:val="28"/>
                <w:highlight w:val="none"/>
                <w:lang w:val="en-US" w:eastAsia="zh-CN"/>
              </w:rPr>
              <w:t xml:space="preserve">但不限于</w:t>
            </w:r>
            <w:r>
              <w:rPr>
                <w:rFonts w:hint="eastAsia" w:ascii="仿宋" w:hAnsi="仿宋" w:eastAsia="仿宋" w:cs="仿宋"/>
                <w:color w:val="auto"/>
                <w:sz w:val="28"/>
                <w:szCs w:val="28"/>
                <w:highlight w:val="none"/>
              </w:rPr>
              <w:t xml:space="preserve">系统项目实施、安装调试、新建方案计划，确保供货、运输、验收进度等情况）</w:t>
            </w:r>
            <w:r>
              <w:rPr>
                <w:rFonts w:hint="eastAsia" w:ascii="仿宋" w:hAnsi="仿宋" w:eastAsia="仿宋" w:cs="仿宋"/>
                <w:color w:val="auto"/>
                <w:sz w:val="28"/>
                <w:szCs w:val="28"/>
                <w:highlight w:val="none"/>
                <w:lang w:val="en-US" w:eastAsia="zh-CN"/>
              </w:rPr>
              <w:t xml:space="preserve">进行评分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实施方案完整，科学合理、措施齐全、进度安排可行</w:t>
            </w:r>
            <w:r>
              <w:rPr>
                <w:rFonts w:hint="eastAsia" w:ascii="仿宋" w:hAnsi="仿宋" w:eastAsia="仿宋" w:cs="仿宋"/>
                <w:color w:val="auto"/>
                <w:sz w:val="28"/>
                <w:szCs w:val="28"/>
                <w:highlight w:val="none"/>
                <w:lang w:val="en-US" w:eastAsia="zh-CN"/>
              </w:rPr>
              <w:t xml:space="preserve">的，得5分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实施方案较完整，主要方面均有涉及，措施较为齐全，进度安排较为合理，仅个别内容不够详细</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4分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实施方案基本完整，主要方面基本覆盖，措施基本齐全，进度安排基本合理，但部分内容较为简单</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3分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实施方案简单，仅列出部分方面，措施不全，进度安排不够明确</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2分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实施方案混乱，内容杂乱，逻辑不清，缺乏可行性</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1分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培训</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w:t>
            </w:r>
            <w:r>
              <w:rPr>
                <w:rFonts w:hint="eastAsia" w:ascii="仿宋" w:hAnsi="仿宋" w:eastAsia="仿宋" w:cs="仿宋"/>
                <w:color w:val="auto"/>
                <w:sz w:val="28"/>
                <w:szCs w:val="28"/>
                <w:highlight w:val="none"/>
                <w:lang w:val="en-US" w:eastAsia="zh-CN"/>
              </w:rPr>
              <w:t xml:space="preserve">培训方案（</w:t>
            </w:r>
            <w:r>
              <w:rPr>
                <w:rFonts w:hint="eastAsia" w:ascii="仿宋" w:hAnsi="仿宋" w:eastAsia="仿宋" w:cs="仿宋"/>
                <w:color w:val="auto"/>
                <w:sz w:val="28"/>
                <w:szCs w:val="28"/>
                <w:highlight w:val="none"/>
              </w:rPr>
              <w:t xml:space="preserve">包括但不限于培训目的、培训方式及内容、培训计划</w:t>
            </w:r>
            <w:r>
              <w:rPr>
                <w:rFonts w:hint="eastAsia" w:ascii="仿宋" w:hAnsi="仿宋" w:eastAsia="仿宋" w:cs="仿宋"/>
                <w:color w:val="auto"/>
                <w:sz w:val="28"/>
                <w:szCs w:val="28"/>
                <w:highlight w:val="none"/>
                <w:lang w:val="en-US" w:eastAsia="zh-CN"/>
              </w:rPr>
              <w:t xml:space="preserve">等内容）进行评分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培训方案完整，目标明确、内容详实、计划合理</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培训方案较完整，主要方面均有涉及，培训内容较为详实，计划较为合理，仅个别内容不够详细</w:t>
            </w:r>
            <w:r>
              <w:rPr>
                <w:rFonts w:hint="eastAsia" w:ascii="仿宋" w:hAnsi="仿宋" w:eastAsia="仿宋" w:cs="仿宋"/>
                <w:color w:val="auto"/>
                <w:sz w:val="28"/>
                <w:szCs w:val="28"/>
                <w:highlight w:val="none"/>
                <w:lang w:val="en-US" w:eastAsia="zh-CN"/>
              </w:rPr>
              <w:t xml:space="preserve">的，得2</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培训方案基本完整，主要方面基本覆盖，培训内容基本明确，计划基本合理，但部分内容较为简单</w:t>
            </w:r>
            <w:r>
              <w:rPr>
                <w:rFonts w:hint="eastAsia" w:ascii="仿宋" w:hAnsi="仿宋" w:eastAsia="仿宋" w:cs="仿宋"/>
                <w:color w:val="auto"/>
                <w:sz w:val="28"/>
                <w:szCs w:val="28"/>
                <w:highlight w:val="none"/>
                <w:lang w:val="en-US" w:eastAsia="zh-CN"/>
              </w:rPr>
              <w:t xml:space="preserve">的，得1</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培训方案简单，仅列出部分方面，培训内容简略，计划不够明确</w:t>
            </w:r>
            <w:r>
              <w:rPr>
                <w:rFonts w:hint="eastAsia" w:ascii="仿宋" w:hAnsi="仿宋" w:eastAsia="仿宋" w:cs="仿宋"/>
                <w:color w:val="auto"/>
                <w:sz w:val="28"/>
                <w:szCs w:val="28"/>
                <w:highlight w:val="none"/>
                <w:lang w:val="en-US" w:eastAsia="zh-CN"/>
              </w:rPr>
              <w:t xml:space="preserve">的，得0.5</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售后</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服务</w:t>
            </w:r>
            <w:r/>
          </w:p>
          <w:p>
            <w:pPr>
              <w:jc w:val="center"/>
              <w:spacing w:line="240" w:lineRule="atLeas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w:t>
            </w:r>
            <w:r>
              <w:rPr>
                <w:rFonts w:hint="eastAsia" w:ascii="仿宋" w:hAnsi="仿宋" w:eastAsia="仿宋" w:cs="仿宋"/>
                <w:color w:val="auto"/>
                <w:sz w:val="28"/>
                <w:szCs w:val="28"/>
                <w:highlight w:val="none"/>
                <w:lang w:val="en-US" w:eastAsia="zh-CN"/>
              </w:rPr>
              <w:t xml:space="preserve">售后服务方案（</w:t>
            </w:r>
            <w:r>
              <w:rPr>
                <w:rFonts w:hint="eastAsia" w:ascii="仿宋" w:hAnsi="仿宋" w:eastAsia="仿宋" w:cs="仿宋"/>
                <w:color w:val="auto"/>
                <w:sz w:val="28"/>
                <w:szCs w:val="28"/>
                <w:highlight w:val="none"/>
              </w:rPr>
              <w:t xml:space="preserve">包括但不限于服务方案、售后服务承诺、售后服务响应速度、备件供应方案、售后服务组织架构及人员配置，职责分工</w:t>
            </w:r>
            <w:r>
              <w:rPr>
                <w:rFonts w:hint="eastAsia" w:ascii="仿宋" w:hAnsi="仿宋" w:eastAsia="仿宋" w:cs="仿宋"/>
                <w:color w:val="auto"/>
                <w:sz w:val="28"/>
                <w:szCs w:val="28"/>
                <w:highlight w:val="none"/>
                <w:lang w:val="en-US" w:eastAsia="zh-CN"/>
              </w:rPr>
              <w:t xml:space="preserve">等内容）进行评分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售后服务方案完整，方案措施齐全、响应及时、保障有力</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7分；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售后服务方案较完整，主要方面均有涉及，措施较为齐全，响应速度较快，保障较为有力，仅个别内容不够详细</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6分；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售后服务方案较为完整，主要方面基本覆盖，措施基本齐全，响应速度较快，保障基本到位，但存在少量不足</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5分；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售后服务方案基本完整，主要方面基本覆盖，措施基本齐全，响应速度一般，保障基本到位，但部分内容较为简单</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4分；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售后服务方案一般，主要方面有涉及，但措施不够全面，响应速度一般，保障能力一般</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3分；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售后服务方案简单，仅列出部分方面，措施不全，响应速度较慢</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2分；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售后服务方案混乱，内容杂乱，逻辑不清，缺乏可操作性</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1分；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7</w:t>
            </w:r>
            <w:r/>
          </w:p>
        </w:tc>
      </w:tr>
      <w:tr>
        <w:trPr>
          <w:jc w:val="center"/>
          <w:trHeight w:val="0"/>
        </w:trPr>
        <w:tc>
          <w:tcPr>
            <w:tcBorders>
              <w:left w:val="single" w:color="auto" w:sz="4" w:space="0"/>
              <w:right w:val="single" w:color="auto" w:sz="4" w:space="0"/>
            </w:tcBorders>
            <w:tcW w:w="1442"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商务部分（</w:t>
            </w:r>
            <w:r>
              <w:rPr>
                <w:rFonts w:hint="eastAsia" w:ascii="仿宋" w:hAnsi="仿宋" w:eastAsia="仿宋" w:cs="仿宋"/>
                <w:b/>
                <w:bCs/>
                <w:color w:val="auto"/>
                <w:sz w:val="28"/>
                <w:szCs w:val="28"/>
                <w:highlight w:val="none"/>
                <w:lang w:val="en-US" w:eastAsia="zh-CN"/>
              </w:rPr>
              <w:t xml:space="preserve">15</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right w:val="single" w:color="auto" w:sz="4" w:space="0"/>
            </w:tcBorders>
            <w:tcW w:w="1151"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综合</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实力</w:t>
            </w:r>
            <w:r/>
          </w:p>
        </w:tc>
        <w:tc>
          <w:tcPr>
            <w:tcBorders>
              <w:top w:val="single" w:color="auto" w:sz="4" w:space="0"/>
              <w:left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投标人自202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月1日</w:t>
            </w:r>
            <w:r>
              <w:rPr>
                <w:rFonts w:hint="eastAsia" w:ascii="仿宋" w:hAnsi="仿宋" w:eastAsia="仿宋" w:cs="仿宋"/>
                <w:color w:val="auto"/>
                <w:sz w:val="28"/>
                <w:szCs w:val="28"/>
                <w:highlight w:val="none"/>
                <w:lang w:val="en-US" w:eastAsia="zh-CN"/>
              </w:rPr>
              <w:t xml:space="preserve">以来</w:t>
            </w:r>
            <w:r>
              <w:rPr>
                <w:rFonts w:hint="eastAsia" w:ascii="仿宋" w:hAnsi="仿宋" w:eastAsia="仿宋" w:cs="仿宋"/>
                <w:color w:val="auto"/>
                <w:sz w:val="28"/>
                <w:szCs w:val="28"/>
                <w:highlight w:val="none"/>
              </w:rPr>
              <w:t xml:space="preserve">承接过移动勾臂箱式垃圾压缩箱设备采购或销售业绩（以合同签订时间为准）的，每</w:t>
            </w:r>
            <w:r>
              <w:rPr>
                <w:rFonts w:hint="eastAsia" w:ascii="仿宋" w:hAnsi="仿宋" w:eastAsia="仿宋" w:cs="仿宋"/>
                <w:color w:val="auto"/>
                <w:sz w:val="28"/>
                <w:szCs w:val="28"/>
                <w:highlight w:val="none"/>
                <w:lang w:val="en-US" w:eastAsia="zh-CN"/>
              </w:rPr>
              <w:t xml:space="preserve">具有一项</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分，本项最高得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【提供业绩证明合同、中标通知书、验收报告（经业绩甲方或第三方服务机构验收）原件扫描件，并加盖投标人电子签章上传至电子投标文件】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6</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left w:val="single" w:color="auto" w:sz="4" w:space="0"/>
              <w:right w:val="single" w:color="auto" w:sz="4" w:space="0"/>
            </w:tcBorders>
            <w:tcW w:w="1151"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pStyle w:val="719"/>
              <w:ind w:left="0"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投标人具有质量管理体系、环境管理体系、职业健康安全管理体系、售后服务体系认证证书的，每</w:t>
            </w:r>
            <w:r>
              <w:rPr>
                <w:rFonts w:hint="eastAsia" w:ascii="仿宋" w:hAnsi="仿宋" w:eastAsia="仿宋" w:cs="仿宋"/>
                <w:color w:val="auto"/>
                <w:sz w:val="28"/>
                <w:szCs w:val="28"/>
                <w:highlight w:val="none"/>
                <w:lang w:val="en-US" w:eastAsia="zh-CN"/>
              </w:rPr>
              <w:t xml:space="preserve">提供一项</w:t>
            </w:r>
            <w:r>
              <w:rPr>
                <w:rFonts w:hint="eastAsia" w:ascii="仿宋" w:hAnsi="仿宋" w:eastAsia="仿宋" w:cs="仿宋"/>
                <w:color w:val="auto"/>
                <w:sz w:val="28"/>
                <w:szCs w:val="28"/>
                <w:highlight w:val="none"/>
              </w:rPr>
              <w:t xml:space="preserve">得1分，</w:t>
            </w:r>
            <w:r>
              <w:rPr>
                <w:rFonts w:hint="eastAsia" w:ascii="仿宋" w:hAnsi="仿宋" w:eastAsia="仿宋" w:cs="仿宋"/>
                <w:color w:val="auto"/>
                <w:sz w:val="28"/>
                <w:szCs w:val="28"/>
                <w:highlight w:val="none"/>
                <w:lang w:val="en-US" w:eastAsia="zh-CN"/>
              </w:rPr>
              <w:t xml:space="preserve">本项最高得4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pStyle w:val="719"/>
              <w:ind w:left="0" w:firstLine="562"/>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注：投标时需同时提供相关证书原件扫描件和全国认证认可信息公共服务平台官网（网址：http://cx.cnca.cn/）截图证明材料，加盖投标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电子签章上传至电子投标文件</w:t>
            </w:r>
            <w:r>
              <w:rPr>
                <w:rFonts w:hint="eastAsia" w:ascii="仿宋" w:hAnsi="仿宋" w:eastAsia="仿宋" w:cs="仿宋"/>
                <w:b/>
                <w:bCs/>
                <w:color w:val="auto"/>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left w:val="single" w:color="auto" w:sz="4" w:space="0"/>
              <w:right w:val="single" w:color="auto" w:sz="4" w:space="0"/>
            </w:tcBorders>
            <w:tcW w:w="1151"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right w:val="single" w:color="auto" w:sz="4" w:space="0"/>
            </w:tcBorders>
            <w:tcW w:w="6201" w:type="dxa"/>
            <w:vAlign w:val="center"/>
            <w:textDirection w:val="lrTb"/>
            <w:noWrap w:val="false"/>
          </w:tcPr>
          <w:p>
            <w:pPr>
              <w:pStyle w:val="719"/>
              <w:ind w:left="0" w:firstLine="560"/>
              <w:jc w:val="left"/>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3.投标人所投移动勾臂箱式垃圾压缩箱设备免费质保期为三年的基础上，免费质保期为四年的得2分；免费质保期为五年及以上的得5分。本项最高得5分，未提供不得分。</w:t>
            </w:r>
            <w:r>
              <w:rPr>
                <w:rFonts w:hint="eastAsia" w:ascii="仿宋" w:hAnsi="仿宋" w:eastAsia="仿宋" w:cs="仿宋"/>
                <w:b/>
                <w:bCs/>
                <w:color w:val="auto"/>
                <w:sz w:val="28"/>
                <w:szCs w:val="28"/>
                <w:highlight w:val="none"/>
                <w:lang w:val="en-US" w:eastAsia="zh-CN"/>
              </w:rPr>
              <w:t xml:space="preserve">（提供质保函原件扫描件，格式自拟，加盖投标人电子签章</w:t>
            </w:r>
            <w:r>
              <w:rPr>
                <w:rFonts w:hint="eastAsia" w:ascii="仿宋" w:hAnsi="仿宋" w:eastAsia="仿宋" w:cs="仿宋"/>
                <w:b/>
                <w:bCs/>
                <w:color w:val="auto"/>
                <w:sz w:val="28"/>
                <w:szCs w:val="28"/>
                <w:highlight w:val="none"/>
              </w:rPr>
              <w:t xml:space="preserve">上传至电子投标文件</w:t>
            </w:r>
            <w:r>
              <w:rPr>
                <w:rFonts w:hint="eastAsia" w:ascii="仿宋" w:hAnsi="仿宋" w:eastAsia="仿宋" w:cs="仿宋"/>
                <w:b/>
                <w:bCs/>
                <w:color w:val="auto"/>
                <w:sz w:val="28"/>
                <w:szCs w:val="28"/>
                <w:highlight w:val="none"/>
                <w:lang w:val="en-US" w:eastAsia="zh-CN"/>
              </w:rPr>
              <w:t xml:space="preserve">）</w:t>
            </w:r>
            <w:r/>
          </w:p>
        </w:tc>
        <w:tc>
          <w:tcPr>
            <w:tcBorders>
              <w:top w:val="single" w:color="auto" w:sz="4" w:space="0"/>
              <w:left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p>
        </w:tc>
      </w:tr>
    </w:tbl>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ind w:firstLine="560"/>
        <w:keepLines w:val="0"/>
        <w:keepNext w:val="0"/>
        <w:pageBreakBefore w:val="0"/>
        <w:spacing w:line="336" w:lineRule="auto"/>
        <w:widowControl w:val="off"/>
        <w:tabs>
          <w:tab w:val="left" w:pos="180" w:leader="none"/>
        </w:tabs>
        <w:rPr>
          <w:rFonts w:hint="eastAsia" w:ascii="仿宋" w:hAnsi="仿宋" w:eastAsia="仿宋" w:cs="仿宋"/>
          <w:color w:val="auto"/>
          <w:sz w:val="32"/>
          <w:highlight w:val="none"/>
        </w:rPr>
      </w:pPr>
      <w:r>
        <w:rPr>
          <w:rFonts w:hint="eastAsia" w:ascii="仿宋" w:hAnsi="仿宋" w:eastAsia="仿宋" w:cs="仿宋"/>
          <w:bCs/>
          <w:color w:val="auto"/>
          <w:sz w:val="28"/>
          <w:szCs w:val="28"/>
          <w:highlight w:val="none"/>
        </w:rPr>
        <w:t xml:space="preserve">注：以下为采购人提出中标后签订本项目合同的条款，</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必须实质性响应，中标</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不得提出实质性的修改，关于专用条款将由采购人与中标</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结合本项目具体情况协商后签订。</w:t>
      </w:r>
      <w:r/>
    </w:p>
    <w:p>
      <w:pPr>
        <w:pStyle w:val="652"/>
        <w:jc w:val="center"/>
        <w:keepLines w:val="0"/>
        <w:keepNext w:val="0"/>
        <w:pageBreakBefore w:val="0"/>
        <w:spacing w:line="336"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一、设备采购合同</w:t>
      </w:r>
      <w:r/>
    </w:p>
    <w:p>
      <w:pPr>
        <w:keepLines w:val="0"/>
        <w:keepNext w:val="0"/>
        <w:pageBreakBefore w:val="0"/>
        <w:spacing w:line="336"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甲方：</w:t>
      </w:r>
      <w:r/>
    </w:p>
    <w:p>
      <w:pPr>
        <w:keepLines w:val="0"/>
        <w:keepNext w:val="0"/>
        <w:pageBreakBefore w:val="0"/>
        <w:spacing w:line="336"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乙方： </w:t>
      </w:r>
      <w:r/>
    </w:p>
    <w:p>
      <w:pPr>
        <w:ind w:firstLine="560"/>
        <w:keepLines w:val="0"/>
        <w:keepNext w:val="0"/>
        <w:pageBreakBefore w:val="0"/>
        <w:spacing w:line="336" w:lineRule="auto"/>
        <w:widowControl w:val="off"/>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一、采购清单详见下表</w:t>
      </w:r>
      <w:r/>
    </w:p>
    <w:tbl>
      <w:tblPr>
        <w:tblStyle w:val="644"/>
        <w:tblW w:w="9921"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91"/>
        <w:gridCol w:w="1269"/>
        <w:gridCol w:w="790"/>
        <w:gridCol w:w="774"/>
        <w:gridCol w:w="1516"/>
        <w:gridCol w:w="1609"/>
        <w:gridCol w:w="1889"/>
      </w:tblGrid>
      <w:tr>
        <w:trPr>
          <w:cantSplit/>
          <w:jc w:val="center"/>
          <w:trHeight w:val="616" w:hRule="exact"/>
        </w:trPr>
        <w:tc>
          <w:tcPr>
            <w:tcBorders>
              <w:top w:val="single" w:color="auto" w:sz="4"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bookmarkStart w:id="36" w:name="_Hlk37262289"/>
            <w:r>
              <w:rPr>
                <w:rFonts w:hint="eastAsia" w:ascii="仿宋" w:hAnsi="仿宋" w:eastAsia="仿宋" w:cs="仿宋"/>
                <w:color w:val="auto"/>
                <w:sz w:val="24"/>
                <w:highlight w:val="none"/>
              </w:rPr>
              <w:t xml:space="preserve">设备名称</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w:t>
            </w:r>
            <w:r/>
          </w:p>
        </w:tc>
        <w:tc>
          <w:tcPr>
            <w:tcBorders>
              <w:top w:val="single" w:color="auto" w:sz="4"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产地</w:t>
            </w:r>
            <w:r/>
          </w:p>
        </w:tc>
        <w:tc>
          <w:tcPr>
            <w:tcBorders>
              <w:top w:val="single" w:color="auto" w:sz="4"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Borders>
              <w:top w:val="single" w:color="auto" w:sz="4"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单价（元）</w:t>
            </w:r>
            <w:r/>
          </w:p>
        </w:tc>
        <w:tc>
          <w:tcPr>
            <w:tcBorders>
              <w:top w:val="single" w:color="auto" w:sz="4"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合计（元）</w:t>
            </w:r>
            <w:r/>
          </w:p>
        </w:tc>
        <w:tc>
          <w:tcPr>
            <w:tcBorders>
              <w:top w:val="single" w:color="auto" w:sz="4" w:space="0"/>
              <w:left w:val="single" w:color="auto" w:sz="4" w:space="0"/>
              <w:bottom w:val="single" w:color="auto" w:sz="2"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bookmarkEnd w:id="36"/>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bl>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注：上述价格含设备制造、包装、仓储、运输、安装及验收合格之前及保修期内备品、备件发生的所有含税费用，以及包装拆除物的清理费用。</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二、付款方式</w:t>
      </w:r>
      <w:r/>
    </w:p>
    <w:p>
      <w:pPr>
        <w:pStyle w:val="652"/>
        <w:ind w:firstLine="561"/>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分批次完成设备安装验收，每批次验收合格后，依据合格台数一次性付清该批次货款。</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三、交货时间及交货地点</w:t>
      </w:r>
      <w:r/>
    </w:p>
    <w:p>
      <w:pPr>
        <w:pStyle w:val="652"/>
        <w:ind w:firstLine="561"/>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交货时间：合同签订后，</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接到</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分批供货通知之日起7日内，完成该批次货物的供货、安装、调试并交付</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使用。具体批次及每批次供货数量以</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通知为准。乙方可在投标文件中就交货期限提出合理化建议，经甲方同意后可另行协商。</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交货地点：甲方指定地点。</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四、乙方保证向甲方提供的设备满足中国国家标准及相关行业标准。</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六、设备安装后，乙方应配合甲方按厂方技术参数、国家标准等进行质量验收。若有歧义，甲方有权委托中国有资格的单位对该设备进行质量检测，费用由乙方承担。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七、乙方所供设备如验收不合格，根据甲方的要求，乙方必须无条件换货或退货，由此引起的一切损失由乙方承担。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、服务条款</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1.乙方免费提前为甲方提供设备安装图纸，并充分协助甲方做好准备工作（如必要的话）。</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2.设备安装时，乙方负责设备的免费安装和调试，乙方必须事先与甲方联系，否则引起的一切责任由乙方承担。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设备安装、调试结束后，甲方对设备试用后进行验收（时间由甲、乙双方商定），乙方免费派工程师到达现场协助验收工作。保修期自甲方验收合格之日算起，保修期外故障待修复后只收配件费，免收上门费、人工费。</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4.上述设备免费保修</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年，保修期自设备验收合格</w:t>
      </w:r>
      <w:r>
        <w:rPr>
          <w:rFonts w:hint="eastAsia" w:ascii="仿宋" w:hAnsi="仿宋" w:eastAsia="仿宋" w:cs="仿宋"/>
          <w:color w:val="auto"/>
          <w:sz w:val="28"/>
          <w:szCs w:val="28"/>
          <w:highlight w:val="none"/>
          <w:lang w:eastAsia="zh-CN"/>
        </w:rPr>
        <w:t xml:space="preserve">之日</w:t>
      </w:r>
      <w:r>
        <w:rPr>
          <w:rFonts w:hint="eastAsia" w:ascii="仿宋" w:hAnsi="仿宋" w:eastAsia="仿宋" w:cs="仿宋"/>
          <w:color w:val="auto"/>
          <w:sz w:val="28"/>
          <w:szCs w:val="28"/>
          <w:highlight w:val="none"/>
        </w:rPr>
        <w:t xml:space="preserve">起计算，保修期外乙方对本设备终身负责维修。</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如设备发生故障，乙方在接到甲方报修电话后2小时之内响应，8小时内到达甲方现场（若无维修站点，24小时内到达现场），48小时内修复，否则甲方可自行采取必要的措施，由此产生的风险和费用由乙方承担。如有特殊情况，乙方应立即电话通知甲方不能响应的原因，在获得甲方同意后，才可推迟响应时间。</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6.保修期内每年    次定期维护，并经甲方签字确认，留档备查。</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7.无论在保修期内还是保修期外，乙方必须上门维修，乙方工程师至甲方维修本设备，必须事先与甲方取得联系，并做相应登记，否则引起的一切责任由乙方负责。</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8.乙方需在交货后五个工作日内免费提供全套资料并加盖公章，含产品合格证、操作手册等，如技术资料不全，甲方有权不支付货款或退货，因此产生的损失由乙方自行承担。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、违约责任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1.自本协议生效之日起，双方应严格依约履行。若任何一方违反本协议规定，应赔偿由此给其他方造成的损失。</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果乙方没有按照合同规定时间交货的，每逾期一日，保修期延长十天，人力不可抗力因素除外。乙方延期交货10日以上的，则视为乙方不能交货，甲方有权因此解除本合同，并要求乙方承担合同总金额10%的违约金。</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其他违约行为的，乙方按违约期内甲方向乙方购货总额的10%计算，向甲方支付违约金。如果乙方违约，在收到甲方通知后的10日内没有或拒不承担违约责任的，则甲方有权从尚未支付乙方的购货价款中扣回违约金。</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4.乙方若违反本协议第</w:t>
      </w: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和第十一条均视为对本协议的重大违约，甲方随时有权书面通知乙方立即终止本协议。</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5.因乙方的违约行为给甲方造成损失的（包括所有直接和间接损失），如果违约金不足以补偿该损失部分的，甲方有权继续要求乙方赔偿甲方所有实际损失。</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6.乙方对本合同所约定的设备价格负责，如果产生与设备价值、成本相关的任何法律纠纷由乙方承担，甲方不承担任何相关法律责任。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7.乙方保证提供的商品、服务不存在任何法律纠纷，甲方在使用该商品或服务以及其中的任何一部分时，不侵犯</w:t>
      </w:r>
      <w:r>
        <w:rPr>
          <w:rFonts w:hint="eastAsia" w:ascii="仿宋" w:hAnsi="仿宋" w:eastAsia="仿宋" w:cs="仿宋"/>
          <w:color w:val="auto"/>
          <w:sz w:val="28"/>
          <w:szCs w:val="28"/>
          <w:highlight w:val="none"/>
          <w:lang w:eastAsia="zh-CN"/>
        </w:rPr>
        <w:t xml:space="preserve">任何</w:t>
      </w:r>
      <w:r>
        <w:rPr>
          <w:rFonts w:hint="eastAsia" w:ascii="仿宋" w:hAnsi="仿宋" w:eastAsia="仿宋" w:cs="仿宋"/>
          <w:color w:val="auto"/>
          <w:sz w:val="28"/>
          <w:szCs w:val="28"/>
          <w:highlight w:val="none"/>
        </w:rPr>
        <w:t xml:space="preserve">专利权、商标权、工业设计权或其他知识产权，如收到来自第三方的侵权诉讼或索赔，所有责任及由此造成的损失由乙方承担。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8.以上各项交付的违约金并不影响乙方继续履行本协议的其他各项义务。</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9.乙方应保证甲方在使用、接受本合同货物和服务或其任何一部分时不受第三方提出侵犯其专利权、版权、商标权和工业设计权等知识产权的起诉。一旦出现侵权，由乙方负全部责任。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十、双方应本着友好协商的原则，解决与本合同有关的一切争议。如一方不愿协商或协商开始后30日内无法解决，应提交甲方所在地人民法院裁决。</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、其他</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1.本合同经甲、乙双方加盖电子签章后生效。如有变动，必须经甲方、乙方协商一致后，方可更改。</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2.本合同未尽事宜，遵照</w:t>
      </w:r>
      <w:r>
        <w:rPr>
          <w:rFonts w:hint="eastAsia" w:ascii="仿宋" w:hAnsi="仿宋" w:eastAsia="仿宋" w:cs="仿宋"/>
          <w:color w:val="auto"/>
          <w:sz w:val="28"/>
          <w:szCs w:val="28"/>
          <w:highlight w:val="none"/>
          <w:lang w:eastAsia="zh-CN"/>
        </w:rPr>
        <w:t xml:space="preserve">《中华人民共和国民法典》</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《中华人民共和国政府采购法》</w:t>
      </w:r>
      <w:r>
        <w:rPr>
          <w:rFonts w:hint="eastAsia" w:ascii="仿宋" w:hAnsi="仿宋" w:eastAsia="仿宋" w:cs="仿宋"/>
          <w:color w:val="auto"/>
          <w:sz w:val="28"/>
          <w:szCs w:val="28"/>
          <w:highlight w:val="none"/>
        </w:rPr>
        <w:t xml:space="preserve">有关条文执行。</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、组成本合同的文件包括</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1.合同格式及条款；</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2.招标文件和乙方的投标文件；</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4.甲乙双方商定的其他必要文件。上述合同文件内容互为补充，如有不明确，由甲方负责解释，</w:t>
      </w:r>
      <w:r>
        <w:rPr>
          <w:rFonts w:hint="eastAsia" w:ascii="仿宋" w:hAnsi="仿宋" w:eastAsia="仿宋" w:cs="仿宋"/>
          <w:color w:val="auto"/>
          <w:sz w:val="28"/>
          <w:szCs w:val="28"/>
          <w:highlight w:val="none"/>
          <w:lang w:eastAsia="zh-CN"/>
        </w:rPr>
        <w:t xml:space="preserve">未尽事宜</w:t>
      </w:r>
      <w:r>
        <w:rPr>
          <w:rFonts w:hint="eastAsia" w:ascii="仿宋" w:hAnsi="仿宋" w:eastAsia="仿宋" w:cs="仿宋"/>
          <w:color w:val="auto"/>
          <w:sz w:val="28"/>
          <w:szCs w:val="28"/>
          <w:highlight w:val="none"/>
        </w:rPr>
        <w:t xml:space="preserve">双方协商解决。</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、合同签署地点：淮安。</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    方</w:t>
      </w:r>
      <w:r>
        <w:rPr>
          <w:rFonts w:hint="eastAsia" w:ascii="仿宋" w:hAnsi="仿宋" w:eastAsia="仿宋" w:cs="仿宋"/>
          <w:color w:val="auto"/>
          <w:sz w:val="28"/>
          <w:szCs w:val="28"/>
          <w:highlight w:val="none"/>
          <w:lang w:eastAsia="zh-CN"/>
        </w:rPr>
        <w:t xml:space="preserve">：</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（电子签章）              单位盖章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（电子签章）</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代表签字</w:t>
      </w:r>
      <w:r>
        <w:rPr>
          <w:rFonts w:hint="eastAsia" w:ascii="仿宋" w:hAnsi="仿宋" w:eastAsia="仿宋" w:cs="仿宋"/>
          <w:color w:val="auto"/>
          <w:sz w:val="28"/>
          <w:szCs w:val="28"/>
          <w:highlight w:val="none"/>
          <w:lang w:eastAsia="zh-CN"/>
        </w:rPr>
        <w:t xml:space="preserve">：</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p>
    <w:p>
      <w:pPr>
        <w:jc w:val="center"/>
        <w:spacing w:line="520" w:lineRule="exact"/>
        <w:tabs>
          <w:tab w:val="left" w:pos="18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520" w:lineRule="exact"/>
        <w:tabs>
          <w:tab w:val="left" w:pos="18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520" w:lineRule="exact"/>
        <w:tabs>
          <w:tab w:val="left" w:pos="18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二、合同通用条款</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1.定义</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本合同中下列术语应解释为</w:t>
      </w:r>
      <w:r>
        <w:rPr>
          <w:rFonts w:hint="eastAsia" w:ascii="仿宋" w:hAnsi="仿宋" w:eastAsia="仿宋"/>
          <w:color w:val="auto"/>
          <w:sz w:val="28"/>
          <w:highlight w:val="none"/>
          <w:lang w:eastAsia="zh-CN"/>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（4）“服务”系指根据合同规定乙方承担与供货有关的所有辅助服务，如运输、保险以及</w:t>
      </w:r>
      <w:r>
        <w:rPr>
          <w:rFonts w:hint="eastAsia" w:ascii="仿宋" w:hAnsi="仿宋" w:eastAsia="仿宋"/>
          <w:color w:val="auto"/>
          <w:sz w:val="28"/>
          <w:highlight w:val="none"/>
          <w:lang w:eastAsia="zh-CN"/>
        </w:rPr>
        <w:t xml:space="preserve">其他</w:t>
      </w:r>
      <w:r>
        <w:rPr>
          <w:rFonts w:hint="eastAsia" w:ascii="仿宋" w:hAnsi="仿宋" w:eastAsia="仿宋"/>
          <w:color w:val="auto"/>
          <w:sz w:val="28"/>
          <w:highlight w:val="none"/>
        </w:rPr>
        <w:t xml:space="preserve">的服务，如安装、调试、提供技术援助、培训和其他类似的义务。</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（5）“甲方”系指购买货物（含软件及相关服务）的单位。</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（6）“乙方”系指根据合同规定提供货物（含软件及相关服务）和服务的</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2.技术规范</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3.专利权</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3.1乙方须保障甲方在使用该货物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4.包装要求</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4.1本项目中涉及商品的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4.2除合同另有规定外，乙方提供的全部货物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均应按相应的标准保护措施进行包装，使包装适应于远距离运输、防潮、防震、防锈和防粗暴装卸，确保货物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安全无损运</w:t>
      </w:r>
      <w:r>
        <w:rPr>
          <w:rFonts w:hint="eastAsia" w:ascii="仿宋" w:hAnsi="仿宋" w:eastAsia="仿宋"/>
          <w:color w:val="auto"/>
          <w:sz w:val="28"/>
          <w:highlight w:val="none"/>
          <w:lang w:eastAsia="zh-CN"/>
        </w:rPr>
        <w:t xml:space="preserve">抵</w:t>
      </w:r>
      <w:r>
        <w:rPr>
          <w:rFonts w:hint="eastAsia" w:ascii="仿宋" w:hAnsi="仿宋" w:eastAsia="仿宋"/>
          <w:color w:val="auto"/>
          <w:sz w:val="28"/>
          <w:highlight w:val="none"/>
        </w:rPr>
        <w:t xml:space="preserve">现场。由于包装不善所引起的货物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锈蚀、损坏和损失均由乙方承担。</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4.3每件包装箱内应附一份详细装箱单和质量合格证。</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5.装运标志</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5.1 </w:t>
      </w:r>
      <w:r>
        <w:rPr>
          <w:rFonts w:hint="eastAsia" w:ascii="仿宋" w:hAnsi="仿宋" w:eastAsia="仿宋"/>
          <w:color w:val="auto"/>
          <w:sz w:val="28"/>
          <w:szCs w:val="28"/>
          <w:highlight w:val="none"/>
        </w:rPr>
        <w:t xml:space="preserve">乙方应在每一包装箱邻接的四侧用不褪色的油漆以醒目的中文字样做出下列标记</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（1）收货人</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）合同号</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）装运标志</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）收货人代号</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）目的地</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）货物（含软件及相关服务）名称、品目号和箱号</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）毛重／净重</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）尺寸（长</w:t>
      </w:r>
      <w:r>
        <w:rPr>
          <w:rFonts w:ascii="仿宋" w:hAnsi="仿宋" w:eastAsia="仿宋"/>
          <w:color w:val="auto"/>
          <w:sz w:val="28"/>
          <w:szCs w:val="28"/>
          <w:highlight w:val="none"/>
        </w:rPr>
        <w:t xml:space="preserve">X</w:t>
      </w:r>
      <w:r>
        <w:rPr>
          <w:rFonts w:hint="eastAsia" w:ascii="仿宋" w:hAnsi="仿宋" w:eastAsia="仿宋"/>
          <w:color w:val="auto"/>
          <w:sz w:val="28"/>
          <w:szCs w:val="28"/>
          <w:highlight w:val="none"/>
        </w:rPr>
        <w:t xml:space="preserve">宽</w:t>
      </w:r>
      <w:r>
        <w:rPr>
          <w:rFonts w:ascii="仿宋" w:hAnsi="仿宋" w:eastAsia="仿宋"/>
          <w:color w:val="auto"/>
          <w:sz w:val="28"/>
          <w:szCs w:val="28"/>
          <w:highlight w:val="none"/>
        </w:rPr>
        <w:t xml:space="preserve">X</w:t>
      </w:r>
      <w:r>
        <w:rPr>
          <w:rFonts w:hint="eastAsia" w:ascii="仿宋" w:hAnsi="仿宋" w:eastAsia="仿宋"/>
          <w:color w:val="auto"/>
          <w:sz w:val="28"/>
          <w:szCs w:val="28"/>
          <w:highlight w:val="none"/>
        </w:rPr>
        <w:t xml:space="preserve">高，以厘米计）</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5.2 </w:t>
      </w:r>
      <w:r>
        <w:rPr>
          <w:rFonts w:hint="eastAsia" w:ascii="仿宋" w:hAnsi="仿宋" w:eastAsia="仿宋"/>
          <w:color w:val="auto"/>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重心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和</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吊装点</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，以便装卸和搬运。根据货物（含软件及相关服务）的特点和运输的不同要求，乙方应在包装箱上清楚地标有“小心轻放</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勿倒置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防潮</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等字样和其他适当的标记。</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6.付款方式</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6.1本合同以人民币付款。</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6.2乙方应按照与甲方签订的合同规定交货。交货后乙方向甲方提供下列单据，甲方按合同规定审核后付款</w:t>
      </w:r>
      <w:r>
        <w:rPr>
          <w:rFonts w:hint="eastAsia" w:ascii="仿宋" w:hAnsi="仿宋" w:eastAsia="仿宋"/>
          <w:color w:val="auto"/>
          <w:sz w:val="28"/>
          <w:highlight w:val="none"/>
          <w:lang w:eastAsia="zh-CN"/>
        </w:rPr>
        <w:t xml:space="preserve">：</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（1）发票；</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（2）制造厂家出具的质量检验证书等；</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（3）装箱单；</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（4）验收合格证；</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（5）使用方加盖公章证明货物交付使用合格的验收表。</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6.3甲方将按招标文件中规定的付款方式安排付款。</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7.伴随服务</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7.1乙方应按照国家有关规定和合同中所附的服务承诺提供服务。</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7.2除第7.1条规定外，乙方还应提供下列服务</w:t>
      </w:r>
      <w:r>
        <w:rPr>
          <w:rFonts w:hint="eastAsia" w:ascii="仿宋" w:hAnsi="仿宋" w:eastAsia="仿宋"/>
          <w:color w:val="auto"/>
          <w:sz w:val="28"/>
          <w:highlight w:val="none"/>
          <w:lang w:eastAsia="zh-CN"/>
        </w:rPr>
        <w:t xml:space="preserve">：</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（1）货物的现场安装和启动监督；</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（2）提供货物组装和维修所需的工具；</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7.3伴随服务的费用应含在合同价中，不单独进行支付。</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8.质量保证</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乙方在收到通知后三十天内应免费维修或更换有缺陷的货物（含软件及相关服务）或部件。</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color w:val="auto"/>
          <w:sz w:val="28"/>
          <w:szCs w:val="28"/>
          <w:highlight w:val="none"/>
        </w:rPr>
        <w:t xml:space="preserve">12</w:t>
      </w:r>
      <w:r>
        <w:rPr>
          <w:rFonts w:hint="eastAsia" w:ascii="仿宋" w:hAnsi="仿宋" w:eastAsia="仿宋"/>
          <w:color w:val="auto"/>
          <w:sz w:val="28"/>
          <w:szCs w:val="28"/>
          <w:highlight w:val="none"/>
        </w:rPr>
        <w:t xml:space="preserve">个月。</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9.检验及安装</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b/>
          <w:color w:val="auto"/>
          <w:sz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highlight w:val="none"/>
        </w:rPr>
        <w:t xml:space="preserve">90</w:t>
      </w:r>
      <w:r>
        <w:rPr>
          <w:rFonts w:hint="eastAsia" w:ascii="仿宋" w:hAnsi="仿宋" w:eastAsia="仿宋"/>
          <w:color w:val="auto"/>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b/>
          <w:color w:val="auto"/>
          <w:sz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如果货物（含软件及相关服务）的质量和规格与合同不符，或在第</w:t>
      </w:r>
      <w:r>
        <w:rPr>
          <w:rFonts w:ascii="仿宋" w:hAnsi="仿宋" w:eastAsia="仿宋"/>
          <w:color w:val="auto"/>
          <w:sz w:val="28"/>
          <w:szCs w:val="28"/>
          <w:highlight w:val="none"/>
        </w:rPr>
        <w:t xml:space="preserve">11</w:t>
      </w:r>
      <w:r>
        <w:rPr>
          <w:rFonts w:hint="eastAsia" w:ascii="仿宋" w:hAnsi="仿宋" w:eastAsia="仿宋"/>
          <w:color w:val="auto"/>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 xml:space="preserve">制造厂对所供货物（含软件及相关服务）进行机械运转试验和性能试验时，必须提前通知甲方。</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.6 </w:t>
      </w:r>
      <w:r>
        <w:rPr>
          <w:rFonts w:hint="eastAsia" w:ascii="仿宋" w:hAnsi="仿宋" w:eastAsia="仿宋"/>
          <w:color w:val="auto"/>
          <w:sz w:val="28"/>
          <w:szCs w:val="28"/>
          <w:highlight w:val="none"/>
        </w:rPr>
        <w:t xml:space="preserve">货物（含软件及相关服务）的安装按招标文件要求进行。</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10.索赔</w:t>
      </w:r>
      <w:r/>
    </w:p>
    <w:p>
      <w:pPr>
        <w:ind w:firstLine="658"/>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.1 </w:t>
      </w:r>
      <w:r>
        <w:rPr>
          <w:rFonts w:hint="eastAsia" w:ascii="仿宋" w:hAnsi="仿宋" w:eastAsia="仿宋"/>
          <w:color w:val="auto"/>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在第</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color w:val="auto"/>
          <w:sz w:val="28"/>
          <w:szCs w:val="28"/>
          <w:highlight w:val="none"/>
          <w:lang w:eastAsia="zh-CN"/>
        </w:rPr>
        <w:t xml:space="preserve">：</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olor w:val="auto"/>
          <w:sz w:val="28"/>
          <w:szCs w:val="28"/>
          <w:highlight w:val="none"/>
          <w:lang w:eastAsia="zh-CN"/>
        </w:rPr>
        <w:t xml:space="preserve">其他</w:t>
      </w:r>
      <w:r>
        <w:rPr>
          <w:rFonts w:hint="eastAsia" w:ascii="仿宋" w:hAnsi="仿宋" w:eastAsia="仿宋"/>
          <w:color w:val="auto"/>
          <w:sz w:val="28"/>
          <w:szCs w:val="28"/>
          <w:highlight w:val="none"/>
        </w:rPr>
        <w:t xml:space="preserve">必要费用。</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如果在甲方发出索赔通知后</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0天内，乙方未能答复，</w:t>
      </w:r>
      <w:r>
        <w:rPr>
          <w:rFonts w:hint="eastAsia" w:ascii="仿宋" w:hAnsi="仿宋" w:eastAsia="仿宋"/>
          <w:color w:val="auto"/>
          <w:sz w:val="28"/>
          <w:szCs w:val="28"/>
          <w:highlight w:val="none"/>
          <w:lang w:eastAsia="zh-CN"/>
        </w:rPr>
        <w:t xml:space="preserve">上述</w:t>
      </w:r>
      <w:r>
        <w:rPr>
          <w:rFonts w:hint="eastAsia" w:ascii="仿宋" w:hAnsi="仿宋" w:eastAsia="仿宋"/>
          <w:color w:val="auto"/>
          <w:sz w:val="28"/>
          <w:szCs w:val="28"/>
          <w:highlight w:val="none"/>
        </w:rPr>
        <w:t xml:space="preserve">索赔应视为已被乙方接受。若乙方未能在甲方提出索赔通知后</w:t>
      </w:r>
      <w:r>
        <w:rPr>
          <w:rFonts w:ascii="仿宋" w:hAnsi="仿宋" w:eastAsia="仿宋"/>
          <w:color w:val="auto"/>
          <w:sz w:val="28"/>
          <w:szCs w:val="28"/>
          <w:highlight w:val="none"/>
        </w:rPr>
        <w:t xml:space="preserve">30</w:t>
      </w:r>
      <w:r>
        <w:rPr>
          <w:rFonts w:hint="eastAsia" w:ascii="仿宋" w:hAnsi="仿宋" w:eastAsia="仿宋"/>
          <w:color w:val="auto"/>
          <w:sz w:val="28"/>
          <w:szCs w:val="28"/>
          <w:highlight w:val="none"/>
        </w:rPr>
        <w:t xml:space="preserve">天内或甲方同意的更长时间内，按照第</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11.拖延交货</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乙方应按照合同专用条款中规定的交货期交货和提供服务。</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如果乙方毫无理由地拖延交货，将受到以下制裁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没收履约保证金，加收违约损失赔偿</w:t>
      </w:r>
      <w:r>
        <w:rPr>
          <w:rFonts w:hint="eastAsia" w:ascii="仿宋" w:hAnsi="仿宋" w:eastAsia="仿宋"/>
          <w:color w:val="auto"/>
          <w:sz w:val="28"/>
          <w:szCs w:val="28"/>
          <w:highlight w:val="none"/>
          <w:u w:val="single"/>
        </w:rPr>
        <w:t xml:space="preserve">和／或</w:t>
      </w:r>
      <w:r>
        <w:rPr>
          <w:rFonts w:hint="eastAsia" w:ascii="仿宋" w:hAnsi="仿宋" w:eastAsia="仿宋"/>
          <w:color w:val="auto"/>
          <w:sz w:val="28"/>
          <w:szCs w:val="28"/>
          <w:highlight w:val="none"/>
        </w:rPr>
        <w:t xml:space="preserve">终止合同。</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12.误期赔偿</w:t>
      </w:r>
      <w:r/>
    </w:p>
    <w:p>
      <w:pPr>
        <w:ind w:firstLine="567"/>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13.不可抗力</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受事故影响的一方应在不可抗力事故发生后尽快以电报、传真或电传通知另一方，并在事故发生后</w:t>
      </w:r>
      <w:r>
        <w:rPr>
          <w:rFonts w:ascii="仿宋" w:hAnsi="仿宋" w:eastAsia="仿宋"/>
          <w:color w:val="auto"/>
          <w:sz w:val="28"/>
          <w:szCs w:val="28"/>
          <w:highlight w:val="none"/>
        </w:rPr>
        <w:t xml:space="preserve">14</w:t>
      </w:r>
      <w:r>
        <w:rPr>
          <w:rFonts w:hint="eastAsia" w:ascii="仿宋" w:hAnsi="仿宋" w:eastAsia="仿宋"/>
          <w:color w:val="auto"/>
          <w:sz w:val="28"/>
          <w:szCs w:val="28"/>
          <w:highlight w:val="none"/>
        </w:rPr>
        <w:t xml:space="preserve">天内，将有关部门出具的证明文件用特快专递寄给或送给另一方。如果不可抗力影响时间延续</w:t>
      </w:r>
      <w:r>
        <w:rPr>
          <w:rFonts w:ascii="仿宋" w:hAnsi="仿宋" w:eastAsia="仿宋"/>
          <w:color w:val="auto"/>
          <w:sz w:val="28"/>
          <w:szCs w:val="28"/>
          <w:highlight w:val="none"/>
        </w:rPr>
        <w:t xml:space="preserve">120</w:t>
      </w:r>
      <w:r>
        <w:rPr>
          <w:rFonts w:hint="eastAsia" w:ascii="仿宋" w:hAnsi="仿宋" w:eastAsia="仿宋"/>
          <w:color w:val="auto"/>
          <w:sz w:val="28"/>
          <w:szCs w:val="28"/>
          <w:highlight w:val="none"/>
        </w:rPr>
        <w:t xml:space="preserve">天以上，双方应通过友好协商在合理的时间内达成进一步履行合同的协议。</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14.税费</w:t>
      </w:r>
      <w:r/>
    </w:p>
    <w:p>
      <w:pPr>
        <w:ind w:firstLine="567"/>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14.2中国政府根据现行税法规定对乙方征收的与本合同有关的一切税费均由乙方负担。</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15.仲裁</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auto"/>
          <w:sz w:val="28"/>
          <w:szCs w:val="28"/>
          <w:highlight w:val="none"/>
        </w:rPr>
        <w:t xml:space="preserve"> </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仲裁裁决应为终局裁决，对双方均具有约束力。</w:t>
      </w:r>
      <w:r>
        <w:rPr>
          <w:rFonts w:ascii="仿宋" w:hAnsi="仿宋" w:eastAsia="仿宋"/>
          <w:color w:val="auto"/>
          <w:sz w:val="28"/>
          <w:szCs w:val="28"/>
          <w:highlight w:val="none"/>
        </w:rPr>
        <w:t xml:space="preserve"> </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仲裁费除仲裁机构另有裁决外应由败诉方负担。</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在仲裁期间，除正在进行仲裁的部分外，合同</w:t>
      </w:r>
      <w:r>
        <w:rPr>
          <w:rFonts w:hint="eastAsia" w:ascii="仿宋" w:hAnsi="仿宋" w:eastAsia="仿宋"/>
          <w:color w:val="auto"/>
          <w:sz w:val="28"/>
          <w:szCs w:val="28"/>
          <w:highlight w:val="none"/>
          <w:lang w:eastAsia="zh-CN"/>
        </w:rPr>
        <w:t xml:space="preserve">其他部分</w:t>
      </w:r>
      <w:r>
        <w:rPr>
          <w:rFonts w:hint="eastAsia" w:ascii="仿宋" w:hAnsi="仿宋" w:eastAsia="仿宋"/>
          <w:color w:val="auto"/>
          <w:sz w:val="28"/>
          <w:szCs w:val="28"/>
          <w:highlight w:val="none"/>
        </w:rPr>
        <w:t xml:space="preserve">继续执行。</w:t>
      </w:r>
      <w:r>
        <w:rPr>
          <w:rFonts w:hint="eastAsia" w:ascii="仿宋" w:hAnsi="仿宋" w:eastAsia="仿宋"/>
          <w:b/>
          <w:color w:val="auto"/>
          <w:sz w:val="28"/>
          <w:szCs w:val="28"/>
          <w:highlight w:val="non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16.违约终止合同</w:t>
      </w:r>
      <w:r/>
    </w:p>
    <w:p>
      <w:pPr>
        <w:pStyle w:val="922"/>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16</w:t>
      </w:r>
      <w:r>
        <w:rPr>
          <w:rFonts w:hAnsi="仿宋"/>
          <w:color w:val="auto"/>
          <w:sz w:val="28"/>
          <w:szCs w:val="28"/>
          <w:highlight w:val="none"/>
        </w:rPr>
        <w:t xml:space="preserve">.</w:t>
      </w:r>
      <w:r>
        <w:rPr>
          <w:rFonts w:hint="eastAsia" w:hAnsi="仿宋"/>
          <w:color w:val="auto"/>
          <w:sz w:val="28"/>
          <w:szCs w:val="28"/>
          <w:highlight w:val="none"/>
        </w:rPr>
        <w:t xml:space="preserve">1</w:t>
      </w:r>
      <w:r>
        <w:rPr>
          <w:rFonts w:hAnsi="仿宋"/>
          <w:color w:val="auto"/>
          <w:sz w:val="28"/>
          <w:szCs w:val="28"/>
          <w:highlight w:val="none"/>
        </w:rPr>
        <w:t xml:space="preserve"> </w:t>
      </w:r>
      <w:r>
        <w:rPr>
          <w:rFonts w:hint="eastAsia" w:hAnsi="仿宋"/>
          <w:color w:val="auto"/>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highlight w:val="none"/>
        </w:rPr>
        <w:t xml:space="preserve"> </w:t>
      </w:r>
      <w:r/>
    </w:p>
    <w:p>
      <w:pPr>
        <w:pStyle w:val="922"/>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（1）如果乙方未能在合同规定的期限或甲方同意延期的限期内提供全部或部分货物（含软件及相关服务）；</w:t>
      </w:r>
      <w:r>
        <w:rPr>
          <w:rFonts w:hAnsi="仿宋"/>
          <w:color w:val="auto"/>
          <w:sz w:val="28"/>
          <w:szCs w:val="28"/>
          <w:highlight w:val="none"/>
        </w:rPr>
        <w:t xml:space="preserve"> </w:t>
      </w:r>
      <w:r/>
    </w:p>
    <w:p>
      <w:pPr>
        <w:pStyle w:val="922"/>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w:t>
      </w:r>
      <w:r>
        <w:rPr>
          <w:rFonts w:hAnsi="仿宋"/>
          <w:color w:val="auto"/>
          <w:sz w:val="28"/>
          <w:szCs w:val="28"/>
          <w:highlight w:val="none"/>
        </w:rPr>
        <w:t xml:space="preserve">2</w:t>
      </w:r>
      <w:r>
        <w:rPr>
          <w:rFonts w:hint="eastAsia" w:hAnsi="仿宋"/>
          <w:color w:val="auto"/>
          <w:sz w:val="28"/>
          <w:szCs w:val="28"/>
          <w:highlight w:val="none"/>
        </w:rPr>
        <w:t xml:space="preserve">）如果乙方未能履行合同规定的其它义务。</w:t>
      </w:r>
      <w:r>
        <w:rPr>
          <w:rFonts w:hAnsi="仿宋"/>
          <w:color w:val="auto"/>
          <w:sz w:val="28"/>
          <w:szCs w:val="28"/>
          <w:highlight w:val="none"/>
        </w:rPr>
        <w:t xml:space="preserve"> </w:t>
      </w:r>
      <w:r/>
    </w:p>
    <w:p>
      <w:pPr>
        <w:pStyle w:val="922"/>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16</w:t>
      </w:r>
      <w:r>
        <w:rPr>
          <w:rFonts w:hAnsi="仿宋"/>
          <w:color w:val="auto"/>
          <w:sz w:val="28"/>
          <w:szCs w:val="28"/>
          <w:highlight w:val="none"/>
        </w:rPr>
        <w:t xml:space="preserve">.2 </w:t>
      </w:r>
      <w:r>
        <w:rPr>
          <w:rFonts w:hint="eastAsia" w:hAnsi="仿宋"/>
          <w:color w:val="auto"/>
          <w:sz w:val="28"/>
          <w:szCs w:val="28"/>
          <w:highlight w:val="none"/>
        </w:rPr>
        <w:t xml:space="preserve">在甲方根据第17</w:t>
      </w:r>
      <w:r>
        <w:rPr>
          <w:rFonts w:hAnsi="仿宋"/>
          <w:color w:val="auto"/>
          <w:sz w:val="28"/>
          <w:szCs w:val="28"/>
          <w:highlight w:val="none"/>
        </w:rPr>
        <w:t xml:space="preserve">.</w:t>
      </w:r>
      <w:r>
        <w:rPr>
          <w:rFonts w:hint="eastAsia" w:hAnsi="仿宋"/>
          <w:color w:val="auto"/>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17.破产中止合同</w:t>
      </w:r>
      <w:r/>
    </w:p>
    <w:p>
      <w:pPr>
        <w:pStyle w:val="878"/>
        <w:spacing w:line="520" w:lineRule="exact"/>
        <w:rPr>
          <w:rFonts w:hint="eastAsia" w:ascii="仿宋" w:hAnsi="仿宋" w:eastAsia="仿宋"/>
          <w:color w:val="auto"/>
          <w:sz w:val="28"/>
          <w:szCs w:val="24"/>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 17.1如果乙方破产或无清偿能力，甲方可在任何时候以书面形式通知乙方</w:t>
      </w:r>
      <w:r>
        <w:rPr>
          <w:rFonts w:hint="eastAsia" w:ascii="仿宋" w:hAnsi="仿宋" w:eastAsia="仿宋"/>
          <w:color w:val="auto"/>
          <w:sz w:val="28"/>
          <w:szCs w:val="24"/>
          <w:highlight w:val="none"/>
          <w:lang w:eastAsia="zh-CN"/>
        </w:rPr>
        <w:t xml:space="preserve">终止合同</w:t>
      </w:r>
      <w:r>
        <w:rPr>
          <w:rFonts w:hint="eastAsia" w:ascii="仿宋" w:hAnsi="仿宋" w:eastAsia="仿宋"/>
          <w:color w:val="auto"/>
          <w:sz w:val="28"/>
          <w:szCs w:val="24"/>
          <w:highlight w:val="none"/>
        </w:rPr>
        <w:t xml:space="preserve">而不给乙方补偿。该中止合同将不损害或影响甲方和使用方已经采取或将要采取的任何行动或补救措施的权力。</w:t>
      </w:r>
      <w:r/>
    </w:p>
    <w:p>
      <w:pPr>
        <w:pStyle w:val="87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18.转让</w:t>
      </w:r>
      <w:r/>
    </w:p>
    <w:p>
      <w:pPr>
        <w:pStyle w:val="87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18.1 除甲方事先书面同意外，乙方不得部分转让或全部转让其应履行的合同义务。</w:t>
      </w:r>
      <w:r/>
    </w:p>
    <w:p>
      <w:pPr>
        <w:pStyle w:val="87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19.合同生效及其它</w:t>
      </w:r>
      <w:r/>
    </w:p>
    <w:p>
      <w:pPr>
        <w:spacing w:line="520" w:lineRule="exact"/>
        <w:rPr>
          <w:rFonts w:hint="eastAsia" w:ascii="仿宋" w:hAnsi="仿宋" w:eastAsia="仿宋"/>
          <w:b/>
          <w:color w:val="auto"/>
          <w:sz w:val="28"/>
          <w:szCs w:val="28"/>
          <w:highlight w:val="none"/>
        </w:rPr>
      </w:pPr>
      <w:r>
        <w:rPr>
          <w:rFonts w:hint="eastAsia" w:ascii="仿宋" w:hAnsi="仿宋" w:eastAsia="仿宋"/>
          <w:color w:val="auto"/>
          <w:highlight w:val="none"/>
        </w:rPr>
        <w:t xml:space="preserve">   </w:t>
      </w:r>
      <w:r>
        <w:rPr>
          <w:rFonts w:hint="eastAsia" w:ascii="仿宋" w:hAnsi="仿宋" w:eastAsia="仿宋"/>
          <w:color w:val="auto"/>
          <w:sz w:val="28"/>
          <w:szCs w:val="28"/>
          <w:highlight w:val="none"/>
        </w:rPr>
        <w:t xml:space="preserve">  19.1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878"/>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19.2</w:t>
      </w:r>
      <w:r>
        <w:rPr>
          <w:rFonts w:hint="eastAsia" w:ascii="仿宋" w:hAnsi="仿宋" w:eastAsia="仿宋"/>
          <w:color w:val="auto"/>
          <w:sz w:val="28"/>
          <w:szCs w:val="28"/>
          <w:highlight w:val="none"/>
        </w:rPr>
        <w:t xml:space="preserve">本合同经甲、乙双方加盖电子签章后生效。</w:t>
      </w:r>
      <w:r>
        <w:rPr>
          <w:rFonts w:hint="eastAsia" w:ascii="仿宋" w:hAnsi="仿宋" w:eastAsia="仿宋"/>
          <w:color w:val="auto"/>
          <w:sz w:val="28"/>
          <w:szCs w:val="24"/>
          <w:highlight w:val="none"/>
        </w:rPr>
        <w:t xml:space="preserve">    </w:t>
      </w:r>
      <w:r/>
    </w:p>
    <w:p>
      <w:pPr>
        <w:pStyle w:val="87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19.3合同货物交付使用后所发生的合同纠纷，甲方与乙方进行处理。</w:t>
      </w:r>
      <w:r/>
    </w:p>
    <w:p>
      <w:pPr>
        <w:pStyle w:val="87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highlight w:val="none"/>
        </w:rPr>
        <w:t xml:space="preserve">19.5本合同应按照中华人民共和国的现行法律进行解释。</w:t>
      </w:r>
      <w:r/>
    </w:p>
    <w:p>
      <w:pPr>
        <w:pStyle w:val="878"/>
        <w:jc w:val="center"/>
        <w:spacing w:line="520" w:lineRule="exact"/>
        <w:rPr>
          <w:rFonts w:hint="eastAsia" w:ascii="仿宋" w:hAnsi="仿宋" w:eastAsia="仿宋" w:cs="仿宋"/>
          <w:b/>
          <w:bCs/>
          <w:color w:val="auto"/>
          <w:sz w:val="28"/>
          <w:szCs w:val="28"/>
          <w:highlight w:val="none"/>
        </w:rPr>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项目采购需求</w:t>
      </w:r>
      <w:r/>
    </w:p>
    <w:p>
      <w:pPr>
        <w:pStyle w:val="639"/>
        <w:spacing w:before="26" w:after="32"/>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rPr>
        <w:t xml:space="preserve">★一、清单</w:t>
      </w:r>
      <w:r/>
    </w:p>
    <w:tbl>
      <w:tblPr>
        <w:tblStyle w:val="644"/>
        <w:tblW w:w="504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41"/>
        <w:gridCol w:w="3770"/>
        <w:gridCol w:w="1442"/>
        <w:gridCol w:w="1268"/>
        <w:gridCol w:w="2123"/>
      </w:tblGrid>
      <w:tr>
        <w:trPr>
          <w:trHeight w:val="754" w:hRule="exact"/>
        </w:trPr>
        <w:tc>
          <w:tcPr>
            <w:tcW w:w="630"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914"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物品名称</w:t>
            </w:r>
            <w:r/>
          </w:p>
        </w:tc>
        <w:tc>
          <w:tcPr>
            <w:tcW w:w="732"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tcW w:w="644"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tcW w:w="1078"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54" w:hRule="exact"/>
        </w:trPr>
        <w:tc>
          <w:tcPr>
            <w:tcW w:w="630"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914" w:type="pct"/>
            <w:vAlign w:val="center"/>
            <w:textDirection w:val="lrTb"/>
            <w:noWrap w:val="false"/>
          </w:tcPr>
          <w:p>
            <w:pPr>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移动勾臂箱式垃圾压缩箱设备</w:t>
            </w:r>
            <w:r/>
          </w:p>
        </w:tc>
        <w:tc>
          <w:tcPr>
            <w:tcW w:w="732"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w:t>
            </w:r>
            <w:r/>
          </w:p>
        </w:tc>
        <w:tc>
          <w:tcPr>
            <w:tcW w:w="644"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p>
        </w:tc>
        <w:tc>
          <w:tcPr>
            <w:tcW w:w="1078" w:type="pct"/>
            <w:vAlign w:val="center"/>
            <w:textDirection w:val="lrTb"/>
            <w:noWrap w:val="false"/>
          </w:tcPr>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配置高压清洗枪</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17个</w:t>
            </w:r>
            <w:r>
              <w:rPr>
                <w:rFonts w:hint="eastAsia" w:ascii="仿宋" w:hAnsi="仿宋" w:eastAsia="仿宋" w:cs="仿宋"/>
                <w:color w:val="auto"/>
                <w:sz w:val="28"/>
                <w:szCs w:val="28"/>
                <w:highlight w:val="none"/>
                <w:lang w:eastAsia="zh-CN"/>
              </w:rPr>
              <w:t xml:space="preserve">）</w:t>
            </w:r>
            <w:r/>
          </w:p>
        </w:tc>
      </w:tr>
    </w:tbl>
    <w:p>
      <w:pPr>
        <w:pStyle w:val="639"/>
        <w:spacing w:before="0" w:after="0" w:line="360" w:lineRule="auto"/>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rPr>
        <w:t xml:space="preserve">二、技术要求</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（一）移动勾臂箱式垃圾压缩箱设备</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（1）技术参数要求</w:t>
      </w:r>
      <w:r/>
    </w:p>
    <w:tbl>
      <w:tblPr>
        <w:tblStyle w:val="967"/>
        <w:tblW w:w="502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960"/>
        <w:gridCol w:w="3349"/>
        <w:gridCol w:w="2492"/>
      </w:tblGrid>
      <w:tr>
        <w:trPr>
          <w:trHeight w:val="561"/>
        </w:trPr>
        <w:tc>
          <w:tcPr>
            <w:tcW w:w="2020"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项目</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参 数</w:t>
            </w:r>
            <w:r/>
          </w:p>
        </w:tc>
        <w:tc>
          <w:tcPr>
            <w:tcW w:w="1271" w:type="pct"/>
            <w:vAlign w:val="center"/>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7"/>
                <w:sz w:val="24"/>
                <w:highlight w:val="none"/>
                <w:lang w:val="zh-CN"/>
              </w:rPr>
              <w:t xml:space="preserve">备</w:t>
            </w:r>
            <w:r>
              <w:rPr>
                <w:rFonts w:hint="eastAsia" w:ascii="仿宋" w:hAnsi="仿宋" w:eastAsia="仿宋" w:cs="仿宋"/>
                <w:color w:val="auto"/>
                <w:spacing w:val="7"/>
                <w:sz w:val="24"/>
                <w:highlight w:val="none"/>
              </w:rPr>
              <w:t xml:space="preserve"> </w:t>
            </w:r>
            <w:r>
              <w:rPr>
                <w:rFonts w:hint="eastAsia" w:ascii="仿宋" w:hAnsi="仿宋" w:eastAsia="仿宋" w:cs="仿宋"/>
                <w:color w:val="auto"/>
                <w:spacing w:val="7"/>
                <w:sz w:val="24"/>
                <w:highlight w:val="none"/>
                <w:lang w:val="zh-CN"/>
              </w:rPr>
              <w:t xml:space="preserve">注</w:t>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外形尺寸</w:t>
            </w:r>
            <w:r>
              <w:rPr>
                <w:rFonts w:hint="eastAsia" w:ascii="仿宋" w:hAnsi="仿宋" w:eastAsia="仿宋" w:cs="仿宋"/>
                <w:color w:val="auto"/>
                <w:spacing w:val="7"/>
                <w:sz w:val="28"/>
                <w:szCs w:val="28"/>
                <w:highlight w:val="none"/>
              </w:rPr>
              <w:t xml:space="preserve">（长×宽×高）(mm)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≤5300</w:t>
            </w:r>
            <w:r>
              <w:rPr>
                <w:rFonts w:hint="eastAsia" w:ascii="仿宋" w:hAnsi="仿宋" w:eastAsia="仿宋" w:cs="仿宋"/>
                <w:color w:val="auto"/>
                <w:spacing w:val="7"/>
                <w:sz w:val="28"/>
                <w:szCs w:val="28"/>
                <w:highlight w:val="none"/>
              </w:rPr>
              <w:t xml:space="preserve">×</w:t>
            </w:r>
            <w:r>
              <w:rPr>
                <w:rFonts w:hint="eastAsia" w:ascii="仿宋" w:hAnsi="仿宋" w:eastAsia="仿宋" w:cs="仿宋"/>
                <w:color w:val="auto"/>
                <w:spacing w:val="3"/>
                <w:sz w:val="28"/>
                <w:szCs w:val="28"/>
                <w:highlight w:val="none"/>
              </w:rPr>
              <w:t xml:space="preserve">2550</w:t>
            </w:r>
            <w:r>
              <w:rPr>
                <w:rFonts w:hint="eastAsia" w:ascii="仿宋" w:hAnsi="仿宋" w:eastAsia="仿宋" w:cs="仿宋"/>
                <w:color w:val="auto"/>
                <w:spacing w:val="7"/>
                <w:sz w:val="28"/>
                <w:szCs w:val="28"/>
                <w:highlight w:val="none"/>
              </w:rPr>
              <w:t xml:space="preserve">×</w:t>
            </w:r>
            <w:r>
              <w:rPr>
                <w:rFonts w:hint="eastAsia" w:ascii="仿宋" w:hAnsi="仿宋" w:eastAsia="仿宋" w:cs="仿宋"/>
                <w:color w:val="auto"/>
                <w:spacing w:val="3"/>
                <w:sz w:val="28"/>
                <w:szCs w:val="28"/>
                <w:highlight w:val="none"/>
              </w:rPr>
              <w:t xml:space="preserve">2500</w:t>
            </w:r>
            <w:r/>
          </w:p>
        </w:tc>
        <w:tc>
          <w:tcPr>
            <w:tcW w:w="1271" w:type="pct"/>
            <w:vAlign w:val="center"/>
            <w:vMerge w:val="restart"/>
            <w:textDirection w:val="lrTb"/>
            <w:noWrap w:val="false"/>
          </w:tcPr>
          <w:p>
            <w:pPr>
              <w:keepLines w:val="0"/>
              <w:keepNext w:val="0"/>
              <w:pageBreakBefore w:val="0"/>
              <w:spacing w:before="25" w:line="360" w:lineRule="auto"/>
              <w:widowControl w:val="off"/>
              <w:rPr>
                <w:rFonts w:hint="eastAsia" w:ascii="仿宋" w:hAnsi="仿宋" w:eastAsia="仿宋" w:cs="仿宋"/>
                <w:color w:val="auto"/>
                <w:spacing w:val="7"/>
                <w:sz w:val="24"/>
                <w:highlight w:val="none"/>
                <w:lang w:eastAsia="zh-CN"/>
              </w:rPr>
            </w:pPr>
            <w:r>
              <w:rPr>
                <w:rFonts w:hint="eastAsia" w:ascii="仿宋" w:hAnsi="仿宋" w:eastAsia="仿宋" w:cs="仿宋"/>
                <w:color w:val="auto"/>
                <w:spacing w:val="7"/>
                <w:sz w:val="28"/>
                <w:szCs w:val="28"/>
                <w:highlight w:val="none"/>
              </w:rPr>
              <w:t xml:space="preserve">整机须提供通过国家认证认可的</w:t>
            </w:r>
            <w:r>
              <w:rPr>
                <w:rFonts w:hint="eastAsia" w:ascii="仿宋" w:hAnsi="仿宋" w:eastAsia="仿宋" w:cs="仿宋"/>
                <w:color w:val="auto"/>
                <w:spacing w:val="7"/>
                <w:sz w:val="28"/>
                <w:szCs w:val="28"/>
                <w:highlight w:val="none"/>
                <w:lang w:eastAsia="zh-CN"/>
              </w:rPr>
              <w:t xml:space="preserve">（</w:t>
            </w:r>
            <w:r>
              <w:rPr>
                <w:rFonts w:hint="eastAsia" w:ascii="仿宋" w:hAnsi="仿宋" w:eastAsia="仿宋" w:cs="仿宋"/>
                <w:color w:val="auto"/>
                <w:spacing w:val="7"/>
                <w:sz w:val="28"/>
                <w:szCs w:val="28"/>
                <w:highlight w:val="none"/>
              </w:rPr>
              <w:t xml:space="preserve">具有CMA</w:t>
            </w:r>
            <w:r>
              <w:rPr>
                <w:rFonts w:hint="eastAsia" w:ascii="仿宋" w:hAnsi="仿宋" w:eastAsia="仿宋" w:cs="仿宋"/>
                <w:color w:val="auto"/>
                <w:spacing w:val="7"/>
                <w:sz w:val="28"/>
                <w:szCs w:val="28"/>
                <w:highlight w:val="none"/>
                <w:lang w:val="en-US" w:eastAsia="zh-CN"/>
              </w:rPr>
              <w:t xml:space="preserve">或</w:t>
            </w:r>
            <w:r>
              <w:rPr>
                <w:rFonts w:hint="eastAsia" w:ascii="仿宋" w:hAnsi="仿宋" w:eastAsia="仿宋" w:cs="仿宋"/>
                <w:color w:val="auto"/>
                <w:spacing w:val="7"/>
                <w:sz w:val="28"/>
                <w:szCs w:val="28"/>
                <w:highlight w:val="none"/>
              </w:rPr>
              <w:t xml:space="preserve">CNAS标志</w:t>
            </w:r>
            <w:r>
              <w:rPr>
                <w:rFonts w:hint="eastAsia" w:ascii="仿宋" w:hAnsi="仿宋" w:eastAsia="仿宋" w:cs="仿宋"/>
                <w:color w:val="auto"/>
                <w:spacing w:val="7"/>
                <w:sz w:val="28"/>
                <w:szCs w:val="28"/>
                <w:highlight w:val="none"/>
                <w:lang w:eastAsia="zh-CN"/>
              </w:rPr>
              <w:t xml:space="preserve">）</w:t>
            </w:r>
            <w:r>
              <w:rPr>
                <w:rFonts w:hint="eastAsia" w:ascii="仿宋" w:hAnsi="仿宋" w:eastAsia="仿宋" w:cs="仿宋"/>
                <w:color w:val="auto"/>
                <w:spacing w:val="7"/>
                <w:sz w:val="28"/>
                <w:szCs w:val="28"/>
                <w:highlight w:val="none"/>
              </w:rPr>
              <w:t xml:space="preserve">检测机构出具的检测报告原件扫描件，以原件扫描件为准</w:t>
            </w:r>
            <w:r>
              <w:rPr>
                <w:rFonts w:hint="eastAsia" w:ascii="仿宋" w:hAnsi="仿宋" w:eastAsia="仿宋" w:cs="仿宋"/>
                <w:color w:val="auto"/>
                <w:spacing w:val="7"/>
                <w:sz w:val="28"/>
                <w:szCs w:val="28"/>
                <w:highlight w:val="none"/>
                <w:lang w:eastAsia="zh-CN"/>
              </w:rPr>
              <w:t xml:space="preserve">。</w:t>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压缩腔壁厚（mm）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压缩腔行程容积（m³）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≥1.3</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垃圾箱容积（m³）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≥12</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压缩后垃圾密度（kg/m³）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≥800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油缸的最大工作压力（MPa）</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≥26</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最大压缩力（kN）</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≥3</w:t>
            </w:r>
            <w:r>
              <w:rPr>
                <w:rFonts w:hint="eastAsia" w:ascii="仿宋" w:hAnsi="仿宋" w:eastAsia="仿宋" w:cs="仿宋"/>
                <w:color w:val="auto"/>
                <w:spacing w:val="3"/>
                <w:sz w:val="28"/>
                <w:szCs w:val="28"/>
                <w:highlight w:val="none"/>
                <w:lang w:val="en-US" w:eastAsia="zh-CN"/>
              </w:rPr>
              <w:t xml:space="preserve">0</w:t>
            </w:r>
            <w:r>
              <w:rPr>
                <w:rFonts w:hint="eastAsia" w:ascii="仿宋" w:hAnsi="仿宋" w:eastAsia="仿宋" w:cs="仿宋"/>
                <w:color w:val="auto"/>
                <w:spacing w:val="3"/>
                <w:sz w:val="28"/>
                <w:szCs w:val="28"/>
                <w:highlight w:val="none"/>
              </w:rPr>
              <w:t xml:space="preserve">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空载下电机输入功率（kw）</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≥2.8</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额定负载下电机输入功率（kw）</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辐射噪声dB（A）</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≤70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压缩循环时间（s）</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≤45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作业循环时间（min）</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≤45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压缩机生产率（t/h）</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≥24</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泵站额定功率（KW）</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系统最大压力（MPa）</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≥24</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推板总成侧板厚（mm）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5(±1)</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推板总成底板厚（mm）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1</w:t>
            </w:r>
            <w:r>
              <w:rPr>
                <w:rFonts w:hint="eastAsia" w:ascii="仿宋" w:hAnsi="仿宋" w:eastAsia="仿宋" w:cs="仿宋"/>
                <w:color w:val="auto"/>
                <w:spacing w:val="3"/>
                <w:sz w:val="28"/>
                <w:szCs w:val="28"/>
                <w:highlight w:val="none"/>
                <w:lang w:val="en-US" w:eastAsia="zh-CN"/>
              </w:rPr>
              <w:t xml:space="preserve">2</w:t>
            </w:r>
            <w:r>
              <w:rPr>
                <w:rFonts w:hint="eastAsia" w:ascii="仿宋" w:hAnsi="仿宋" w:eastAsia="仿宋" w:cs="仿宋"/>
                <w:color w:val="auto"/>
                <w:spacing w:val="3"/>
                <w:sz w:val="28"/>
                <w:szCs w:val="28"/>
                <w:highlight w:val="none"/>
              </w:rPr>
              <w:t xml:space="preserve">(±1)</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举升臂板厚（mm）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lang w:val="en-US" w:eastAsia="zh-CN"/>
              </w:rPr>
              <w:t xml:space="preserve">8</w:t>
            </w:r>
            <w:r>
              <w:rPr>
                <w:rFonts w:hint="eastAsia" w:ascii="仿宋" w:hAnsi="仿宋" w:eastAsia="仿宋" w:cs="仿宋"/>
                <w:color w:val="auto"/>
                <w:spacing w:val="3"/>
                <w:sz w:val="28"/>
                <w:szCs w:val="28"/>
                <w:highlight w:val="none"/>
              </w:rPr>
              <w:t xml:space="preserve">(±0.5)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高强度钢板压缩腔壁厚</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 xml:space="preserve">≥5mm</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高强度钢板压缩推头侧板</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 xml:space="preserve">≥5mm</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高强度钢板压缩腔底板</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 xml:space="preserve">≥8mm</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整备质量（kg）</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3"/>
                <w:sz w:val="28"/>
                <w:szCs w:val="28"/>
                <w:highlight w:val="none"/>
              </w:rPr>
              <w:t xml:space="preserve">≤5500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受料腔容积（m³）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3"/>
                <w:sz w:val="28"/>
                <w:szCs w:val="28"/>
                <w:highlight w:val="none"/>
              </w:rPr>
              <w:t xml:space="preserve">3.3(±0.2)</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bl>
    <w:p>
      <w:pPr>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（2）性能配置要求</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1.压缩机构可根据负载动态调整压缩力和压缩速度，实现空载快速运行，提升效率；负载时降低运行速度提升压缩力，对垃圾进行压缩，提升装载量；</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2.压缩机构可根据压缩进度、装载量、压缩力等参数智能选择压缩循环次数，在保障压缩质量的前提下，显著提升整体作业效率，降低设备整体能耗，实现节能降耗运行。</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3.轻量化材质料斗，降低料斗自重，料斗装载能力强，倒料方便，可对接多种前端收集车辆，如三轮车、小型拉臂勾、小吨位压缩车等，适应能力强；优化的料斗结构，保证整个上料过程垃圾不散落。</w:t>
      </w:r>
      <w:r>
        <w:rPr>
          <w:rFonts w:hint="eastAsia" w:ascii="仿宋" w:hAnsi="仿宋" w:eastAsia="仿宋" w:cs="仿宋"/>
          <w:b/>
          <w:bCs/>
          <w:color w:val="auto"/>
          <w:spacing w:val="7"/>
          <w:sz w:val="28"/>
          <w:szCs w:val="28"/>
          <w:highlight w:val="none"/>
        </w:rPr>
        <w:t xml:space="preserve">（提供设备的料斗反转示意图以及箱体装箱模拟示意图，投标时加盖公章）</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4.平压锁紧机构，从拉臂钩取力，自动操作，操作简单可靠；并且后门开启角度大，使垃圾倾倒更彻底干净。</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5</w:t>
      </w:r>
      <w:r>
        <w:rPr>
          <w:rFonts w:hint="eastAsia" w:ascii="仿宋" w:hAnsi="仿宋" w:eastAsia="仿宋" w:cs="仿宋"/>
          <w:color w:val="auto"/>
          <w:spacing w:val="7"/>
          <w:sz w:val="28"/>
          <w:szCs w:val="28"/>
          <w:highlight w:val="none"/>
        </w:rPr>
        <w:t xml:space="preserve">.连体斗举升机构，举升能力强，可举起净重1800kg的垃圾，投料效率高。 </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6</w:t>
      </w:r>
      <w:r>
        <w:rPr>
          <w:rFonts w:hint="eastAsia" w:ascii="仿宋" w:hAnsi="仿宋" w:eastAsia="仿宋" w:cs="仿宋"/>
          <w:color w:val="auto"/>
          <w:spacing w:val="7"/>
          <w:sz w:val="28"/>
          <w:szCs w:val="28"/>
          <w:highlight w:val="none"/>
        </w:rPr>
        <w:t xml:space="preserve">.箱体采用高强度钢板整体成型方形箱体，强度高、重量轻、装载量大。</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7</w:t>
      </w:r>
      <w:r>
        <w:rPr>
          <w:rFonts w:hint="eastAsia" w:ascii="仿宋" w:hAnsi="仿宋" w:eastAsia="仿宋" w:cs="仿宋"/>
          <w:color w:val="auto"/>
          <w:spacing w:val="7"/>
          <w:sz w:val="28"/>
          <w:szCs w:val="28"/>
          <w:highlight w:val="none"/>
        </w:rPr>
        <w:t xml:space="preserve">.钩心高度，后滚轮间距，导轨外宽与实际使用相匹配。（提供现场勘察图及与其匹配数据，数据与原有设备匹配，投标时加盖公章）</w:t>
      </w:r>
      <w:r/>
    </w:p>
    <w:p>
      <w:pPr>
        <w:ind w:firstLine="560"/>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lang w:val="en-US" w:eastAsia="zh-CN"/>
        </w:rPr>
        <w:t xml:space="preserve">8</w:t>
      </w:r>
      <w:r>
        <w:rPr>
          <w:rFonts w:hint="eastAsia" w:ascii="仿宋" w:hAnsi="仿宋" w:eastAsia="仿宋" w:cs="仿宋"/>
          <w:color w:val="auto"/>
          <w:spacing w:val="7"/>
          <w:sz w:val="28"/>
          <w:szCs w:val="28"/>
          <w:highlight w:val="none"/>
        </w:rPr>
        <w:t xml:space="preserve">.控制方式PLC控制可实现远程协助，控制部分电压（V）接触器AC220/阀组DC24。</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b w:val="0"/>
          <w:bCs w:val="0"/>
          <w:color w:val="auto"/>
          <w:spacing w:val="7"/>
          <w:sz w:val="28"/>
          <w:szCs w:val="28"/>
          <w:highlight w:val="none"/>
          <w:lang w:val="en-US" w:eastAsia="zh-CN"/>
        </w:rPr>
        <w:t xml:space="preserve">9</w:t>
      </w:r>
      <w:r>
        <w:rPr>
          <w:rFonts w:hint="eastAsia" w:ascii="仿宋" w:hAnsi="仿宋" w:eastAsia="仿宋" w:cs="仿宋"/>
          <w:b w:val="0"/>
          <w:bCs w:val="0"/>
          <w:color w:val="auto"/>
          <w:spacing w:val="7"/>
          <w:sz w:val="28"/>
          <w:szCs w:val="28"/>
          <w:highlight w:val="none"/>
        </w:rPr>
        <w:t xml:space="preserve">.动</w:t>
      </w:r>
      <w:r>
        <w:rPr>
          <w:rFonts w:hint="eastAsia" w:ascii="仿宋" w:hAnsi="仿宋" w:eastAsia="仿宋" w:cs="仿宋"/>
          <w:color w:val="auto"/>
          <w:spacing w:val="7"/>
          <w:sz w:val="28"/>
          <w:szCs w:val="28"/>
          <w:highlight w:val="none"/>
        </w:rPr>
        <w:t xml:space="preserve">力系统要求：采取抽拉式布置，故障维修方便，且抽屉两端设有导流风孔。压缩机头液压泵采用单泵工作形式</w:t>
      </w:r>
      <w:r>
        <w:rPr>
          <w:rFonts w:hint="eastAsia" w:ascii="仿宋" w:hAnsi="仿宋" w:eastAsia="仿宋" w:cs="仿宋"/>
          <w:b/>
          <w:bCs/>
          <w:color w:val="auto"/>
          <w:spacing w:val="7"/>
          <w:sz w:val="28"/>
          <w:szCs w:val="28"/>
          <w:highlight w:val="none"/>
        </w:rPr>
        <w:t xml:space="preserve">（提供该装置的结构示意图，投标时加盖公章）</w:t>
      </w:r>
      <w:r>
        <w:rPr>
          <w:rFonts w:hint="eastAsia" w:ascii="仿宋" w:hAnsi="仿宋" w:eastAsia="仿宋" w:cs="仿宋"/>
          <w:color w:val="auto"/>
          <w:spacing w:val="7"/>
          <w:sz w:val="28"/>
          <w:szCs w:val="28"/>
          <w:highlight w:val="none"/>
        </w:rPr>
        <w:br/>
      </w:r>
      <w:r>
        <w:rPr>
          <w:rFonts w:hint="eastAsia" w:ascii="仿宋" w:hAnsi="仿宋" w:eastAsia="仿宋" w:cs="仿宋"/>
          <w:color w:val="auto"/>
          <w:spacing w:val="7"/>
          <w:sz w:val="28"/>
          <w:szCs w:val="28"/>
          <w:highlight w:val="none"/>
        </w:rPr>
        <w:t xml:space="preserve">    1</w:t>
      </w:r>
      <w:r>
        <w:rPr>
          <w:rFonts w:hint="eastAsia" w:ascii="仿宋" w:hAnsi="仿宋" w:eastAsia="仿宋" w:cs="仿宋"/>
          <w:color w:val="auto"/>
          <w:spacing w:val="7"/>
          <w:sz w:val="28"/>
          <w:szCs w:val="28"/>
          <w:highlight w:val="none"/>
          <w:lang w:val="en-US" w:eastAsia="zh-CN"/>
        </w:rPr>
        <w:t xml:space="preserve">0</w:t>
      </w:r>
      <w:r>
        <w:rPr>
          <w:rFonts w:hint="eastAsia" w:ascii="仿宋" w:hAnsi="仿宋" w:eastAsia="仿宋" w:cs="仿宋"/>
          <w:color w:val="auto"/>
          <w:spacing w:val="7"/>
          <w:sz w:val="28"/>
          <w:szCs w:val="28"/>
          <w:highlight w:val="none"/>
        </w:rPr>
        <w:t xml:space="preserve">.液压系统有散热装置；</w:t>
      </w:r>
      <w:r>
        <w:rPr>
          <w:rFonts w:hint="eastAsia" w:ascii="仿宋" w:hAnsi="仿宋" w:eastAsia="仿宋" w:cs="仿宋"/>
          <w:b/>
          <w:bCs/>
          <w:color w:val="auto"/>
          <w:spacing w:val="7"/>
          <w:sz w:val="28"/>
          <w:szCs w:val="28"/>
          <w:highlight w:val="none"/>
        </w:rPr>
        <w:t xml:space="preserve">（提供该装置的结构示意图，投标时加盖公章）</w:t>
      </w:r>
      <w:r/>
    </w:p>
    <w:p>
      <w:pPr>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  ▲1</w:t>
      </w:r>
      <w:r>
        <w:rPr>
          <w:rFonts w:hint="eastAsia" w:ascii="仿宋" w:hAnsi="仿宋" w:eastAsia="仿宋" w:cs="仿宋"/>
          <w:color w:val="auto"/>
          <w:spacing w:val="7"/>
          <w:sz w:val="28"/>
          <w:szCs w:val="28"/>
          <w:highlight w:val="none"/>
          <w:lang w:val="en-US" w:eastAsia="zh-CN"/>
        </w:rPr>
        <w:t xml:space="preserve">1</w:t>
      </w:r>
      <w:r>
        <w:rPr>
          <w:rFonts w:hint="eastAsia" w:ascii="仿宋" w:hAnsi="仿宋" w:eastAsia="仿宋" w:cs="仿宋"/>
          <w:color w:val="auto"/>
          <w:spacing w:val="7"/>
          <w:sz w:val="28"/>
          <w:szCs w:val="28"/>
          <w:highlight w:val="none"/>
        </w:rPr>
        <w:t xml:space="preserve">.电气系统要求：智能程序控制模块、液晶面板可视操作、故障显示报警、工作状态参数自动显示；具有负载自适应功能，节能效率高。实现装载量按10%步进分段指示（10%、20%、30%...90%）及满载警示功能；具有紧急停机功能；具有压缩头强制回退功能。</w:t>
      </w:r>
      <w:r>
        <w:rPr>
          <w:rFonts w:hint="eastAsia" w:ascii="仿宋" w:hAnsi="仿宋" w:eastAsia="仿宋" w:cs="仿宋"/>
          <w:color w:val="auto"/>
          <w:spacing w:val="7"/>
          <w:sz w:val="28"/>
          <w:szCs w:val="28"/>
          <w:highlight w:val="none"/>
        </w:rPr>
        <w:br/>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2</w:t>
      </w:r>
      <w:r>
        <w:rPr>
          <w:rFonts w:hint="eastAsia" w:ascii="仿宋" w:hAnsi="仿宋" w:eastAsia="仿宋" w:cs="仿宋"/>
          <w:color w:val="auto"/>
          <w:spacing w:val="7"/>
          <w:sz w:val="28"/>
          <w:szCs w:val="28"/>
          <w:highlight w:val="none"/>
        </w:rPr>
        <w:t xml:space="preserve">.垃圾集装箱压缩腔前部、箱体后部两侧各设1个排污口，前端设置清理口。</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3</w:t>
      </w:r>
      <w:r>
        <w:rPr>
          <w:rFonts w:hint="eastAsia" w:ascii="仿宋" w:hAnsi="仿宋" w:eastAsia="仿宋" w:cs="仿宋"/>
          <w:color w:val="auto"/>
          <w:spacing w:val="7"/>
          <w:sz w:val="28"/>
          <w:szCs w:val="28"/>
          <w:highlight w:val="none"/>
        </w:rPr>
        <w:t xml:space="preserve">.箱体采用方形箱体，利于垃圾在箱体内移动并充分填满箱体。后门采用双侧对称四点机构，可以保证后门的密封效果，避免污水从后门泄漏。</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4</w:t>
      </w:r>
      <w:r>
        <w:rPr>
          <w:rFonts w:hint="eastAsia" w:ascii="仿宋" w:hAnsi="仿宋" w:eastAsia="仿宋" w:cs="仿宋"/>
          <w:color w:val="auto"/>
          <w:spacing w:val="7"/>
          <w:sz w:val="28"/>
          <w:szCs w:val="28"/>
          <w:highlight w:val="none"/>
        </w:rPr>
        <w:t xml:space="preserve">.后门密封条，保证后门密封，防止在压缩过程中污水泄漏，造成二次污染。</w:t>
      </w:r>
      <w:r/>
    </w:p>
    <w:p>
      <w:pPr>
        <w:ind w:firstLine="294"/>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5</w:t>
      </w:r>
      <w:r>
        <w:rPr>
          <w:rFonts w:hint="eastAsia" w:ascii="仿宋" w:hAnsi="仿宋" w:eastAsia="仿宋" w:cs="仿宋"/>
          <w:color w:val="auto"/>
          <w:spacing w:val="7"/>
          <w:sz w:val="28"/>
          <w:szCs w:val="28"/>
          <w:highlight w:val="none"/>
        </w:rPr>
        <w:t xml:space="preserve">.推头盖板采用分层渐进式，多层盖板安装在导向滑块内，可随推头伸缩，有减少推头的安装空间，同时防止垃圾落入下部推头油缸上，影响推头运动。</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6</w:t>
      </w:r>
      <w:r>
        <w:rPr>
          <w:rFonts w:hint="eastAsia" w:ascii="仿宋" w:hAnsi="仿宋" w:eastAsia="仿宋" w:cs="仿宋"/>
          <w:color w:val="auto"/>
          <w:spacing w:val="7"/>
          <w:sz w:val="28"/>
          <w:szCs w:val="28"/>
          <w:highlight w:val="none"/>
        </w:rPr>
        <w:t xml:space="preserve">.推头压缩采用负载感应技术，根据负载变化动态调整推头压缩力，实现空载低压跑、负载高压慢跑，提升压缩效率及装载量。</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7</w:t>
      </w:r>
      <w:r>
        <w:rPr>
          <w:rFonts w:hint="eastAsia" w:ascii="仿宋" w:hAnsi="仿宋" w:eastAsia="仿宋" w:cs="仿宋"/>
          <w:color w:val="auto"/>
          <w:spacing w:val="7"/>
          <w:sz w:val="28"/>
          <w:szCs w:val="28"/>
          <w:highlight w:val="none"/>
        </w:rPr>
        <w:t xml:space="preserve">.后门要求：整体采用整板焊接，美观大方。</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8</w:t>
      </w:r>
      <w:r>
        <w:rPr>
          <w:rFonts w:hint="eastAsia" w:ascii="仿宋" w:hAnsi="仿宋" w:eastAsia="仿宋" w:cs="仿宋"/>
          <w:color w:val="auto"/>
          <w:spacing w:val="7"/>
          <w:sz w:val="28"/>
          <w:szCs w:val="28"/>
          <w:highlight w:val="none"/>
        </w:rPr>
        <w:t xml:space="preserve">.料斗举升装置：设备的料斗采用连体式结构，放下时用于收集车倒料，盖起时为压缩腔上盖子，料斗内衬板采用304不锈钢材质。</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19</w:t>
      </w:r>
      <w:r>
        <w:rPr>
          <w:rFonts w:hint="eastAsia" w:ascii="仿宋" w:hAnsi="仿宋" w:eastAsia="仿宋" w:cs="仿宋"/>
          <w:color w:val="auto"/>
          <w:spacing w:val="7"/>
          <w:sz w:val="28"/>
          <w:szCs w:val="28"/>
          <w:highlight w:val="none"/>
        </w:rPr>
        <w:t xml:space="preserve">.压缩腔要求：压缩腔侧板、底板，推头为关键零件，屈服强度≥455Mpa；</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0</w:t>
      </w:r>
      <w:r>
        <w:rPr>
          <w:rFonts w:hint="eastAsia" w:ascii="仿宋" w:hAnsi="仿宋" w:eastAsia="仿宋" w:cs="仿宋"/>
          <w:color w:val="auto"/>
          <w:spacing w:val="7"/>
          <w:sz w:val="28"/>
          <w:szCs w:val="28"/>
          <w:highlight w:val="none"/>
        </w:rPr>
        <w:t xml:space="preserve">.推头底板采用整体板材设计，免维护。</w:t>
      </w:r>
      <w:r/>
    </w:p>
    <w:p>
      <w:pPr>
        <w:ind w:firstLine="588"/>
        <w:jc w:val="left"/>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1</w:t>
      </w:r>
      <w:r>
        <w:rPr>
          <w:rFonts w:hint="eastAsia" w:ascii="仿宋" w:hAnsi="仿宋" w:eastAsia="仿宋" w:cs="仿宋"/>
          <w:color w:val="auto"/>
          <w:spacing w:val="7"/>
          <w:sz w:val="28"/>
          <w:szCs w:val="28"/>
          <w:highlight w:val="none"/>
        </w:rPr>
        <w:t xml:space="preserve">.设备制造工艺：设备采用先进的制造工艺，主要零件采用工装制造。</w:t>
      </w:r>
      <w:r/>
    </w:p>
    <w:p>
      <w:pPr>
        <w:ind w:firstLine="588"/>
        <w:jc w:val="left"/>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2</w:t>
      </w:r>
      <w:r>
        <w:rPr>
          <w:rFonts w:hint="eastAsia" w:ascii="仿宋" w:hAnsi="仿宋" w:eastAsia="仿宋" w:cs="仿宋"/>
          <w:color w:val="auto"/>
          <w:spacing w:val="7"/>
          <w:sz w:val="28"/>
          <w:szCs w:val="28"/>
          <w:highlight w:val="none"/>
        </w:rPr>
        <w:t xml:space="preserve">.压缩头、压缩腔等关键部位均使用高强度、耐磨、耐腐蚀钢板制造而成，压缩头与压缩腔采用无导轨设计，四周间隙小，可有效防止垃圾滞留在机体内。</w:t>
      </w:r>
      <w:bookmarkStart w:id="37" w:name="_Toc192766789"/>
      <w:r>
        <w:rPr>
          <w:rFonts w:hint="eastAsia" w:ascii="仿宋" w:hAnsi="仿宋" w:eastAsia="仿宋" w:cs="仿宋"/>
          <w:b/>
          <w:bCs/>
          <w:color w:val="auto"/>
          <w:spacing w:val="7"/>
          <w:sz w:val="28"/>
          <w:szCs w:val="28"/>
          <w:highlight w:val="none"/>
        </w:rPr>
        <w:t xml:space="preserve">（提供压缩机构的结构示意图，投标时加盖公章）</w:t>
      </w:r>
      <w:bookmarkEnd w:id="37"/>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3</w:t>
      </w:r>
      <w:r>
        <w:rPr>
          <w:rFonts w:hint="eastAsia" w:ascii="仿宋" w:hAnsi="仿宋" w:eastAsia="仿宋" w:cs="仿宋"/>
          <w:color w:val="auto"/>
          <w:spacing w:val="7"/>
          <w:sz w:val="28"/>
          <w:szCs w:val="28"/>
          <w:highlight w:val="none"/>
        </w:rPr>
        <w:t xml:space="preserve">.后门锁紧采用液压油缸锁紧机构，从拉臂车取动力，自动操作，操作简单可靠。</w:t>
      </w:r>
      <w:r>
        <w:rPr>
          <w:rFonts w:hint="eastAsia" w:ascii="仿宋" w:hAnsi="仿宋" w:eastAsia="仿宋" w:cs="仿宋"/>
          <w:b/>
          <w:bCs/>
          <w:color w:val="auto"/>
          <w:spacing w:val="7"/>
          <w:sz w:val="28"/>
          <w:szCs w:val="28"/>
          <w:highlight w:val="none"/>
        </w:rPr>
        <w:t xml:space="preserve">（提供后门锁紧装置的结构示意图，投标时加盖公章）</w:t>
      </w:r>
      <w:r/>
    </w:p>
    <w:p>
      <w:pPr>
        <w:ind w:firstLine="280"/>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4</w:t>
      </w:r>
      <w:r>
        <w:rPr>
          <w:rFonts w:hint="eastAsia" w:ascii="仿宋" w:hAnsi="仿宋" w:eastAsia="仿宋" w:cs="仿宋"/>
          <w:color w:val="auto"/>
          <w:spacing w:val="7"/>
          <w:sz w:val="28"/>
          <w:szCs w:val="28"/>
          <w:highlight w:val="none"/>
        </w:rPr>
        <w:t xml:space="preserve">.控制箱面板上安装有4寸触摸屏、换相开关、遥控钥匙开关、启动按钮、强退旋钮、急停按钮等器件。触摸屏能够实时监控动力系统的工作状态，通过更改参数设置可以更改动力系统的运行状态。同时通过触摸屏上的按钮可以控制主机运行。</w:t>
      </w:r>
      <w:r>
        <w:rPr>
          <w:rFonts w:hint="eastAsia" w:ascii="仿宋" w:hAnsi="仿宋" w:eastAsia="仿宋" w:cs="仿宋"/>
          <w:b/>
          <w:bCs/>
          <w:color w:val="auto"/>
          <w:spacing w:val="7"/>
          <w:sz w:val="28"/>
          <w:szCs w:val="28"/>
          <w:highlight w:val="none"/>
        </w:rPr>
        <w:t xml:space="preserve">（提供控制箱面板的设计效果图或结构示意图，投标时加盖公章）</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5</w:t>
      </w:r>
      <w:r>
        <w:rPr>
          <w:rFonts w:hint="eastAsia" w:ascii="仿宋" w:hAnsi="仿宋" w:eastAsia="仿宋" w:cs="仿宋"/>
          <w:color w:val="auto"/>
          <w:spacing w:val="7"/>
          <w:sz w:val="28"/>
          <w:szCs w:val="28"/>
          <w:highlight w:val="none"/>
        </w:rPr>
        <w:t xml:space="preserve">.移动式压缩设备为了更好的对垃圾达到破坏性效果，使垃圾压缩密度更高，压缩机推头需采用W形式或其他等效形式。</w:t>
      </w:r>
      <w:r>
        <w:rPr>
          <w:rFonts w:hint="eastAsia" w:ascii="仿宋" w:hAnsi="仿宋" w:eastAsia="仿宋" w:cs="仿宋"/>
          <w:b/>
          <w:bCs/>
          <w:color w:val="auto"/>
          <w:spacing w:val="7"/>
          <w:sz w:val="28"/>
          <w:szCs w:val="28"/>
          <w:highlight w:val="none"/>
        </w:rPr>
        <w:t xml:space="preserve">（提供推头的结构示意图，投标时加盖公章）</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6</w:t>
      </w:r>
      <w:r>
        <w:rPr>
          <w:rFonts w:hint="eastAsia" w:ascii="仿宋" w:hAnsi="仿宋" w:eastAsia="仿宋" w:cs="仿宋"/>
          <w:color w:val="auto"/>
          <w:spacing w:val="7"/>
          <w:sz w:val="28"/>
          <w:szCs w:val="28"/>
          <w:highlight w:val="none"/>
        </w:rPr>
        <w:t xml:space="preserve">.移动式压缩机后门，锁紧钩需使用独立的液压锁紧机构，保障后门污水不渗漏，不形成二次污染。</w:t>
      </w:r>
      <w:r>
        <w:rPr>
          <w:rFonts w:hint="eastAsia" w:ascii="仿宋" w:hAnsi="仿宋" w:eastAsia="仿宋" w:cs="仿宋"/>
          <w:b/>
          <w:bCs/>
          <w:color w:val="auto"/>
          <w:spacing w:val="7"/>
          <w:sz w:val="28"/>
          <w:szCs w:val="28"/>
          <w:highlight w:val="none"/>
        </w:rPr>
        <w:t xml:space="preserve">（提供后门锁紧机构的结构示意图，投标时加盖公章）</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7</w:t>
      </w:r>
      <w:r>
        <w:rPr>
          <w:rFonts w:hint="eastAsia" w:ascii="仿宋" w:hAnsi="仿宋" w:eastAsia="仿宋" w:cs="仿宋"/>
          <w:color w:val="auto"/>
          <w:spacing w:val="7"/>
          <w:sz w:val="28"/>
          <w:szCs w:val="28"/>
          <w:highlight w:val="none"/>
        </w:rPr>
        <w:t xml:space="preserve">.压缩机推头采用多级可伸缩式结构，推头盖板两侧轨道对到采用尼龙材质，减少推头盖板与轨道磨损，延长使用寿命。</w:t>
      </w:r>
      <w:r>
        <w:rPr>
          <w:rFonts w:hint="eastAsia" w:ascii="仿宋" w:hAnsi="仿宋" w:eastAsia="仿宋" w:cs="仿宋"/>
          <w:b/>
          <w:bCs/>
          <w:color w:val="auto"/>
          <w:spacing w:val="7"/>
          <w:sz w:val="28"/>
          <w:szCs w:val="28"/>
          <w:highlight w:val="none"/>
        </w:rPr>
        <w:t xml:space="preserve">（提供推头的结构示意图，投标时加盖公章）</w:t>
      </w:r>
      <w:r/>
    </w:p>
    <w:p>
      <w:pPr>
        <w:pStyle w:val="652"/>
        <w:ind w:firstLine="588"/>
        <w:keepLines w:val="0"/>
        <w:keepNext w:val="0"/>
        <w:pageBreakBefore w:val="0"/>
        <w:spacing w:line="336" w:lineRule="auto"/>
        <w:widowControl w:val="off"/>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8</w:t>
      </w:r>
      <w:r>
        <w:rPr>
          <w:rFonts w:hint="eastAsia" w:ascii="仿宋" w:hAnsi="仿宋" w:eastAsia="仿宋" w:cs="仿宋"/>
          <w:color w:val="auto"/>
          <w:spacing w:val="7"/>
          <w:sz w:val="28"/>
          <w:szCs w:val="28"/>
          <w:highlight w:val="none"/>
        </w:rPr>
        <w:t xml:space="preserve">.垃圾箱体前侧设置检修门，检修门的锁紧方式需采用拧紧手轮式锁紧方式。</w:t>
      </w:r>
      <w:r>
        <w:rPr>
          <w:rFonts w:hint="eastAsia" w:ascii="仿宋" w:hAnsi="仿宋" w:eastAsia="仿宋" w:cs="仿宋"/>
          <w:b/>
          <w:bCs/>
          <w:color w:val="auto"/>
          <w:spacing w:val="7"/>
          <w:sz w:val="28"/>
          <w:szCs w:val="28"/>
          <w:highlight w:val="none"/>
        </w:rPr>
        <w:t xml:space="preserve">（提供检修门的结构示意图，投标时加盖公章）</w:t>
      </w:r>
      <w:r/>
    </w:p>
    <w:p>
      <w:pPr>
        <w:keepLines w:val="0"/>
        <w:keepNext w:val="0"/>
        <w:pageBreakBefore w:val="0"/>
        <w:spacing w:line="336" w:lineRule="auto"/>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三、质保及售后服务要求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1</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质量保证期</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lang w:val="zh-TW"/>
        </w:rPr>
      </w:pPr>
      <w:r>
        <w:rPr>
          <w:rFonts w:hint="eastAsia" w:ascii="仿宋" w:hAnsi="仿宋" w:eastAsia="仿宋" w:cs="仿宋"/>
          <w:bCs/>
          <w:color w:val="auto"/>
          <w:sz w:val="28"/>
          <w:szCs w:val="28"/>
          <w:highlight w:val="none"/>
        </w:rPr>
        <w:t xml:space="preserve">★（1）</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提供的产品免费质保期不低于</w:t>
      </w:r>
      <w:r>
        <w:rPr>
          <w:rFonts w:hint="eastAsia" w:ascii="仿宋" w:hAnsi="仿宋" w:eastAsia="仿宋" w:cs="仿宋"/>
          <w:bCs/>
          <w:color w:val="auto"/>
          <w:sz w:val="28"/>
          <w:szCs w:val="28"/>
          <w:highlight w:val="none"/>
          <w:lang w:eastAsia="zh-CN"/>
        </w:rPr>
        <w:t xml:space="preserve">三</w:t>
      </w:r>
      <w:r>
        <w:rPr>
          <w:rFonts w:hint="eastAsia" w:ascii="仿宋" w:hAnsi="仿宋" w:eastAsia="仿宋" w:cs="仿宋"/>
          <w:bCs/>
          <w:color w:val="auto"/>
          <w:sz w:val="28"/>
          <w:szCs w:val="28"/>
          <w:highlight w:val="none"/>
        </w:rPr>
        <w:t xml:space="preserve">年（质量保质期开始时间为项目验收合格之日起计算），在非人为损坏的情况下，如发生质量问题，均由中标供应商承担。</w:t>
      </w:r>
      <w:r>
        <w:rPr>
          <w:rFonts w:hint="eastAsia" w:ascii="仿宋" w:hAnsi="仿宋" w:eastAsia="仿宋" w:cs="仿宋"/>
          <w:bCs/>
          <w:color w:val="auto"/>
          <w:sz w:val="28"/>
          <w:szCs w:val="28"/>
          <w:highlight w:val="none"/>
          <w:lang w:val="zh-TW"/>
        </w:rPr>
        <w:t xml:space="preserve">质保期内免费提供正常使用的易损件和备件。</w:t>
      </w:r>
      <w:r/>
    </w:p>
    <w:p>
      <w:pPr>
        <w:numPr>
          <w:ilvl w:val="0"/>
          <w:numId w:val="0"/>
        </w:numPr>
        <w:ind w:firstLine="560"/>
        <w:keepLines w:val="0"/>
        <w:keepNext w:val="0"/>
        <w:pageBreakBefore w:val="0"/>
        <w:spacing w:line="336" w:lineRule="auto"/>
        <w:widowControl w:val="off"/>
        <w:tabs>
          <w:tab w:val="left" w:pos="180" w:leader="none"/>
        </w:tabs>
        <w:rPr>
          <w:rFonts w:hint="eastAsia" w:ascii="仿宋" w:hAnsi="仿宋" w:eastAsia="仿宋" w:cs="仿宋"/>
          <w:b/>
          <w:bCs w:val="0"/>
          <w:color w:val="auto"/>
          <w:sz w:val="28"/>
          <w:szCs w:val="28"/>
          <w:highlight w:val="none"/>
          <w:lang w:eastAsia="zh-CN"/>
        </w:rPr>
      </w:pPr>
      <w:r>
        <w:rPr>
          <w:rFonts w:hint="eastAsia" w:ascii="仿宋" w:hAnsi="仿宋" w:eastAsia="仿宋" w:cs="仿宋"/>
          <w:bCs/>
          <w:color w:val="auto"/>
          <w:sz w:val="28"/>
          <w:szCs w:val="28"/>
          <w:highlight w:val="none"/>
          <w:lang w:val="en-US" w:eastAsia="zh-CN" w:bidi="ar-SA"/>
        </w:rPr>
        <w:t xml:space="preserve">★（2）</w:t>
      </w:r>
      <w:r>
        <w:rPr>
          <w:rFonts w:hint="eastAsia" w:ascii="仿宋" w:hAnsi="仿宋" w:eastAsia="仿宋" w:cs="仿宋"/>
          <w:bCs/>
          <w:color w:val="auto"/>
          <w:sz w:val="28"/>
          <w:szCs w:val="28"/>
          <w:highlight w:val="none"/>
        </w:rPr>
        <w:t xml:space="preserve">投标人所投产品须为全新未使用过的原装合格产品。</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rPr>
        <w:t xml:space="preserve">投标人须提供书面承诺函</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rPr>
        <w:t xml:space="preserve">格式自拟</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并</w:t>
      </w:r>
      <w:r>
        <w:rPr>
          <w:rFonts w:hint="default" w:ascii="仿宋" w:hAnsi="仿宋" w:eastAsia="仿宋" w:cs="仿宋"/>
          <w:b/>
          <w:bCs w:val="0"/>
          <w:color w:val="auto"/>
          <w:sz w:val="28"/>
          <w:szCs w:val="28"/>
          <w:highlight w:val="none"/>
        </w:rPr>
        <w:t xml:space="preserve">加盖投标人电子签章</w:t>
      </w:r>
      <w:r>
        <w:rPr>
          <w:rFonts w:hint="eastAsia" w:ascii="仿宋" w:hAnsi="仿宋" w:eastAsia="仿宋" w:cs="仿宋"/>
          <w:b/>
          <w:bCs w:val="0"/>
          <w:color w:val="auto"/>
          <w:sz w:val="28"/>
          <w:szCs w:val="28"/>
          <w:highlight w:val="none"/>
          <w:lang w:val="en-US" w:eastAsia="zh-CN"/>
        </w:rPr>
        <w:t xml:space="preserve">及法定代表人签字并盖章</w:t>
      </w:r>
      <w:r>
        <w:rPr>
          <w:rFonts w:hint="default" w:ascii="仿宋" w:hAnsi="仿宋" w:eastAsia="仿宋" w:cs="仿宋"/>
          <w:b/>
          <w:bCs w:val="0"/>
          <w:color w:val="auto"/>
          <w:sz w:val="28"/>
          <w:szCs w:val="28"/>
          <w:highlight w:val="none"/>
        </w:rPr>
        <w:t xml:space="preserve">上传至电子投标文件</w:t>
      </w:r>
      <w:r>
        <w:rPr>
          <w:rFonts w:hint="eastAsia" w:ascii="仿宋" w:hAnsi="仿宋" w:eastAsia="仿宋" w:cs="仿宋"/>
          <w:b/>
          <w:bCs w:val="0"/>
          <w:color w:val="auto"/>
          <w:sz w:val="28"/>
          <w:szCs w:val="28"/>
          <w:highlight w:val="none"/>
          <w:lang w:eastAsia="zh-CN"/>
        </w:rPr>
        <w:t xml:space="preserve">】</w:t>
      </w:r>
      <w:r/>
    </w:p>
    <w:p>
      <w:pPr>
        <w:numPr>
          <w:ilvl w:val="0"/>
          <w:numId w:val="0"/>
        </w:num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）投标产品属于国家规定“三包”范围的，其产品质量保证期不得低于“三包”规定。</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的质量保证期承诺优于国家“三包”规定的，按</w:t>
      </w:r>
      <w:r>
        <w:rPr>
          <w:rFonts w:hint="eastAsia" w:ascii="仿宋" w:hAnsi="仿宋" w:eastAsia="仿宋" w:cs="仿宋"/>
          <w:color w:val="auto"/>
          <w:sz w:val="28"/>
          <w:szCs w:val="28"/>
          <w:highlight w:val="none"/>
        </w:rPr>
        <w:t xml:space="preserve">投标供应商</w:t>
      </w:r>
      <w:r>
        <w:rPr>
          <w:rFonts w:hint="eastAsia" w:ascii="仿宋" w:hAnsi="仿宋" w:eastAsia="仿宋" w:cs="仿宋"/>
          <w:bCs/>
          <w:color w:val="auto"/>
          <w:sz w:val="28"/>
          <w:szCs w:val="28"/>
          <w:highlight w:val="none"/>
        </w:rPr>
        <w:t xml:space="preserve">实际承诺执行。</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）投标产品由制造商（指产品生产制造商，或其负责销售、售后服务机构）负责标准售后服务的，应当在投标文件中予以明确说明</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并附制造商售后服务承诺。</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售后服务内容</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color w:val="auto"/>
          <w:sz w:val="28"/>
          <w:szCs w:val="28"/>
          <w:highlight w:val="none"/>
        </w:rPr>
        <w:t xml:space="preserve">投标供应商</w:t>
      </w:r>
      <w:r>
        <w:rPr>
          <w:rFonts w:hint="eastAsia" w:ascii="仿宋" w:hAnsi="仿宋" w:eastAsia="仿宋" w:cs="仿宋"/>
          <w:bCs/>
          <w:color w:val="auto"/>
          <w:sz w:val="28"/>
          <w:szCs w:val="28"/>
          <w:highlight w:val="none"/>
        </w:rPr>
        <w:t xml:space="preserve">应具备完善的售后服务体系，有固定的维修人员并有能力及时处理所有可能发生的故障。</w:t>
      </w:r>
      <w:r>
        <w:rPr>
          <w:rFonts w:hint="eastAsia" w:ascii="仿宋" w:hAnsi="仿宋" w:eastAsia="仿宋" w:cs="仿宋"/>
          <w:color w:val="auto"/>
          <w:sz w:val="28"/>
          <w:szCs w:val="28"/>
          <w:highlight w:val="none"/>
        </w:rPr>
        <w:t xml:space="preserve">投标供应商</w:t>
      </w:r>
      <w:r>
        <w:rPr>
          <w:rFonts w:hint="eastAsia" w:ascii="仿宋" w:hAnsi="仿宋" w:eastAsia="仿宋" w:cs="仿宋"/>
          <w:bCs/>
          <w:color w:val="auto"/>
          <w:sz w:val="28"/>
          <w:szCs w:val="28"/>
          <w:highlight w:val="none"/>
        </w:rPr>
        <w:t xml:space="preserve">在质量保证期内应当为采购人提供以下技术支持和服务：</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1）电话咨询</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应当为采购人提供技术支持电话，解答采购人在使用中遇到的问题，及时为采购人提出解决问题的建议。</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2）现场响应</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采购人遇到使用及技术问题，电话咨询不能解决的，中标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应按照投标文件中承诺时间到达现场后立即进行处理，免费予以排除故障、修复或更换零部件，确保产品正常工作；无法在到达现场24小时内解决的，应在72小时内提供备用产品，使采购人能够正常使用。</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3）其他服务要求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在质保期内中标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应向采购人免费提供配件、上门维修服务以及一年不低于两次的常规检查，同时参照产品包装内生产厂商保修承诺，且以对采购人最优承诺为准。</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（2）质保期过后服务要求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1）质量保证期过后，</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bCs/>
          <w:color w:val="auto"/>
          <w:sz w:val="28"/>
          <w:szCs w:val="28"/>
          <w:highlight w:val="none"/>
        </w:rPr>
        <w:t xml:space="preserve">应同样提供免费电话咨询服务，并应承诺提供产品上门维护服务。</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（四）交付要求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负责将所有设备运到采购人指定地点，由</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负责办理运输、装卸、安装调试等，费用由</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负责，由采购人组织验收，检验不合格或不符合质量要求，</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除无条件退货、返工外，还应承担采购人的一切损失。</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（五）项目验收</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所供应的设备必须是原装出厂的、全新的、包装完好，外观无瑕疵、配件齐全、结构无松动，各项技术指标完全符合招标清单技术要求、符合国家有关质量检测、环保标准。根据投标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在投标文件中所制订的项目验收方案进行验收，确保货物设备及项目达到招标文件及投标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各项承诺要求并通过市场监督管理局等行业主管部门许可及验收。验收费用由中标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承担。因中标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交付的货物不符合标准导致重复支出的验收费用，由中标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承担。采购人有权委托第三方检测机构对设备质量进行抽检；抽检不合格的，中标人应无条件换货并承担由此造成的一切损失</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 </w:t>
      </w:r>
      <w:r/>
    </w:p>
    <w:p>
      <w:pPr>
        <w:keepLines w:val="0"/>
        <w:keepNext w:val="0"/>
        <w:pageBreakBefore w:val="0"/>
        <w:spacing w:line="336"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四、商务部分</w:t>
      </w:r>
      <w:r/>
    </w:p>
    <w:p>
      <w:pPr>
        <w:ind w:firstLine="560"/>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供货时间</w:t>
      </w:r>
      <w:r>
        <w:rPr>
          <w:rFonts w:hint="eastAsia" w:ascii="仿宋" w:hAnsi="仿宋" w:eastAsia="仿宋" w:cs="仿宋"/>
          <w:color w:val="auto"/>
          <w:sz w:val="28"/>
          <w:szCs w:val="28"/>
          <w:highlight w:val="none"/>
          <w:lang w:eastAsia="zh-CN"/>
        </w:rPr>
        <w:t xml:space="preserve">：</w:t>
      </w:r>
      <w:r>
        <w:rPr>
          <w:rFonts w:hint="eastAsia" w:ascii="仿宋" w:hAnsi="仿宋" w:eastAsia="仿宋"/>
          <w:color w:val="auto"/>
          <w:sz w:val="28"/>
          <w:szCs w:val="28"/>
          <w:highlight w:val="none"/>
        </w:rPr>
        <w:t xml:space="preserve">合同签订后，中标人接到采购人分批供货通知之日起 7</w:t>
      </w:r>
      <w:r>
        <w:rPr>
          <w:rFonts w:hint="eastAsia" w:ascii="仿宋" w:hAnsi="仿宋" w:eastAsia="仿宋"/>
          <w:color w:val="auto"/>
          <w:sz w:val="28"/>
          <w:szCs w:val="28"/>
          <w:highlight w:val="none"/>
          <w:lang w:val="en-US" w:eastAsia="zh-CN"/>
        </w:rPr>
        <w:t xml:space="preserve">日</w:t>
      </w:r>
      <w:r>
        <w:rPr>
          <w:rFonts w:hint="eastAsia" w:ascii="仿宋" w:hAnsi="仿宋" w:eastAsia="仿宋"/>
          <w:color w:val="auto"/>
          <w:sz w:val="28"/>
          <w:szCs w:val="28"/>
          <w:highlight w:val="none"/>
        </w:rPr>
        <w:t xml:space="preserve">内，完成该批次货物的供货、安装、调试并交付采购人使用。具体批次及每批次供货数量以采购人通知为准。中标人可在投标文件中就交货期限提出合理化建议，经采购人同意后可另行协商。</w:t>
      </w:r>
      <w:r/>
    </w:p>
    <w:p>
      <w:pPr>
        <w:ind w:firstLine="560"/>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供货地点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由采购人指定。</w:t>
      </w:r>
      <w:r/>
    </w:p>
    <w:p>
      <w:pPr>
        <w:pStyle w:val="652"/>
        <w:ind w:firstLine="560"/>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付款方式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分批次完成设备安装验收，每批次验收合格后，依据合格台数一次性付清该批次货款。</w:t>
      </w:r>
      <w:r/>
    </w:p>
    <w:p>
      <w:pPr>
        <w:pStyle w:val="652"/>
        <w:ind w:firstLine="560"/>
        <w:keepLines w:val="0"/>
        <w:keepNext w:val="0"/>
        <w:pageBreakBefore w:val="0"/>
        <w:spacing w:line="336" w:lineRule="auto"/>
        <w:widowControl w:val="off"/>
        <w:rPr>
          <w:rFonts w:hint="eastAsia" w:ascii="仿宋" w:hAnsi="仿宋" w:eastAsia="仿宋" w:cs="仿宋"/>
          <w:b/>
          <w:bCs/>
          <w:color w:val="auto"/>
          <w:spacing w:val="7"/>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br w:type="page" w:clear="all"/>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第六章  投标文件</w:t>
      </w:r>
      <w:r/>
    </w:p>
    <w:p>
      <w:pPr>
        <w:pStyle w:val="878"/>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78"/>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rPr>
          <w:rFonts w:hint="eastAsia" w:ascii="黑体" w:hAnsi="黑体" w:eastAsia="黑体"/>
          <w:b/>
          <w:bCs/>
          <w:color w:val="auto"/>
          <w:sz w:val="36"/>
          <w:highlight w:val="none"/>
          <w:lang w:eastAsia="zh-CN"/>
        </w:rPr>
        <w:t xml:space="preserve">：</w:t>
      </w:r>
      <w:r/>
    </w:p>
    <w:p>
      <w:pPr>
        <w:pStyle w:val="878"/>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rPr>
          <w:rFonts w:hint="eastAsia" w:ascii="黑体" w:hAnsi="黑体" w:eastAsia="黑体"/>
          <w:b/>
          <w:color w:val="auto"/>
          <w:sz w:val="36"/>
          <w:szCs w:val="24"/>
          <w:highlight w:val="none"/>
          <w:lang w:eastAsia="zh-CN"/>
        </w:rPr>
        <w:t xml:space="preserve">：</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投 标 人</w:t>
      </w:r>
      <w:r>
        <w:rPr>
          <w:rFonts w:hint="eastAsia" w:ascii="黑体" w:hAnsi="黑体" w:eastAsia="黑体"/>
          <w:b/>
          <w:bCs/>
          <w:color w:val="auto"/>
          <w:sz w:val="36"/>
          <w:highlight w:val="none"/>
          <w:lang w:eastAsia="zh-CN"/>
        </w:rPr>
        <w:t xml:space="preserve">：</w:t>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jc w:val="center"/>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    月    日</w:t>
      </w:r>
      <w:r/>
    </w:p>
    <w:p>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r/>
    </w:p>
    <w:p>
      <w:pPr>
        <w:pStyle w:val="878"/>
        <w:jc w:val="center"/>
        <w:spacing w:line="6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一、投标函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highlight w:val="none"/>
        </w:rPr>
        <w:t xml:space="preserve">致</w:t>
      </w:r>
      <w:r>
        <w:rPr>
          <w:rFonts w:hint="eastAsia" w:ascii="仿宋" w:hAnsi="仿宋" w:eastAsia="仿宋"/>
          <w:color w:val="auto"/>
          <w:sz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pStyle w:val="929"/>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JSZC-320812-JSFP-G2026-0006）招标文件（包括更正公告、如果有的话）收悉，我们经详细审阅和研究，现决定参加投标。同时，正式授权下述签字人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单位名称），全权处理本次项目投标的有关事宜。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w:t>
      </w:r>
      <w:r>
        <w:rPr>
          <w:rFonts w:hint="eastAsia" w:ascii="仿宋" w:hAnsi="仿宋" w:eastAsia="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我们接受招标文件的所有的条款和规定。</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我们理解，你们无义务必须接受投标价最低的投标。同时也理解你们不承担我们本次投标的费用。</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6.</w:t>
      </w:r>
      <w:r>
        <w:rPr>
          <w:rFonts w:hint="eastAsia" w:ascii="仿宋" w:hAnsi="仿宋" w:eastAsia="仿宋"/>
          <w:color w:val="auto"/>
          <w:sz w:val="28"/>
          <w:highlight w:val="none"/>
        </w:rPr>
        <w:t xml:space="preserve">我们同意向贵方提供贵方可能要求的与投标有关的任何证据或资料，并保证所提供的都是真实的、准确的。</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29"/>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929"/>
        <w:ind w:right="560" w:firstLine="420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名称（电子签章）</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u w:val="single"/>
        </w:rPr>
        <w:t xml:space="preserve">             </w:t>
      </w:r>
      <w:r/>
    </w:p>
    <w:p>
      <w:pPr>
        <w:pStyle w:val="929"/>
        <w:ind w:right="560" w:firstLine="42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Style w:val="878"/>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64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3995"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3995" w:type="pct"/>
            <w:vAlign w:val="center"/>
            <w:textDirection w:val="lrTb"/>
            <w:noWrap w:val="false"/>
          </w:tcPr>
          <w:p>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供货时间</w:t>
            </w:r>
            <w:r/>
          </w:p>
        </w:tc>
        <w:tc>
          <w:tcPr>
            <w:tcW w:w="3995"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按招标文件要求执行。</w:t>
            </w:r>
            <w:r/>
          </w:p>
        </w:tc>
      </w:tr>
    </w:tbl>
    <w:p>
      <w:pPr>
        <w:ind w:firstLine="411"/>
        <w:spacing w:line="440" w:lineRule="exact"/>
        <w:rPr>
          <w:rFonts w:hint="eastAsia" w:ascii="仿宋" w:hAnsi="仿宋" w:eastAsia="仿宋"/>
          <w:color w:val="auto"/>
          <w:sz w:val="28"/>
          <w:szCs w:val="28"/>
          <w:highlight w:val="none"/>
        </w:rPr>
      </w:pPr>
      <w:r/>
      <w:bookmarkStart w:id="38" w:name="_Toc136924766"/>
      <w:r/>
      <w:bookmarkEnd w:id="38"/>
      <w:r/>
      <w:bookmarkStart w:id="39" w:name="_Toc157775459"/>
      <w:r/>
      <w:bookmarkEnd w:id="39"/>
      <w:r/>
      <w:r/>
    </w:p>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78"/>
        <w:ind w:firstLine="2875"/>
        <w:rPr>
          <w:rFonts w:hint="eastAsia" w:hAnsi="宋体"/>
          <w:b/>
          <w:color w:val="auto"/>
          <w:sz w:val="32"/>
          <w:szCs w:val="32"/>
          <w:highlight w:val="none"/>
        </w:rPr>
      </w:pPr>
      <w:r/>
      <w:bookmarkStart w:id="40" w:name="_Toc157775468"/>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jc w:val="both"/>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78"/>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三、投标报价明细表</w:t>
      </w:r>
      <w:r/>
    </w:p>
    <w:p>
      <w:pPr>
        <w:pStyle w:val="878"/>
        <w:jc w:val="center"/>
        <w:spacing w:line="340" w:lineRule="exact"/>
        <w:rPr>
          <w:rFonts w:hint="eastAsia" w:ascii="仿宋" w:hAnsi="仿宋" w:eastAsia="仿宋" w:cs="Calibri"/>
          <w:color w:val="auto"/>
          <w:sz w:val="24"/>
          <w:szCs w:val="24"/>
          <w:highlight w:val="none"/>
        </w:rPr>
      </w:pPr>
      <w:r>
        <w:rPr>
          <w:rFonts w:hint="eastAsia" w:ascii="仿宋" w:hAnsi="仿宋" w:eastAsia="仿宋" w:cs="Calibri"/>
          <w:color w:val="auto"/>
          <w:sz w:val="24"/>
          <w:szCs w:val="24"/>
          <w:highlight w:val="none"/>
        </w:rPr>
      </w:r>
      <w:r/>
    </w:p>
    <w:tbl>
      <w:tblPr>
        <w:tblStyle w:val="6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生产厂家</w:t>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96"/>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2</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724"/>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3</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4</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7</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8</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9</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58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878"/>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投标总报价（人民币：元）</w:t>
            </w:r>
            <w:r/>
          </w:p>
        </w:tc>
        <w:tc>
          <w:tcPr>
            <w:tcMar>
              <w:left w:w="108" w:type="dxa"/>
              <w:top w:w="0" w:type="dxa"/>
              <w:right w:w="108" w:type="dxa"/>
              <w:bottom w:w="0" w:type="dxa"/>
            </w:tcMar>
            <w:tcW w:w="462" w:type="pct"/>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bl>
    <w:p>
      <w:pPr>
        <w:pStyle w:val="878"/>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lang w:val="en-US" w:eastAsia="zh-CN"/>
        </w:rPr>
        <w:t xml:space="preserve">.</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8"/>
        <w:ind w:firstLine="69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 xml:space="preserve">2.</w:t>
      </w:r>
      <w:r>
        <w:rPr>
          <w:rFonts w:ascii="仿宋" w:hAnsi="仿宋" w:eastAsia="仿宋"/>
          <w:color w:val="auto"/>
          <w:sz w:val="28"/>
          <w:szCs w:val="24"/>
          <w:highlight w:val="none"/>
        </w:rPr>
        <w:t xml:space="preserve">“投标分项报价表”中“投标总报价”数额应当与“开标一览表”中“投标总报价”数额一致。</w:t>
      </w:r>
      <w:r/>
    </w:p>
    <w:p>
      <w:pPr>
        <w:pStyle w:val="878"/>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878"/>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878"/>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78"/>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78"/>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6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序号</w:t>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项目采购需求中主要技术</w:t>
            </w:r>
            <w:r/>
          </w:p>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条款描述</w:t>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所投产品规格、型号及相应技术参数描述</w:t>
            </w:r>
            <w:r/>
          </w:p>
        </w:tc>
        <w:tc>
          <w:tcPr>
            <w:tcW w:w="612" w:type="pct"/>
            <w:vAlign w:val="center"/>
            <w:textDirection w:val="lrTb"/>
            <w:noWrap w:val="false"/>
          </w:tcPr>
          <w:p>
            <w:pPr>
              <w:rPr>
                <w:rFonts w:hint="eastAsia" w:ascii="仿宋" w:hAnsi="仿宋" w:eastAsia="仿宋" w:cs="Arial"/>
                <w:color w:val="auto"/>
                <w:sz w:val="24"/>
                <w:highlight w:val="none"/>
              </w:rPr>
            </w:pPr>
            <w:r>
              <w:rPr>
                <w:rFonts w:ascii="仿宋" w:hAnsi="仿宋" w:eastAsia="仿宋" w:cs="Arial"/>
                <w:color w:val="auto"/>
                <w:sz w:val="24"/>
                <w:highlight w:val="none"/>
              </w:rPr>
              <w:t xml:space="preserve">偏离</w:t>
            </w:r>
            <w:r>
              <w:rPr>
                <w:rFonts w:hint="eastAsia" w:ascii="仿宋" w:hAnsi="仿宋" w:eastAsia="仿宋" w:cs="Arial"/>
                <w:color w:val="auto"/>
                <w:sz w:val="24"/>
                <w:highlight w:val="none"/>
              </w:rPr>
              <w:t xml:space="preserve">情况</w:t>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bl>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color w:val="auto"/>
          <w:sz w:val="32"/>
          <w:highlight w:val="none"/>
        </w:rPr>
      </w:pPr>
      <w:r>
        <w:rPr>
          <w:rFonts w:hint="eastAsia" w:ascii="宋体" w:hAnsi="宋体"/>
          <w:bCs/>
          <w:color w:val="auto"/>
          <w:sz w:val="32"/>
          <w:highlight w:val="none"/>
        </w:rPr>
      </w:r>
      <w:r/>
    </w:p>
    <w:p>
      <w:pPr>
        <w:pStyle w:val="876"/>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6"/>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6"/>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6"/>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40"/>
      <w:r/>
    </w:p>
    <w:p>
      <w:pPr>
        <w:pStyle w:val="878"/>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78"/>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78"/>
        <w:jc w:val="cente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lang w:eastAsia="zh-CN"/>
        </w:rPr>
        <w:t xml:space="preserve">投标人</w:t>
      </w:r>
      <w:r>
        <w:rPr>
          <w:rFonts w:hint="eastAsia" w:ascii="仿宋" w:hAnsi="仿宋" w:eastAsia="仿宋"/>
          <w:b/>
          <w:bCs/>
          <w:color w:val="auto"/>
          <w:sz w:val="32"/>
          <w:szCs w:val="32"/>
          <w:highlight w:val="none"/>
        </w:rPr>
        <w:t xml:space="preserve">必须提供的资格证明文件</w:t>
      </w:r>
      <w:r/>
    </w:p>
    <w:p>
      <w:pPr>
        <w:pStyle w:val="878"/>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提供下列材料之一</w:t>
      </w:r>
      <w:r>
        <w:rPr>
          <w:rFonts w:hint="eastAsia" w:ascii="仿宋" w:hAnsi="仿宋" w:eastAsia="仿宋"/>
          <w:color w:val="auto"/>
          <w:sz w:val="28"/>
          <w:szCs w:val="28"/>
          <w:highlight w:val="none"/>
          <w:lang w:eastAsia="zh-CN"/>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2.投标人</w:t>
      </w:r>
      <w:r>
        <w:rPr>
          <w:rFonts w:hint="eastAsia" w:ascii="仿宋" w:hAnsi="仿宋" w:eastAsia="仿宋"/>
          <w:color w:val="auto"/>
          <w:sz w:val="28"/>
          <w:highlight w:val="none"/>
        </w:rPr>
        <w:t xml:space="preserve">须具有在有效期内的营业执照副本、税务登记证副本、组织机构代码证副本或三证合一的营业执照；（提供营业执照扫描件上传至电子标文件中，并进行电子签章）。</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lang w:eastAsia="zh-CN"/>
        </w:rPr>
        <w:t xml:space="preserve">3.投标人</w:t>
      </w:r>
      <w:r>
        <w:rPr>
          <w:rFonts w:hint="eastAsia" w:ascii="仿宋" w:hAnsi="仿宋" w:eastAsia="仿宋"/>
          <w:color w:val="auto"/>
          <w:sz w:val="28"/>
          <w:highlight w:val="none"/>
        </w:rPr>
        <w:t xml:space="preserve">符合《</w:t>
      </w:r>
      <w:r>
        <w:rPr>
          <w:rFonts w:hint="eastAsia" w:ascii="仿宋" w:hAnsi="仿宋" w:eastAsia="仿宋"/>
          <w:color w:val="auto"/>
          <w:sz w:val="28"/>
          <w:szCs w:val="28"/>
          <w:highlight w:val="none"/>
        </w:rPr>
        <w:t xml:space="preserve">中华人民共和国政府采购法</w:t>
      </w:r>
      <w:r>
        <w:rPr>
          <w:rFonts w:hint="eastAsia" w:ascii="仿宋" w:hAnsi="仿宋" w:eastAsia="仿宋"/>
          <w:color w:val="auto"/>
          <w:sz w:val="28"/>
          <w:highlight w:val="none"/>
        </w:rPr>
        <w:t xml:space="preserve">》第二十二条规定条件的承诺函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szCs w:val="28"/>
          <w:highlight w:val="none"/>
        </w:rPr>
        <w:t xml:space="preserve">提供承诺书</w:t>
      </w:r>
      <w:r>
        <w:rPr>
          <w:rFonts w:hint="eastAsia" w:ascii="仿宋" w:hAnsi="仿宋" w:eastAsia="仿宋"/>
          <w:color w:val="auto"/>
          <w:sz w:val="28"/>
          <w:highlight w:val="none"/>
        </w:rPr>
        <w:t xml:space="preserve">上传至电子标文件中，并进行电子签章</w:t>
      </w:r>
      <w:r>
        <w:rPr>
          <w:rFonts w:hint="eastAsia" w:ascii="仿宋" w:hAnsi="仿宋" w:eastAsia="仿宋"/>
          <w:color w:val="auto"/>
          <w:sz w:val="28"/>
          <w:highlight w:val="none"/>
          <w:lang w:val="zh-CN"/>
        </w:rPr>
        <w:t xml:space="preserve">）。</w:t>
      </w:r>
      <w:r/>
    </w:p>
    <w:p>
      <w:pPr>
        <w:ind w:firstLine="70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4.</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left"/>
        <w:widowControl/>
        <w:rPr>
          <w:rFonts w:hint="eastAsia" w:ascii="宋体" w:hAnsi="宋体" w:cs="Arial"/>
          <w:b/>
          <w:bCs/>
          <w:color w:val="auto"/>
          <w:sz w:val="32"/>
          <w:highlight w:val="none"/>
        </w:rPr>
      </w:pPr>
      <w:r>
        <w:rPr>
          <w:rFonts w:hint="eastAsia" w:ascii="宋体" w:hAnsi="宋体" w:cs="Arial"/>
          <w:b/>
          <w:bCs/>
          <w:color w:val="auto"/>
          <w:sz w:val="32"/>
          <w:highlight w:val="none"/>
        </w:rPr>
      </w:r>
      <w:r/>
    </w:p>
    <w:p>
      <w:pPr>
        <w:ind w:firstLine="1428"/>
        <w:jc w:val="left"/>
        <w:spacing w:line="520" w:lineRule="exact"/>
        <w:widowControl/>
        <w:rPr>
          <w:rFonts w:hint="eastAsia" w:ascii="宋体" w:hAnsi="宋体"/>
          <w:b/>
          <w:color w:val="auto"/>
          <w:sz w:val="36"/>
          <w:highlight w:val="none"/>
        </w:rPr>
      </w:pPr>
      <w:r>
        <w:rPr>
          <w:rFonts w:ascii="宋体" w:hAnsi="宋体"/>
          <w:b/>
          <w:color w:val="auto"/>
          <w:sz w:val="36"/>
          <w:highlight w:val="none"/>
        </w:rPr>
        <w:br w:type="page" w:clear="all"/>
      </w:r>
      <w:bookmarkStart w:id="41" w:name="_Toc157775454"/>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 xml:space="preserve">六、综合评分时</w:t>
      </w:r>
      <w:r>
        <w:rPr>
          <w:rFonts w:hint="eastAsia" w:ascii="仿宋" w:hAnsi="仿宋" w:eastAsia="仿宋" w:cs="Arial"/>
          <w:b/>
          <w:bCs/>
          <w:color w:val="auto"/>
          <w:sz w:val="32"/>
          <w:highlight w:val="none"/>
          <w:lang w:eastAsia="zh-CN"/>
        </w:rPr>
        <w:t xml:space="preserve">投标人</w:t>
      </w:r>
      <w:r>
        <w:rPr>
          <w:rFonts w:hint="eastAsia" w:ascii="仿宋" w:hAnsi="仿宋" w:eastAsia="仿宋" w:cs="Arial"/>
          <w:b/>
          <w:bCs/>
          <w:color w:val="auto"/>
          <w:sz w:val="32"/>
          <w:highlight w:val="none"/>
        </w:rPr>
        <w:t xml:space="preserve">需提供的证明文件</w:t>
      </w:r>
      <w:r/>
    </w:p>
    <w:p>
      <w:pPr>
        <w:jc w:val="cente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w:t>
      </w:r>
      <w:r>
        <w:rPr>
          <w:rFonts w:hint="eastAsia" w:ascii="仿宋" w:hAnsi="仿宋" w:eastAsia="仿宋" w:cs="楷体_GB2312"/>
          <w:color w:val="auto"/>
          <w:sz w:val="28"/>
          <w:szCs w:val="28"/>
          <w:highlight w:val="none"/>
          <w:lang w:eastAsia="zh-CN"/>
        </w:rPr>
        <w:t xml:space="preserve">投标人</w:t>
      </w:r>
      <w:r>
        <w:rPr>
          <w:rFonts w:hint="eastAsia" w:ascii="仿宋" w:hAnsi="仿宋" w:eastAsia="仿宋" w:cs="楷体_GB2312"/>
          <w:color w:val="auto"/>
          <w:sz w:val="28"/>
          <w:szCs w:val="28"/>
          <w:highlight w:val="none"/>
          <w:lang w:val="zh-CN"/>
        </w:rPr>
        <w:t xml:space="preserve">根据第三章评标标准的要求提供相关材料）</w:t>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1"/>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hint="eastAsia"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29"/>
        <w:ind w:left="4760" w:right="560" w:hanging="1820"/>
        <w:spacing w:before="0" w:after="0"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淮安市清江浦区环卫事业管理服务中心</w:t>
      </w:r>
      <w:r>
        <w:rPr>
          <w:rFonts w:hint="eastAsia" w:ascii="仿宋" w:hAnsi="仿宋" w:eastAsia="仿宋"/>
          <w:color w:val="auto"/>
          <w:sz w:val="28"/>
          <w:szCs w:val="28"/>
          <w:highlight w:val="none"/>
        </w:rPr>
        <w:t xml:space="preserve">组织的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JSZC-320812-JSFP-G2026-0006）</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420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w:t>
      </w:r>
      <w:r/>
    </w:p>
    <w:p>
      <w:pPr>
        <w:ind w:firstLine="420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w:t>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的声明函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JSZC-320812-JSFP-G2026-0006）</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48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olor w:val="auto"/>
          <w:sz w:val="28"/>
          <w:szCs w:val="28"/>
          <w:highlight w:val="none"/>
        </w:rPr>
        <w:t xml:space="preserve">承诺人</w:t>
      </w:r>
      <w:r>
        <w:rPr>
          <w:rFonts w:hint="eastAsia" w:ascii="仿宋" w:hAnsi="仿宋" w:eastAsia="仿宋"/>
          <w:color w:val="auto"/>
          <w:sz w:val="28"/>
          <w:szCs w:val="28"/>
          <w:highlight w:val="none"/>
          <w:lang w:eastAsia="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44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pStyle w:val="860"/>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60"/>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0"/>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0"/>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60"/>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60"/>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392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60"/>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注：从业人员、营业收入、资产总额填报上一年度数据，无上一年度数据的新成立企业可不填报。</w:t>
      </w:r>
      <w:r/>
    </w:p>
    <w:p>
      <w:pPr>
        <w:pStyle w:val="860"/>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860"/>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0"/>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0"/>
        <w:ind w:firstLine="0"/>
        <w:jc w:val="left"/>
        <w:spacing w:line="520" w:lineRule="exac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hint="eastAsia"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pStyle w:val="860"/>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860"/>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60"/>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60"/>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60"/>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860"/>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示范格式六</w:t>
      </w:r>
      <w:r/>
    </w:p>
    <w:p>
      <w:pPr>
        <w:pStyle w:val="860"/>
        <w:ind w:firstLine="0"/>
        <w:jc w:val="center"/>
        <w:keepLines w:val="0"/>
        <w:keepNext w:val="0"/>
        <w:pageBreakBefore w:val="0"/>
        <w:spacing w:line="336"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32"/>
          <w:szCs w:val="32"/>
          <w:highlight w:val="none"/>
        </w:rPr>
        <w:t xml:space="preserve">关于符合本国产品标准的声明函（采购包号：**）</w:t>
      </w:r>
      <w:r/>
    </w:p>
    <w:p>
      <w:pPr>
        <w:pStyle w:val="860"/>
        <w:ind w:firstLine="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u w:val="single"/>
        </w:rPr>
        <w:t xml:space="preserve">（采购人） </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w:t>
      </w:r>
      <w:r/>
    </w:p>
    <w:p>
      <w:pPr>
        <w:pStyle w:val="860"/>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u w:val="single"/>
          <w:vertAlign w:val="superscript"/>
        </w:rPr>
        <w:t xml:space="preserve">1</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vertAlign w:val="superscript"/>
        </w:rPr>
        <w:t xml:space="preserve">2</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 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vertAlign w:val="superscript"/>
        </w:rPr>
        <w:t xml:space="preserve">3</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vertAlign w:val="superscript"/>
        </w:rPr>
        <w:t xml:space="preserve">4</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vertAlign w:val="superscript"/>
        </w:rPr>
        <w:t xml:space="preserve">5</w:t>
      </w:r>
      <w:r>
        <w:rPr>
          <w:rFonts w:hint="eastAsia" w:ascii="仿宋" w:hAnsi="仿宋" w:eastAsia="仿宋"/>
          <w:bCs/>
          <w:color w:val="auto"/>
          <w:sz w:val="28"/>
          <w:szCs w:val="28"/>
          <w:highlight w:val="none"/>
        </w:rPr>
        <w:t xml:space="preserve">在中国境内完成。</w:t>
      </w:r>
      <w:r/>
    </w:p>
    <w:p>
      <w:pPr>
        <w:pStyle w:val="860"/>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rPr>
        <w:t xml:space="preserve">在中国境内完成。</w:t>
      </w:r>
      <w:r/>
    </w:p>
    <w:p>
      <w:pPr>
        <w:pStyle w:val="860"/>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p>
    <w:p>
      <w:pPr>
        <w:pStyle w:val="860"/>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本公司（单位）对上述声明内容的真实性负责。如有虚假，愿承担相应法律责任。</w:t>
      </w:r>
      <w:r/>
    </w:p>
    <w:p>
      <w:pPr>
        <w:pStyle w:val="860"/>
        <w:ind w:firstLine="4934"/>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公司（单位）名称（</w:t>
      </w:r>
      <w:r>
        <w:rPr>
          <w:rFonts w:hint="eastAsia" w:ascii="仿宋" w:hAnsi="仿宋" w:eastAsia="仿宋"/>
          <w:bCs/>
          <w:color w:val="auto"/>
          <w:sz w:val="28"/>
          <w:szCs w:val="28"/>
          <w:highlight w:val="none"/>
          <w:lang w:val="en-US" w:eastAsia="zh-CN"/>
        </w:rPr>
        <w:t xml:space="preserve">电子签</w:t>
      </w:r>
      <w:r>
        <w:rPr>
          <w:rFonts w:hint="eastAsia" w:ascii="仿宋" w:hAnsi="仿宋" w:eastAsia="仿宋"/>
          <w:bCs/>
          <w:color w:val="auto"/>
          <w:sz w:val="28"/>
          <w:szCs w:val="28"/>
          <w:highlight w:val="none"/>
        </w:rPr>
        <w:t xml:space="preserve">章）：　</w:t>
      </w:r>
      <w:r/>
    </w:p>
    <w:p>
      <w:pPr>
        <w:pStyle w:val="860"/>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日期：   年　  月　  日         </w:t>
      </w:r>
      <w:r/>
    </w:p>
    <w:p>
      <w:pPr>
        <w:pStyle w:val="860"/>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注：1.产品如有型号，请在“产品名称”栏一并填写。</w:t>
      </w:r>
      <w:r/>
    </w:p>
    <w:p>
      <w:pPr>
        <w:pStyle w:val="860"/>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2.生产厂名与厂址应与生产厂营业执照载明的相关信息保持一致。</w:t>
      </w:r>
      <w:r/>
    </w:p>
    <w:p>
      <w:pPr>
        <w:pStyle w:val="860"/>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3.该产品的中国境内生产的组件成本占比相关要求实施前，“规定比例”栏可不填，下同。</w:t>
      </w:r>
      <w:r/>
    </w:p>
    <w:p>
      <w:pPr>
        <w:pStyle w:val="860"/>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4.该产品的关键组件要求实施前，“关键组件”栏可不填，下同。</w:t>
      </w:r>
      <w:r/>
    </w:p>
    <w:p>
      <w:pPr>
        <w:pStyle w:val="860"/>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5.该产品的关键工序要求实施前，“关键工序”栏可不填，下同。</w:t>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华文行楷">
    <w:panose1 w:val="02010800040101010101"/>
  </w:font>
  <w:font w:name="Times New Roman (正文 CS 字体)">
    <w:panose1 w:val="02020603050405020304"/>
  </w:font>
  <w:font w:name="Symbol">
    <w:panose1 w:val="05050102010706020507"/>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1</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4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chineseCountingThousand"/>
      <w:pStyle w:val="93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4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4">
    <w:name w:val="Heading 1"/>
    <w:basedOn w:val="633"/>
    <w:next w:val="633"/>
    <w:link w:val="710"/>
    <w:uiPriority w:val="9"/>
    <w:qFormat/>
    <w:pPr>
      <w:keepLines/>
      <w:keepNext/>
      <w:spacing w:before="480" w:after="200"/>
      <w:outlineLvl w:val="0"/>
    </w:pPr>
    <w:rPr>
      <w:rFonts w:ascii="Arial" w:hAnsi="Arial" w:eastAsia="Arial" w:cs="Arial"/>
      <w:sz w:val="40"/>
      <w:szCs w:val="40"/>
    </w:rPr>
  </w:style>
  <w:style w:type="paragraph" w:styleId="635">
    <w:name w:val="Heading 2"/>
    <w:basedOn w:val="633"/>
    <w:next w:val="633"/>
    <w:link w:val="711"/>
    <w:uiPriority w:val="9"/>
    <w:unhideWhenUsed/>
    <w:qFormat/>
    <w:pPr>
      <w:keepLines/>
      <w:keepNext/>
      <w:spacing w:before="360" w:after="200"/>
      <w:outlineLvl w:val="1"/>
    </w:pPr>
    <w:rPr>
      <w:rFonts w:ascii="Arial" w:hAnsi="Arial" w:eastAsia="Arial" w:cs="Arial"/>
      <w:sz w:val="34"/>
    </w:rPr>
  </w:style>
  <w:style w:type="paragraph" w:styleId="636">
    <w:name w:val="Heading 3"/>
    <w:basedOn w:val="633"/>
    <w:next w:val="633"/>
    <w:link w:val="712"/>
    <w:uiPriority w:val="9"/>
    <w:unhideWhenUsed/>
    <w:qFormat/>
    <w:pPr>
      <w:keepLines/>
      <w:keepNext/>
      <w:spacing w:before="320" w:after="200"/>
      <w:outlineLvl w:val="2"/>
    </w:pPr>
    <w:rPr>
      <w:rFonts w:ascii="Arial" w:hAnsi="Arial" w:eastAsia="Arial" w:cs="Arial"/>
      <w:sz w:val="30"/>
      <w:szCs w:val="30"/>
    </w:rPr>
  </w:style>
  <w:style w:type="paragraph" w:styleId="637">
    <w:name w:val="Heading 4"/>
    <w:basedOn w:val="633"/>
    <w:next w:val="633"/>
    <w:link w:val="713"/>
    <w:uiPriority w:val="9"/>
    <w:unhideWhenUsed/>
    <w:qFormat/>
    <w:pPr>
      <w:keepLines/>
      <w:keepNext/>
      <w:spacing w:before="320" w:after="200"/>
      <w:outlineLvl w:val="3"/>
    </w:pPr>
    <w:rPr>
      <w:rFonts w:ascii="Arial" w:hAnsi="Arial" w:eastAsia="Arial" w:cs="Arial"/>
      <w:b/>
      <w:bCs/>
      <w:sz w:val="26"/>
      <w:szCs w:val="26"/>
    </w:rPr>
  </w:style>
  <w:style w:type="paragraph" w:styleId="638">
    <w:name w:val="Heading 5"/>
    <w:basedOn w:val="633"/>
    <w:next w:val="633"/>
    <w:link w:val="714"/>
    <w:uiPriority w:val="9"/>
    <w:unhideWhenUsed/>
    <w:qFormat/>
    <w:pPr>
      <w:keepLines/>
      <w:keepNext/>
      <w:spacing w:before="320" w:after="200"/>
      <w:outlineLvl w:val="4"/>
    </w:pPr>
    <w:rPr>
      <w:rFonts w:ascii="Arial" w:hAnsi="Arial" w:eastAsia="Arial" w:cs="Arial"/>
      <w:b/>
      <w:bCs/>
      <w:sz w:val="24"/>
    </w:rPr>
  </w:style>
  <w:style w:type="paragraph" w:styleId="639">
    <w:name w:val="Heading 6"/>
    <w:basedOn w:val="633"/>
    <w:next w:val="633"/>
    <w:link w:val="715"/>
    <w:uiPriority w:val="9"/>
    <w:unhideWhenUsed/>
    <w:qFormat/>
    <w:pPr>
      <w:keepLines/>
      <w:keepNext/>
      <w:spacing w:before="320" w:after="200"/>
      <w:outlineLvl w:val="5"/>
    </w:pPr>
    <w:rPr>
      <w:rFonts w:ascii="Arial" w:hAnsi="Arial" w:eastAsia="Arial" w:cs="Arial"/>
      <w:b/>
      <w:bCs/>
      <w:sz w:val="22"/>
      <w:szCs w:val="22"/>
    </w:rPr>
  </w:style>
  <w:style w:type="paragraph" w:styleId="640">
    <w:name w:val="Heading 7"/>
    <w:basedOn w:val="633"/>
    <w:next w:val="633"/>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41">
    <w:name w:val="Heading 8"/>
    <w:basedOn w:val="633"/>
    <w:next w:val="633"/>
    <w:link w:val="717"/>
    <w:uiPriority w:val="9"/>
    <w:unhideWhenUsed/>
    <w:qFormat/>
    <w:pPr>
      <w:keepLines/>
      <w:keepNext/>
      <w:spacing w:before="320" w:after="200"/>
      <w:outlineLvl w:val="7"/>
    </w:pPr>
    <w:rPr>
      <w:rFonts w:ascii="Arial" w:hAnsi="Arial" w:eastAsia="Arial" w:cs="Arial"/>
      <w:i/>
      <w:iCs/>
      <w:sz w:val="22"/>
      <w:szCs w:val="22"/>
    </w:rPr>
  </w:style>
  <w:style w:type="paragraph" w:styleId="642">
    <w:name w:val="Heading 9"/>
    <w:basedOn w:val="633"/>
    <w:next w:val="633"/>
    <w:link w:val="718"/>
    <w:uiPriority w:val="9"/>
    <w:unhideWhenUsed/>
    <w:qFormat/>
    <w:pPr>
      <w:keepLines/>
      <w:keepNext/>
      <w:spacing w:before="320" w:after="200"/>
      <w:outlineLvl w:val="8"/>
    </w:pPr>
    <w:rPr>
      <w:rFonts w:ascii="Arial" w:hAnsi="Arial" w:eastAsia="Arial" w:cs="Arial"/>
      <w:i/>
      <w:iCs/>
      <w:szCs w:val="21"/>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toc 7"/>
    <w:basedOn w:val="633"/>
    <w:next w:val="633"/>
    <w:uiPriority w:val="39"/>
    <w:unhideWhenUsed/>
    <w:qFormat/>
    <w:pPr>
      <w:ind w:left="1701"/>
      <w:spacing w:after="57"/>
    </w:pPr>
  </w:style>
  <w:style w:type="paragraph" w:styleId="646">
    <w:name w:val="Caption"/>
    <w:basedOn w:val="633"/>
    <w:next w:val="6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7">
    <w:name w:val="Body Text"/>
    <w:basedOn w:val="633"/>
    <w:next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48">
    <w:name w:val="Body Text Indent"/>
    <w:basedOn w:val="633"/>
    <w:next w:val="649"/>
    <w:uiPriority w:val="0"/>
    <w:qFormat/>
    <w:pPr>
      <w:ind w:firstLine="352"/>
    </w:pPr>
    <w:rPr>
      <w:rFonts w:ascii="仿宋_GB2312" w:eastAsia="仿宋_GB2312"/>
      <w:sz w:val="32"/>
    </w:rPr>
  </w:style>
  <w:style w:type="paragraph" w:styleId="649">
    <w:name w:val="Body Text First Indent 2"/>
    <w:basedOn w:val="648"/>
    <w:next w:val="633"/>
    <w:uiPriority w:val="0"/>
    <w:qFormat/>
    <w:pPr>
      <w:jc w:val="left"/>
    </w:pPr>
  </w:style>
  <w:style w:type="paragraph" w:styleId="650">
    <w:name w:val="toc 5"/>
    <w:basedOn w:val="633"/>
    <w:next w:val="633"/>
    <w:uiPriority w:val="39"/>
    <w:unhideWhenUsed/>
    <w:qFormat/>
    <w:pPr>
      <w:ind w:left="1134"/>
      <w:spacing w:after="57"/>
    </w:pPr>
  </w:style>
  <w:style w:type="paragraph" w:styleId="651">
    <w:name w:val="toc 3"/>
    <w:basedOn w:val="633"/>
    <w:next w:val="633"/>
    <w:uiPriority w:val="39"/>
    <w:unhideWhenUsed/>
    <w:qFormat/>
    <w:pPr>
      <w:ind w:left="567"/>
      <w:spacing w:after="57"/>
    </w:pPr>
  </w:style>
  <w:style w:type="paragraph" w:styleId="652">
    <w:name w:val="Plain Text"/>
    <w:basedOn w:val="633"/>
    <w:uiPriority w:val="0"/>
    <w:qFormat/>
    <w:rPr>
      <w:rFonts w:ascii="宋体" w:hAnsi="Courier New"/>
      <w:szCs w:val="20"/>
    </w:rPr>
  </w:style>
  <w:style w:type="paragraph" w:styleId="653">
    <w:name w:val="toc 8"/>
    <w:basedOn w:val="633"/>
    <w:next w:val="633"/>
    <w:uiPriority w:val="39"/>
    <w:unhideWhenUsed/>
    <w:qFormat/>
    <w:pPr>
      <w:ind w:left="1984"/>
      <w:spacing w:after="57"/>
    </w:pPr>
  </w:style>
  <w:style w:type="paragraph" w:styleId="654">
    <w:name w:val="endnote text"/>
    <w:basedOn w:val="633"/>
    <w:link w:val="856"/>
    <w:uiPriority w:val="99"/>
    <w:semiHidden/>
    <w:unhideWhenUsed/>
    <w:qFormat/>
    <w:rPr>
      <w:sz w:val="20"/>
    </w:rPr>
  </w:style>
  <w:style w:type="paragraph" w:styleId="655">
    <w:name w:val="Footer"/>
    <w:basedOn w:val="633"/>
    <w:link w:val="729"/>
    <w:uiPriority w:val="99"/>
    <w:unhideWhenUsed/>
    <w:qFormat/>
    <w:pPr>
      <w:tabs>
        <w:tab w:val="center" w:pos="7143" w:leader="none"/>
        <w:tab w:val="right" w:pos="14287" w:leader="none"/>
      </w:tabs>
    </w:pPr>
  </w:style>
  <w:style w:type="paragraph" w:styleId="656">
    <w:name w:val="Header"/>
    <w:basedOn w:val="633"/>
    <w:link w:val="727"/>
    <w:uiPriority w:val="99"/>
    <w:unhideWhenUsed/>
    <w:qFormat/>
    <w:pPr>
      <w:tabs>
        <w:tab w:val="center" w:pos="7143" w:leader="none"/>
        <w:tab w:val="right" w:pos="14287" w:leader="none"/>
      </w:tabs>
    </w:pPr>
  </w:style>
  <w:style w:type="paragraph" w:styleId="657">
    <w:name w:val="toc 1"/>
    <w:basedOn w:val="633"/>
    <w:next w:val="633"/>
    <w:uiPriority w:val="39"/>
    <w:unhideWhenUsed/>
    <w:qFormat/>
    <w:pPr>
      <w:spacing w:after="57"/>
    </w:pPr>
  </w:style>
  <w:style w:type="paragraph" w:styleId="658">
    <w:name w:val="toc 4"/>
    <w:basedOn w:val="633"/>
    <w:next w:val="633"/>
    <w:uiPriority w:val="39"/>
    <w:unhideWhenUsed/>
    <w:qFormat/>
    <w:pPr>
      <w:ind w:left="850"/>
      <w:spacing w:after="57"/>
    </w:pPr>
  </w:style>
  <w:style w:type="paragraph" w:styleId="659">
    <w:name w:val="Subtitle"/>
    <w:basedOn w:val="633"/>
    <w:next w:val="633"/>
    <w:link w:val="722"/>
    <w:uiPriority w:val="11"/>
    <w:qFormat/>
    <w:pPr>
      <w:spacing w:before="200" w:after="200"/>
    </w:pPr>
    <w:rPr>
      <w:sz w:val="24"/>
    </w:rPr>
  </w:style>
  <w:style w:type="paragraph" w:styleId="660">
    <w:name w:val="footnote text"/>
    <w:basedOn w:val="633"/>
    <w:link w:val="855"/>
    <w:uiPriority w:val="99"/>
    <w:semiHidden/>
    <w:unhideWhenUsed/>
    <w:qFormat/>
    <w:pPr>
      <w:spacing w:after="40"/>
    </w:pPr>
    <w:rPr>
      <w:sz w:val="18"/>
    </w:rPr>
  </w:style>
  <w:style w:type="paragraph" w:styleId="661">
    <w:name w:val="toc 6"/>
    <w:basedOn w:val="633"/>
    <w:next w:val="633"/>
    <w:uiPriority w:val="39"/>
    <w:unhideWhenUsed/>
    <w:qFormat/>
    <w:pPr>
      <w:ind w:left="1417"/>
      <w:spacing w:after="57"/>
    </w:pPr>
  </w:style>
  <w:style w:type="paragraph" w:styleId="662">
    <w:name w:val="table of figures"/>
    <w:basedOn w:val="633"/>
    <w:next w:val="633"/>
    <w:uiPriority w:val="99"/>
    <w:unhideWhenUsed/>
    <w:qFormat/>
  </w:style>
  <w:style w:type="paragraph" w:styleId="663">
    <w:name w:val="toc 2"/>
    <w:basedOn w:val="633"/>
    <w:next w:val="633"/>
    <w:uiPriority w:val="39"/>
    <w:unhideWhenUsed/>
    <w:qFormat/>
    <w:pPr>
      <w:ind w:left="283"/>
      <w:spacing w:after="57"/>
    </w:pPr>
  </w:style>
  <w:style w:type="paragraph" w:styleId="664">
    <w:name w:val="toc 9"/>
    <w:basedOn w:val="633"/>
    <w:next w:val="633"/>
    <w:uiPriority w:val="39"/>
    <w:unhideWhenUsed/>
    <w:qFormat/>
    <w:pPr>
      <w:ind w:left="2268"/>
      <w:spacing w:after="57"/>
    </w:pPr>
  </w:style>
  <w:style w:type="paragraph" w:styleId="665">
    <w:name w:val="Normal (Web)"/>
    <w:basedOn w:val="633"/>
    <w:uiPriority w:val="0"/>
    <w:qFormat/>
    <w:pPr>
      <w:jc w:val="center"/>
      <w:spacing w:before="120" w:after="120" w:line="360" w:lineRule="auto"/>
    </w:pPr>
    <w:rPr>
      <w:rFonts w:ascii="仿宋" w:hAnsi="仿宋" w:eastAsia="仿宋" w:cs="Arial"/>
      <w:color w:val="000000"/>
      <w:sz w:val="28"/>
      <w:szCs w:val="28"/>
    </w:rPr>
  </w:style>
  <w:style w:type="paragraph" w:styleId="666">
    <w:name w:val="Title"/>
    <w:basedOn w:val="633"/>
    <w:next w:val="633"/>
    <w:link w:val="721"/>
    <w:uiPriority w:val="10"/>
    <w:qFormat/>
    <w:pPr>
      <w:contextualSpacing/>
      <w:spacing w:before="300" w:after="200"/>
    </w:pPr>
    <w:rPr>
      <w:sz w:val="48"/>
      <w:szCs w:val="48"/>
    </w:rPr>
  </w:style>
  <w:style w:type="table" w:styleId="6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8">
    <w:name w:val="Strong"/>
    <w:basedOn w:val="643"/>
    <w:uiPriority w:val="22"/>
    <w:qFormat/>
    <w:rPr>
      <w:b/>
    </w:rPr>
  </w:style>
  <w:style w:type="character" w:styleId="669">
    <w:name w:val="endnote reference"/>
    <w:uiPriority w:val="99"/>
    <w:semiHidden/>
    <w:unhideWhenUsed/>
    <w:qFormat/>
    <w:rPr>
      <w:vertAlign w:val="superscript"/>
    </w:rPr>
  </w:style>
  <w:style w:type="character" w:styleId="670">
    <w:name w:val="Hyperlink"/>
    <w:uiPriority w:val="99"/>
    <w:unhideWhenUsed/>
    <w:qFormat/>
    <w:rPr>
      <w:color w:val="0000ff" w:themeColor="hyperlink"/>
      <w:u w:val="single"/>
      <w14:textFill>
        <w14:solidFill>
          <w14:schemeClr w14:val="hlink"/>
        </w14:solidFill>
      </w14:textFill>
    </w:rPr>
  </w:style>
  <w:style w:type="character" w:styleId="671">
    <w:name w:val="footnote reference"/>
    <w:uiPriority w:val="99"/>
    <w:unhideWhenUsed/>
    <w:qFormat/>
    <w:rPr>
      <w:vertAlign w:val="superscript"/>
    </w:rPr>
  </w:style>
  <w:style w:type="character" w:styleId="672" w:customStyle="1">
    <w:name w:val="Heading 1 Char"/>
    <w:basedOn w:val="643"/>
    <w:uiPriority w:val="9"/>
    <w:qFormat/>
    <w:rPr>
      <w:rFonts w:ascii="Arial" w:hAnsi="Arial" w:eastAsia="Arial" w:cs="Arial"/>
      <w:sz w:val="40"/>
      <w:szCs w:val="40"/>
    </w:rPr>
  </w:style>
  <w:style w:type="character" w:styleId="673" w:customStyle="1">
    <w:name w:val="Heading 2 Char"/>
    <w:basedOn w:val="643"/>
    <w:uiPriority w:val="9"/>
    <w:qFormat/>
    <w:rPr>
      <w:rFonts w:ascii="Arial" w:hAnsi="Arial" w:eastAsia="Arial" w:cs="Arial"/>
      <w:sz w:val="34"/>
    </w:rPr>
  </w:style>
  <w:style w:type="character" w:styleId="674" w:customStyle="1">
    <w:name w:val="Heading 3 Char"/>
    <w:basedOn w:val="643"/>
    <w:uiPriority w:val="9"/>
    <w:qFormat/>
    <w:rPr>
      <w:rFonts w:ascii="Arial" w:hAnsi="Arial" w:eastAsia="Arial" w:cs="Arial"/>
      <w:sz w:val="30"/>
      <w:szCs w:val="30"/>
    </w:rPr>
  </w:style>
  <w:style w:type="character" w:styleId="675" w:customStyle="1">
    <w:name w:val="Heading 4 Char"/>
    <w:basedOn w:val="643"/>
    <w:uiPriority w:val="9"/>
    <w:qFormat/>
    <w:rPr>
      <w:rFonts w:ascii="Arial" w:hAnsi="Arial" w:eastAsia="Arial" w:cs="Arial"/>
      <w:b/>
      <w:bCs/>
      <w:sz w:val="26"/>
      <w:szCs w:val="26"/>
    </w:rPr>
  </w:style>
  <w:style w:type="character" w:styleId="676" w:customStyle="1">
    <w:name w:val="Heading 5 Char"/>
    <w:basedOn w:val="643"/>
    <w:uiPriority w:val="9"/>
    <w:qFormat/>
    <w:rPr>
      <w:rFonts w:ascii="Arial" w:hAnsi="Arial" w:eastAsia="Arial" w:cs="Arial"/>
      <w:b/>
      <w:bCs/>
      <w:sz w:val="24"/>
      <w:szCs w:val="24"/>
    </w:rPr>
  </w:style>
  <w:style w:type="character" w:styleId="677" w:customStyle="1">
    <w:name w:val="Heading 6 Char"/>
    <w:basedOn w:val="643"/>
    <w:uiPriority w:val="9"/>
    <w:qFormat/>
    <w:rPr>
      <w:rFonts w:ascii="Arial" w:hAnsi="Arial" w:eastAsia="Arial" w:cs="Arial"/>
      <w:b/>
      <w:bCs/>
      <w:sz w:val="22"/>
      <w:szCs w:val="22"/>
    </w:rPr>
  </w:style>
  <w:style w:type="character" w:styleId="678" w:customStyle="1">
    <w:name w:val="Heading 7 Char"/>
    <w:basedOn w:val="643"/>
    <w:uiPriority w:val="9"/>
    <w:qFormat/>
    <w:rPr>
      <w:rFonts w:ascii="Arial" w:hAnsi="Arial" w:eastAsia="Arial" w:cs="Arial"/>
      <w:b/>
      <w:bCs/>
      <w:i/>
      <w:iCs/>
      <w:sz w:val="22"/>
      <w:szCs w:val="22"/>
    </w:rPr>
  </w:style>
  <w:style w:type="character" w:styleId="679" w:customStyle="1">
    <w:name w:val="Heading 8 Char"/>
    <w:basedOn w:val="643"/>
    <w:uiPriority w:val="9"/>
    <w:qFormat/>
    <w:rPr>
      <w:rFonts w:ascii="Arial" w:hAnsi="Arial" w:eastAsia="Arial" w:cs="Arial"/>
      <w:i/>
      <w:iCs/>
      <w:sz w:val="22"/>
      <w:szCs w:val="22"/>
    </w:rPr>
  </w:style>
  <w:style w:type="character" w:styleId="680" w:customStyle="1">
    <w:name w:val="Heading 9 Char"/>
    <w:basedOn w:val="643"/>
    <w:uiPriority w:val="9"/>
    <w:qFormat/>
    <w:rPr>
      <w:rFonts w:ascii="Arial" w:hAnsi="Arial" w:eastAsia="Arial" w:cs="Arial"/>
      <w:i/>
      <w:iCs/>
      <w:sz w:val="21"/>
      <w:szCs w:val="21"/>
    </w:rPr>
  </w:style>
  <w:style w:type="character" w:styleId="681" w:customStyle="1">
    <w:name w:val="Title Char"/>
    <w:basedOn w:val="643"/>
    <w:uiPriority w:val="10"/>
    <w:qFormat/>
    <w:rPr>
      <w:sz w:val="48"/>
      <w:szCs w:val="48"/>
    </w:rPr>
  </w:style>
  <w:style w:type="character" w:styleId="682" w:customStyle="1">
    <w:name w:val="Subtitle Char"/>
    <w:basedOn w:val="643"/>
    <w:uiPriority w:val="11"/>
    <w:qFormat/>
    <w:rPr>
      <w:sz w:val="24"/>
      <w:szCs w:val="24"/>
    </w:rPr>
  </w:style>
  <w:style w:type="character" w:styleId="683" w:customStyle="1">
    <w:name w:val="Quote Char"/>
    <w:uiPriority w:val="29"/>
    <w:qFormat/>
    <w:rPr>
      <w:i/>
    </w:rPr>
  </w:style>
  <w:style w:type="character" w:styleId="684" w:customStyle="1">
    <w:name w:val="Intense Quote Char"/>
    <w:uiPriority w:val="30"/>
    <w:qFormat/>
    <w:rPr>
      <w:i/>
    </w:rPr>
  </w:style>
  <w:style w:type="character" w:styleId="685" w:customStyle="1">
    <w:name w:val="Header Char"/>
    <w:basedOn w:val="643"/>
    <w:uiPriority w:val="99"/>
    <w:qFormat/>
  </w:style>
  <w:style w:type="character" w:styleId="686" w:customStyle="1">
    <w:name w:val="Caption Char"/>
    <w:uiPriority w:val="99"/>
    <w:qFormat/>
  </w:style>
  <w:style w:type="table" w:styleId="687" w:customStyle="1">
    <w:name w:val="Plain Table 1"/>
    <w:basedOn w:val="6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2"/>
    <w:basedOn w:val="6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3"/>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Plain Table 4"/>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Plain Table 5"/>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Grid Table 1 Light"/>
    <w:basedOn w:val="6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2"/>
    <w:basedOn w:val="6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4" w:customStyle="1">
    <w:name w:val="Grid Table 3"/>
    <w:basedOn w:val="6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4"/>
    <w:basedOn w:val="6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customStyle="1">
    <w:name w:val="Grid Table 5 Dark"/>
    <w:basedOn w:val="6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7" w:customStyle="1">
    <w:name w:val="Grid Table 6 Colorful"/>
    <w:basedOn w:val="6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8" w:customStyle="1">
    <w:name w:val="Grid Table 7 Colorful"/>
    <w:basedOn w:val="6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9" w:customStyle="1">
    <w:name w:val="List Table 1 Light"/>
    <w:basedOn w:val="6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customStyle="1">
    <w:name w:val="List Table 2"/>
    <w:basedOn w:val="6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1" w:customStyle="1">
    <w:name w:val="List Table 3"/>
    <w:basedOn w:val="6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2" w:customStyle="1">
    <w:name w:val="List Table 4"/>
    <w:basedOn w:val="6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3" w:customStyle="1">
    <w:name w:val="List Table 5 Dark"/>
    <w:basedOn w:val="6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4" w:customStyle="1">
    <w:name w:val="List Table 6 Colorful"/>
    <w:basedOn w:val="6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5" w:customStyle="1">
    <w:name w:val="List Table 7 Colorful"/>
    <w:basedOn w:val="6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6" w:customStyle="1">
    <w:name w:val="Footnote Text Char"/>
    <w:uiPriority w:val="99"/>
    <w:qFormat/>
    <w:rPr>
      <w:sz w:val="18"/>
    </w:rPr>
  </w:style>
  <w:style w:type="character" w:styleId="707" w:customStyle="1">
    <w:name w:val="Endnote Text Char"/>
    <w:uiPriority w:val="99"/>
    <w:qFormat/>
    <w:rPr>
      <w:sz w:val="20"/>
    </w:rPr>
  </w:style>
  <w:style w:type="paragraph" w:styleId="708" w:customStyle="1">
    <w:name w:val="TOC Heading"/>
    <w:uiPriority w:val="39"/>
    <w:unhideWhenUsed/>
    <w:qFormat/>
    <w:rPr>
      <w:rFonts w:hint="default" w:ascii="Times New Roman" w:hAnsi="Times New Roman" w:eastAsia="宋体" w:cs="Times New Roman"/>
    </w:rPr>
  </w:style>
  <w:style w:type="paragraph" w:styleId="709" w:customStyle="1">
    <w:name w:val="Char Char Char Char Char Char Char Char Char Char Char Char Char"/>
    <w:basedOn w:val="633"/>
    <w:uiPriority w:val="0"/>
    <w:qFormat/>
    <w:pPr>
      <w:jc w:val="left"/>
      <w:spacing w:after="160" w:line="240" w:lineRule="exact"/>
      <w:widowControl/>
    </w:pPr>
    <w:rPr>
      <w:rFonts w:ascii="Verdana" w:hAnsi="Verdana"/>
      <w:sz w:val="20"/>
      <w:szCs w:val="20"/>
      <w:lang w:eastAsia="en-US"/>
    </w:rPr>
  </w:style>
  <w:style w:type="character" w:styleId="710" w:customStyle="1">
    <w:name w:val="标题 1 字符"/>
    <w:link w:val="634"/>
    <w:uiPriority w:val="9"/>
    <w:qFormat/>
    <w:rPr>
      <w:rFonts w:ascii="Arial" w:hAnsi="Arial" w:eastAsia="Arial" w:cs="Arial"/>
      <w:sz w:val="40"/>
      <w:szCs w:val="40"/>
    </w:rPr>
  </w:style>
  <w:style w:type="character" w:styleId="711" w:customStyle="1">
    <w:name w:val="标题 2 字符"/>
    <w:link w:val="635"/>
    <w:uiPriority w:val="9"/>
    <w:qFormat/>
    <w:rPr>
      <w:rFonts w:ascii="Arial" w:hAnsi="Arial" w:eastAsia="Arial" w:cs="Arial"/>
      <w:sz w:val="34"/>
    </w:rPr>
  </w:style>
  <w:style w:type="character" w:styleId="712" w:customStyle="1">
    <w:name w:val="标题 3 字符"/>
    <w:link w:val="636"/>
    <w:uiPriority w:val="9"/>
    <w:qFormat/>
    <w:rPr>
      <w:rFonts w:ascii="Arial" w:hAnsi="Arial" w:eastAsia="Arial" w:cs="Arial"/>
      <w:sz w:val="30"/>
      <w:szCs w:val="30"/>
    </w:rPr>
  </w:style>
  <w:style w:type="character" w:styleId="713" w:customStyle="1">
    <w:name w:val="标题 4 字符"/>
    <w:link w:val="637"/>
    <w:uiPriority w:val="9"/>
    <w:qFormat/>
    <w:rPr>
      <w:rFonts w:ascii="Arial" w:hAnsi="Arial" w:eastAsia="Arial" w:cs="Arial"/>
      <w:b/>
      <w:bCs/>
      <w:sz w:val="26"/>
      <w:szCs w:val="26"/>
    </w:rPr>
  </w:style>
  <w:style w:type="character" w:styleId="714" w:customStyle="1">
    <w:name w:val="标题 5 字符"/>
    <w:link w:val="638"/>
    <w:uiPriority w:val="9"/>
    <w:qFormat/>
    <w:rPr>
      <w:rFonts w:ascii="Arial" w:hAnsi="Arial" w:eastAsia="Arial" w:cs="Arial"/>
      <w:b/>
      <w:bCs/>
      <w:sz w:val="24"/>
      <w:szCs w:val="24"/>
    </w:rPr>
  </w:style>
  <w:style w:type="character" w:styleId="715" w:customStyle="1">
    <w:name w:val="标题 6 字符"/>
    <w:link w:val="639"/>
    <w:uiPriority w:val="9"/>
    <w:qFormat/>
    <w:rPr>
      <w:rFonts w:ascii="Arial" w:hAnsi="Arial" w:eastAsia="Arial" w:cs="Arial"/>
      <w:b/>
      <w:bCs/>
      <w:sz w:val="22"/>
      <w:szCs w:val="22"/>
    </w:rPr>
  </w:style>
  <w:style w:type="character" w:styleId="716" w:customStyle="1">
    <w:name w:val="标题 7 字符"/>
    <w:link w:val="640"/>
    <w:uiPriority w:val="9"/>
    <w:qFormat/>
    <w:rPr>
      <w:rFonts w:ascii="Arial" w:hAnsi="Arial" w:eastAsia="Arial" w:cs="Arial"/>
      <w:b/>
      <w:bCs/>
      <w:i/>
      <w:iCs/>
      <w:sz w:val="22"/>
      <w:szCs w:val="22"/>
    </w:rPr>
  </w:style>
  <w:style w:type="character" w:styleId="717" w:customStyle="1">
    <w:name w:val="标题 8 字符"/>
    <w:link w:val="641"/>
    <w:uiPriority w:val="9"/>
    <w:qFormat/>
    <w:rPr>
      <w:rFonts w:ascii="Arial" w:hAnsi="Arial" w:eastAsia="Arial" w:cs="Arial"/>
      <w:i/>
      <w:iCs/>
      <w:sz w:val="22"/>
      <w:szCs w:val="22"/>
    </w:rPr>
  </w:style>
  <w:style w:type="character" w:styleId="718" w:customStyle="1">
    <w:name w:val="标题 9 字符"/>
    <w:link w:val="642"/>
    <w:uiPriority w:val="9"/>
    <w:qFormat/>
    <w:rPr>
      <w:rFonts w:ascii="Arial" w:hAnsi="Arial" w:eastAsia="Arial" w:cs="Arial"/>
      <w:i/>
      <w:iCs/>
      <w:sz w:val="21"/>
      <w:szCs w:val="21"/>
    </w:rPr>
  </w:style>
  <w:style w:type="paragraph" w:styleId="719">
    <w:name w:val="List Paragraph"/>
    <w:basedOn w:val="633"/>
    <w:uiPriority w:val="34"/>
    <w:qFormat/>
    <w:pPr>
      <w:contextualSpacing/>
      <w:ind w:left="720"/>
    </w:pPr>
  </w:style>
  <w:style w:type="paragraph" w:styleId="720">
    <w:name w:val="No Spacing"/>
    <w:uiPriority w:val="1"/>
    <w:qFormat/>
    <w:rPr>
      <w:rFonts w:hint="default" w:ascii="Times New Roman" w:hAnsi="Times New Roman" w:eastAsia="宋体" w:cs="Times New Roman"/>
      <w:lang w:val="en-US" w:eastAsia="zh-CN" w:bidi="ar-SA"/>
    </w:rPr>
  </w:style>
  <w:style w:type="character" w:styleId="721" w:customStyle="1">
    <w:name w:val="标题 字符"/>
    <w:link w:val="666"/>
    <w:uiPriority w:val="10"/>
    <w:qFormat/>
    <w:rPr>
      <w:sz w:val="48"/>
      <w:szCs w:val="48"/>
    </w:rPr>
  </w:style>
  <w:style w:type="character" w:styleId="722" w:customStyle="1">
    <w:name w:val="副标题 字符"/>
    <w:link w:val="659"/>
    <w:uiPriority w:val="11"/>
    <w:qFormat/>
    <w:rPr>
      <w:sz w:val="24"/>
      <w:szCs w:val="24"/>
    </w:rPr>
  </w:style>
  <w:style w:type="paragraph" w:styleId="723">
    <w:name w:val="Quote"/>
    <w:basedOn w:val="633"/>
    <w:next w:val="633"/>
    <w:link w:val="724"/>
    <w:uiPriority w:val="29"/>
    <w:qFormat/>
    <w:pPr>
      <w:ind w:left="720" w:right="720"/>
    </w:pPr>
    <w:rPr>
      <w:i/>
    </w:rPr>
  </w:style>
  <w:style w:type="character" w:styleId="724" w:customStyle="1">
    <w:name w:val="引用 字符"/>
    <w:link w:val="723"/>
    <w:uiPriority w:val="29"/>
    <w:qFormat/>
    <w:rPr>
      <w:i/>
    </w:rPr>
  </w:style>
  <w:style w:type="paragraph" w:styleId="725">
    <w:name w:val="Intense Quote"/>
    <w:basedOn w:val="633"/>
    <w:next w:val="633"/>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字符"/>
    <w:link w:val="725"/>
    <w:uiPriority w:val="30"/>
    <w:qFormat/>
    <w:rPr>
      <w:i/>
    </w:rPr>
  </w:style>
  <w:style w:type="character" w:styleId="727" w:customStyle="1">
    <w:name w:val="页眉 字符"/>
    <w:link w:val="656"/>
    <w:uiPriority w:val="99"/>
    <w:qFormat/>
  </w:style>
  <w:style w:type="character" w:styleId="728" w:customStyle="1">
    <w:name w:val="Footer Char"/>
    <w:uiPriority w:val="99"/>
    <w:qFormat/>
  </w:style>
  <w:style w:type="character" w:styleId="729" w:customStyle="1">
    <w:name w:val="页脚 字符"/>
    <w:link w:val="655"/>
    <w:uiPriority w:val="99"/>
    <w:qFormat/>
  </w:style>
  <w:style w:type="table" w:styleId="7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脚注文本 字符"/>
    <w:link w:val="660"/>
    <w:uiPriority w:val="99"/>
    <w:qFormat/>
    <w:rPr>
      <w:sz w:val="18"/>
    </w:rPr>
  </w:style>
  <w:style w:type="character" w:styleId="856" w:customStyle="1">
    <w:name w:val="尾注文本 字符"/>
    <w:link w:val="654"/>
    <w:uiPriority w:val="99"/>
    <w:qFormat/>
    <w:rPr>
      <w:sz w:val="20"/>
    </w:rPr>
  </w:style>
  <w:style w:type="paragraph" w:styleId="857" w:customStyle="1">
    <w:name w:val="TOC 标题1"/>
    <w:uiPriority w:val="39"/>
    <w:unhideWhenUsed/>
    <w:qFormat/>
    <w:rPr>
      <w:rFonts w:hint="default" w:ascii="Times New Roman" w:hAnsi="Times New Roman" w:eastAsia="宋体" w:cs="Times New Roman"/>
      <w:lang w:val="en-US" w:eastAsia="zh-CN" w:bidi="ar-SA"/>
    </w:rPr>
  </w:style>
  <w:style w:type="paragraph" w:styleId="858" w:customStyle="1">
    <w:name w:val="标题 11"/>
    <w:basedOn w:val="633"/>
    <w:next w:val="633"/>
    <w:uiPriority w:val="9"/>
    <w:qFormat/>
    <w:pPr>
      <w:keepLines/>
      <w:keepNext/>
      <w:spacing w:before="340" w:after="330" w:line="578" w:lineRule="auto"/>
      <w:outlineLvl w:val="0"/>
    </w:pPr>
    <w:rPr>
      <w:b/>
      <w:bCs/>
      <w:sz w:val="44"/>
      <w:szCs w:val="44"/>
    </w:rPr>
  </w:style>
  <w:style w:type="paragraph" w:styleId="859" w:customStyle="1">
    <w:name w:val="标题 21"/>
    <w:basedOn w:val="633"/>
    <w:next w:val="860"/>
    <w:uiPriority w:val="9"/>
    <w:qFormat/>
    <w:pPr>
      <w:keepLines/>
      <w:keepNext/>
      <w:spacing w:before="260" w:after="260" w:line="413" w:lineRule="auto"/>
      <w:outlineLvl w:val="1"/>
    </w:pPr>
    <w:rPr>
      <w:rFonts w:ascii="Arial" w:hAnsi="Arial" w:eastAsia="黑体"/>
      <w:b/>
      <w:sz w:val="32"/>
      <w:szCs w:val="20"/>
    </w:rPr>
  </w:style>
  <w:style w:type="paragraph" w:styleId="860" w:customStyle="1">
    <w:name w:val="正文缩进1"/>
    <w:basedOn w:val="633"/>
    <w:link w:val="866"/>
    <w:uiPriority w:val="0"/>
    <w:qFormat/>
    <w:pPr>
      <w:ind w:firstLine="420"/>
    </w:pPr>
    <w:rPr>
      <w:szCs w:val="20"/>
    </w:rPr>
  </w:style>
  <w:style w:type="paragraph" w:styleId="861" w:customStyle="1">
    <w:name w:val="标题 31"/>
    <w:basedOn w:val="633"/>
    <w:next w:val="633"/>
    <w:uiPriority w:val="9"/>
    <w:qFormat/>
    <w:pPr>
      <w:keepLines/>
      <w:keepNext/>
      <w:spacing w:before="260" w:after="260" w:line="413" w:lineRule="auto"/>
      <w:outlineLvl w:val="2"/>
    </w:pPr>
    <w:rPr>
      <w:rFonts w:ascii="Arial" w:hAnsi="Arial"/>
      <w:b/>
      <w:sz w:val="32"/>
      <w:szCs w:val="20"/>
    </w:rPr>
  </w:style>
  <w:style w:type="paragraph" w:styleId="862" w:customStyle="1">
    <w:name w:val="标题 41"/>
    <w:basedOn w:val="633"/>
    <w:next w:val="633"/>
    <w:link w:val="867"/>
    <w:uiPriority w:val="9"/>
    <w:qFormat/>
    <w:pPr>
      <w:keepLines/>
      <w:keepNext/>
      <w:spacing w:before="280" w:after="290" w:line="376" w:lineRule="auto"/>
      <w:outlineLvl w:val="3"/>
    </w:pPr>
    <w:rPr>
      <w:rFonts w:ascii="Cambria" w:hAnsi="Cambria"/>
      <w:b/>
      <w:bCs/>
      <w:sz w:val="28"/>
      <w:szCs w:val="28"/>
    </w:rPr>
  </w:style>
  <w:style w:type="paragraph" w:styleId="863" w:customStyle="1">
    <w:name w:val="标题 51"/>
    <w:basedOn w:val="633"/>
    <w:next w:val="633"/>
    <w:link w:val="868"/>
    <w:uiPriority w:val="9"/>
    <w:qFormat/>
    <w:pPr>
      <w:keepLines/>
      <w:keepNext/>
      <w:spacing w:before="280" w:after="290" w:line="376" w:lineRule="auto"/>
      <w:outlineLvl w:val="4"/>
    </w:pPr>
    <w:rPr>
      <w:b/>
      <w:bCs/>
      <w:sz w:val="28"/>
      <w:szCs w:val="28"/>
    </w:rPr>
  </w:style>
  <w:style w:type="character" w:styleId="864" w:customStyle="1">
    <w:name w:val="默认段落字体1"/>
    <w:uiPriority w:val="0"/>
    <w:semiHidden/>
    <w:qFormat/>
  </w:style>
  <w:style w:type="table" w:styleId="865"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66" w:customStyle="1">
    <w:name w:val="正文缩进 Char"/>
    <w:link w:val="860"/>
    <w:uiPriority w:val="0"/>
    <w:qFormat/>
    <w:rPr>
      <w:sz w:val="21"/>
    </w:rPr>
  </w:style>
  <w:style w:type="character" w:styleId="867" w:customStyle="1">
    <w:name w:val="标题 4 Char"/>
    <w:link w:val="862"/>
    <w:uiPriority w:val="9"/>
    <w:qFormat/>
    <w:rPr>
      <w:rFonts w:ascii="Cambria" w:hAnsi="Cambria"/>
      <w:b/>
      <w:bCs/>
      <w:sz w:val="28"/>
      <w:szCs w:val="28"/>
    </w:rPr>
  </w:style>
  <w:style w:type="character" w:styleId="868" w:customStyle="1">
    <w:name w:val="标题 5 Char"/>
    <w:link w:val="863"/>
    <w:uiPriority w:val="9"/>
    <w:qFormat/>
    <w:rPr>
      <w:b/>
      <w:bCs/>
      <w:sz w:val="28"/>
      <w:szCs w:val="28"/>
    </w:rPr>
  </w:style>
  <w:style w:type="paragraph" w:styleId="869" w:customStyle="1">
    <w:name w:val="题注1"/>
    <w:basedOn w:val="633"/>
    <w:next w:val="633"/>
    <w:uiPriority w:val="35"/>
    <w:qFormat/>
    <w:pPr>
      <w:jc w:val="center"/>
      <w:spacing w:before="156" w:after="156" w:line="360" w:lineRule="auto"/>
    </w:pPr>
    <w:rPr>
      <w:rFonts w:ascii="Arial" w:hAnsi="Arial" w:cs="Arial"/>
      <w:sz w:val="24"/>
      <w:szCs w:val="20"/>
    </w:rPr>
  </w:style>
  <w:style w:type="paragraph" w:styleId="870" w:customStyle="1">
    <w:name w:val="文档结构图1"/>
    <w:basedOn w:val="633"/>
    <w:uiPriority w:val="0"/>
    <w:semiHidden/>
    <w:qFormat/>
    <w:pPr>
      <w:shd w:val="clear" w:color="auto" w:fill="000080"/>
    </w:pPr>
  </w:style>
  <w:style w:type="paragraph" w:styleId="871" w:customStyle="1">
    <w:name w:val="批注文字1"/>
    <w:basedOn w:val="633"/>
    <w:link w:val="872"/>
    <w:uiPriority w:val="99"/>
    <w:unhideWhenUsed/>
    <w:qFormat/>
    <w:pPr>
      <w:jc w:val="left"/>
    </w:pPr>
  </w:style>
  <w:style w:type="character" w:styleId="872" w:customStyle="1">
    <w:name w:val="批注文字 Char"/>
    <w:link w:val="871"/>
    <w:uiPriority w:val="99"/>
    <w:qFormat/>
    <w:rPr>
      <w:sz w:val="21"/>
      <w:szCs w:val="24"/>
    </w:rPr>
  </w:style>
  <w:style w:type="paragraph" w:styleId="873" w:customStyle="1">
    <w:name w:val="正文文本 31"/>
    <w:basedOn w:val="633"/>
    <w:uiPriority w:val="0"/>
    <w:qFormat/>
    <w:rPr>
      <w:rFonts w:ascii="楷体_GB2312" w:hAnsi="Arial" w:eastAsia="楷体_GB2312" w:cs="Arial"/>
      <w:b/>
      <w:bCs/>
      <w:color w:val="000000"/>
      <w:sz w:val="24"/>
    </w:rPr>
  </w:style>
  <w:style w:type="paragraph" w:styleId="874" w:customStyle="1">
    <w:name w:val="正文文本11"/>
    <w:basedOn w:val="633"/>
    <w:next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5" w:customStyle="1">
    <w:name w:val="正文文本缩进1"/>
    <w:basedOn w:val="633"/>
    <w:uiPriority w:val="0"/>
    <w:qFormat/>
    <w:pPr>
      <w:ind w:firstLine="630"/>
    </w:pPr>
    <w:rPr>
      <w:rFonts w:ascii="楷体_GB2312" w:eastAsia="楷体_GB2312"/>
      <w:sz w:val="32"/>
      <w:szCs w:val="20"/>
    </w:rPr>
  </w:style>
  <w:style w:type="paragraph" w:styleId="876" w:customStyle="1">
    <w:name w:val="文本块1"/>
    <w:basedOn w:val="633"/>
    <w:uiPriority w:val="0"/>
    <w:qFormat/>
    <w:pPr>
      <w:ind w:left="420" w:right="33"/>
      <w:jc w:val="left"/>
    </w:pPr>
    <w:rPr>
      <w:sz w:val="24"/>
      <w:szCs w:val="20"/>
    </w:rPr>
  </w:style>
  <w:style w:type="paragraph" w:styleId="877" w:customStyle="1">
    <w:name w:val="目录 31"/>
    <w:basedOn w:val="633"/>
    <w:next w:val="633"/>
    <w:uiPriority w:val="0"/>
    <w:semiHidden/>
    <w:qFormat/>
    <w:pPr>
      <w:ind w:left="840"/>
      <w:spacing w:line="300" w:lineRule="auto"/>
      <w:tabs>
        <w:tab w:val="right" w:pos="9344" w:leader="dot"/>
      </w:tabs>
    </w:pPr>
    <w:rPr>
      <w:rFonts w:ascii="Arial" w:hAnsi="Arial" w:cs="Arial"/>
      <w:szCs w:val="21"/>
    </w:rPr>
  </w:style>
  <w:style w:type="paragraph" w:styleId="878" w:customStyle="1">
    <w:name w:val="纯文本11"/>
    <w:basedOn w:val="633"/>
    <w:link w:val="879"/>
    <w:uiPriority w:val="0"/>
    <w:qFormat/>
    <w:rPr>
      <w:rFonts w:ascii="宋体" w:hAnsi="Courier New"/>
      <w:szCs w:val="20"/>
    </w:rPr>
  </w:style>
  <w:style w:type="character" w:styleId="879" w:customStyle="1">
    <w:name w:val="纯文本 Char"/>
    <w:link w:val="878"/>
    <w:uiPriority w:val="0"/>
    <w:qFormat/>
    <w:rPr>
      <w:rFonts w:ascii="宋体" w:hAnsi="Courier New" w:eastAsia="宋体"/>
      <w:sz w:val="21"/>
      <w:lang w:val="en-US" w:eastAsia="zh-CN" w:bidi="ar-SA"/>
    </w:rPr>
  </w:style>
  <w:style w:type="paragraph" w:styleId="880" w:customStyle="1">
    <w:name w:val="正文文本缩进 21"/>
    <w:basedOn w:val="633"/>
    <w:uiPriority w:val="0"/>
    <w:qFormat/>
    <w:pPr>
      <w:ind w:left="420"/>
      <w:spacing w:after="120" w:line="480" w:lineRule="auto"/>
    </w:pPr>
  </w:style>
  <w:style w:type="paragraph" w:styleId="881" w:customStyle="1">
    <w:name w:val="批注框文本1"/>
    <w:basedOn w:val="633"/>
    <w:link w:val="882"/>
    <w:uiPriority w:val="0"/>
    <w:qFormat/>
    <w:rPr>
      <w:sz w:val="18"/>
      <w:szCs w:val="18"/>
    </w:rPr>
  </w:style>
  <w:style w:type="character" w:styleId="882" w:customStyle="1">
    <w:name w:val="批注框文本 Char"/>
    <w:link w:val="881"/>
    <w:uiPriority w:val="0"/>
    <w:qFormat/>
    <w:rPr>
      <w:sz w:val="18"/>
      <w:szCs w:val="18"/>
    </w:rPr>
  </w:style>
  <w:style w:type="paragraph" w:styleId="883" w:customStyle="1">
    <w:name w:val="页脚1"/>
    <w:basedOn w:val="633"/>
    <w:link w:val="884"/>
    <w:uiPriority w:val="0"/>
    <w:qFormat/>
    <w:pPr>
      <w:jc w:val="left"/>
      <w:tabs>
        <w:tab w:val="center" w:pos="4153" w:leader="none"/>
        <w:tab w:val="right" w:pos="8306" w:leader="none"/>
      </w:tabs>
    </w:pPr>
    <w:rPr>
      <w:sz w:val="18"/>
      <w:szCs w:val="18"/>
    </w:rPr>
  </w:style>
  <w:style w:type="character" w:styleId="884" w:customStyle="1">
    <w:name w:val="页脚 Char"/>
    <w:link w:val="883"/>
    <w:uiPriority w:val="0"/>
    <w:qFormat/>
    <w:rPr>
      <w:sz w:val="18"/>
      <w:szCs w:val="18"/>
    </w:rPr>
  </w:style>
  <w:style w:type="paragraph" w:styleId="885" w:customStyle="1">
    <w:name w:val="页眉1"/>
    <w:basedOn w:val="633"/>
    <w:link w:val="886"/>
    <w:uiPriority w:val="0"/>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Char"/>
    <w:link w:val="885"/>
    <w:uiPriority w:val="0"/>
    <w:qFormat/>
    <w:rPr>
      <w:sz w:val="18"/>
      <w:szCs w:val="18"/>
    </w:rPr>
  </w:style>
  <w:style w:type="paragraph" w:styleId="887" w:customStyle="1">
    <w:name w:val="目录 11"/>
    <w:basedOn w:val="633"/>
    <w:next w:val="633"/>
    <w:uiPriority w:val="0"/>
    <w:semiHidden/>
    <w:qFormat/>
  </w:style>
  <w:style w:type="paragraph" w:styleId="888" w:customStyle="1">
    <w:name w:val="正文文本缩进 311"/>
    <w:basedOn w:val="633"/>
    <w:uiPriority w:val="99"/>
    <w:qFormat/>
    <w:pPr>
      <w:ind w:firstLine="420"/>
    </w:pPr>
    <w:rPr>
      <w:rFonts w:eastAsia="楷体_GB2312"/>
    </w:rPr>
  </w:style>
  <w:style w:type="paragraph" w:styleId="889" w:customStyle="1">
    <w:name w:val="目录 21"/>
    <w:basedOn w:val="633"/>
    <w:next w:val="633"/>
    <w:uiPriority w:val="0"/>
    <w:semiHidden/>
    <w:qFormat/>
    <w:pPr>
      <w:ind w:left="420"/>
    </w:pPr>
    <w:rPr>
      <w:szCs w:val="20"/>
    </w:rPr>
  </w:style>
  <w:style w:type="paragraph" w:styleId="890" w:customStyle="1">
    <w:name w:val="正文文本 21"/>
    <w:basedOn w:val="633"/>
    <w:link w:val="891"/>
    <w:uiPriority w:val="0"/>
    <w:qFormat/>
    <w:pPr>
      <w:spacing w:line="440" w:lineRule="exact"/>
    </w:pPr>
    <w:rPr>
      <w:rFonts w:ascii="楷体_GB2312" w:eastAsia="楷体_GB2312"/>
      <w:sz w:val="28"/>
    </w:rPr>
  </w:style>
  <w:style w:type="character" w:styleId="891" w:customStyle="1">
    <w:name w:val="正文文本 2 Char"/>
    <w:link w:val="890"/>
    <w:uiPriority w:val="0"/>
    <w:qFormat/>
    <w:rPr>
      <w:rFonts w:ascii="楷体_GB2312" w:eastAsia="楷体_GB2312"/>
      <w:sz w:val="28"/>
      <w:szCs w:val="24"/>
    </w:rPr>
  </w:style>
  <w:style w:type="paragraph" w:styleId="892" w:customStyle="1">
    <w:name w:val="批注主题1"/>
    <w:basedOn w:val="871"/>
    <w:next w:val="871"/>
    <w:link w:val="893"/>
    <w:uiPriority w:val="0"/>
    <w:qFormat/>
    <w:rPr>
      <w:b/>
      <w:bCs/>
    </w:rPr>
  </w:style>
  <w:style w:type="character" w:styleId="893" w:customStyle="1">
    <w:name w:val="批注主题 Char"/>
    <w:link w:val="892"/>
    <w:uiPriority w:val="0"/>
    <w:qFormat/>
    <w:rPr>
      <w:b/>
      <w:bCs/>
      <w:sz w:val="21"/>
      <w:szCs w:val="24"/>
    </w:rPr>
  </w:style>
  <w:style w:type="paragraph" w:styleId="894" w:customStyle="1">
    <w:name w:val="正文首行缩进 21"/>
    <w:basedOn w:val="875"/>
    <w:uiPriority w:val="0"/>
    <w:qFormat/>
    <w:pPr>
      <w:ind w:left="420" w:firstLine="420"/>
      <w:spacing w:after="120"/>
      <w:widowControl/>
    </w:pPr>
    <w:rPr>
      <w:rFonts w:ascii="仿宋_GB2312" w:eastAsia="仿宋_GB2312"/>
      <w:color w:val="ff6600"/>
      <w:sz w:val="21"/>
    </w:rPr>
  </w:style>
  <w:style w:type="table" w:styleId="895" w:customStyle="1">
    <w:name w:val="网格型1"/>
    <w:basedOn w:val="865"/>
    <w:uiPriority w:val="0"/>
    <w:qFormat/>
    <w:tblPr>
      <w:tblCellMar>
        <w:left w:w="0" w:type="dxa"/>
        <w:top w:w="0" w:type="dxa"/>
        <w:right w:w="0" w:type="dxa"/>
        <w:bottom w:w="0" w:type="dxa"/>
      </w:tblCellMar>
    </w:tblPr>
  </w:style>
  <w:style w:type="character" w:styleId="896" w:customStyle="1">
    <w:name w:val="要点1"/>
    <w:uiPriority w:val="0"/>
    <w:qFormat/>
  </w:style>
  <w:style w:type="character" w:styleId="897" w:customStyle="1">
    <w:name w:val="页码1"/>
    <w:uiPriority w:val="0"/>
    <w:qFormat/>
  </w:style>
  <w:style w:type="character" w:styleId="898" w:customStyle="1">
    <w:name w:val="已访问的超链接1"/>
    <w:uiPriority w:val="0"/>
    <w:qFormat/>
    <w:rPr>
      <w:color w:val="800080"/>
      <w:u w:val="none"/>
    </w:rPr>
  </w:style>
  <w:style w:type="character" w:styleId="899" w:customStyle="1">
    <w:name w:val="强调1"/>
    <w:uiPriority w:val="0"/>
    <w:qFormat/>
  </w:style>
  <w:style w:type="character" w:styleId="900" w:customStyle="1">
    <w:name w:val="HTML 定义1"/>
    <w:uiPriority w:val="0"/>
    <w:qFormat/>
  </w:style>
  <w:style w:type="character" w:styleId="901" w:customStyle="1">
    <w:name w:val="HTML 打字机1"/>
    <w:uiPriority w:val="0"/>
    <w:qFormat/>
    <w:rPr>
      <w:rFonts w:ascii="monospace" w:hAnsi="monospace" w:eastAsia="monospace" w:cs="monospace"/>
      <w:sz w:val="20"/>
    </w:rPr>
  </w:style>
  <w:style w:type="character" w:styleId="902" w:customStyle="1">
    <w:name w:val="HTML 缩写1"/>
    <w:uiPriority w:val="0"/>
    <w:qFormat/>
  </w:style>
  <w:style w:type="character" w:styleId="903" w:customStyle="1">
    <w:name w:val="HTML 变量1"/>
    <w:uiPriority w:val="0"/>
    <w:qFormat/>
  </w:style>
  <w:style w:type="character" w:styleId="904" w:customStyle="1">
    <w:name w:val="超链接1"/>
    <w:uiPriority w:val="0"/>
    <w:qFormat/>
    <w:rPr>
      <w:color w:val="0000ff"/>
      <w:u w:val="none"/>
    </w:rPr>
  </w:style>
  <w:style w:type="character" w:styleId="905" w:customStyle="1">
    <w:name w:val="HTML 代码1"/>
    <w:uiPriority w:val="0"/>
    <w:qFormat/>
    <w:rPr>
      <w:rFonts w:ascii="monospace" w:hAnsi="monospace" w:eastAsia="monospace" w:cs="monospace"/>
      <w:sz w:val="20"/>
    </w:rPr>
  </w:style>
  <w:style w:type="character" w:styleId="906" w:customStyle="1">
    <w:name w:val="批注引用1"/>
    <w:uiPriority w:val="0"/>
    <w:qFormat/>
    <w:rPr>
      <w:sz w:val="21"/>
      <w:szCs w:val="21"/>
    </w:rPr>
  </w:style>
  <w:style w:type="character" w:styleId="907" w:customStyle="1">
    <w:name w:val="HTML 引文1"/>
    <w:uiPriority w:val="0"/>
    <w:qFormat/>
  </w:style>
  <w:style w:type="character" w:styleId="908" w:customStyle="1">
    <w:name w:val="HTML 键盘1"/>
    <w:uiPriority w:val="0"/>
    <w:qFormat/>
    <w:rPr>
      <w:rFonts w:ascii="monospace" w:hAnsi="monospace" w:eastAsia="monospace" w:cs="monospace"/>
      <w:sz w:val="20"/>
    </w:rPr>
  </w:style>
  <w:style w:type="character" w:styleId="909" w:customStyle="1">
    <w:name w:val="HTML 样本1"/>
    <w:uiPriority w:val="0"/>
    <w:qFormat/>
    <w:rPr>
      <w:rFonts w:ascii="monospace" w:hAnsi="monospace" w:eastAsia="monospace" w:cs="monospace"/>
    </w:rPr>
  </w:style>
  <w:style w:type="character" w:styleId="910" w:customStyle="1">
    <w:name w:val="Font Style30"/>
    <w:uiPriority w:val="0"/>
    <w:qFormat/>
    <w:rPr>
      <w:rFonts w:ascii="宋体" w:eastAsia="宋体" w:cs="宋体"/>
      <w:sz w:val="14"/>
      <w:szCs w:val="14"/>
    </w:rPr>
  </w:style>
  <w:style w:type="character" w:styleId="911" w:customStyle="1">
    <w:name w:val="glyphicon"/>
    <w:uiPriority w:val="0"/>
    <w:qFormat/>
  </w:style>
  <w:style w:type="character" w:styleId="912" w:customStyle="1">
    <w:name w:val="Font Style36"/>
    <w:uiPriority w:val="0"/>
    <w:qFormat/>
    <w:rPr>
      <w:rFonts w:ascii="宋体" w:eastAsia="宋体" w:cs="宋体"/>
      <w:sz w:val="16"/>
      <w:szCs w:val="16"/>
    </w:rPr>
  </w:style>
  <w:style w:type="character" w:styleId="913" w:customStyle="1">
    <w:name w:val="hour_am"/>
    <w:uiPriority w:val="0"/>
    <w:qFormat/>
  </w:style>
  <w:style w:type="character" w:styleId="914" w:customStyle="1">
    <w:name w:val="old"/>
    <w:uiPriority w:val="0"/>
    <w:qFormat/>
    <w:rPr>
      <w:color w:val="999999"/>
    </w:rPr>
  </w:style>
  <w:style w:type="character" w:styleId="915" w:customStyle="1">
    <w:name w:val="标题 2 Char"/>
    <w:uiPriority w:val="0"/>
    <w:qFormat/>
    <w:rPr>
      <w:rFonts w:ascii="Arial" w:hAnsi="Arial" w:eastAsia="黑体"/>
      <w:b/>
      <w:sz w:val="32"/>
      <w:lang w:val="en-US" w:eastAsia="zh-CN"/>
    </w:rPr>
  </w:style>
  <w:style w:type="character" w:styleId="916" w:customStyle="1">
    <w:name w:val="hover"/>
    <w:uiPriority w:val="0"/>
    <w:qFormat/>
    <w:rPr>
      <w:shd w:val="clear" w:color="auto" w:fill="eeeeee"/>
    </w:rPr>
  </w:style>
  <w:style w:type="character" w:styleId="917" w:customStyle="1">
    <w:name w:val="hour_pm"/>
    <w:uiPriority w:val="0"/>
    <w:qFormat/>
  </w:style>
  <w:style w:type="character" w:styleId="918" w:customStyle="1">
    <w:name w:val="Font Style28"/>
    <w:uiPriority w:val="0"/>
    <w:qFormat/>
    <w:rPr>
      <w:rFonts w:ascii="Constantia" w:hAnsi="Constantia" w:cs="Constantia"/>
      <w:sz w:val="28"/>
      <w:szCs w:val="28"/>
    </w:rPr>
  </w:style>
  <w:style w:type="character" w:styleId="919" w:customStyle="1">
    <w:name w:val="Font Style29"/>
    <w:uiPriority w:val="0"/>
    <w:qFormat/>
    <w:rPr>
      <w:rFonts w:ascii="Arial" w:hAnsi="Arial" w:cs="Arial"/>
      <w:sz w:val="14"/>
      <w:szCs w:val="14"/>
    </w:rPr>
  </w:style>
  <w:style w:type="character" w:styleId="920" w:customStyle="1">
    <w:name w:val="Font Style37"/>
    <w:uiPriority w:val="0"/>
    <w:qFormat/>
    <w:rPr>
      <w:rFonts w:ascii="Arial" w:hAnsi="Arial" w:cs="Arial"/>
      <w:sz w:val="16"/>
      <w:szCs w:val="16"/>
    </w:rPr>
  </w:style>
  <w:style w:type="character" w:styleId="921" w:customStyle="1">
    <w:name w:val="Plain Text Char"/>
    <w:uiPriority w:val="0"/>
    <w:qFormat/>
    <w:rPr>
      <w:rFonts w:ascii="宋体" w:hAnsi="Courier New" w:eastAsia="宋体"/>
      <w:sz w:val="21"/>
      <w:lang w:val="en-US" w:eastAsia="zh-CN" w:bidi="ar-SA"/>
    </w:rPr>
  </w:style>
  <w:style w:type="paragraph" w:styleId="92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3" w:customStyle="1">
    <w:name w:val="默认段落字体 Para Char Char Char Char Char Char Char Char Char1 Char Char Char Char Char Char Char"/>
    <w:basedOn w:val="870"/>
    <w:uiPriority w:val="0"/>
    <w:qFormat/>
    <w:rPr>
      <w:rFonts w:ascii="Tahoma" w:hAnsi="Tahoma"/>
      <w:sz w:val="24"/>
    </w:rPr>
  </w:style>
  <w:style w:type="paragraph" w:styleId="924" w:customStyle="1">
    <w:name w:val="Style9"/>
    <w:basedOn w:val="633"/>
    <w:uiPriority w:val="0"/>
    <w:qFormat/>
    <w:pPr>
      <w:jc w:val="left"/>
    </w:pPr>
    <w:rPr>
      <w:rFonts w:ascii="宋体"/>
      <w:sz w:val="24"/>
    </w:rPr>
  </w:style>
  <w:style w:type="paragraph" w:styleId="925" w:customStyle="1">
    <w:name w:val="Char"/>
    <w:basedOn w:val="633"/>
    <w:uiPriority w:val="0"/>
    <w:qFormat/>
    <w:pPr>
      <w:tabs>
        <w:tab w:val="left" w:pos="360" w:leader="none"/>
      </w:tabs>
    </w:pPr>
    <w:rPr>
      <w:sz w:val="24"/>
    </w:rPr>
  </w:style>
  <w:style w:type="paragraph" w:styleId="926" w:customStyle="1">
    <w:name w:val="Char Char Char1 Char Char Char Char"/>
    <w:basedOn w:val="633"/>
    <w:uiPriority w:val="0"/>
    <w:qFormat/>
    <w:pPr>
      <w:jc w:val="left"/>
      <w:spacing w:after="160" w:line="240" w:lineRule="exact"/>
      <w:widowControl/>
    </w:pPr>
    <w:rPr>
      <w:rFonts w:ascii="宋体" w:hAnsi="宋体"/>
      <w:b/>
      <w:sz w:val="28"/>
      <w:szCs w:val="28"/>
    </w:rPr>
  </w:style>
  <w:style w:type="paragraph" w:styleId="927" w:customStyle="1">
    <w:name w:val="Style10"/>
    <w:basedOn w:val="633"/>
    <w:uiPriority w:val="0"/>
    <w:qFormat/>
    <w:pPr>
      <w:jc w:val="left"/>
    </w:pPr>
    <w:rPr>
      <w:rFonts w:ascii="宋体"/>
      <w:sz w:val="24"/>
    </w:rPr>
  </w:style>
  <w:style w:type="paragraph" w:styleId="928" w:customStyle="1">
    <w:name w:val="首行缩进"/>
    <w:basedOn w:val="633"/>
    <w:uiPriority w:val="0"/>
    <w:qFormat/>
    <w:pPr>
      <w:ind w:firstLine="420"/>
      <w:spacing w:line="360" w:lineRule="auto"/>
    </w:pPr>
    <w:rPr>
      <w:sz w:val="20"/>
    </w:rPr>
  </w:style>
  <w:style w:type="paragraph" w:styleId="929" w:customStyle="1">
    <w:name w:val="普通正文"/>
    <w:basedOn w:val="633"/>
    <w:uiPriority w:val="0"/>
    <w:qFormat/>
    <w:pPr>
      <w:ind w:firstLine="480"/>
      <w:jc w:val="left"/>
      <w:spacing w:before="120" w:after="120" w:line="360" w:lineRule="auto"/>
    </w:pPr>
    <w:rPr>
      <w:rFonts w:ascii="Arial" w:hAnsi="Arial"/>
      <w:sz w:val="24"/>
    </w:rPr>
  </w:style>
  <w:style w:type="paragraph" w:styleId="930" w:customStyle="1">
    <w:name w:val="要点标题"/>
    <w:basedOn w:val="633"/>
    <w:uiPriority w:val="0"/>
    <w:qFormat/>
    <w:pPr>
      <w:numPr>
        <w:ilvl w:val="0"/>
        <w:numId w:val="1"/>
      </w:numPr>
      <w:jc w:val="left"/>
    </w:pPr>
    <w:rPr>
      <w:rFonts w:ascii="宋体" w:hAnsi="宋体"/>
      <w:b/>
      <w:sz w:val="24"/>
    </w:rPr>
  </w:style>
  <w:style w:type="paragraph" w:styleId="931" w:customStyle="1">
    <w:name w:val="文档正文"/>
    <w:basedOn w:val="633"/>
    <w:uiPriority w:val="0"/>
    <w:qFormat/>
    <w:pPr>
      <w:ind w:firstLine="567"/>
      <w:spacing w:line="480" w:lineRule="atLeast"/>
    </w:pPr>
    <w:rPr>
      <w:rFonts w:ascii="仿宋_GB2312"/>
      <w:szCs w:val="20"/>
    </w:rPr>
  </w:style>
  <w:style w:type="paragraph" w:styleId="932" w:customStyle="1">
    <w:name w:val="Char Char Char Char"/>
    <w:basedOn w:val="870"/>
    <w:uiPriority w:val="0"/>
    <w:qFormat/>
    <w:pPr>
      <w:spacing w:line="360" w:lineRule="auto"/>
    </w:pPr>
    <w:rPr>
      <w:rFonts w:ascii="Tahoma" w:hAnsi="Tahoma"/>
      <w:sz w:val="24"/>
    </w:rPr>
  </w:style>
  <w:style w:type="paragraph" w:styleId="933" w:customStyle="1">
    <w:name w:val="Char11"/>
    <w:basedOn w:val="633"/>
    <w:uiPriority w:val="0"/>
    <w:qFormat/>
    <w:pPr>
      <w:ind w:left="420" w:hanging="420"/>
      <w:jc w:val="left"/>
      <w:tabs>
        <w:tab w:val="left" w:pos="420" w:leader="none"/>
      </w:tabs>
    </w:pPr>
    <w:rPr>
      <w:szCs w:val="20"/>
    </w:rPr>
  </w:style>
  <w:style w:type="paragraph" w:styleId="934" w:customStyle="1">
    <w:name w:val="正文（无缩进）"/>
    <w:basedOn w:val="633"/>
    <w:uiPriority w:val="0"/>
    <w:qFormat/>
    <w:pPr>
      <w:spacing w:line="360" w:lineRule="auto"/>
    </w:pPr>
    <w:rPr>
      <w:rFonts w:ascii="Calibri" w:hAnsi="Calibri"/>
      <w:sz w:val="24"/>
      <w:szCs w:val="21"/>
    </w:rPr>
  </w:style>
  <w:style w:type="paragraph" w:styleId="935" w:customStyle="1">
    <w:name w:val="Style11"/>
    <w:basedOn w:val="633"/>
    <w:uiPriority w:val="0"/>
    <w:qFormat/>
    <w:pPr>
      <w:jc w:val="left"/>
      <w:spacing w:line="446" w:lineRule="exact"/>
    </w:pPr>
    <w:rPr>
      <w:rFonts w:ascii="宋体"/>
      <w:sz w:val="24"/>
    </w:rPr>
  </w:style>
  <w:style w:type="paragraph" w:styleId="936" w:customStyle="1">
    <w:name w:val="样式1"/>
    <w:basedOn w:val="633"/>
    <w:uiPriority w:val="0"/>
    <w:qFormat/>
    <w:pPr>
      <w:ind w:left="432" w:firstLine="288"/>
      <w:tabs>
        <w:tab w:val="left" w:pos="1110" w:leader="none"/>
      </w:tabs>
    </w:pPr>
    <w:rPr>
      <w:rFonts w:ascii="宋体" w:hAnsi="宋体"/>
      <w:szCs w:val="21"/>
    </w:rPr>
  </w:style>
  <w:style w:type="paragraph" w:styleId="937" w:customStyle="1">
    <w:name w:val="_Style 56"/>
    <w:basedOn w:val="870"/>
    <w:uiPriority w:val="0"/>
    <w:qFormat/>
    <w:pPr>
      <w:spacing w:line="436" w:lineRule="exact"/>
    </w:pPr>
    <w:rPr>
      <w:szCs w:val="20"/>
    </w:rPr>
  </w:style>
  <w:style w:type="paragraph" w:styleId="938" w:customStyle="1">
    <w:name w:val="Char Char1 Char Char Char Char Char Char"/>
    <w:basedOn w:val="633"/>
    <w:uiPriority w:val="0"/>
    <w:qFormat/>
    <w:pPr>
      <w:jc w:val="center"/>
      <w:widowControl/>
    </w:pPr>
    <w:rPr>
      <w:rFonts w:ascii="宋体" w:hAnsi="宋体"/>
      <w:b/>
      <w:sz w:val="24"/>
      <w:lang w:eastAsia="en-US"/>
    </w:rPr>
  </w:style>
  <w:style w:type="paragraph" w:styleId="939" w:customStyle="1">
    <w:name w:val="Char1"/>
    <w:basedOn w:val="633"/>
    <w:uiPriority w:val="0"/>
    <w:qFormat/>
    <w:pPr>
      <w:ind w:left="840" w:hanging="420"/>
      <w:tabs>
        <w:tab w:val="left" w:pos="840" w:leader="none"/>
      </w:tabs>
    </w:pPr>
    <w:rPr>
      <w:sz w:val="24"/>
    </w:rPr>
  </w:style>
  <w:style w:type="paragraph" w:styleId="940" w:customStyle="1">
    <w:name w:val="我的样式"/>
    <w:basedOn w:val="858"/>
    <w:next w:val="633"/>
    <w:uiPriority w:val="0"/>
    <w:qFormat/>
    <w:pPr>
      <w:numPr>
        <w:ilvl w:val="0"/>
        <w:numId w:val="2"/>
      </w:numPr>
      <w:spacing w:line="360" w:lineRule="auto"/>
    </w:pPr>
    <w:rPr>
      <w:rFonts w:ascii="仿宋_GB2312" w:eastAsia="仿宋_GB2312"/>
      <w:sz w:val="32"/>
      <w:szCs w:val="30"/>
    </w:rPr>
  </w:style>
  <w:style w:type="paragraph" w:styleId="94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2" w:customStyle="1">
    <w:name w:val="Char Char Char Char Char Char Char Char Char Char Char Char Char1"/>
    <w:basedOn w:val="633"/>
    <w:uiPriority w:val="0"/>
    <w:qFormat/>
    <w:pPr>
      <w:jc w:val="left"/>
      <w:spacing w:after="160" w:line="240" w:lineRule="exact"/>
      <w:widowControl/>
    </w:pPr>
    <w:rPr>
      <w:rFonts w:ascii="Verdana" w:hAnsi="Verdana"/>
      <w:sz w:val="20"/>
      <w:szCs w:val="20"/>
      <w:lang w:eastAsia="en-US"/>
    </w:rPr>
  </w:style>
  <w:style w:type="paragraph" w:styleId="943" w:customStyle="1">
    <w:name w:val="标题1"/>
    <w:basedOn w:val="858"/>
    <w:next w:val="633"/>
    <w:uiPriority w:val="0"/>
    <w:qFormat/>
    <w:pPr>
      <w:numPr>
        <w:ilvl w:val="0"/>
        <w:numId w:val="3"/>
      </w:numPr>
      <w:jc w:val="left"/>
      <w:spacing w:line="578" w:lineRule="atLeast"/>
    </w:pPr>
  </w:style>
  <w:style w:type="paragraph" w:styleId="944" w:customStyle="1">
    <w:name w:val="正文（缩进） Char1"/>
    <w:basedOn w:val="633"/>
    <w:uiPriority w:val="0"/>
    <w:qFormat/>
    <w:pPr>
      <w:ind w:firstLine="480"/>
      <w:spacing w:before="156" w:after="156" w:line="360" w:lineRule="auto"/>
    </w:pPr>
    <w:rPr>
      <w:sz w:val="24"/>
    </w:rPr>
  </w:style>
  <w:style w:type="paragraph" w:styleId="945"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46" w:customStyle="1">
    <w:name w:val="Style12"/>
    <w:basedOn w:val="633"/>
    <w:uiPriority w:val="0"/>
    <w:qFormat/>
    <w:pPr>
      <w:jc w:val="left"/>
    </w:pPr>
    <w:rPr>
      <w:rFonts w:ascii="宋体"/>
      <w:sz w:val="24"/>
    </w:rPr>
  </w:style>
  <w:style w:type="paragraph" w:styleId="947" w:customStyle="1">
    <w:name w:val="纯文本1"/>
    <w:basedOn w:val="633"/>
    <w:uiPriority w:val="0"/>
    <w:qFormat/>
    <w:rPr>
      <w:rFonts w:ascii="宋体" w:hAnsi="Courier New"/>
      <w:szCs w:val="20"/>
    </w:rPr>
  </w:style>
  <w:style w:type="paragraph" w:styleId="948" w:customStyle="1">
    <w:name w:val="正文1"/>
    <w:basedOn w:val="949"/>
    <w:uiPriority w:val="0"/>
    <w:qFormat/>
    <w:pPr>
      <w:contextualSpacing/>
      <w:ind w:firstLine="200"/>
      <w:spacing w:before="120" w:after="120" w:line="180" w:lineRule="auto"/>
    </w:pPr>
    <w:rPr>
      <w:rFonts w:ascii="Calibri" w:hAnsi="Calibri" w:eastAsia="Adobe 仿宋 Std R"/>
      <w:szCs w:val="21"/>
    </w:rPr>
  </w:style>
  <w:style w:type="paragraph" w:styleId="949" w:customStyle="1">
    <w:name w:val="正文111"/>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正文文本缩进11"/>
    <w:basedOn w:val="949"/>
    <w:uiPriority w:val="0"/>
    <w:qFormat/>
    <w:pPr>
      <w:ind w:firstLine="425"/>
      <w:spacing w:line="360" w:lineRule="auto"/>
    </w:pPr>
  </w:style>
  <w:style w:type="paragraph" w:styleId="951" w:customStyle="1">
    <w:name w:val="_Style 2"/>
    <w:basedOn w:val="633"/>
    <w:uiPriority w:val="34"/>
    <w:qFormat/>
    <w:pPr>
      <w:contextualSpacing/>
      <w:ind w:left="720"/>
      <w:jc w:val="left"/>
      <w:widowControl/>
    </w:pPr>
    <w:rPr>
      <w:rFonts w:ascii="Calibri" w:hAnsi="Calibri"/>
      <w:sz w:val="24"/>
      <w:lang w:eastAsia="en-US" w:bidi="en-US"/>
    </w:rPr>
  </w:style>
  <w:style w:type="paragraph" w:styleId="952" w:customStyle="1">
    <w:name w:val="_Style 3"/>
    <w:next w:val="95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3" w:customStyle="1">
    <w:name w:val="正文文本缩进 31"/>
    <w:basedOn w:val="633"/>
    <w:uiPriority w:val="99"/>
    <w:qFormat/>
    <w:pPr>
      <w:ind w:firstLine="420"/>
    </w:pPr>
    <w:rPr>
      <w:rFonts w:eastAsia="楷体_GB2312"/>
    </w:rPr>
  </w:style>
  <w:style w:type="paragraph" w:styleId="954" w:customStyle="1">
    <w:name w:val="正文首行缩进1"/>
    <w:basedOn w:val="955"/>
    <w:uiPriority w:val="99"/>
    <w:qFormat/>
    <w:pPr>
      <w:ind w:firstLine="420"/>
      <w:tabs>
        <w:tab w:val="left" w:pos="2020" w:leader="none"/>
        <w:tab w:val="center" w:pos="4535" w:leader="none"/>
      </w:tabs>
    </w:pPr>
  </w:style>
  <w:style w:type="paragraph" w:styleId="955" w:customStyle="1">
    <w:name w:val="正文文本1"/>
    <w:basedOn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56" w:customStyle="1">
    <w:name w:val="font51"/>
    <w:basedOn w:val="643"/>
    <w:uiPriority w:val="0"/>
    <w:qFormat/>
    <w:rPr>
      <w:rFonts w:hint="eastAsia" w:ascii="宋体" w:hAnsi="宋体" w:eastAsia="宋体" w:cs="宋体"/>
      <w:color w:val="000000"/>
      <w:sz w:val="22"/>
      <w:szCs w:val="22"/>
      <w:u w:val="none"/>
    </w:rPr>
  </w:style>
  <w:style w:type="character" w:styleId="957" w:customStyle="1">
    <w:name w:val="font71"/>
    <w:basedOn w:val="643"/>
    <w:uiPriority w:val="0"/>
    <w:qFormat/>
    <w:rPr>
      <w:rFonts w:hint="default" w:ascii="Arial" w:hAnsi="Arial" w:cs="Arial"/>
      <w:color w:val="000000"/>
      <w:sz w:val="22"/>
      <w:szCs w:val="22"/>
      <w:u w:val="none"/>
    </w:rPr>
  </w:style>
  <w:style w:type="character" w:styleId="958" w:customStyle="1">
    <w:name w:val="font81"/>
    <w:basedOn w:val="643"/>
    <w:uiPriority w:val="0"/>
    <w:qFormat/>
    <w:rPr>
      <w:rFonts w:ascii="Symbol" w:hAnsi="Symbol" w:cs="Symbol"/>
      <w:color w:val="000000"/>
      <w:sz w:val="22"/>
      <w:szCs w:val="22"/>
      <w:u w:val="none"/>
    </w:rPr>
  </w:style>
  <w:style w:type="character" w:styleId="959" w:customStyle="1">
    <w:name w:val="font61"/>
    <w:basedOn w:val="643"/>
    <w:uiPriority w:val="0"/>
    <w:qFormat/>
    <w:rPr>
      <w:rFonts w:hint="default" w:ascii="Arial" w:hAnsi="Arial" w:cs="Arial"/>
      <w:color w:val="000000"/>
      <w:sz w:val="22"/>
      <w:szCs w:val="22"/>
      <w:u w:val="none"/>
    </w:rPr>
  </w:style>
  <w:style w:type="character" w:styleId="960" w:customStyle="1">
    <w:name w:val="font31"/>
    <w:basedOn w:val="643"/>
    <w:uiPriority w:val="0"/>
    <w:qFormat/>
    <w:rPr>
      <w:rFonts w:hint="eastAsia" w:ascii="微软雅黑" w:hAnsi="微软雅黑" w:eastAsia="微软雅黑" w:cs="微软雅黑"/>
      <w:color w:val="000000"/>
      <w:sz w:val="18"/>
      <w:szCs w:val="18"/>
      <w:u w:val="none"/>
    </w:rPr>
  </w:style>
  <w:style w:type="character" w:styleId="961" w:customStyle="1">
    <w:name w:val="font91"/>
    <w:basedOn w:val="643"/>
    <w:uiPriority w:val="0"/>
    <w:qFormat/>
    <w:rPr>
      <w:rFonts w:ascii="Symbol" w:hAnsi="Symbol" w:cs="Symbol"/>
      <w:color w:val="000000"/>
      <w:sz w:val="18"/>
      <w:szCs w:val="18"/>
      <w:u w:val="none"/>
    </w:rPr>
  </w:style>
  <w:style w:type="paragraph" w:styleId="962" w:customStyle="1">
    <w:name w:val="列出段落2"/>
    <w:basedOn w:val="633"/>
    <w:uiPriority w:val="0"/>
    <w:qFormat/>
    <w:pPr>
      <w:ind w:firstLine="420"/>
    </w:pPr>
    <w:rPr>
      <w:rFonts w:ascii="Calibri" w:hAnsi="Calibri" w:cs="Calibri"/>
    </w:rPr>
  </w:style>
  <w:style w:type="character" w:styleId="963" w:customStyle="1">
    <w:name w:val="font101"/>
    <w:basedOn w:val="643"/>
    <w:uiPriority w:val="0"/>
    <w:qFormat/>
    <w:rPr>
      <w:rFonts w:hint="default" w:ascii="Arial" w:hAnsi="Arial" w:cs="Arial"/>
      <w:color w:val="000000"/>
      <w:sz w:val="22"/>
      <w:szCs w:val="22"/>
      <w:u w:val="none"/>
    </w:rPr>
  </w:style>
  <w:style w:type="character" w:styleId="964" w:customStyle="1">
    <w:name w:val="NormalCharacter"/>
    <w:uiPriority w:val="0"/>
    <w:qFormat/>
  </w:style>
  <w:style w:type="paragraph" w:styleId="965"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966" w:customStyle="1">
    <w:name w:val="正文_2_0"/>
    <w:uiPriority w:val="0"/>
    <w:qFormat/>
    <w:pPr>
      <w:jc w:val="both"/>
      <w:widowControl w:val="off"/>
    </w:pPr>
    <w:rPr>
      <w:rFonts w:hint="default" w:ascii="Calibri" w:hAnsi="Calibri" w:eastAsia="宋体" w:cs="Times New Roman"/>
      <w:sz w:val="21"/>
      <w:lang w:val="en-US" w:eastAsia="zh-CN" w:bidi="ar-SA"/>
    </w:rPr>
  </w:style>
  <w:style w:type="table" w:styleId="967" w:customStyle="1">
    <w:name w:val="Table Normal"/>
    <w:uiPriority w:val="0"/>
    <w:qFormat/>
    <w:tblPr>
      <w:tblCellMar>
        <w:left w:w="0" w:type="dxa"/>
        <w:top w:w="0" w:type="dxa"/>
        <w:right w:w="0" w:type="dxa"/>
        <w:bottom w:w="0" w:type="dxa"/>
      </w:tblCellMar>
    </w:tblPr>
  </w:style>
  <w:style w:type="numbering" w:styleId="93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c2fee56b-88b3-4f29-835f-e9209ec31977</errorID>
      <errorWord>日</errorWord>
      <group>L1_Word</group>
      <groupName>字词问题</groupName>
      <ability>L2_Typo</ability>
      <abilityName>字词错误</abilityName>
      <candidateList>
        <item>日内</item>
      </candidateList>
      <explain/>
      <paraID>  EAEF13</paraID>
      <start>17</start>
      <end>18</end>
      <status>ignored</status>
      <modifiedWord/>
      <trackRevisions>false</trackRevisions>
    </reviewItem>
    <reviewItem>
      <errorID>43839d95-a964-46a1-965a-c5f903c803cc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4B4CAE52</paraID>
      <start>9</start>
      <end>10</end>
      <status>ignored</status>
      <modifiedWord/>
      <trackRevisions>false</trackRevisions>
    </reviewItem>
    <reviewItem>
      <errorID>52796e79-a923-4060-83d3-3e8acf14a82b</errorID>
      <errorWord>[2022]002号</errorWord>
      <group>L1_Knowledge</group>
      <groupName>知识性问题</groupName>
      <ability>L2_Knowledge</ability>
      <abilityName>其他知识</abilityName>
      <candidateList>
        <item>〔2022〕2号</item>
      </candidateList>
      <explain>发文字号格式错误。</explain>
      <paraID>2BD09E26</paraID>
      <start>16</start>
      <end>26</end>
      <status>ignored</status>
      <modifiedWord/>
      <trackRevisions>false</trackRevisions>
    </reviewItem>
    <reviewItem>
      <errorID>6e53b3b7-43c0-4e31-a69c-5e444e7be932</errorID>
      <errorWord>无须</errorWord>
      <group>L1_Word</group>
      <groupName>字词问题</groupName>
      <ability>L2_Typo</ability>
      <abilityName>字词错误</abilityName>
      <candidateList>
        <item>无需</item>
      </candidateList>
      <explain>同“无须”。</explain>
      <paraID>2BD09E26</paraID>
      <start>48</start>
      <end>50</end>
      <status>ignored</status>
      <modifiedWord/>
      <trackRevisions>false</trackRevisions>
    </reviewItem>
    <reviewItem>
      <errorID>5c2e7956-5c47-4db0-81eb-b153eda27d38</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2CAAA59A</paraID>
      <start>73</start>
      <end>77</end>
      <status>ignored</status>
      <modifiedWord/>
      <trackRevisions>false</trackRevisions>
    </reviewItem>
    <reviewItem>
      <errorID>2ee31d61-c387-419b-812d-70d51f2b8952</errorID>
      <errorWord>涉及到</errorWord>
      <group>L1_Grammar</group>
      <groupName>语法问题</groupName>
      <ability>L2_Grammar</ability>
      <abilityName>语法错误</abilityName>
      <candidateList>
        <item>涉及</item>
      </candidateList>
      <explain>〈动〉牵涉到；关联到：案子～好几个人｜这个问题～面很广。</explain>
      <paraID>20BD125E</paraID>
      <start>13</start>
      <end>16</end>
      <status>ignored</status>
      <modifiedWord/>
      <trackRevisions>false</trackRevisions>
    </reviewItem>
    <reviewItem>
      <errorID>b73f0a28-e5ef-4514-bd63-ddc442eb9326</errorID>
      <errorWord>保持通讯畅通</errorWord>
      <group>L1_Word</group>
      <groupName>字词问题</groupName>
      <ability>L2_Typo</ability>
      <abilityName>字词错误</abilityName>
      <candidateList>
        <item>保持通信畅通</item>
      </candidateList>
      <explain/>
      <paraID> B85BAE8</paraID>
      <start>17</start>
      <end>23</end>
      <status>ignored</status>
      <modifiedWord/>
      <trackRevisions>false</trackRevisions>
    </reviewItem>
    <reviewItem>
      <errorID>49984217-9875-4a85-8ca2-85e2c653fcfb</errorID>
      <errorWord>（</errorWord>
      <group>L1_Punc</group>
      <groupName>标点问题</groupName>
      <ability>L2_Punc</ability>
      <abilityName>标点符号检查</abilityName>
      <candidateList/>
      <explain>同一形式括号套用。</explain>
      <paraID>7CEAB893</paraID>
      <start>47</start>
      <end>48</end>
      <status>ignored</status>
      <modifiedWord/>
      <trackRevisions>false</trackRevisions>
    </reviewItem>
    <reviewItem>
      <errorID>e5095d2d-945d-4ab5-be29-708badc9c0e1</errorID>
      <errorWord>）</errorWord>
      <group>L1_Punc</group>
      <groupName>标点问题</groupName>
      <ability>L2_Punc</ability>
      <abilityName>标点符号检查</abilityName>
      <candidateList/>
      <explain>同一形式括号套用。</explain>
      <paraID>7CEAB893</paraID>
      <start>51</start>
      <end>52</end>
      <status>ignored</status>
      <modifiedWord/>
      <trackRevisions>false</trackRevisions>
    </reviewItem>
    <reviewItem>
      <errorID>3d93c2b7-6c13-4d3f-b523-2da9237919a2</errorID>
      <errorWord>&lt;</errorWord>
      <group>L1_Format</group>
      <groupName>格式问题</groupName>
      <ability>L2_HalfPunc</ability>
      <abilityName>全半角检查</abilityName>
      <candidateList>
        <item>〈</item>
      </candidateList>
      <explain>文本全半角错误。</explain>
      <paraID>12C83059</paraID>
      <start>32</start>
      <end>33</end>
      <status>ignored</status>
      <modifiedWord/>
      <trackRevisions>false</trackRevisions>
    </reviewItem>
    <reviewItem>
      <errorID>f3e0ab18-ac86-4c76-ab1f-309bccc37156</errorID>
      <errorWord>&lt;</errorWord>
      <group>L1_Format</group>
      <groupName>格式问题</groupName>
      <ability>L2_HalfPunc</ability>
      <abilityName>全半角检查</abilityName>
      <candidateList>
        <item>〈</item>
      </candidateList>
      <explain>文本全半角错误。</explain>
      <paraID>3630DFFA</paraID>
      <start>34</start>
      <end>35</end>
      <status>ignored</status>
      <modifiedWord/>
      <trackRevisions>false</trackRevisions>
    </reviewItem>
    <reviewItem>
      <errorID>5a945d90-820d-487e-a9e5-207a3d2bf69f</errorID>
      <errorWord>&gt;</errorWord>
      <group>L1_Format</group>
      <groupName>格式问题</groupName>
      <ability>L2_HalfPunc</ability>
      <abilityName>全半角检查</abilityName>
      <candidateList>
        <item>〉</item>
      </candidateList>
      <explain>文本全半角错误。</explain>
      <paraID>1CC07E5C</paraID>
      <start>78</start>
      <end>79</end>
      <status>ignored</status>
      <modifiedWord/>
      <trackRevisions>false</trackRevisions>
    </reviewItem>
    <reviewItem>
      <errorID>608e3f02-c29d-46ca-85bc-7bcff6ae62d6</errorID>
      <errorWord>提出质疑</errorWord>
      <group>L1_Grammar</group>
      <groupName>语法问题</groupName>
      <ability>L2_Grammar</ability>
      <abilityName>语法错误</abilityName>
      <candidateList>
        <item>质疑</item>
      </candidateList>
      <explain>〈动〉提出疑问：～问难。</explain>
      <paraID>1CC07E5C</paraID>
      <start>98</start>
      <end>102</end>
      <status>unmodified</status>
      <modifiedWord/>
      <trackRevisions>false</trackRevisions>
    </reviewItem>
    <reviewItem>
      <errorID>dece4121-456e-41f5-81c1-3227f75e6e0f</errorID>
      <errorWord>提出质疑</errorWord>
      <group>L1_Grammar</group>
      <groupName>语法问题</groupName>
      <ability>L2_Grammar</ability>
      <abilityName>语法错误</abilityName>
      <candidateList>
        <item>质疑</item>
      </candidateList>
      <explain>〈动〉提出疑问：～问难。</explain>
      <paraID>350F0BE0</paraID>
      <start>29</start>
      <end>33</end>
      <status>unmodified</status>
      <modifiedWord/>
      <trackRevisions>false</trackRevisions>
    </reviewItem>
    <reviewItem>
      <errorID>b78a7f7e-a137-4675-82bc-fb44205ee9d8</errorID>
      <errorWord>（</errorWord>
      <group>L1_Word</group>
      <groupName>字词问题</groupName>
      <ability>L2_Typo</ability>
      <abilityName>字词错误</abilityName>
      <candidateList>
        <item>（在</item>
      </candidateList>
      <explain/>
      <paraID>343E2716</paraID>
      <start>61</start>
      <end>62</end>
      <status>unmodified</status>
      <modifiedWord/>
      <trackRevisions>false</trackRevisions>
    </reviewItem>
    <reviewItem>
      <errorID>bf6f4304-6bbf-4f21-858f-a230d0b34914</errorID>
      <errorWord>《</errorWord>
      <group>L1_Punc</group>
      <groupName>标点问题</groupName>
      <ability>L2_Punc</ability>
      <abilityName>标点符号检查</abilityName>
      <candidateList/>
      <explain>同一形式括号套用。</explain>
      <paraID>5A5D8518</paraID>
      <start>37</start>
      <end>38</end>
      <status>unmodified</status>
      <modifiedWord/>
      <trackRevisions>false</trackRevisions>
    </reviewItem>
    <reviewItem>
      <errorID>266f7ada-c1c8-461d-afde-3ce911b7ee3d</errorID>
      <errorWord>》</errorWord>
      <group>L1_Punc</group>
      <groupName>标点问题</groupName>
      <ability>L2_Punc</ability>
      <abilityName>标点符号检查</abilityName>
      <candidateList/>
      <explain>同一形式括号套用。</explain>
      <paraID>5A5D8518</paraID>
      <start>54</start>
      <end>55</end>
      <status>unmodified</status>
      <modifiedWord/>
      <trackRevisions>false</trackRevisions>
    </reviewItem>
    <reviewItem>
      <errorID>96e09f63-e49f-43c9-bd9a-3ece8ea4f99f</errorID>
      <errorWord>《</errorWord>
      <group>L1_Punc</group>
      <groupName>标点问题</groupName>
      <ability>L2_Punc</ability>
      <abilityName>标点符号检查</abilityName>
      <candidateList/>
      <explain>同一形式括号套用。</explain>
      <paraID>5A5D8518</paraID>
      <start>55</start>
      <end>56</end>
      <status>unmodified</status>
      <modifiedWord/>
      <trackRevisions>false</trackRevisions>
    </reviewItem>
    <reviewItem>
      <errorID>8c58eeee-4897-4507-863f-443ffe1df016</errorID>
      <errorWord>》</errorWord>
      <group>L1_Punc</group>
      <groupName>标点问题</groupName>
      <ability>L2_Punc</ability>
      <abilityName>标点符号检查</abilityName>
      <candidateList/>
      <explain>同一形式括号套用。</explain>
      <paraID>5A5D8518</paraID>
      <start>72</start>
      <end>73</end>
      <status>unmodified</status>
      <modifiedWord/>
      <trackRevisions>false</trackRevisions>
    </reviewItem>
    <reviewItem>
      <errorID>ca594578-d4c1-4a42-8aa4-dc3d44a885be</errorID>
      <errorWord>（</errorWord>
      <group>L1_Punc</group>
      <groupName>标点问题</groupName>
      <ability>L2_Punc</ability>
      <abilityName>标点符号检查</abilityName>
      <candidateList>
        <item/>
      </candidateList>
      <explain>同一形式括号套用。</explain>
      <paraID>4DBD7226</paraID>
      <start>100</start>
      <end>101</end>
      <status>unmodified</status>
      <modifiedWord/>
      <trackRevisions>false</trackRevisions>
    </reviewItem>
    <reviewItem>
      <errorID>3fe616ee-1200-486a-a7ae-910856e4f92e</errorID>
      <errorWord>(</errorWord>
      <group>L1_Punc</group>
      <groupName>标点问题</groupName>
      <ability>L2_Punc</ability>
      <abilityName>标点符号检查</abilityName>
      <candidateList/>
      <explain>同一形式括号套用。</explain>
      <paraID>4DBD7226</paraID>
      <start>145</start>
      <end>146</end>
      <status>unmodified</status>
      <modifiedWord/>
      <trackRevisions>false</trackRevisions>
    </reviewItem>
    <reviewItem>
      <errorID>858c2432-8cb4-444a-950b-3845e78afccd</errorID>
      <errorWord>)</errorWord>
      <group>L1_Punc</group>
      <groupName>标点问题</groupName>
      <ability>L2_Punc</ability>
      <abilityName>标点符号检查</abilityName>
      <candidateList/>
      <explain>同一形式括号套用。</explain>
      <paraID>4DBD7226</paraID>
      <start>158</start>
      <end>159</end>
      <status>unmodified</status>
      <modifiedWord/>
      <trackRevisions>false</trackRevisions>
    </reviewItem>
    <reviewItem>
      <errorID>a272e9e3-bd48-4137-b50a-3e3f1db2d2f8</errorID>
      <errorWord>）</errorWord>
      <group>L1_Punc</group>
      <groupName>标点问题</groupName>
      <ability>L2_Punc</ability>
      <abilityName>标点符号检查</abilityName>
      <candidateList/>
      <explain>同一形式括号套用。</explain>
      <paraID>4DBD7226</paraID>
      <start>218</start>
      <end>219</end>
      <status>unmodified</status>
      <modifiedWord/>
      <trackRevisions>false</trackRevisions>
    </reviewItem>
    <reviewItem>
      <errorID>bb4d5206-6285-4171-bd1c-7a5ff7b4fdfb</errorID>
      <errorWord>（</errorWord>
      <group>L1_Punc</group>
      <groupName>标点问题</groupName>
      <ability>L2_Punc</ability>
      <abilityName>标点符号检查</abilityName>
      <candidateList>
        <item/>
      </candidateList>
      <explain>同一形式括号套用。</explain>
      <paraID>1865E8A5</paraID>
      <start>71</start>
      <end>72</end>
      <status>unmodified</status>
      <modifiedWord/>
      <trackRevisions>false</trackRevisions>
    </reviewItem>
    <reviewItem>
      <errorID>51f54ec8-4cf0-4fce-bbb1-82de32f46c7e</errorID>
      <errorWord>(</errorWord>
      <group>L1_Punc</group>
      <groupName>标点问题</groupName>
      <ability>L2_Punc</ability>
      <abilityName>标点符号检查</abilityName>
      <candidateList/>
      <explain>同一形式括号套用。</explain>
      <paraID>1865E8A5</paraID>
      <start>116</start>
      <end>117</end>
      <status>unmodified</status>
      <modifiedWord/>
      <trackRevisions>false</trackRevisions>
    </reviewItem>
    <reviewItem>
      <errorID>7ee04c41-868a-4c30-a8d3-0e0e20d19148</errorID>
      <errorWord>)</errorWord>
      <group>L1_Punc</group>
      <groupName>标点问题</groupName>
      <ability>L2_Punc</ability>
      <abilityName>标点符号检查</abilityName>
      <candidateList/>
      <explain>同一形式括号套用。</explain>
      <paraID>1865E8A5</paraID>
      <start>129</start>
      <end>130</end>
      <status>unmodified</status>
      <modifiedWord/>
      <trackRevisions>false</trackRevisions>
    </reviewItem>
    <reviewItem>
      <errorID>60b4d681-f97d-4f48-be9d-e7671cb31b58</errorID>
      <errorWord>）</errorWord>
      <group>L1_Punc</group>
      <groupName>标点问题</groupName>
      <ability>L2_Punc</ability>
      <abilityName>标点符号检查</abilityName>
      <candidateList/>
      <explain>同一形式括号套用。</explain>
      <paraID>1865E8A5</paraID>
      <start>189</start>
      <end>190</end>
      <status>unmodified</status>
      <modifiedWord/>
      <trackRevisions>false</trackRevisions>
    </reviewItem>
    <reviewItem>
      <errorID>8a118dc6-98a4-4896-966e-40a5f9f9a2dc</errorID>
      <errorWord>聚氨醋</errorWord>
      <group>L1_Word</group>
      <groupName>字词问题</groupName>
      <ability>L2_Typo</ability>
      <abilityName>字词错误</abilityName>
      <candidateList>
        <item>聚氨酯</item>
      </candidateList>
      <explain/>
      <paraID>6A0C057A</paraID>
      <start>17</start>
      <end>20</end>
      <status>unmodified</status>
      <modifiedWord/>
      <trackRevisions>false</trackRevisions>
    </reviewItem>
    <reviewItem>
      <errorID>cc1613b1-70ba-4138-a5c5-be458fd05778</errorID>
      <errorWord>(</errorWord>
      <group>L1_Format</group>
      <groupName>格式问题</groupName>
      <ability>L2_HalfPunc</ability>
      <abilityName>全半角检查</abilityName>
      <candidateList>
        <item>（</item>
      </candidateList>
      <explain>文本全半角错误。</explain>
      <paraID>31E008CB</paraID>
      <start>10</start>
      <end>11</end>
      <status>modified</status>
      <modifiedWord>（</modifiedWord>
      <trackRevisions>false</trackRevisions>
    </reviewItem>
    <reviewItem>
      <errorID>cc94cfb8-4a44-4bf0-9041-5564d08df1f2</errorID>
      <errorWord>)</errorWord>
      <group>L1_Format</group>
      <groupName>格式问题</groupName>
      <ability>L2_HalfPunc</ability>
      <abilityName>全半角检查</abilityName>
      <candidateList>
        <item>）</item>
      </candidateList>
      <explain>文本全半角错误。</explain>
      <paraID>31E008CB</paraID>
      <start>23</start>
      <end>24</end>
      <status>modified</status>
      <modifiedWord>）</modifiedWord>
      <trackRevisions>false</trackRevisions>
    </reviewItem>
    <reviewItem>
      <errorID>7b855903-e114-4d6a-a786-09d1de03e495</errorID>
      <errorWord>详实</errorWord>
      <group>L1_Word</group>
      <groupName>字词问题</groupName>
      <ability>L2_Typo</ability>
      <abilityName>字词错误</abilityName>
      <candidateList>
        <item>翔实</item>
      </candidateList>
      <explain/>
      <paraID>724AF9C8</paraID>
      <start>14</start>
      <end>16</end>
      <status>unmodified</status>
      <modifiedWord/>
      <trackRevisions>false</trackRevisions>
    </reviewItem>
    <reviewItem>
      <errorID>b6885ffe-74c9-4f20-81f4-3d453d74bdfa</errorID>
      <errorWord>详实</errorWord>
      <group>L1_Word</group>
      <groupName>字词问题</groupName>
      <ability>L2_Typo</ability>
      <abilityName>字词错误</abilityName>
      <candidateList>
        <item>翔实</item>
      </candidateList>
      <explain/>
      <paraID>2D07ED1B</paraID>
      <start>23</start>
      <end>25</end>
      <status>unmodified</status>
      <modifiedWord/>
      <trackRevisions>false</trackRevisions>
    </reviewItem>
    <reviewItem>
      <errorID>d2c98225-106b-4f89-a61e-8fbff9a438b5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5B3BD73A</paraID>
      <start>23</start>
      <end>26</end>
      <status>unmodified</status>
      <modifiedWord/>
      <trackRevisions>false</trackRevisions>
    </reviewItem>
    <reviewItem>
      <errorID>5bfac220-e646-4164-ab53-46e1f191ec56</errorID>
      <errorWord>》</errorWord>
      <group>L1_Word</group>
      <groupName>字词问题</groupName>
      <ability>L2_Typo</ability>
      <abilityName>字词错误</abilityName>
      <candidateList>
        <item>》等</item>
      </candidateList>
      <explain/>
      <paraID>5B3BD73A</paraID>
      <start>38</start>
      <end>39</end>
      <status>unmodified</status>
      <modifiedWord/>
      <trackRevisions>false</trackRevisions>
    </reviewItem>
    <reviewItem>
      <errorID>df68586f-04de-430a-9876-004bfb77964e</errorID>
      <errorWord>须</errorWord>
      <group>L1_Word</group>
      <groupName>字词问题</groupName>
      <ability>L2_Typo</ability>
      <abilityName>字词错误</abilityName>
      <candidateList>
        <item>需</item>
      </candidateList>
      <explain>存在发音相同字词的误用。</explain>
      <paraID>29829A39</paraID>
      <start>27</start>
      <end>28</end>
      <status>unmodified</status>
      <modifiedWord/>
      <trackRevisions>false</trackRevisions>
    </reviewItem>
    <reviewItem>
      <errorID>bd07012d-87a6-4dbb-8d95-34c82a565418</errorID>
      <errorWord>《</errorWord>
      <group>L1_Punc</group>
      <groupName>标点问题</groupName>
      <ability>L2_Punc</ability>
      <abilityName>标点符号检查</abilityName>
      <candidateList/>
      <explain>同一形式括号套用。</explain>
      <paraID>15C0E9BC</paraID>
      <start>36</start>
      <end>37</end>
      <status>unmodified</status>
      <modifiedWord/>
      <trackRevisions>false</trackRevisions>
    </reviewItem>
    <reviewItem>
      <errorID>e3f3cb5c-9b5c-4089-880f-90284d8eccd1</errorID>
      <errorWord>》</errorWord>
      <group>L1_Punc</group>
      <groupName>标点问题</groupName>
      <ability>L2_Punc</ability>
      <abilityName>标点符号检查</abilityName>
      <candidateList/>
      <explain>同一形式括号套用。</explain>
      <paraID>15C0E9BC</paraID>
      <start>53</start>
      <end>54</end>
      <status>unmodified</status>
      <modifiedWord/>
      <trackRevisions>false</trackRevisions>
    </reviewItem>
    <reviewItem>
      <errorID>7c1e84ff-f4bc-4872-a526-ae43f56feaec</errorID>
      <errorWord>《</errorWord>
      <group>L1_Punc</group>
      <groupName>标点问题</groupName>
      <ability>L2_Punc</ability>
      <abilityName>标点符号检查</abilityName>
      <candidateList/>
      <explain>同一形式括号套用。</explain>
      <paraID>15C0E9BC</paraID>
      <start>54</start>
      <end>55</end>
      <status>unmodified</status>
      <modifiedWord/>
      <trackRevisions>false</trackRevisions>
    </reviewItem>
    <reviewItem>
      <errorID>96c8c8ec-4a98-475b-b476-e345174c0d14</errorID>
      <errorWord>》</errorWord>
      <group>L1_Punc</group>
      <groupName>标点问题</groupName>
      <ability>L2_Punc</ability>
      <abilityName>标点符号检查</abilityName>
      <candidateList/>
      <explain>同一形式括号套用。</explain>
      <paraID>15C0E9BC</paraID>
      <start>71</start>
      <end>72</end>
      <status>unmodified</status>
      <modifiedWord/>
      <trackRevisions>false</trackRevisions>
    </reviewItem>
    <reviewItem>
      <errorID>c4f11e65-c16c-4172-a733-7c6a077b3dd4</errorID>
      <errorWord>承担的</errorWord>
      <group>L1_Word</group>
      <groupName>字词问题</groupName>
      <ability>L2_Typo</ability>
      <abilityName>字词错误</abilityName>
      <candidateList>
        <item>承担</item>
      </candidateList>
      <explain>〈动〉担负；担当：～义务｜～责任。</explain>
      <paraID> 810CC67</paraID>
      <start>172</start>
      <end>175</end>
      <status>unmodified</status>
      <modifiedWord/>
      <trackRevisions>false</trackRevisions>
    </reviewItem>
    <reviewItem>
      <errorID>c400417e-180f-4ee4-8ef4-7fee2354ad76</errorID>
      <errorWord>承担的</errorWord>
      <group>L1_Word</group>
      <groupName>字词问题</groupName>
      <ability>L2_Typo</ability>
      <abilityName>字词错误</abilityName>
      <candidateList>
        <item>承担</item>
      </candidateList>
      <explain>〈动〉担负；担当：～义务｜～责任。</explain>
      <paraID>24FBC922</paraID>
      <start>19</start>
      <end>22</end>
      <status>unmodified</status>
      <modifiedWord/>
      <trackRevisions>false</trackRevisions>
    </reviewItem>
    <reviewItem>
      <errorID>4c99d357-9eaa-4508-a1b9-bf44b5b2439f</errorID>
      <errorWord>(</errorWord>
      <group>L1_Format</group>
      <groupName>格式问题</groupName>
      <ability>L2_HalfPunc</ability>
      <abilityName>全半角检查</abilityName>
      <candidateList>
        <item>（</item>
      </candidateList>
      <explain>文本全半角错误。</explain>
      <paraID>35D1B4CD</paraID>
      <start>14</start>
      <end>15</end>
      <status>modified</status>
      <modifiedWord>（</modifiedWord>
      <trackRevisions>false</trackRevisions>
    </reviewItem>
    <reviewItem>
      <errorID>829ffe32-3260-4e61-92ca-67c97e4f821e</errorID>
      <errorWord>)</errorWord>
      <group>L1_Format</group>
      <groupName>格式问题</groupName>
      <ability>L2_HalfPunc</ability>
      <abilityName>全半角检查</abilityName>
      <candidateList>
        <item>）</item>
      </candidateList>
      <explain>文本全半角错误。</explain>
      <paraID>35D1B4CD</paraID>
      <start>27</start>
      <end>28</end>
      <status>modified</status>
      <modifiedWord>）</modifiedWord>
      <trackRevisions>false</trackRevisions>
    </reviewItem>
    <reviewItem>
      <errorID>d98d51a0-f17b-48de-b208-9adf87fbe947</errorID>
      <errorWord>有</errorWord>
      <group>L1_Word</group>
      <groupName>字词问题</groupName>
      <ability>L2_Typo</ability>
      <abilityName>字词错误</abilityName>
      <candidateList>
        <item>有效</item>
      </candidateList>
      <explain/>
      <paraID>292266D7</paraID>
      <start>36</start>
      <end>37</end>
      <status>unmodified</status>
      <modifiedWord/>
      <trackRevisions>false</trackRevisions>
    </reviewItem>
    <reviewItem>
      <errorID>ffcffe6f-fb98-4fe5-a7c0-9ddb065a365b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F314CAF</paraID>
      <start>14</start>
      <end>15</end>
      <status>unmodified</status>
      <modifiedWord/>
      <trackRevisions>false</trackRevisions>
    </reviewItem>
    <reviewItem>
      <errorID>f0814a77-ab6e-44bb-84a3-e1e1189fcfe7</errorID>
      <errorWord>,</errorWord>
      <group>L1_Format</group>
      <groupName>格式问题</groupName>
      <ability>L2_HalfPunc</ability>
      <abilityName>全半角检查</abilityName>
      <candidateList>
        <item>，</item>
      </candidateList>
      <explain>文本全半角错误。</explain>
      <paraID> 144C638</paraID>
      <start>59</start>
      <end>60</end>
      <status>modified</status>
      <modifiedWord>，</modifiedWord>
      <trackRevisions>false</trackRevisions>
    </reviewItem>
    <reviewItem>
      <errorID>8e66f1c9-0986-44b9-8b6e-2b8863cc205a</errorID>
      <errorWord>:</errorWord>
      <group>L1_Format</group>
      <groupName>格式问题</groupName>
      <ability>L2_HalfPunc</ability>
      <abilityName>全半角检查</abilityName>
      <candidateList>
        <item>：</item>
      </candidateList>
      <explain>文本全半角错误。</explain>
      <paraID>350F0A35</paraID>
      <start>6</start>
      <end>7</end>
      <status>modified</status>
      <modifiedWord>：</modifiedWord>
      <trackRevisions>false</trackRevisions>
    </reviewItem>
    <reviewItem>
      <errorID>66870c6c-8cab-4f74-b4f9-94d7227192d2</errorID>
      <errorWord>:</errorWord>
      <group>L1_Format</group>
      <groupName>格式问题</groupName>
      <ability>L2_HalfPunc</ability>
      <abilityName>全半角检查</abilityName>
      <candidateList>
        <item>：</item>
      </candidateList>
      <explain>文本全半角错误。</explain>
      <paraID>4D0C0593</paraID>
      <start>6</start>
      <end>7</end>
      <status>modified</status>
      <modifiedWord>：</modifiedWord>
      <trackRevisions>false</trackRevisions>
    </reviewItem>
    <reviewItem>
      <errorID>7a13d147-d2f4-4ef7-8a27-53aefe67b5fc</errorID>
      <errorWord>:</errorWord>
      <group>L1_Format</group>
      <groupName>格式问题</groupName>
      <ability>L2_HalfPunc</ability>
      <abilityName>全半角检查</abilityName>
      <candidateList>
        <item>：</item>
      </candidateList>
      <explain>文本全半角错误。</explain>
      <paraID>7A818B82</paraID>
      <start>6</start>
      <end>7</end>
      <status>modified</status>
      <modifiedWord>：</modifiedWord>
      <trackRevisions>false</trackRevisions>
    </reviewItem>
    <reviewItem>
      <errorID>f1ed97c4-6f6a-4ced-a3db-9af28262a390</errorID>
      <errorWord>所有的</errorWord>
      <group>L1_Word</group>
      <groupName>字词问题</groupName>
      <ability>L2_Typo</ability>
      <abilityName>字词错误</abilityName>
      <candidateList>
        <item>所有</item>
      </candidateList>
      <explain/>
      <paraID>1DA22EC5</paraID>
      <start>11</start>
      <end>14</end>
      <status>unmodified</status>
      <modifiedWord/>
      <trackRevisions>false</trackRevisions>
    </reviewItem>
    <reviewItem>
      <errorID>0d76a876-aa47-426f-aed6-c78846107d79</errorID>
      <errorWord>之日期起</errorWord>
      <group>L1_Word</group>
      <groupName>字词问题</groupName>
      <ability>L2_Typo</ability>
      <abilityName>字词错误</abilityName>
      <candidateList>
        <item>之日起</item>
      </candidateList>
      <explain/>
      <paraID>60FEFD3F</paraID>
      <start>36</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75C8827-BB5A-4448-9391-74299D06E1A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邵丽子</cp:lastModifiedBy>
  <cp:revision>8</cp:revision>
  <dcterms:created xsi:type="dcterms:W3CDTF">2024-01-08T08:47:00Z</dcterms:created>
  <dcterms:modified xsi:type="dcterms:W3CDTF">2026-06-15T00:52:03Z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eyJoZGlkIjoiNTc4ZmRjMDZhMTg5MGM1ZDJlMDYzYzM2MjU2NGM1NjkiLCJ1c2VySWQiOiI0NTIzMzIxMDEifQ==</vt:lpwstr>
  </property>
  <property fmtid="{D5CDD505-2E9C-101B-9397-08002B2CF9AE}" pid="3" name="KSOProductBuildVer">
    <vt:lpwstr>2052-12.1.0.26375</vt:lpwstr>
  </property>
  <property fmtid="{D5CDD505-2E9C-101B-9397-08002B2CF9AE}" pid="4" name="ICV">
    <vt:lpwstr>563F8BE66CE1461F9416C4673B7BA259_13</vt:lpwstr>
  </property>
</Properties>
</file>