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D85BB6C">
      <w:pPr>
        <w:pStyle w:val="23"/>
        <w:rPr>
          <w:color w:val="auto"/>
          <w:sz w:val="24"/>
          <w:szCs w:val="18"/>
          <w:highlight w:val="none"/>
          <w:lang w:val="zh-CN"/>
        </w:rPr>
      </w:pPr>
      <w:bookmarkStart w:id="0" w:name="_Toc13467"/>
    </w:p>
    <w:p w14:paraId="60225C90">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省级党政机关办公业务用房</w:t>
      </w:r>
    </w:p>
    <w:p w14:paraId="3BE1C48C">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维修专项资金项目</w:t>
      </w:r>
    </w:p>
    <w:p w14:paraId="133B5194">
      <w:pPr>
        <w:jc w:val="center"/>
        <w:rPr>
          <w:rFonts w:hint="eastAsia" w:ascii="黑体" w:hAnsi="宋体" w:eastAsia="黑体"/>
          <w:color w:val="auto"/>
          <w:sz w:val="44"/>
          <w:szCs w:val="44"/>
          <w:highlight w:val="none"/>
        </w:rPr>
      </w:pPr>
    </w:p>
    <w:p w14:paraId="72085EB3">
      <w:pPr>
        <w:jc w:val="center"/>
        <w:rPr>
          <w:rFonts w:hint="eastAsia" w:ascii="黑体" w:hAnsi="宋体" w:eastAsia="黑体"/>
          <w:color w:val="auto"/>
          <w:sz w:val="44"/>
          <w:szCs w:val="44"/>
          <w:highlight w:val="none"/>
        </w:rPr>
      </w:pPr>
    </w:p>
    <w:p w14:paraId="2364C23A">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竞争性磋商文件</w:t>
      </w:r>
    </w:p>
    <w:p w14:paraId="220103A5">
      <w:pPr>
        <w:adjustRightInd w:val="0"/>
        <w:snapToGrid w:val="0"/>
        <w:rPr>
          <w:rFonts w:hint="eastAsia" w:ascii="宋体" w:hAnsi="宋体" w:cs="宋体"/>
          <w:color w:val="auto"/>
          <w:sz w:val="36"/>
          <w:szCs w:val="36"/>
          <w:highlight w:val="none"/>
          <w:lang w:val="zh-CN"/>
        </w:rPr>
      </w:pPr>
    </w:p>
    <w:p w14:paraId="2D195ED6">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p>
    <w:p w14:paraId="38AC31F9">
      <w:pPr>
        <w:spacing w:line="500" w:lineRule="exact"/>
        <w:jc w:val="left"/>
        <w:rPr>
          <w:rFonts w:hint="eastAsia" w:ascii="华文仿宋" w:hAnsi="华文仿宋" w:eastAsia="华文仿宋" w:cs="华文仿宋"/>
          <w:color w:val="auto"/>
          <w:sz w:val="32"/>
          <w:szCs w:val="32"/>
          <w:highlight w:val="none"/>
        </w:rPr>
      </w:pPr>
    </w:p>
    <w:p w14:paraId="4E941874">
      <w:pPr>
        <w:spacing w:line="500" w:lineRule="exact"/>
        <w:jc w:val="left"/>
        <w:rPr>
          <w:rFonts w:hint="eastAsia" w:ascii="华文仿宋" w:hAnsi="华文仿宋" w:eastAsia="华文仿宋" w:cs="华文仿宋"/>
          <w:color w:val="auto"/>
          <w:sz w:val="32"/>
          <w:szCs w:val="32"/>
          <w:highlight w:val="none"/>
        </w:rPr>
      </w:pPr>
    </w:p>
    <w:p w14:paraId="4C42CEE3">
      <w:pPr>
        <w:spacing w:line="500" w:lineRule="exact"/>
        <w:jc w:val="left"/>
        <w:rPr>
          <w:rFonts w:hint="eastAsia" w:ascii="华文仿宋" w:hAnsi="华文仿宋" w:eastAsia="华文仿宋" w:cs="华文仿宋"/>
          <w:color w:val="auto"/>
          <w:sz w:val="32"/>
          <w:szCs w:val="32"/>
          <w:highlight w:val="none"/>
        </w:rPr>
      </w:pPr>
    </w:p>
    <w:p w14:paraId="3663D263">
      <w:pPr>
        <w:spacing w:line="500" w:lineRule="exact"/>
        <w:jc w:val="left"/>
        <w:rPr>
          <w:rFonts w:hint="eastAsia" w:ascii="华文仿宋" w:hAnsi="华文仿宋" w:eastAsia="华文仿宋" w:cs="华文仿宋"/>
          <w:color w:val="auto"/>
          <w:sz w:val="32"/>
          <w:szCs w:val="32"/>
          <w:highlight w:val="none"/>
        </w:rPr>
      </w:pPr>
    </w:p>
    <w:p w14:paraId="408AB941">
      <w:pPr>
        <w:spacing w:line="500" w:lineRule="exact"/>
        <w:jc w:val="left"/>
        <w:rPr>
          <w:rFonts w:hint="eastAsia" w:ascii="华文仿宋" w:hAnsi="华文仿宋" w:eastAsia="华文仿宋" w:cs="华文仿宋"/>
          <w:color w:val="auto"/>
          <w:sz w:val="32"/>
          <w:szCs w:val="32"/>
          <w:highlight w:val="none"/>
        </w:rPr>
      </w:pPr>
    </w:p>
    <w:p w14:paraId="497AE441">
      <w:pPr>
        <w:spacing w:line="500" w:lineRule="exact"/>
        <w:jc w:val="left"/>
        <w:rPr>
          <w:rFonts w:hint="eastAsia" w:ascii="华文仿宋" w:hAnsi="华文仿宋" w:eastAsia="华文仿宋" w:cs="华文仿宋"/>
          <w:color w:val="auto"/>
          <w:sz w:val="32"/>
          <w:szCs w:val="32"/>
          <w:highlight w:val="none"/>
        </w:rPr>
      </w:pPr>
    </w:p>
    <w:p w14:paraId="13AD8B4C">
      <w:pPr>
        <w:spacing w:line="500" w:lineRule="exact"/>
        <w:jc w:val="left"/>
        <w:rPr>
          <w:rFonts w:hint="eastAsia" w:ascii="华文仿宋" w:hAnsi="华文仿宋" w:eastAsia="华文仿宋" w:cs="华文仿宋"/>
          <w:color w:val="auto"/>
          <w:sz w:val="32"/>
          <w:szCs w:val="32"/>
          <w:highlight w:val="none"/>
        </w:rPr>
      </w:pPr>
    </w:p>
    <w:p w14:paraId="4AED8BB3">
      <w:pPr>
        <w:spacing w:line="500" w:lineRule="exact"/>
        <w:jc w:val="left"/>
        <w:rPr>
          <w:rFonts w:hint="eastAsia" w:ascii="华文仿宋" w:hAnsi="华文仿宋" w:eastAsia="华文仿宋" w:cs="华文仿宋"/>
          <w:color w:val="auto"/>
          <w:sz w:val="32"/>
          <w:szCs w:val="32"/>
          <w:highlight w:val="none"/>
        </w:rPr>
      </w:pPr>
    </w:p>
    <w:p w14:paraId="5D83B6EB">
      <w:pPr>
        <w:spacing w:line="500" w:lineRule="exact"/>
        <w:jc w:val="left"/>
        <w:rPr>
          <w:rFonts w:hint="eastAsia" w:ascii="华文仿宋" w:hAnsi="华文仿宋" w:eastAsia="华文仿宋" w:cs="华文仿宋"/>
          <w:color w:val="auto"/>
          <w:sz w:val="44"/>
          <w:szCs w:val="44"/>
          <w:highlight w:val="none"/>
        </w:rPr>
      </w:pPr>
    </w:p>
    <w:p w14:paraId="1EAF6B0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44"/>
          <w:szCs w:val="44"/>
          <w:highlight w:val="none"/>
        </w:rPr>
        <w:t xml:space="preserve">   </w:t>
      </w:r>
      <w:r>
        <w:rPr>
          <w:rFonts w:hint="eastAsia" w:ascii="仿宋" w:hAnsi="仿宋" w:eastAsia="仿宋" w:cs="仿宋"/>
          <w:color w:val="auto"/>
          <w:sz w:val="44"/>
          <w:szCs w:val="44"/>
          <w:highlight w:val="none"/>
        </w:rPr>
        <w:t xml:space="preserve"> </w:t>
      </w:r>
      <w:r>
        <w:rPr>
          <w:rFonts w:hint="eastAsia" w:ascii="华文仿宋" w:hAnsi="华文仿宋" w:eastAsia="华文仿宋" w:cs="华文仿宋"/>
          <w:color w:val="auto"/>
          <w:sz w:val="36"/>
          <w:szCs w:val="36"/>
          <w:highlight w:val="none"/>
        </w:rPr>
        <w:t>项目编号：</w:t>
      </w:r>
      <w:r>
        <w:rPr>
          <w:rFonts w:hint="eastAsia" w:ascii="华文仿宋" w:hAnsi="华文仿宋" w:eastAsia="华文仿宋" w:cs="华文仿宋"/>
          <w:color w:val="auto"/>
          <w:sz w:val="36"/>
          <w:szCs w:val="36"/>
          <w:highlight w:val="none"/>
          <w:u w:val="single"/>
          <w:lang w:val="en-US" w:eastAsia="zh-CN"/>
        </w:rPr>
        <w:t xml:space="preserve">JSZC-320000-RHZH-C2026-0035     </w:t>
      </w:r>
    </w:p>
    <w:p w14:paraId="43399216">
      <w:pPr>
        <w:spacing w:line="360" w:lineRule="auto"/>
        <w:ind w:left="2736" w:hanging="2462" w:hangingChars="684"/>
        <w:rPr>
          <w:rFonts w:hint="default" w:eastAsia="华文仿宋"/>
          <w:color w:val="auto"/>
          <w:sz w:val="36"/>
          <w:szCs w:val="36"/>
          <w:highlight w:val="non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rPr>
        <w:t>项目名称：</w:t>
      </w:r>
      <w:r>
        <w:rPr>
          <w:rFonts w:hint="eastAsia" w:ascii="华文仿宋" w:hAnsi="华文仿宋" w:eastAsia="华文仿宋" w:cs="华文仿宋"/>
          <w:color w:val="auto"/>
          <w:sz w:val="36"/>
          <w:szCs w:val="36"/>
          <w:highlight w:val="none"/>
          <w:u w:val="single"/>
          <w:lang w:eastAsia="zh-CN"/>
        </w:rPr>
        <w:t>水佐岗49号电梯维修改造项目</w:t>
      </w:r>
      <w:r>
        <w:rPr>
          <w:rFonts w:hint="eastAsia" w:ascii="华文仿宋" w:hAnsi="华文仿宋" w:eastAsia="华文仿宋" w:cs="华文仿宋"/>
          <w:color w:val="auto"/>
          <w:sz w:val="36"/>
          <w:szCs w:val="36"/>
          <w:highlight w:val="none"/>
          <w:u w:val="single"/>
          <w:lang w:val="en-US" w:eastAsia="zh-CN"/>
        </w:rPr>
        <w:t xml:space="preserve">      </w:t>
      </w:r>
    </w:p>
    <w:p w14:paraId="725B42F3">
      <w:pPr>
        <w:spacing w:line="360" w:lineRule="auto"/>
        <w:ind w:left="2800" w:hanging="2520" w:hangingChars="700"/>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采</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购</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人：</w:t>
      </w:r>
      <w:r>
        <w:rPr>
          <w:rFonts w:hint="eastAsia" w:ascii="华文仿宋" w:hAnsi="华文仿宋" w:eastAsia="华文仿宋" w:cs="华文仿宋"/>
          <w:color w:val="auto"/>
          <w:sz w:val="36"/>
          <w:szCs w:val="36"/>
          <w:highlight w:val="none"/>
          <w:u w:val="single"/>
          <w:lang w:val="zh-CN"/>
        </w:rPr>
        <w:t>中共江苏省委党校</w:t>
      </w:r>
      <w:r>
        <w:rPr>
          <w:rFonts w:hint="eastAsia" w:ascii="华文仿宋" w:hAnsi="华文仿宋" w:eastAsia="华文仿宋" w:cs="华文仿宋"/>
          <w:color w:val="auto"/>
          <w:sz w:val="36"/>
          <w:szCs w:val="36"/>
          <w:highlight w:val="none"/>
          <w:u w:val="single"/>
          <w:lang w:val="en-US" w:eastAsia="zh-CN"/>
        </w:rPr>
        <w:t xml:space="preserve">                </w:t>
      </w:r>
    </w:p>
    <w:p w14:paraId="78587F86">
      <w:pPr>
        <w:spacing w:line="360" w:lineRule="auto"/>
        <w:ind w:left="2800" w:hanging="2520" w:hangingChars="700"/>
        <w:rPr>
          <w:rFonts w:hint="default"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代理机构：</w:t>
      </w:r>
      <w:r>
        <w:rPr>
          <w:rFonts w:hint="eastAsia" w:ascii="华文仿宋" w:hAnsi="华文仿宋" w:eastAsia="华文仿宋" w:cs="华文仿宋"/>
          <w:color w:val="auto"/>
          <w:sz w:val="36"/>
          <w:szCs w:val="36"/>
          <w:highlight w:val="none"/>
          <w:u w:val="single"/>
          <w:lang w:val="zh-CN"/>
        </w:rPr>
        <w:t>江苏仁合中惠工程咨询有限公司</w:t>
      </w:r>
      <w:r>
        <w:rPr>
          <w:rFonts w:hint="eastAsia" w:ascii="华文仿宋" w:hAnsi="华文仿宋" w:eastAsia="华文仿宋" w:cs="华文仿宋"/>
          <w:color w:val="auto"/>
          <w:sz w:val="36"/>
          <w:szCs w:val="36"/>
          <w:highlight w:val="none"/>
          <w:u w:val="single"/>
          <w:lang w:val="en-US" w:eastAsia="zh-CN"/>
        </w:rPr>
        <w:t xml:space="preserve">     </w:t>
      </w:r>
    </w:p>
    <w:p w14:paraId="4307F46B">
      <w:pPr>
        <w:spacing w:line="360" w:lineRule="auto"/>
        <w:ind w:left="2800" w:hanging="2520" w:hangingChars="700"/>
        <w:rPr>
          <w:rFonts w:hint="eastAsia" w:ascii="华文仿宋" w:hAnsi="华文仿宋" w:eastAsia="华文仿宋" w:cs="华文仿宋"/>
          <w:color w:val="auto"/>
          <w:sz w:val="36"/>
          <w:szCs w:val="36"/>
          <w:highlight w:val="none"/>
          <w:u w:val="single"/>
          <w:lang w:val="zh-CN"/>
        </w:rPr>
      </w:pPr>
      <w:bookmarkStart w:id="1" w:name="_Toc23476"/>
    </w:p>
    <w:p w14:paraId="7B9B4671">
      <w:pPr>
        <w:jc w:val="center"/>
        <w:rPr>
          <w:rFonts w:hint="eastAsia" w:ascii="方正小标宋_GBK" w:hAnsi="方正小标宋_GBK" w:eastAsia="方正小标宋_GBK" w:cs="方正小标宋_GBK"/>
          <w:b/>
          <w:bCs/>
          <w:color w:val="auto"/>
          <w:sz w:val="36"/>
          <w:szCs w:val="36"/>
          <w:highlight w:val="none"/>
        </w:rPr>
      </w:pPr>
    </w:p>
    <w:p w14:paraId="32D70D92">
      <w:pPr>
        <w:jc w:val="center"/>
        <w:rPr>
          <w:rFonts w:hint="eastAsia" w:ascii="方正小标宋_GBK" w:hAnsi="方正小标宋_GBK" w:eastAsia="方正小标宋_GBK" w:cs="方正小标宋_GBK"/>
          <w:b/>
          <w:bCs/>
          <w:color w:val="auto"/>
          <w:sz w:val="36"/>
          <w:szCs w:val="36"/>
          <w:highlight w:val="none"/>
        </w:rPr>
      </w:pPr>
    </w:p>
    <w:p w14:paraId="687E7A4B">
      <w:pPr>
        <w:jc w:val="center"/>
        <w:rPr>
          <w:rFonts w:hint="eastAsia" w:ascii="方正小标宋_GBK" w:hAnsi="方正小标宋_GBK" w:eastAsia="方正小标宋_GBK" w:cs="方正小标宋_GBK"/>
          <w:b/>
          <w:bCs/>
          <w:color w:val="auto"/>
          <w:sz w:val="36"/>
          <w:szCs w:val="36"/>
          <w:highlight w:val="none"/>
        </w:rPr>
      </w:pPr>
    </w:p>
    <w:p w14:paraId="1DEE4FF0">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目 录</w:t>
      </w:r>
      <w:bookmarkEnd w:id="0"/>
      <w:bookmarkEnd w:id="1"/>
    </w:p>
    <w:p w14:paraId="1276DBEA">
      <w:pPr>
        <w:pStyle w:val="48"/>
        <w:tabs>
          <w:tab w:val="right" w:leader="dot" w:pos="9746"/>
        </w:tabs>
        <w:rPr>
          <w:rFonts w:hint="eastAsia" w:ascii="方正仿宋_GBK" w:hAnsi="方正仿宋_GBK" w:eastAsia="方正仿宋_GBK" w:cs="方正仿宋_GBK"/>
          <w:color w:val="auto"/>
          <w:sz w:val="28"/>
          <w:szCs w:val="28"/>
          <w:highlight w:val="none"/>
        </w:rPr>
      </w:pPr>
    </w:p>
    <w:p w14:paraId="604C8F62">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18B1F37A">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6</w:t>
      </w:r>
      <w:r>
        <w:rPr>
          <w:rFonts w:hint="eastAsia" w:ascii="方正仿宋_GBK" w:hAnsi="方正仿宋_GBK" w:eastAsia="方正仿宋_GBK" w:cs="方正仿宋_GBK"/>
          <w:color w:val="auto"/>
          <w:sz w:val="30"/>
          <w:szCs w:val="30"/>
          <w:highlight w:val="none"/>
        </w:rPr>
        <w:fldChar w:fldCharType="end"/>
      </w:r>
    </w:p>
    <w:p w14:paraId="2F705481">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25</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3CD7765F">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29</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089570D7">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default"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45</w:t>
      </w:r>
    </w:p>
    <w:p w14:paraId="337A9842">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default" w:ascii="方正仿宋_GBK" w:hAnsi="方正仿宋_GBK" w:eastAsia="方正仿宋_GBK" w:cs="方正仿宋_GBK"/>
          <w:color w:val="auto"/>
          <w:sz w:val="28"/>
          <w:szCs w:val="28"/>
          <w:highlight w:val="none"/>
          <w:lang w:val="en-US" w:eastAsia="zh-CN"/>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72</w:t>
      </w:r>
    </w:p>
    <w:p w14:paraId="22FBFFE8">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p>
    <w:p w14:paraId="78DBA5D2">
      <w:pPr>
        <w:widowControl/>
        <w:spacing w:line="360" w:lineRule="auto"/>
        <w:jc w:val="left"/>
        <w:rPr>
          <w:rFonts w:hint="default" w:ascii="方正仿宋_GBK" w:hAnsi="方正仿宋_GBK" w:eastAsia="方正仿宋_GBK" w:cs="方正仿宋_GBK"/>
          <w:color w:val="auto"/>
          <w:sz w:val="28"/>
          <w:szCs w:val="28"/>
          <w:highlight w:val="none"/>
          <w:lang w:val="en-US" w:eastAsia="zh-CN"/>
        </w:rPr>
        <w:sectPr>
          <w:headerReference r:id="rId3" w:type="default"/>
          <w:footerReference r:id="rId4" w:type="default"/>
          <w:pgSz w:w="11906" w:h="16838"/>
          <w:pgMar w:top="1440" w:right="1080" w:bottom="1440" w:left="1080" w:header="720" w:footer="720" w:gutter="0"/>
          <w:pgNumType w:fmt="numberInDash"/>
          <w:cols w:space="720" w:num="1"/>
        </w:sectPr>
      </w:pPr>
    </w:p>
    <w:p w14:paraId="7B011AD9">
      <w:pPr>
        <w:jc w:val="center"/>
        <w:outlineLvl w:val="0"/>
        <w:rPr>
          <w:rFonts w:hint="eastAsia" w:ascii="方正小标宋_GBK" w:hAnsi="方正小标宋_GBK" w:eastAsia="方正小标宋_GBK" w:cs="方正小标宋_GBK"/>
          <w:color w:val="auto"/>
          <w:spacing w:val="-10"/>
          <w:sz w:val="36"/>
          <w:szCs w:val="36"/>
          <w:highlight w:val="none"/>
        </w:rPr>
      </w:pPr>
      <w:bookmarkStart w:id="2" w:name="_Toc18603"/>
      <w:bookmarkStart w:id="3" w:name="_Toc1190"/>
      <w:r>
        <w:rPr>
          <w:rFonts w:hint="eastAsia" w:ascii="方正小标宋_GBK" w:hAnsi="方正小标宋_GBK" w:eastAsia="方正小标宋_GBK" w:cs="方正小标宋_GBK"/>
          <w:color w:val="auto"/>
          <w:spacing w:val="-10"/>
          <w:sz w:val="36"/>
          <w:szCs w:val="36"/>
          <w:highlight w:val="none"/>
        </w:rPr>
        <w:t>第一章 竞争性磋商</w:t>
      </w:r>
      <w:bookmarkEnd w:id="2"/>
      <w:r>
        <w:rPr>
          <w:rFonts w:hint="eastAsia" w:ascii="方正小标宋_GBK" w:hAnsi="方正小标宋_GBK" w:eastAsia="方正小标宋_GBK" w:cs="方正小标宋_GBK"/>
          <w:color w:val="auto"/>
          <w:spacing w:val="-10"/>
          <w:sz w:val="36"/>
          <w:szCs w:val="36"/>
          <w:highlight w:val="none"/>
        </w:rPr>
        <w:t>公告</w:t>
      </w:r>
      <w:bookmarkEnd w:id="3"/>
    </w:p>
    <w:p w14:paraId="237CCC36">
      <w:pPr>
        <w:pStyle w:val="25"/>
        <w:ind w:left="0" w:leftChars="0" w:right="1470"/>
        <w:jc w:val="left"/>
        <w:rPr>
          <w:color w:val="auto"/>
          <w:highlight w:val="none"/>
          <w:lang w:val="zh-CN"/>
        </w:rPr>
      </w:pPr>
      <w:bookmarkStart w:id="4" w:name="_Toc11224"/>
    </w:p>
    <w:p w14:paraId="51722B4E">
      <w:pPr>
        <w:pBdr>
          <w:top w:val="single" w:color="auto" w:sz="4" w:space="1"/>
          <w:left w:val="single" w:color="auto" w:sz="4" w:space="4"/>
          <w:bottom w:val="single" w:color="auto" w:sz="4" w:space="1"/>
          <w:right w:val="single" w:color="auto" w:sz="4" w:space="4"/>
        </w:pBdr>
        <w:spacing w:line="360" w:lineRule="auto"/>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项目概况：</w:t>
      </w:r>
    </w:p>
    <w:p w14:paraId="4B265127">
      <w:pPr>
        <w:pBdr>
          <w:top w:val="single" w:color="auto" w:sz="4" w:space="1"/>
          <w:left w:val="single" w:color="auto" w:sz="4" w:space="4"/>
          <w:bottom w:val="single" w:color="auto" w:sz="4" w:space="1"/>
          <w:right w:val="single" w:color="auto" w:sz="4" w:space="4"/>
        </w:pBdr>
        <w:wordWrap w:val="0"/>
        <w:spacing w:line="360" w:lineRule="auto"/>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水佐岗49号电梯维修改造项目</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（项目名称）采购项目的潜在供应商应在</w:t>
      </w:r>
      <w:r>
        <w:rPr>
          <w:rFonts w:hint="eastAsia" w:ascii="华文仿宋" w:hAnsi="华文仿宋" w:eastAsia="华文仿宋" w:cs="华文仿宋"/>
          <w:color w:val="auto"/>
          <w:sz w:val="28"/>
          <w:szCs w:val="28"/>
          <w:u w:val="single"/>
        </w:rPr>
        <w:t>江苏省政府采购管理交易系统(苏采云)(以下简称“苏采云”)(网址:http://jszfcg.jsczt.cn/)</w:t>
      </w:r>
      <w:r>
        <w:rPr>
          <w:rFonts w:hint="eastAsia" w:ascii="仿宋" w:hAnsi="仿宋" w:eastAsia="仿宋" w:cs="仿宋"/>
          <w:color w:val="auto"/>
          <w:sz w:val="30"/>
          <w:szCs w:val="30"/>
          <w:highlight w:val="none"/>
        </w:rPr>
        <w:t>获取采购文件，并于</w:t>
      </w:r>
      <w:r>
        <w:rPr>
          <w:rFonts w:hint="eastAsia" w:ascii="仿宋" w:hAnsi="仿宋" w:eastAsia="仿宋" w:cs="仿宋"/>
          <w:color w:val="auto"/>
          <w:sz w:val="30"/>
          <w:szCs w:val="30"/>
          <w:highlight w:val="none"/>
          <w:u w:val="single"/>
          <w:lang w:val="en-US" w:eastAsia="zh-CN"/>
        </w:rPr>
        <w:t>2026</w:t>
      </w:r>
      <w:r>
        <w:rPr>
          <w:rFonts w:hint="eastAsia" w:ascii="仿宋" w:hAnsi="仿宋" w:eastAsia="仿宋" w:cs="仿宋"/>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7</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03</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bCs/>
          <w:color w:val="auto"/>
          <w:sz w:val="30"/>
          <w:szCs w:val="30"/>
          <w:highlight w:val="none"/>
          <w:u w:val="single"/>
        </w:rPr>
        <w:t>点</w:t>
      </w:r>
      <w:r>
        <w:rPr>
          <w:rFonts w:hint="eastAsia" w:ascii="仿宋" w:hAnsi="仿宋" w:eastAsia="仿宋" w:cs="仿宋"/>
          <w:bCs/>
          <w:color w:val="auto"/>
          <w:sz w:val="30"/>
          <w:szCs w:val="30"/>
          <w:highlight w:val="none"/>
          <w:u w:val="single"/>
          <w:lang w:val="en-US" w:eastAsia="zh-CN"/>
        </w:rPr>
        <w:t>30</w:t>
      </w:r>
      <w:r>
        <w:rPr>
          <w:rFonts w:hint="eastAsia" w:ascii="仿宋" w:hAnsi="仿宋" w:eastAsia="仿宋" w:cs="仿宋"/>
          <w:bCs/>
          <w:color w:val="auto"/>
          <w:sz w:val="30"/>
          <w:szCs w:val="30"/>
          <w:highlight w:val="none"/>
          <w:u w:val="single"/>
        </w:rPr>
        <w:t>分</w:t>
      </w:r>
      <w:r>
        <w:rPr>
          <w:rFonts w:hint="eastAsia" w:ascii="仿宋" w:hAnsi="仿宋" w:eastAsia="仿宋" w:cs="仿宋"/>
          <w:bCs/>
          <w:color w:val="auto"/>
          <w:sz w:val="30"/>
          <w:szCs w:val="30"/>
          <w:highlight w:val="none"/>
        </w:rPr>
        <w:t>（北京时间）前提交响应文件</w:t>
      </w:r>
      <w:r>
        <w:rPr>
          <w:rFonts w:hint="eastAsia" w:ascii="仿宋" w:hAnsi="仿宋" w:eastAsia="仿宋" w:cs="仿宋"/>
          <w:color w:val="auto"/>
          <w:sz w:val="30"/>
          <w:szCs w:val="30"/>
          <w:highlight w:val="none"/>
        </w:rPr>
        <w:t>。</w:t>
      </w:r>
    </w:p>
    <w:p w14:paraId="619BE0FD">
      <w:pPr>
        <w:keepNext/>
        <w:keepLines/>
        <w:spacing w:line="560" w:lineRule="exact"/>
        <w:ind w:firstLineChars="200"/>
        <w:rPr>
          <w:rFonts w:hint="eastAsia" w:ascii="黑体" w:hAnsi="黑体" w:eastAsia="黑体" w:cs="黑体"/>
          <w:bCs/>
          <w:color w:val="auto"/>
          <w:sz w:val="30"/>
          <w:szCs w:val="30"/>
          <w:highlight w:val="none"/>
        </w:rPr>
      </w:pPr>
      <w:bookmarkStart w:id="5" w:name="_Toc28359012"/>
      <w:bookmarkStart w:id="6" w:name="_Toc35393798"/>
      <w:bookmarkStart w:id="7" w:name="_Toc28359089"/>
      <w:bookmarkStart w:id="8" w:name="_Toc35393629"/>
      <w:r>
        <w:rPr>
          <w:rFonts w:hint="eastAsia" w:ascii="黑体" w:hAnsi="黑体" w:eastAsia="黑体" w:cs="黑体"/>
          <w:bCs/>
          <w:color w:val="auto"/>
          <w:sz w:val="30"/>
          <w:szCs w:val="30"/>
          <w:highlight w:val="none"/>
        </w:rPr>
        <w:t>一、项目基本情况</w:t>
      </w:r>
      <w:bookmarkEnd w:id="5"/>
      <w:bookmarkEnd w:id="6"/>
      <w:bookmarkEnd w:id="7"/>
      <w:bookmarkEnd w:id="8"/>
    </w:p>
    <w:p w14:paraId="62E43948">
      <w:pPr>
        <w:spacing w:line="560" w:lineRule="exact"/>
        <w:ind w:firstLine="600"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项目编号：</w:t>
      </w:r>
      <w:r>
        <w:rPr>
          <w:rFonts w:hint="eastAsia" w:ascii="仿宋" w:hAnsi="仿宋" w:eastAsia="仿宋" w:cs="仿宋"/>
          <w:color w:val="auto"/>
          <w:sz w:val="30"/>
          <w:szCs w:val="30"/>
          <w:highlight w:val="none"/>
          <w:u w:val="single"/>
        </w:rPr>
        <w:t>JSZC-320000-RHZH-C2026-00</w:t>
      </w:r>
      <w:r>
        <w:rPr>
          <w:rFonts w:hint="eastAsia" w:ascii="仿宋" w:hAnsi="仿宋" w:eastAsia="仿宋" w:cs="仿宋"/>
          <w:color w:val="auto"/>
          <w:sz w:val="30"/>
          <w:szCs w:val="30"/>
          <w:highlight w:val="none"/>
          <w:u w:val="single"/>
          <w:lang w:val="en-US" w:eastAsia="zh-CN"/>
        </w:rPr>
        <w:t xml:space="preserve">35 </w:t>
      </w:r>
    </w:p>
    <w:p w14:paraId="21B683A0">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采购代理机构公司内部编号：</w:t>
      </w:r>
      <w:r>
        <w:rPr>
          <w:rFonts w:hint="eastAsia" w:ascii="仿宋" w:hAnsi="仿宋" w:eastAsia="仿宋" w:cs="仿宋"/>
          <w:color w:val="auto"/>
          <w:sz w:val="30"/>
          <w:szCs w:val="30"/>
          <w:highlight w:val="none"/>
          <w:u w:val="single"/>
        </w:rPr>
        <w:t>RHZH2026-NJZB-00</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rPr>
        <w:t xml:space="preserve"> </w:t>
      </w:r>
    </w:p>
    <w:p w14:paraId="0AE4C6FC">
      <w:pPr>
        <w:spacing w:line="560" w:lineRule="exac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项目名称：</w:t>
      </w:r>
      <w:r>
        <w:rPr>
          <w:rFonts w:hint="eastAsia" w:ascii="仿宋" w:hAnsi="仿宋" w:eastAsia="仿宋" w:cs="仿宋"/>
          <w:color w:val="auto"/>
          <w:sz w:val="30"/>
          <w:szCs w:val="30"/>
          <w:highlight w:val="none"/>
          <w:u w:val="single"/>
          <w:lang w:eastAsia="zh-CN"/>
        </w:rPr>
        <w:t>水佐岗49号电梯维修改造项目</w:t>
      </w:r>
    </w:p>
    <w:p w14:paraId="4EEA34DF">
      <w:pPr>
        <w:spacing w:line="560" w:lineRule="exact"/>
        <w:ind w:firstLine="600"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预算金额：</w:t>
      </w:r>
      <w:r>
        <w:rPr>
          <w:rFonts w:hint="eastAsia" w:ascii="仿宋" w:hAnsi="仿宋" w:eastAsia="仿宋" w:cs="仿宋"/>
          <w:color w:val="auto"/>
          <w:sz w:val="30"/>
          <w:szCs w:val="30"/>
          <w:highlight w:val="none"/>
          <w:u w:val="single"/>
        </w:rPr>
        <w:t>1</w:t>
      </w:r>
      <w:r>
        <w:rPr>
          <w:rFonts w:hint="eastAsia" w:ascii="仿宋" w:hAnsi="仿宋" w:eastAsia="仿宋" w:cs="仿宋"/>
          <w:color w:val="auto"/>
          <w:sz w:val="30"/>
          <w:szCs w:val="30"/>
          <w:highlight w:val="none"/>
          <w:u w:val="single"/>
          <w:lang w:val="en-US" w:eastAsia="zh-CN"/>
        </w:rPr>
        <w:t>5</w:t>
      </w:r>
      <w:r>
        <w:rPr>
          <w:rFonts w:hint="eastAsia" w:ascii="仿宋" w:hAnsi="仿宋" w:eastAsia="仿宋" w:cs="仿宋"/>
          <w:color w:val="auto"/>
          <w:sz w:val="30"/>
          <w:szCs w:val="30"/>
          <w:highlight w:val="none"/>
          <w:u w:val="single"/>
        </w:rPr>
        <w:t>0万元</w:t>
      </w:r>
      <w:r>
        <w:rPr>
          <w:rFonts w:hint="eastAsia" w:ascii="仿宋" w:hAnsi="仿宋" w:eastAsia="仿宋" w:cs="仿宋"/>
          <w:color w:val="auto"/>
          <w:sz w:val="30"/>
          <w:szCs w:val="30"/>
          <w:highlight w:val="none"/>
          <w:u w:val="single"/>
          <w:lang w:val="en-US" w:eastAsia="zh-CN"/>
        </w:rPr>
        <w:t xml:space="preserve">     </w:t>
      </w:r>
    </w:p>
    <w:p w14:paraId="1ADC1F27">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最高限价：</w:t>
      </w:r>
      <w:r>
        <w:rPr>
          <w:rFonts w:hint="eastAsia" w:ascii="仿宋" w:hAnsi="仿宋" w:eastAsia="仿宋" w:cs="仿宋"/>
          <w:color w:val="auto"/>
          <w:sz w:val="30"/>
          <w:szCs w:val="30"/>
          <w:highlight w:val="none"/>
          <w:u w:val="single"/>
          <w:lang w:val="en-US" w:eastAsia="zh-CN"/>
        </w:rPr>
        <w:t>133.825235</w:t>
      </w:r>
      <w:r>
        <w:rPr>
          <w:rFonts w:hint="eastAsia" w:ascii="仿宋" w:hAnsi="仿宋" w:eastAsia="仿宋" w:cs="仿宋"/>
          <w:color w:val="auto"/>
          <w:sz w:val="30"/>
          <w:szCs w:val="30"/>
          <w:highlight w:val="none"/>
          <w:u w:val="single"/>
        </w:rPr>
        <w:t>万元（磋商报价不得超过此金额）</w:t>
      </w:r>
    </w:p>
    <w:p w14:paraId="3C49E3B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采购需求：</w:t>
      </w:r>
      <w:r>
        <w:rPr>
          <w:rFonts w:hint="eastAsia" w:ascii="仿宋" w:hAnsi="仿宋" w:eastAsia="仿宋" w:cs="仿宋"/>
          <w:color w:val="auto"/>
          <w:sz w:val="30"/>
          <w:szCs w:val="30"/>
          <w:highlight w:val="none"/>
          <w:u w:val="single"/>
          <w:lang w:eastAsia="zh-CN"/>
        </w:rPr>
        <w:t>水佐岗49号电梯维修改造项目</w:t>
      </w:r>
      <w:r>
        <w:rPr>
          <w:rFonts w:hint="eastAsia" w:ascii="仿宋" w:hAnsi="仿宋" w:eastAsia="仿宋" w:cs="仿宋"/>
          <w:color w:val="auto"/>
          <w:sz w:val="30"/>
          <w:szCs w:val="30"/>
          <w:highlight w:val="none"/>
          <w:u w:val="single"/>
        </w:rPr>
        <w:t xml:space="preserve">，具体内容以采购清单为准。 </w:t>
      </w:r>
      <w:r>
        <w:rPr>
          <w:rFonts w:hint="eastAsia" w:ascii="仿宋" w:hAnsi="仿宋" w:eastAsia="仿宋" w:cs="仿宋"/>
          <w:color w:val="auto"/>
          <w:sz w:val="30"/>
          <w:szCs w:val="30"/>
          <w:highlight w:val="none"/>
        </w:rPr>
        <w:t xml:space="preserve">   </w:t>
      </w:r>
    </w:p>
    <w:p w14:paraId="6B8E5383">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合同履行期限：</w:t>
      </w:r>
      <w:r>
        <w:rPr>
          <w:rFonts w:hint="eastAsia" w:ascii="仿宋" w:hAnsi="仿宋" w:eastAsia="仿宋" w:cs="仿宋"/>
          <w:color w:val="auto"/>
          <w:sz w:val="30"/>
          <w:szCs w:val="30"/>
          <w:highlight w:val="none"/>
          <w:u w:val="single"/>
          <w:lang w:val="en-US" w:eastAsia="zh-CN"/>
        </w:rPr>
        <w:t>60</w:t>
      </w:r>
      <w:r>
        <w:rPr>
          <w:rFonts w:hint="eastAsia" w:ascii="仿宋" w:hAnsi="仿宋" w:eastAsia="仿宋" w:cs="仿宋"/>
          <w:color w:val="auto"/>
          <w:sz w:val="30"/>
          <w:szCs w:val="30"/>
          <w:highlight w:val="none"/>
          <w:u w:val="single"/>
        </w:rPr>
        <w:t>日历天</w:t>
      </w:r>
    </w:p>
    <w:p w14:paraId="62BB871A">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本项目是否接受联合体：</w:t>
      </w:r>
      <w:r>
        <w:rPr>
          <w:rFonts w:hint="eastAsia" w:ascii="仿宋" w:hAnsi="仿宋" w:eastAsia="仿宋" w:cs="仿宋"/>
          <w:color w:val="auto"/>
          <w:sz w:val="30"/>
          <w:szCs w:val="30"/>
          <w:highlight w:val="none"/>
          <w:u w:val="single"/>
        </w:rPr>
        <w:t>否 。</w:t>
      </w:r>
    </w:p>
    <w:p w14:paraId="653AD4E5">
      <w:pPr>
        <w:keepNext/>
        <w:keepLines/>
        <w:spacing w:line="560" w:lineRule="exact"/>
        <w:ind w:firstLineChars="200"/>
        <w:rPr>
          <w:rFonts w:hint="eastAsia" w:ascii="黑体" w:hAnsi="黑体" w:eastAsia="黑体" w:cs="黑体"/>
          <w:bCs/>
          <w:color w:val="auto"/>
          <w:sz w:val="30"/>
          <w:szCs w:val="30"/>
          <w:highlight w:val="none"/>
        </w:rPr>
      </w:pPr>
      <w:bookmarkStart w:id="9" w:name="_Toc28359013"/>
      <w:bookmarkStart w:id="10" w:name="_Toc35393799"/>
      <w:bookmarkStart w:id="11" w:name="_Toc28359090"/>
      <w:bookmarkStart w:id="12" w:name="_Toc35393630"/>
      <w:r>
        <w:rPr>
          <w:rFonts w:hint="eastAsia" w:ascii="黑体" w:hAnsi="黑体" w:eastAsia="黑体" w:cs="黑体"/>
          <w:bCs/>
          <w:color w:val="auto"/>
          <w:sz w:val="30"/>
          <w:szCs w:val="30"/>
          <w:highlight w:val="none"/>
        </w:rPr>
        <w:t>二、申请人的资格要求</w:t>
      </w:r>
      <w:bookmarkEnd w:id="9"/>
      <w:bookmarkEnd w:id="10"/>
      <w:bookmarkEnd w:id="11"/>
      <w:bookmarkEnd w:id="12"/>
    </w:p>
    <w:p w14:paraId="6D7BBA5A">
      <w:pPr>
        <w:spacing w:line="560" w:lineRule="exact"/>
        <w:ind w:firstLine="602" w:firstLineChars="200"/>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1.满足《中华人民共和国政府采购法》第二十二条规定：</w:t>
      </w:r>
    </w:p>
    <w:p w14:paraId="113B9781">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（1）具有独立承担民事责任的能力（提供法人或者其他组织的营业执照）；</w:t>
      </w:r>
    </w:p>
    <w:p w14:paraId="45B886C8">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（2）具有良好的商业信誉和健全的财务会计制度（提供距开标时间六个月内</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2025年12月以来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任意</w:t>
      </w:r>
      <w:r>
        <w:rPr>
          <w:rFonts w:hint="eastAsia" w:ascii="仿宋" w:hAnsi="仿宋" w:eastAsia="仿宋" w:cs="仿宋"/>
          <w:color w:val="auto"/>
          <w:sz w:val="30"/>
          <w:szCs w:val="30"/>
          <w:highlight w:val="none"/>
          <w:lang w:eastAsia="zh-CN"/>
        </w:rPr>
        <w:t>一个</w:t>
      </w:r>
      <w:r>
        <w:rPr>
          <w:rFonts w:hint="eastAsia" w:ascii="仿宋" w:hAnsi="仿宋" w:eastAsia="仿宋" w:cs="仿宋"/>
          <w:color w:val="auto"/>
          <w:sz w:val="30"/>
          <w:szCs w:val="30"/>
          <w:highlight w:val="none"/>
        </w:rPr>
        <w:t>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，或银行出具的开标前六个月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2025年12月以来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内的资信证书复印件，或</w:t>
      </w:r>
      <w:r>
        <w:rPr>
          <w:rFonts w:hint="eastAsia" w:ascii="仿宋" w:hAnsi="仿宋" w:eastAsia="仿宋" w:cs="仿宋"/>
          <w:color w:val="auto"/>
          <w:sz w:val="30"/>
          <w:szCs w:val="30"/>
          <w:highlight w:val="none"/>
          <w:u w:val="single"/>
        </w:rPr>
        <w:t>2024</w:t>
      </w:r>
      <w:r>
        <w:rPr>
          <w:rFonts w:hint="eastAsia" w:ascii="仿宋" w:hAnsi="仿宋" w:eastAsia="仿宋" w:cs="仿宋"/>
          <w:color w:val="auto"/>
          <w:sz w:val="30"/>
          <w:szCs w:val="30"/>
          <w:highlight w:val="none"/>
        </w:rPr>
        <w:t>年度</w:t>
      </w:r>
      <w:r>
        <w:rPr>
          <w:rFonts w:hint="eastAsia" w:ascii="仿宋" w:hAnsi="仿宋" w:eastAsia="仿宋" w:cs="仿宋"/>
          <w:color w:val="auto"/>
          <w:sz w:val="30"/>
          <w:szCs w:val="30"/>
          <w:highlight w:val="none"/>
          <w:lang w:val="en-US" w:eastAsia="zh-CN"/>
        </w:rPr>
        <w:t>或</w:t>
      </w:r>
      <w:r>
        <w:rPr>
          <w:rFonts w:hint="eastAsia" w:ascii="仿宋" w:hAnsi="仿宋" w:eastAsia="仿宋" w:cs="仿宋"/>
          <w:color w:val="auto"/>
          <w:sz w:val="30"/>
          <w:szCs w:val="30"/>
          <w:highlight w:val="none"/>
          <w:u w:val="single"/>
          <w:lang w:val="en-US" w:eastAsia="zh-CN"/>
        </w:rPr>
        <w:t>2025</w:t>
      </w:r>
      <w:r>
        <w:rPr>
          <w:rFonts w:hint="eastAsia" w:ascii="仿宋" w:hAnsi="仿宋" w:eastAsia="仿宋" w:cs="仿宋"/>
          <w:color w:val="auto"/>
          <w:sz w:val="30"/>
          <w:szCs w:val="30"/>
          <w:highlight w:val="none"/>
          <w:lang w:val="en-US" w:eastAsia="zh-CN"/>
        </w:rPr>
        <w:t>年度</w:t>
      </w:r>
      <w:r>
        <w:rPr>
          <w:rFonts w:hint="eastAsia" w:ascii="仿宋" w:hAnsi="仿宋" w:eastAsia="仿宋" w:cs="仿宋"/>
          <w:color w:val="auto"/>
          <w:sz w:val="30"/>
          <w:szCs w:val="30"/>
          <w:highlight w:val="none"/>
        </w:rPr>
        <w:t>经审计的财务报告）；</w:t>
      </w:r>
    </w:p>
    <w:p w14:paraId="69B88FFB">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（3）具有履行合同所必需的设备和专业技术能力（根据项目需求提供履行合同所必需的设备和专业技术能力的声明或证明材料）；</w:t>
      </w:r>
    </w:p>
    <w:p w14:paraId="7F072780">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2025年12月以来</w:t>
      </w:r>
      <w:r>
        <w:rPr>
          <w:rFonts w:hint="eastAsia" w:ascii="仿宋" w:hAnsi="仿宋" w:eastAsia="仿宋" w:cs="仿宋"/>
          <w:color w:val="auto"/>
          <w:sz w:val="30"/>
          <w:szCs w:val="30"/>
          <w:highlight w:val="none"/>
        </w:rPr>
        <w:t>任意一个月）依法缴纳税收和社会保障资金的相关材料）；</w:t>
      </w:r>
    </w:p>
    <w:p w14:paraId="6BD11E93">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（5）参加政府采购活动前三年内，在经营活动中没有重大违法记录（提供参加本次政府采购活动前3年内在经营活动中没有重大违法记录的书面声明）；</w:t>
      </w:r>
    </w:p>
    <w:p w14:paraId="63AC1A5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（6）法律、行政法规规定的其他条件（无）。</w:t>
      </w:r>
    </w:p>
    <w:p w14:paraId="7B5610B0">
      <w:pPr>
        <w:widowControl/>
        <w:adjustRightInd w:val="0"/>
        <w:snapToGrid w:val="0"/>
        <w:spacing w:line="560" w:lineRule="exact"/>
        <w:ind w:firstLine="600" w:firstLineChars="200"/>
        <w:rPr>
          <w:rFonts w:hint="eastAsia" w:ascii="黑体" w:hAnsi="黑体" w:eastAsia="黑体" w:cs="黑体"/>
          <w:color w:val="auto"/>
          <w:spacing w:val="-10"/>
          <w:sz w:val="36"/>
          <w:szCs w:val="36"/>
          <w:highlight w:val="none"/>
        </w:rPr>
      </w:pPr>
      <w:bookmarkStart w:id="13" w:name="_Toc28359091"/>
      <w:bookmarkStart w:id="14" w:name="_Toc28359014"/>
      <w:r>
        <w:rPr>
          <w:rFonts w:hint="eastAsia" w:ascii="楷体" w:hAnsi="楷体" w:eastAsia="楷体" w:cs="楷体"/>
          <w:color w:val="auto"/>
          <w:sz w:val="30"/>
          <w:szCs w:val="30"/>
          <w:highlight w:val="none"/>
        </w:rPr>
        <w:t>2.落实政府采购政策需满足的资格要求：</w:t>
      </w:r>
    </w:p>
    <w:p w14:paraId="5F71F875">
      <w:pPr>
        <w:spacing w:line="560" w:lineRule="exact"/>
        <w:ind w:firstLine="602" w:firstLineChars="200"/>
        <w:rPr>
          <w:rFonts w:hint="eastAsia" w:ascii="仿宋" w:hAnsi="仿宋" w:eastAsia="仿宋" w:cs="仿宋"/>
          <w:b/>
          <w:bCs/>
          <w:color w:val="auto"/>
          <w:sz w:val="30"/>
          <w:szCs w:val="30"/>
          <w:highlight w:val="none"/>
          <w:u w:val="single"/>
        </w:rPr>
      </w:pPr>
      <w:bookmarkStart w:id="15" w:name="OLE_LINK1"/>
      <w:bookmarkStart w:id="16" w:name="OLE_LINK2"/>
      <w:r>
        <w:rPr>
          <w:rFonts w:hint="eastAsia" w:ascii="仿宋" w:hAnsi="仿宋" w:eastAsia="仿宋" w:cs="仿宋"/>
          <w:b/>
          <w:bCs/>
          <w:color w:val="auto"/>
          <w:sz w:val="30"/>
          <w:szCs w:val="30"/>
          <w:highlight w:val="none"/>
          <w:u w:val="single"/>
        </w:rPr>
        <w:t>本项目专门面向中小企业采购。供应商须提供《中小企业声明函》或《残疾人福利性单位声明函》或《属于监狱企业的证明文件》。</w:t>
      </w:r>
    </w:p>
    <w:bookmarkEnd w:id="15"/>
    <w:bookmarkEnd w:id="16"/>
    <w:p w14:paraId="21B82951">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3.本项目的特定资格要求：</w:t>
      </w:r>
      <w:bookmarkStart w:id="17" w:name="_Toc35393800"/>
      <w:bookmarkStart w:id="18" w:name="_Toc35393631"/>
    </w:p>
    <w:p w14:paraId="2B97F111">
      <w:pPr>
        <w:pStyle w:val="33"/>
        <w:spacing w:line="360" w:lineRule="auto"/>
        <w:ind w:left="0" w:firstLine="602" w:firstLineChars="200"/>
        <w:rPr>
          <w:rFonts w:hint="eastAsia" w:ascii="仿宋" w:hAnsi="仿宋" w:eastAsia="仿宋" w:cs="仿宋"/>
          <w:b/>
          <w:bCs w:val="0"/>
          <w:color w:val="auto"/>
          <w:sz w:val="30"/>
          <w:szCs w:val="30"/>
          <w:highlight w:val="none"/>
          <w:u w:val="single"/>
          <w:lang w:eastAsia="zh-CN"/>
        </w:rPr>
      </w:pP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lang w:val="en-US" w:eastAsia="zh-CN"/>
        </w:rPr>
        <w:t>1</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rPr>
        <w:t>供应商</w:t>
      </w:r>
      <w:r>
        <w:rPr>
          <w:rFonts w:hint="eastAsia" w:ascii="仿宋" w:hAnsi="仿宋" w:eastAsia="仿宋" w:cs="仿宋"/>
          <w:b/>
          <w:bCs w:val="0"/>
          <w:color w:val="auto"/>
          <w:sz w:val="30"/>
          <w:szCs w:val="30"/>
          <w:highlight w:val="none"/>
          <w:u w:val="single"/>
          <w:lang w:eastAsia="zh-CN"/>
        </w:rPr>
        <w:t>（如为电梯制造商），</w:t>
      </w:r>
      <w:r>
        <w:rPr>
          <w:rFonts w:hint="eastAsia" w:ascii="仿宋" w:hAnsi="仿宋" w:eastAsia="仿宋" w:cs="仿宋"/>
          <w:b/>
          <w:bCs w:val="0"/>
          <w:color w:val="auto"/>
          <w:sz w:val="30"/>
          <w:szCs w:val="30"/>
          <w:highlight w:val="none"/>
          <w:u w:val="single"/>
          <w:lang w:val="en-US" w:eastAsia="zh-CN"/>
        </w:rPr>
        <w:t>应</w:t>
      </w:r>
      <w:r>
        <w:rPr>
          <w:rFonts w:hint="eastAsia" w:ascii="仿宋" w:hAnsi="仿宋" w:eastAsia="仿宋" w:cs="仿宋"/>
          <w:b/>
          <w:bCs w:val="0"/>
          <w:color w:val="auto"/>
          <w:sz w:val="30"/>
          <w:szCs w:val="30"/>
          <w:highlight w:val="none"/>
          <w:u w:val="single"/>
        </w:rPr>
        <w:t>具有</w:t>
      </w:r>
      <w:r>
        <w:rPr>
          <w:rFonts w:hint="eastAsia" w:ascii="仿宋" w:hAnsi="仿宋" w:eastAsia="仿宋" w:cs="仿宋"/>
          <w:b/>
          <w:bCs w:val="0"/>
          <w:color w:val="auto"/>
          <w:sz w:val="30"/>
          <w:szCs w:val="30"/>
          <w:highlight w:val="none"/>
          <w:u w:val="single"/>
          <w:lang w:eastAsia="zh-CN"/>
        </w:rPr>
        <w:t>有效期内</w:t>
      </w:r>
      <w:r>
        <w:rPr>
          <w:rFonts w:hint="eastAsia" w:ascii="仿宋" w:hAnsi="仿宋" w:eastAsia="仿宋" w:cs="仿宋"/>
          <w:b/>
          <w:bCs w:val="0"/>
          <w:color w:val="auto"/>
          <w:sz w:val="30"/>
          <w:szCs w:val="30"/>
          <w:highlight w:val="none"/>
          <w:u w:val="single"/>
        </w:rPr>
        <w:t>&lt;&lt;中华人民共和国特种设备生产许可证&gt;&gt;</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rPr>
        <w:t>许可项目</w:t>
      </w:r>
      <w:r>
        <w:rPr>
          <w:rFonts w:hint="eastAsia" w:ascii="仿宋" w:hAnsi="仿宋" w:eastAsia="仿宋" w:cs="仿宋"/>
          <w:b/>
          <w:bCs w:val="0"/>
          <w:color w:val="auto"/>
          <w:sz w:val="30"/>
          <w:szCs w:val="30"/>
          <w:highlight w:val="none"/>
          <w:u w:val="single"/>
          <w:lang w:eastAsia="zh-CN"/>
        </w:rPr>
        <w:t>包含</w:t>
      </w:r>
      <w:r>
        <w:rPr>
          <w:rFonts w:hint="eastAsia" w:ascii="仿宋" w:hAnsi="仿宋" w:eastAsia="仿宋" w:cs="仿宋"/>
          <w:b/>
          <w:bCs w:val="0"/>
          <w:color w:val="auto"/>
          <w:sz w:val="30"/>
          <w:szCs w:val="30"/>
          <w:highlight w:val="none"/>
          <w:u w:val="single"/>
        </w:rPr>
        <w:t>电梯制造（含安装、修理、改造）</w:t>
      </w:r>
      <w:r>
        <w:rPr>
          <w:rFonts w:hint="eastAsia" w:ascii="仿宋" w:hAnsi="仿宋" w:eastAsia="仿宋" w:cs="仿宋"/>
          <w:b/>
          <w:bCs w:val="0"/>
          <w:color w:val="auto"/>
          <w:sz w:val="30"/>
          <w:szCs w:val="30"/>
          <w:highlight w:val="none"/>
          <w:u w:val="single"/>
          <w:lang w:val="en-US" w:eastAsia="zh-CN"/>
        </w:rPr>
        <w:t>，许可子项目包含</w:t>
      </w:r>
      <w:r>
        <w:rPr>
          <w:rFonts w:hint="eastAsia" w:ascii="仿宋" w:hAnsi="仿宋" w:eastAsia="仿宋" w:cs="仿宋"/>
          <w:b/>
          <w:bCs w:val="0"/>
          <w:color w:val="auto"/>
          <w:sz w:val="30"/>
          <w:szCs w:val="30"/>
          <w:highlight w:val="none"/>
          <w:u w:val="single"/>
        </w:rPr>
        <w:t>曳引驱动</w:t>
      </w:r>
      <w:r>
        <w:rPr>
          <w:rFonts w:hint="eastAsia" w:ascii="仿宋" w:hAnsi="仿宋" w:eastAsia="仿宋" w:cs="仿宋"/>
          <w:b/>
          <w:bCs w:val="0"/>
          <w:color w:val="auto"/>
          <w:sz w:val="30"/>
          <w:szCs w:val="30"/>
          <w:highlight w:val="none"/>
          <w:u w:val="single"/>
          <w:lang w:eastAsia="zh-CN"/>
        </w:rPr>
        <w:t>乘客</w:t>
      </w:r>
      <w:r>
        <w:rPr>
          <w:rFonts w:hint="eastAsia" w:ascii="仿宋" w:hAnsi="仿宋" w:eastAsia="仿宋" w:cs="仿宋"/>
          <w:b/>
          <w:bCs w:val="0"/>
          <w:color w:val="auto"/>
          <w:sz w:val="30"/>
          <w:szCs w:val="30"/>
          <w:highlight w:val="none"/>
          <w:u w:val="single"/>
        </w:rPr>
        <w:t>电梯</w:t>
      </w:r>
      <w:r>
        <w:rPr>
          <w:rFonts w:hint="eastAsia" w:ascii="仿宋" w:hAnsi="仿宋" w:eastAsia="仿宋" w:cs="仿宋"/>
          <w:b/>
          <w:bCs w:val="0"/>
          <w:color w:val="auto"/>
          <w:sz w:val="30"/>
          <w:szCs w:val="30"/>
          <w:highlight w:val="none"/>
          <w:u w:val="single"/>
          <w:lang w:eastAsia="zh-CN"/>
        </w:rPr>
        <w:t>（含消防员电梯）</w:t>
      </w:r>
      <w:r>
        <w:rPr>
          <w:rFonts w:hint="eastAsia" w:ascii="仿宋" w:hAnsi="仿宋" w:eastAsia="仿宋" w:cs="仿宋"/>
          <w:b/>
          <w:bCs w:val="0"/>
          <w:color w:val="auto"/>
          <w:sz w:val="30"/>
          <w:szCs w:val="30"/>
          <w:highlight w:val="none"/>
          <w:u w:val="single"/>
        </w:rPr>
        <w:t>B级及以上</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rPr>
        <w:t>提供证书</w:t>
      </w:r>
      <w:r>
        <w:rPr>
          <w:rFonts w:hint="eastAsia" w:ascii="仿宋" w:hAnsi="仿宋" w:eastAsia="仿宋" w:cs="仿宋"/>
          <w:b/>
          <w:bCs w:val="0"/>
          <w:color w:val="auto"/>
          <w:sz w:val="30"/>
          <w:szCs w:val="30"/>
          <w:highlight w:val="none"/>
          <w:u w:val="single"/>
          <w:lang w:eastAsia="zh-CN"/>
        </w:rPr>
        <w:t>材料）</w:t>
      </w:r>
    </w:p>
    <w:p w14:paraId="06056B62">
      <w:pPr>
        <w:pStyle w:val="33"/>
        <w:spacing w:line="360" w:lineRule="auto"/>
        <w:ind w:left="0" w:firstLine="602" w:firstLineChars="200"/>
        <w:rPr>
          <w:rFonts w:hint="eastAsia" w:eastAsia="仿宋"/>
          <w:lang w:eastAsia="zh-CN"/>
        </w:rPr>
      </w:pP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lang w:val="en-US" w:eastAsia="zh-CN"/>
        </w:rPr>
        <w:t>2</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lang w:val="en-US" w:eastAsia="zh-CN"/>
        </w:rPr>
        <w:t>供应商（如为电梯代理商），除提供第一项材料外，应具有</w:t>
      </w:r>
      <w:r>
        <w:rPr>
          <w:rFonts w:hint="eastAsia" w:ascii="仿宋" w:hAnsi="仿宋" w:eastAsia="仿宋" w:cs="仿宋"/>
          <w:b/>
          <w:bCs w:val="0"/>
          <w:color w:val="auto"/>
          <w:sz w:val="30"/>
          <w:szCs w:val="30"/>
          <w:highlight w:val="none"/>
          <w:u w:val="single"/>
          <w:lang w:eastAsia="zh-CN"/>
        </w:rPr>
        <w:t>有效期内</w:t>
      </w:r>
      <w:r>
        <w:rPr>
          <w:rFonts w:hint="eastAsia" w:ascii="仿宋" w:hAnsi="仿宋" w:eastAsia="仿宋" w:cs="仿宋"/>
          <w:b/>
          <w:bCs w:val="0"/>
          <w:color w:val="auto"/>
          <w:sz w:val="30"/>
          <w:szCs w:val="30"/>
          <w:highlight w:val="none"/>
          <w:u w:val="single"/>
        </w:rPr>
        <w:t>&lt;&lt;中华人民共和国特种设备生产许可证&gt;&gt;</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rPr>
        <w:t>许可项目</w:t>
      </w:r>
      <w:r>
        <w:rPr>
          <w:rFonts w:hint="eastAsia" w:ascii="仿宋" w:hAnsi="仿宋" w:eastAsia="仿宋" w:cs="仿宋"/>
          <w:b/>
          <w:bCs w:val="0"/>
          <w:color w:val="auto"/>
          <w:sz w:val="30"/>
          <w:szCs w:val="30"/>
          <w:highlight w:val="none"/>
          <w:u w:val="single"/>
          <w:lang w:eastAsia="zh-CN"/>
        </w:rPr>
        <w:t>包含</w:t>
      </w:r>
      <w:r>
        <w:rPr>
          <w:rFonts w:hint="eastAsia" w:ascii="仿宋" w:hAnsi="仿宋" w:eastAsia="仿宋" w:cs="仿宋"/>
          <w:b/>
          <w:bCs w:val="0"/>
          <w:color w:val="auto"/>
          <w:sz w:val="30"/>
          <w:szCs w:val="30"/>
          <w:highlight w:val="none"/>
          <w:u w:val="single"/>
        </w:rPr>
        <w:t>电梯安装</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rPr>
        <w:t>含修理</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lang w:val="en-US" w:eastAsia="zh-CN"/>
        </w:rPr>
        <w:t>，许可子项目包含</w:t>
      </w:r>
      <w:r>
        <w:rPr>
          <w:rFonts w:hint="eastAsia" w:ascii="仿宋" w:hAnsi="仿宋" w:eastAsia="仿宋" w:cs="仿宋"/>
          <w:b/>
          <w:bCs w:val="0"/>
          <w:color w:val="auto"/>
          <w:sz w:val="30"/>
          <w:szCs w:val="30"/>
          <w:highlight w:val="none"/>
          <w:u w:val="single"/>
        </w:rPr>
        <w:t>曳引驱动</w:t>
      </w:r>
      <w:r>
        <w:rPr>
          <w:rFonts w:hint="eastAsia" w:ascii="仿宋" w:hAnsi="仿宋" w:eastAsia="仿宋" w:cs="仿宋"/>
          <w:b/>
          <w:bCs w:val="0"/>
          <w:color w:val="auto"/>
          <w:sz w:val="30"/>
          <w:szCs w:val="30"/>
          <w:highlight w:val="none"/>
          <w:u w:val="single"/>
          <w:lang w:eastAsia="zh-CN"/>
        </w:rPr>
        <w:t>乘客</w:t>
      </w:r>
      <w:r>
        <w:rPr>
          <w:rFonts w:hint="eastAsia" w:ascii="仿宋" w:hAnsi="仿宋" w:eastAsia="仿宋" w:cs="仿宋"/>
          <w:b/>
          <w:bCs w:val="0"/>
          <w:color w:val="auto"/>
          <w:sz w:val="30"/>
          <w:szCs w:val="30"/>
          <w:highlight w:val="none"/>
          <w:u w:val="single"/>
        </w:rPr>
        <w:t>电梯</w:t>
      </w:r>
      <w:r>
        <w:rPr>
          <w:rFonts w:hint="eastAsia" w:ascii="仿宋" w:hAnsi="仿宋" w:eastAsia="仿宋" w:cs="仿宋"/>
          <w:b/>
          <w:bCs w:val="0"/>
          <w:color w:val="auto"/>
          <w:sz w:val="30"/>
          <w:szCs w:val="30"/>
          <w:highlight w:val="none"/>
          <w:u w:val="single"/>
          <w:lang w:eastAsia="zh-CN"/>
        </w:rPr>
        <w:t>（含消防员电梯）</w:t>
      </w:r>
      <w:r>
        <w:rPr>
          <w:rFonts w:hint="eastAsia" w:ascii="仿宋" w:hAnsi="仿宋" w:eastAsia="仿宋" w:cs="仿宋"/>
          <w:b/>
          <w:bCs w:val="0"/>
          <w:color w:val="auto"/>
          <w:sz w:val="30"/>
          <w:szCs w:val="30"/>
          <w:highlight w:val="none"/>
          <w:u w:val="single"/>
        </w:rPr>
        <w:t>B级及以上</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lang w:val="en-US" w:eastAsia="zh-CN"/>
        </w:rPr>
        <w:t>电梯由制造商安装或委托其安装、修理、改造。（提供</w:t>
      </w:r>
      <w:r>
        <w:rPr>
          <w:rFonts w:hint="eastAsia" w:ascii="仿宋" w:hAnsi="仿宋" w:eastAsia="仿宋" w:cs="仿宋"/>
          <w:b/>
          <w:bCs w:val="0"/>
          <w:color w:val="auto"/>
          <w:sz w:val="30"/>
          <w:szCs w:val="30"/>
          <w:highlight w:val="none"/>
          <w:u w:val="single"/>
        </w:rPr>
        <w:t>证书</w:t>
      </w:r>
      <w:r>
        <w:rPr>
          <w:rFonts w:hint="eastAsia" w:ascii="仿宋" w:hAnsi="仿宋" w:eastAsia="仿宋" w:cs="仿宋"/>
          <w:b/>
          <w:bCs w:val="0"/>
          <w:color w:val="auto"/>
          <w:sz w:val="30"/>
          <w:szCs w:val="30"/>
          <w:highlight w:val="none"/>
          <w:u w:val="single"/>
          <w:lang w:eastAsia="zh-CN"/>
        </w:rPr>
        <w:t>、</w:t>
      </w:r>
      <w:r>
        <w:rPr>
          <w:rFonts w:hint="eastAsia" w:ascii="仿宋" w:hAnsi="仿宋" w:eastAsia="仿宋" w:cs="仿宋"/>
          <w:b/>
          <w:bCs w:val="0"/>
          <w:color w:val="auto"/>
          <w:sz w:val="30"/>
          <w:szCs w:val="30"/>
          <w:highlight w:val="none"/>
          <w:u w:val="single"/>
          <w:lang w:val="en-US" w:eastAsia="zh-CN"/>
        </w:rPr>
        <w:t>委托书</w:t>
      </w:r>
      <w:r>
        <w:rPr>
          <w:rFonts w:hint="eastAsia" w:ascii="仿宋" w:hAnsi="仿宋" w:eastAsia="仿宋" w:cs="仿宋"/>
          <w:b/>
          <w:bCs w:val="0"/>
          <w:color w:val="auto"/>
          <w:sz w:val="30"/>
          <w:szCs w:val="30"/>
          <w:highlight w:val="none"/>
          <w:u w:val="single"/>
          <w:lang w:eastAsia="zh-CN"/>
        </w:rPr>
        <w:t>相关材料</w:t>
      </w:r>
      <w:r>
        <w:rPr>
          <w:rFonts w:hint="eastAsia" w:ascii="仿宋" w:hAnsi="仿宋" w:eastAsia="仿宋" w:cs="仿宋"/>
          <w:b/>
          <w:bCs w:val="0"/>
          <w:color w:val="auto"/>
          <w:sz w:val="30"/>
          <w:szCs w:val="30"/>
          <w:highlight w:val="none"/>
          <w:u w:val="single"/>
          <w:lang w:val="en-US" w:eastAsia="zh-CN"/>
        </w:rPr>
        <w:t>）</w:t>
      </w:r>
    </w:p>
    <w:p w14:paraId="29C03040">
      <w:pPr>
        <w:pStyle w:val="33"/>
        <w:spacing w:line="360" w:lineRule="auto"/>
        <w:ind w:left="0"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4.拒绝下述供应商参加本次采购活动：</w:t>
      </w:r>
    </w:p>
    <w:p w14:paraId="6DEAC359">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（1）供应商单位负责人为同一人或者存在直接控股、管理关系的不同供应商，不得参加同一合同项下的政府采购活动。</w:t>
      </w:r>
    </w:p>
    <w:p w14:paraId="38C62138">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（2）凡为采购项目提供整体设计、规范编制或者项目管理、监理、检测等服务的供应商，不得再参加本项目的采购活动。</w:t>
      </w:r>
    </w:p>
    <w:p w14:paraId="5564D0BF">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（3）供应商被“信用中国”网站（www.creditchina.gov.cn）、“中国政府采购网</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(www.ccgp.gov.cn</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列入失信被执行人、重大税收违法案件当事人名单、政府采购严重违法失信行为记录名单。</w:t>
      </w:r>
    </w:p>
    <w:p w14:paraId="1B40859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三、获取采购文件</w:t>
      </w:r>
      <w:bookmarkEnd w:id="13"/>
      <w:bookmarkEnd w:id="14"/>
      <w:bookmarkEnd w:id="17"/>
      <w:bookmarkEnd w:id="18"/>
      <w:bookmarkStart w:id="19" w:name="_Toc28359092"/>
      <w:bookmarkStart w:id="20" w:name="_Toc35393632"/>
      <w:bookmarkStart w:id="21" w:name="_Toc35393801"/>
      <w:bookmarkStart w:id="22" w:name="_Toc28359015"/>
    </w:p>
    <w:p w14:paraId="341DA003">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1.</w:t>
      </w:r>
      <w:r>
        <w:rPr>
          <w:rFonts w:hint="eastAsia" w:ascii="华文仿宋" w:hAnsi="华文仿宋" w:eastAsia="华文仿宋" w:cs="华文仿宋"/>
          <w:color w:val="auto"/>
          <w:sz w:val="28"/>
          <w:szCs w:val="28"/>
        </w:rPr>
        <w:t>时间：</w:t>
      </w:r>
      <w:r>
        <w:rPr>
          <w:rFonts w:hint="eastAsia" w:ascii="华文仿宋" w:hAnsi="华文仿宋" w:eastAsia="华文仿宋" w:cs="华文仿宋"/>
          <w:color w:val="auto"/>
          <w:sz w:val="28"/>
          <w:szCs w:val="28"/>
          <w:highlight w:val="none"/>
          <w:u w:val="single"/>
          <w:lang w:eastAsia="zh-CN"/>
        </w:rPr>
        <w:t>自磋商文件公告发布之日起5个工作日</w:t>
      </w:r>
    </w:p>
    <w:p w14:paraId="5C9249F8">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2.</w:t>
      </w:r>
      <w:r>
        <w:rPr>
          <w:rFonts w:hint="eastAsia" w:ascii="华文仿宋" w:hAnsi="华文仿宋" w:eastAsia="华文仿宋" w:cs="华文仿宋"/>
          <w:color w:val="auto"/>
          <w:sz w:val="28"/>
          <w:szCs w:val="28"/>
        </w:rPr>
        <w:t>地点:</w:t>
      </w:r>
      <w:r>
        <w:rPr>
          <w:rFonts w:hint="eastAsia" w:ascii="华文仿宋" w:hAnsi="华文仿宋" w:eastAsia="华文仿宋" w:cs="华文仿宋"/>
          <w:color w:val="auto"/>
          <w:sz w:val="28"/>
          <w:szCs w:val="28"/>
          <w:u w:val="single"/>
        </w:rPr>
        <w:t>江苏省政府采购管理交易系统(苏采云)(网址:http://jszfcg.jsczt.cn/) </w:t>
      </w:r>
    </w:p>
    <w:p w14:paraId="6B2327E4">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u w:val="single"/>
        </w:rPr>
      </w:pPr>
      <w:r>
        <w:rPr>
          <w:rFonts w:hint="eastAsia" w:ascii="华文仿宋" w:hAnsi="华文仿宋" w:eastAsia="华文仿宋" w:cs="华文仿宋"/>
          <w:color w:val="auto"/>
          <w:sz w:val="28"/>
          <w:szCs w:val="28"/>
        </w:rPr>
        <w:t>方式:</w:t>
      </w:r>
      <w:r>
        <w:rPr>
          <w:rFonts w:hint="eastAsia" w:ascii="华文仿宋" w:hAnsi="华文仿宋" w:eastAsia="华文仿宋" w:cs="华文仿宋"/>
          <w:color w:val="auto"/>
          <w:sz w:val="28"/>
          <w:szCs w:val="28"/>
          <w:u w:val="single"/>
        </w:rPr>
        <w:t>网站下载</w:t>
      </w:r>
    </w:p>
    <w:p w14:paraId="204C9EDF">
      <w:pPr>
        <w:pageBreakBefore w:val="0"/>
        <w:kinsoku/>
        <w:wordWrap/>
        <w:overflowPunct/>
        <w:topLinePunct w:val="0"/>
        <w:autoSpaceDE/>
        <w:autoSpaceDN/>
        <w:bidi w:val="0"/>
        <w:spacing w:line="560" w:lineRule="exact"/>
        <w:ind w:left="0" w:leftChars="0" w:firstLine="596" w:firstLineChars="213"/>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rPr>
        <w:t>售价</w:t>
      </w:r>
      <w:r>
        <w:rPr>
          <w:rFonts w:hint="eastAsia" w:ascii="华文仿宋" w:hAnsi="华文仿宋" w:eastAsia="华文仿宋" w:cs="华文仿宋"/>
          <w:color w:val="auto"/>
          <w:sz w:val="28"/>
          <w:szCs w:val="28"/>
          <w:u w:val="single"/>
        </w:rPr>
        <w:t>:0.00元</w:t>
      </w:r>
    </w:p>
    <w:p w14:paraId="4939B402">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四、响应文件提交</w:t>
      </w:r>
      <w:bookmarkEnd w:id="19"/>
      <w:bookmarkEnd w:id="20"/>
      <w:bookmarkEnd w:id="21"/>
      <w:bookmarkEnd w:id="22"/>
    </w:p>
    <w:p w14:paraId="5E867317">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截止时间：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7</w:t>
      </w:r>
      <w:r>
        <w:rPr>
          <w:rFonts w:hint="eastAsia" w:ascii="仿宋" w:hAnsi="仿宋" w:eastAsia="仿宋" w:cs="仿宋"/>
          <w:bCs/>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03</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09</w:t>
      </w:r>
      <w:r>
        <w:rPr>
          <w:rFonts w:hint="eastAsia" w:ascii="仿宋" w:hAnsi="仿宋" w:eastAsia="仿宋" w:cs="仿宋"/>
          <w:bCs/>
          <w:color w:val="auto"/>
          <w:sz w:val="30"/>
          <w:szCs w:val="30"/>
          <w:highlight w:val="none"/>
          <w:u w:val="single"/>
        </w:rPr>
        <w:t>点30分</w:t>
      </w:r>
      <w:r>
        <w:rPr>
          <w:rFonts w:hint="eastAsia" w:ascii="仿宋" w:hAnsi="仿宋" w:eastAsia="仿宋" w:cs="仿宋"/>
          <w:bCs/>
          <w:color w:val="auto"/>
          <w:sz w:val="30"/>
          <w:szCs w:val="30"/>
          <w:highlight w:val="none"/>
        </w:rPr>
        <w:t>（北京时间）</w:t>
      </w:r>
    </w:p>
    <w:p w14:paraId="2251655D">
      <w:pPr>
        <w:spacing w:line="560" w:lineRule="exact"/>
        <w:ind w:firstLine="600"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地点：</w:t>
      </w:r>
      <w:bookmarkStart w:id="23" w:name="_Toc28359093"/>
      <w:bookmarkStart w:id="24" w:name="_Toc28359016"/>
      <w:bookmarkStart w:id="25" w:name="_Toc35393802"/>
      <w:bookmarkStart w:id="26" w:name="_Toc35393633"/>
      <w:r>
        <w:rPr>
          <w:rFonts w:hint="eastAsia" w:ascii="仿宋" w:hAnsi="仿宋" w:eastAsia="仿宋" w:cs="仿宋"/>
          <w:color w:val="auto"/>
          <w:sz w:val="30"/>
          <w:szCs w:val="30"/>
          <w:highlight w:val="none"/>
          <w:lang w:val="en-US" w:eastAsia="zh-CN"/>
        </w:rPr>
        <w:t xml:space="preserve"> </w:t>
      </w:r>
      <w:r>
        <w:rPr>
          <w:rFonts w:hint="eastAsia" w:ascii="华文仿宋" w:hAnsi="华文仿宋" w:eastAsia="华文仿宋" w:cs="华文仿宋"/>
          <w:color w:val="auto"/>
          <w:sz w:val="28"/>
          <w:szCs w:val="28"/>
          <w:u w:val="single"/>
        </w:rPr>
        <w:t>江苏省政府采购管理交易系统(苏采云)(网址:http://jszfcg.jsczt.cn/)</w:t>
      </w:r>
      <w:r>
        <w:rPr>
          <w:rFonts w:hint="eastAsia" w:ascii="仿宋" w:hAnsi="仿宋" w:eastAsia="仿宋" w:cs="仿宋"/>
          <w:color w:val="auto"/>
          <w:sz w:val="30"/>
          <w:szCs w:val="30"/>
          <w:highlight w:val="none"/>
          <w:u w:val="single"/>
          <w:lang w:val="en-US" w:eastAsia="zh-CN"/>
        </w:rPr>
        <w:t xml:space="preserve"> </w:t>
      </w:r>
    </w:p>
    <w:p w14:paraId="532A2E57">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五、开启</w:t>
      </w:r>
      <w:bookmarkEnd w:id="23"/>
      <w:bookmarkEnd w:id="24"/>
      <w:bookmarkEnd w:id="25"/>
      <w:bookmarkEnd w:id="26"/>
    </w:p>
    <w:p w14:paraId="27B16F67">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7</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03</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09</w:t>
      </w:r>
      <w:r>
        <w:rPr>
          <w:rFonts w:hint="eastAsia" w:ascii="仿宋" w:hAnsi="仿宋" w:eastAsia="仿宋" w:cs="仿宋"/>
          <w:color w:val="auto"/>
          <w:sz w:val="30"/>
          <w:szCs w:val="30"/>
          <w:highlight w:val="none"/>
          <w:u w:val="single"/>
        </w:rPr>
        <w:t>点30分</w:t>
      </w:r>
      <w:r>
        <w:rPr>
          <w:rFonts w:hint="eastAsia" w:ascii="仿宋" w:hAnsi="仿宋" w:eastAsia="仿宋" w:cs="仿宋"/>
          <w:bCs/>
          <w:color w:val="auto"/>
          <w:sz w:val="30"/>
          <w:szCs w:val="30"/>
          <w:highlight w:val="none"/>
        </w:rPr>
        <w:t>（北京时间）</w:t>
      </w:r>
    </w:p>
    <w:p w14:paraId="72E3A0F0">
      <w:pPr>
        <w:pageBreakBefore w:val="0"/>
        <w:kinsoku/>
        <w:wordWrap/>
        <w:overflowPunct/>
        <w:topLinePunct w:val="0"/>
        <w:autoSpaceDE/>
        <w:autoSpaceDN/>
        <w:bidi w:val="0"/>
        <w:spacing w:line="560" w:lineRule="exact"/>
        <w:ind w:firstLine="600" w:firstLineChars="200"/>
        <w:textAlignment w:val="auto"/>
        <w:rPr>
          <w:rFonts w:hint="eastAsia" w:ascii="华文仿宋" w:hAnsi="华文仿宋" w:eastAsia="华文仿宋" w:cs="华文仿宋"/>
          <w:color w:val="auto"/>
          <w:sz w:val="28"/>
          <w:szCs w:val="28"/>
        </w:rPr>
      </w:pPr>
      <w:r>
        <w:rPr>
          <w:rFonts w:hint="eastAsia" w:ascii="仿宋" w:hAnsi="仿宋" w:eastAsia="仿宋" w:cs="仿宋"/>
          <w:color w:val="auto"/>
          <w:sz w:val="30"/>
          <w:szCs w:val="30"/>
          <w:highlight w:val="none"/>
        </w:rPr>
        <w:t>2.地点：</w:t>
      </w:r>
      <w:r>
        <w:rPr>
          <w:rFonts w:hint="eastAsia" w:ascii="华文仿宋" w:hAnsi="华文仿宋" w:eastAsia="华文仿宋" w:cs="华文仿宋"/>
          <w:bCs/>
          <w:color w:val="auto"/>
          <w:sz w:val="28"/>
          <w:szCs w:val="28"/>
          <w:u w:val="single"/>
          <w:lang w:val="en-US" w:eastAsia="zh-CN"/>
        </w:rPr>
        <w:t>“苏采云”网上开标大厅</w:t>
      </w:r>
    </w:p>
    <w:p w14:paraId="5850C856">
      <w:pPr>
        <w:keepNext/>
        <w:keepLines/>
        <w:spacing w:line="560" w:lineRule="exact"/>
        <w:ind w:firstLineChars="200"/>
        <w:rPr>
          <w:rFonts w:hint="eastAsia" w:ascii="黑体" w:hAnsi="黑体" w:eastAsia="黑体" w:cs="黑体"/>
          <w:bCs/>
          <w:color w:val="auto"/>
          <w:sz w:val="30"/>
          <w:szCs w:val="30"/>
          <w:highlight w:val="none"/>
        </w:rPr>
      </w:pPr>
      <w:bookmarkStart w:id="27" w:name="_Toc28359017"/>
      <w:bookmarkStart w:id="28" w:name="_Toc28359094"/>
      <w:bookmarkStart w:id="29" w:name="_Toc35393634"/>
      <w:bookmarkStart w:id="30" w:name="_Toc35393803"/>
      <w:r>
        <w:rPr>
          <w:rFonts w:hint="eastAsia" w:ascii="黑体" w:hAnsi="黑体" w:eastAsia="黑体" w:cs="黑体"/>
          <w:bCs/>
          <w:color w:val="auto"/>
          <w:sz w:val="30"/>
          <w:szCs w:val="30"/>
          <w:highlight w:val="none"/>
        </w:rPr>
        <w:t>六、公告期限</w:t>
      </w:r>
      <w:bookmarkEnd w:id="27"/>
      <w:bookmarkEnd w:id="28"/>
      <w:bookmarkEnd w:id="29"/>
      <w:bookmarkEnd w:id="30"/>
    </w:p>
    <w:p w14:paraId="258D32B9">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自本公告发布之日起3个工作日。</w:t>
      </w:r>
    </w:p>
    <w:p w14:paraId="600D4CC3">
      <w:pPr>
        <w:keepNext/>
        <w:keepLines/>
        <w:spacing w:line="560" w:lineRule="exact"/>
        <w:ind w:firstLineChars="200"/>
        <w:rPr>
          <w:rFonts w:hint="eastAsia" w:ascii="黑体" w:hAnsi="黑体" w:eastAsia="黑体" w:cs="黑体"/>
          <w:bCs/>
          <w:color w:val="auto"/>
          <w:sz w:val="30"/>
          <w:szCs w:val="30"/>
          <w:highlight w:val="none"/>
        </w:rPr>
      </w:pPr>
      <w:bookmarkStart w:id="31" w:name="_Toc35393635"/>
      <w:bookmarkStart w:id="32" w:name="_Toc35393804"/>
      <w:r>
        <w:rPr>
          <w:rFonts w:hint="eastAsia" w:ascii="黑体" w:hAnsi="黑体" w:eastAsia="黑体" w:cs="黑体"/>
          <w:bCs/>
          <w:color w:val="auto"/>
          <w:sz w:val="30"/>
          <w:szCs w:val="30"/>
          <w:highlight w:val="none"/>
        </w:rPr>
        <w:t>七、其他补充事宜</w:t>
      </w:r>
      <w:bookmarkEnd w:id="31"/>
      <w:bookmarkEnd w:id="32"/>
    </w:p>
    <w:p w14:paraId="49578978">
      <w:pPr>
        <w:spacing w:line="360" w:lineRule="auto"/>
        <w:ind w:firstLine="600" w:firstLineChars="200"/>
        <w:rPr>
          <w:rFonts w:hint="eastAsia" w:ascii="仿宋" w:hAnsi="仿宋" w:eastAsia="仿宋" w:cs="仿宋"/>
          <w:bCs/>
          <w:color w:val="auto"/>
          <w:sz w:val="30"/>
          <w:szCs w:val="30"/>
          <w:highlight w:val="none"/>
        </w:rPr>
      </w:pPr>
      <w:bookmarkStart w:id="33" w:name="_Toc28359095"/>
      <w:bookmarkStart w:id="34" w:name="_Toc35393636"/>
      <w:bookmarkStart w:id="35" w:name="_Toc35393805"/>
      <w:bookmarkStart w:id="36" w:name="_Toc28359018"/>
      <w:r>
        <w:rPr>
          <w:rFonts w:hint="eastAsia" w:ascii="仿宋" w:hAnsi="仿宋" w:eastAsia="仿宋" w:cs="仿宋"/>
          <w:bCs/>
          <w:color w:val="auto"/>
          <w:sz w:val="30"/>
          <w:szCs w:val="30"/>
          <w:highlight w:val="none"/>
        </w:rPr>
        <w:t>1.本项目不组织集体踏勘，供应商可自行踏勘。</w:t>
      </w:r>
    </w:p>
    <w:p w14:paraId="27A8E9D5">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2.本公告在"江苏省政府采购"网站(http://www.ccgp-jiangsu.gov.cn/)公示发布，敬请各供应商关注。若有关本次采购存在变动或修改，敬请各供应商及时关注"江苏省政府采购"网站发布的关于本项目的信息更正公告。</w:t>
      </w:r>
    </w:p>
    <w:p w14:paraId="477305BE">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p>
    <w:p w14:paraId="0CE203F5">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《操作手册》下载地址:</w:t>
      </w:r>
    </w:p>
    <w:p w14:paraId="23F7A878">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http://www.ccgp-jiangsu.gov.cn/jiangsu/zlxz/ee/ee3a4bc5a3454aa2b0d9312230633ce9.html</w:t>
      </w:r>
    </w:p>
    <w:p w14:paraId="580E7C4F">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南京地区客服热线：025-83633744，025-83633743</w:t>
      </w:r>
    </w:p>
    <w:p w14:paraId="5C95794D">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eastAsia="zh-CN"/>
        </w:rPr>
        <w:t xml:space="preserve">4、本项目工程量清单获取链接: </w:t>
      </w:r>
      <w:r>
        <w:rPr>
          <w:rFonts w:hint="eastAsia" w:ascii="仿宋" w:hAnsi="仿宋" w:eastAsia="仿宋" w:cs="仿宋"/>
          <w:color w:val="auto"/>
          <w:kern w:val="0"/>
          <w:sz w:val="30"/>
          <w:szCs w:val="30"/>
          <w:highlight w:val="none"/>
          <w:u w:val="single"/>
          <w:lang w:val="en-US" w:eastAsia="zh-CN"/>
        </w:rPr>
        <w:t xml:space="preserve"> https://pan.baidu.com/s/1q5PrdWu_xQ_oJeG5eMe56A?pwd=eb52 提取码: eb52 </w:t>
      </w:r>
      <w:r>
        <w:rPr>
          <w:rFonts w:hint="eastAsia" w:ascii="仿宋" w:hAnsi="仿宋" w:eastAsia="仿宋" w:cs="仿宋"/>
          <w:color w:val="auto"/>
          <w:kern w:val="0"/>
          <w:sz w:val="30"/>
          <w:szCs w:val="30"/>
          <w:highlight w:val="none"/>
          <w:lang w:val="en-US" w:eastAsia="zh-CN"/>
        </w:rPr>
        <w:t xml:space="preserve"> 。</w:t>
      </w:r>
      <w:bookmarkStart w:id="67" w:name="_GoBack"/>
      <w:bookmarkEnd w:id="67"/>
    </w:p>
    <w:p w14:paraId="1A90B13A">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八、凡对本次采购提出询问，请按以下方式联系</w:t>
      </w:r>
      <w:bookmarkEnd w:id="33"/>
      <w:bookmarkEnd w:id="34"/>
      <w:bookmarkEnd w:id="35"/>
      <w:bookmarkEnd w:id="36"/>
    </w:p>
    <w:p w14:paraId="3B3D395D">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rPr>
      </w:pPr>
      <w:bookmarkStart w:id="37" w:name="_Toc35393637"/>
      <w:bookmarkStart w:id="38" w:name="_Toc35393806"/>
      <w:bookmarkStart w:id="39" w:name="_Toc28359019"/>
      <w:bookmarkStart w:id="40" w:name="_Toc28359096"/>
      <w:r>
        <w:rPr>
          <w:rFonts w:hint="eastAsia" w:ascii="仿宋" w:hAnsi="仿宋" w:eastAsia="仿宋" w:cs="仿宋"/>
          <w:bCs/>
          <w:color w:val="auto"/>
          <w:sz w:val="30"/>
          <w:szCs w:val="30"/>
          <w:highlight w:val="none"/>
        </w:rPr>
        <w:t>1.采购人信息</w:t>
      </w:r>
    </w:p>
    <w:p w14:paraId="0ECA7F91">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default" w:ascii="仿宋" w:hAnsi="仿宋" w:eastAsia="仿宋" w:cs="仿宋"/>
          <w:bCs/>
          <w:color w:val="auto"/>
          <w:sz w:val="30"/>
          <w:szCs w:val="30"/>
          <w:highlight w:val="none"/>
          <w:lang w:val="en-US"/>
        </w:rPr>
      </w:pPr>
      <w:r>
        <w:rPr>
          <w:rFonts w:hint="eastAsia" w:ascii="仿宋" w:hAnsi="仿宋" w:eastAsia="仿宋" w:cs="仿宋"/>
          <w:bCs/>
          <w:color w:val="auto"/>
          <w:sz w:val="30"/>
          <w:szCs w:val="30"/>
          <w:highlight w:val="none"/>
        </w:rPr>
        <w:t>名  称：</w:t>
      </w:r>
      <w:r>
        <w:rPr>
          <w:rFonts w:hint="eastAsia" w:ascii="仿宋" w:hAnsi="仿宋" w:eastAsia="仿宋" w:cs="仿宋"/>
          <w:bCs/>
          <w:color w:val="auto"/>
          <w:sz w:val="30"/>
          <w:szCs w:val="30"/>
          <w:highlight w:val="none"/>
          <w:u w:val="single"/>
          <w:lang w:eastAsia="zh-CN"/>
        </w:rPr>
        <w:t>中共江苏省委党校</w:t>
      </w:r>
      <w:r>
        <w:rPr>
          <w:rFonts w:hint="eastAsia" w:ascii="仿宋" w:hAnsi="仿宋" w:eastAsia="仿宋" w:cs="仿宋"/>
          <w:bCs/>
          <w:color w:val="auto"/>
          <w:sz w:val="30"/>
          <w:szCs w:val="30"/>
          <w:highlight w:val="none"/>
          <w:u w:val="single"/>
          <w:lang w:val="en-US" w:eastAsia="zh-CN"/>
        </w:rPr>
        <w:t xml:space="preserve">     </w:t>
      </w:r>
    </w:p>
    <w:p w14:paraId="74C411D9">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default" w:ascii="仿宋" w:hAnsi="仿宋" w:eastAsia="仿宋" w:cs="仿宋"/>
          <w:bCs/>
          <w:color w:val="auto"/>
          <w:sz w:val="30"/>
          <w:szCs w:val="30"/>
          <w:highlight w:val="none"/>
          <w:lang w:val="en-US" w:eastAsia="zh-CN"/>
        </w:rPr>
      </w:pPr>
      <w:r>
        <w:rPr>
          <w:rFonts w:hint="eastAsia" w:ascii="仿宋" w:hAnsi="仿宋" w:eastAsia="仿宋" w:cs="仿宋"/>
          <w:bCs/>
          <w:color w:val="auto"/>
          <w:sz w:val="30"/>
          <w:szCs w:val="30"/>
          <w:highlight w:val="none"/>
        </w:rPr>
        <w:t>地  址：</w:t>
      </w:r>
      <w:r>
        <w:rPr>
          <w:rFonts w:hint="eastAsia" w:ascii="仿宋" w:hAnsi="仿宋" w:eastAsia="仿宋" w:cs="仿宋"/>
          <w:bCs/>
          <w:color w:val="auto"/>
          <w:sz w:val="30"/>
          <w:szCs w:val="30"/>
          <w:highlight w:val="none"/>
          <w:u w:val="single"/>
          <w:lang w:eastAsia="zh-CN"/>
        </w:rPr>
        <w:t>南京市水佐岗49号</w:t>
      </w:r>
      <w:r>
        <w:rPr>
          <w:rFonts w:hint="eastAsia" w:ascii="仿宋" w:hAnsi="仿宋" w:eastAsia="仿宋" w:cs="仿宋"/>
          <w:bCs/>
          <w:color w:val="auto"/>
          <w:sz w:val="30"/>
          <w:szCs w:val="30"/>
          <w:highlight w:val="none"/>
          <w:u w:val="single"/>
          <w:lang w:val="en-US" w:eastAsia="zh-CN"/>
        </w:rPr>
        <w:t xml:space="preserve">    </w:t>
      </w:r>
    </w:p>
    <w:p w14:paraId="4A571FAC">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联系人：</w:t>
      </w:r>
      <w:r>
        <w:rPr>
          <w:rFonts w:hint="eastAsia" w:ascii="仿宋" w:hAnsi="仿宋" w:eastAsia="仿宋" w:cs="仿宋"/>
          <w:color w:val="auto"/>
          <w:kern w:val="0"/>
          <w:sz w:val="30"/>
          <w:szCs w:val="30"/>
          <w:highlight w:val="none"/>
          <w:u w:val="single"/>
          <w:lang w:val="en-US" w:eastAsia="zh-CN"/>
        </w:rPr>
        <w:t xml:space="preserve">刘先生     </w:t>
      </w:r>
    </w:p>
    <w:p w14:paraId="112ECEA6">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default" w:ascii="仿宋" w:hAnsi="仿宋" w:eastAsia="仿宋" w:cs="仿宋"/>
          <w:bCs/>
          <w:color w:val="auto"/>
          <w:sz w:val="30"/>
          <w:szCs w:val="30"/>
          <w:highlight w:val="none"/>
          <w:u w:val="single"/>
          <w:lang w:val="en-US"/>
        </w:rPr>
      </w:pPr>
      <w:r>
        <w:rPr>
          <w:rFonts w:hint="eastAsia" w:ascii="仿宋" w:hAnsi="仿宋" w:eastAsia="仿宋" w:cs="仿宋"/>
          <w:bCs/>
          <w:color w:val="auto"/>
          <w:sz w:val="30"/>
          <w:szCs w:val="30"/>
          <w:highlight w:val="none"/>
        </w:rPr>
        <w:t>联系方式：</w:t>
      </w:r>
      <w:r>
        <w:rPr>
          <w:rFonts w:hint="eastAsia" w:ascii="仿宋" w:hAnsi="仿宋" w:eastAsia="仿宋" w:cs="仿宋"/>
          <w:color w:val="auto"/>
          <w:kern w:val="0"/>
          <w:sz w:val="30"/>
          <w:szCs w:val="30"/>
          <w:highlight w:val="none"/>
          <w:u w:val="single"/>
          <w:lang w:val="en-US" w:eastAsia="zh-CN"/>
        </w:rPr>
        <w:t>13851575206</w:t>
      </w:r>
    </w:p>
    <w:p w14:paraId="467DCF55">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13" w:firstLine="300" w:firstLineChars="100"/>
        <w:jc w:val="left"/>
        <w:textAlignment w:val="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lang w:val="en-US" w:eastAsia="zh-CN"/>
        </w:rPr>
        <w:t>2.</w:t>
      </w:r>
      <w:r>
        <w:rPr>
          <w:rFonts w:hint="eastAsia" w:ascii="仿宋" w:hAnsi="仿宋" w:eastAsia="仿宋" w:cs="仿宋"/>
          <w:bCs/>
          <w:color w:val="auto"/>
          <w:sz w:val="30"/>
          <w:szCs w:val="30"/>
          <w:highlight w:val="none"/>
        </w:rPr>
        <w:t>采购代理机构信息</w:t>
      </w:r>
    </w:p>
    <w:p w14:paraId="735DA0B7">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名  称：</w:t>
      </w:r>
      <w:r>
        <w:rPr>
          <w:rFonts w:hint="eastAsia" w:ascii="仿宋" w:hAnsi="仿宋" w:eastAsia="仿宋" w:cs="仿宋"/>
          <w:bCs/>
          <w:color w:val="auto"/>
          <w:sz w:val="30"/>
          <w:szCs w:val="30"/>
          <w:highlight w:val="none"/>
          <w:u w:val="single"/>
        </w:rPr>
        <w:t>江苏仁合中惠工程咨询有限公司</w:t>
      </w:r>
    </w:p>
    <w:p w14:paraId="337B78E5">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地  址：</w:t>
      </w:r>
      <w:r>
        <w:rPr>
          <w:rFonts w:hint="eastAsia" w:ascii="仿宋" w:hAnsi="仿宋" w:eastAsia="仿宋" w:cs="仿宋"/>
          <w:bCs/>
          <w:color w:val="auto"/>
          <w:sz w:val="30"/>
          <w:szCs w:val="30"/>
          <w:highlight w:val="none"/>
          <w:u w:val="single"/>
        </w:rPr>
        <w:t>南京市玄武区珠江路222号长发科技大厦1802室</w:t>
      </w:r>
    </w:p>
    <w:p w14:paraId="13A39559">
      <w:pPr>
        <w:keepNext/>
        <w:keepLines/>
        <w:pageBreakBefore w:val="0"/>
        <w:kinsoku/>
        <w:wordWrap/>
        <w:overflowPunct/>
        <w:topLinePunct w:val="0"/>
        <w:autoSpaceDE/>
        <w:autoSpaceDN/>
        <w:bidi w:val="0"/>
        <w:spacing w:line="560" w:lineRule="exact"/>
        <w:ind w:left="0" w:leftChars="0" w:firstLine="639" w:firstLineChars="213"/>
        <w:jc w:val="left"/>
        <w:textAlignment w:val="auto"/>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联系人：</w:t>
      </w:r>
      <w:r>
        <w:rPr>
          <w:rFonts w:hint="eastAsia" w:ascii="仿宋" w:hAnsi="仿宋" w:eastAsia="仿宋" w:cs="仿宋"/>
          <w:bCs/>
          <w:color w:val="auto"/>
          <w:sz w:val="30"/>
          <w:szCs w:val="30"/>
          <w:highlight w:val="none"/>
          <w:u w:val="single"/>
        </w:rPr>
        <w:t>冯工、</w:t>
      </w:r>
      <w:r>
        <w:rPr>
          <w:rFonts w:hint="eastAsia" w:ascii="仿宋" w:hAnsi="仿宋" w:eastAsia="仿宋" w:cs="仿宋"/>
          <w:bCs/>
          <w:color w:val="auto"/>
          <w:sz w:val="30"/>
          <w:szCs w:val="30"/>
          <w:highlight w:val="none"/>
          <w:u w:val="single"/>
          <w:lang w:val="en-US" w:eastAsia="zh-CN"/>
        </w:rPr>
        <w:t>唐</w:t>
      </w:r>
      <w:r>
        <w:rPr>
          <w:rFonts w:hint="eastAsia" w:ascii="仿宋" w:hAnsi="仿宋" w:eastAsia="仿宋" w:cs="仿宋"/>
          <w:bCs/>
          <w:color w:val="auto"/>
          <w:sz w:val="30"/>
          <w:szCs w:val="30"/>
          <w:highlight w:val="none"/>
          <w:u w:val="single"/>
        </w:rPr>
        <w:t>工</w:t>
      </w:r>
    </w:p>
    <w:p w14:paraId="327C6128">
      <w:pPr>
        <w:keepNext/>
        <w:keepLines/>
        <w:pageBreakBefore w:val="0"/>
        <w:kinsoku/>
        <w:wordWrap/>
        <w:overflowPunct/>
        <w:topLinePunct w:val="0"/>
        <w:autoSpaceDE/>
        <w:autoSpaceDN/>
        <w:bidi w:val="0"/>
        <w:spacing w:line="560" w:lineRule="exact"/>
        <w:ind w:left="0" w:leftChars="0" w:firstLine="639" w:firstLineChars="213"/>
        <w:jc w:val="left"/>
        <w:textAlignment w:val="auto"/>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联系方式：</w:t>
      </w:r>
      <w:r>
        <w:rPr>
          <w:rFonts w:hint="eastAsia" w:ascii="仿宋" w:hAnsi="仿宋" w:eastAsia="仿宋" w:cs="仿宋"/>
          <w:bCs/>
          <w:color w:val="auto"/>
          <w:sz w:val="30"/>
          <w:szCs w:val="30"/>
          <w:highlight w:val="none"/>
          <w:u w:val="single"/>
        </w:rPr>
        <w:t xml:space="preserve"> 025-858033</w:t>
      </w:r>
      <w:r>
        <w:rPr>
          <w:rFonts w:hint="eastAsia" w:ascii="仿宋" w:hAnsi="仿宋" w:eastAsia="仿宋" w:cs="仿宋"/>
          <w:bCs/>
          <w:color w:val="auto"/>
          <w:sz w:val="30"/>
          <w:szCs w:val="30"/>
          <w:highlight w:val="none"/>
          <w:u w:val="single"/>
          <w:lang w:val="en-US" w:eastAsia="zh-CN"/>
        </w:rPr>
        <w:t>85</w:t>
      </w:r>
      <w:r>
        <w:rPr>
          <w:rFonts w:hint="eastAsia" w:ascii="仿宋" w:hAnsi="仿宋" w:eastAsia="仿宋" w:cs="仿宋"/>
          <w:bCs/>
          <w:color w:val="auto"/>
          <w:sz w:val="30"/>
          <w:szCs w:val="30"/>
          <w:highlight w:val="none"/>
          <w:u w:val="single"/>
          <w:lang w:eastAsia="zh-CN"/>
        </w:rPr>
        <w:t>、</w:t>
      </w:r>
      <w:r>
        <w:rPr>
          <w:rFonts w:hint="eastAsia" w:ascii="仿宋" w:hAnsi="仿宋" w:eastAsia="仿宋" w:cs="仿宋"/>
          <w:bCs/>
          <w:color w:val="auto"/>
          <w:sz w:val="30"/>
          <w:szCs w:val="30"/>
          <w:highlight w:val="none"/>
          <w:u w:val="single"/>
          <w:lang w:val="en-US" w:eastAsia="zh-CN"/>
        </w:rPr>
        <w:t>85803369</w:t>
      </w:r>
    </w:p>
    <w:p w14:paraId="715C4CCF">
      <w:pPr>
        <w:spacing w:line="560" w:lineRule="exact"/>
        <w:ind w:left="0" w:leftChars="0" w:firstLine="639" w:firstLineChars="213"/>
        <w:jc w:val="left"/>
        <w:rPr>
          <w:rFonts w:hint="eastAsia" w:ascii="仿宋" w:hAnsi="仿宋" w:eastAsia="仿宋" w:cs="仿宋"/>
          <w:color w:val="auto"/>
          <w:sz w:val="30"/>
          <w:szCs w:val="30"/>
          <w:highlight w:val="none"/>
          <w:u w:val="single"/>
        </w:rPr>
      </w:pPr>
      <w:r>
        <w:rPr>
          <w:rFonts w:hint="eastAsia" w:ascii="仿宋" w:hAnsi="仿宋" w:eastAsia="仿宋" w:cs="仿宋"/>
          <w:bCs/>
          <w:color w:val="auto"/>
          <w:sz w:val="30"/>
          <w:szCs w:val="30"/>
          <w:highlight w:val="none"/>
          <w:lang w:val="en-US" w:eastAsia="zh-CN"/>
        </w:rPr>
        <w:t>邮箱地址：</w:t>
      </w:r>
      <w:r>
        <w:rPr>
          <w:rFonts w:hint="eastAsia" w:ascii="仿宋" w:hAnsi="仿宋" w:eastAsia="仿宋" w:cs="仿宋"/>
          <w:bCs/>
          <w:color w:val="auto"/>
          <w:sz w:val="30"/>
          <w:szCs w:val="30"/>
          <w:highlight w:val="none"/>
          <w:u w:val="single"/>
          <w:lang w:val="en-US" w:eastAsia="zh-CN"/>
        </w:rPr>
        <w:t>rhzhnj@126.com</w:t>
      </w:r>
      <w:bookmarkEnd w:id="37"/>
      <w:bookmarkEnd w:id="38"/>
      <w:bookmarkEnd w:id="39"/>
      <w:bookmarkEnd w:id="40"/>
    </w:p>
    <w:p w14:paraId="762C154D">
      <w:pPr>
        <w:rPr>
          <w:color w:val="auto"/>
          <w:highlight w:val="none"/>
        </w:rPr>
      </w:pPr>
    </w:p>
    <w:p w14:paraId="420E02D4">
      <w:pPr>
        <w:keepNext w:val="0"/>
        <w:keepLines w:val="0"/>
        <w:pageBreakBefore/>
        <w:widowControl/>
        <w:kinsoku/>
        <w:wordWrap/>
        <w:overflowPunct/>
        <w:topLinePunct w:val="0"/>
        <w:autoSpaceDE/>
        <w:autoSpaceDN/>
        <w:bidi w:val="0"/>
        <w:adjustRightInd/>
        <w:snapToGrid/>
        <w:spacing w:line="360" w:lineRule="auto"/>
        <w:jc w:val="center"/>
        <w:textAlignment w:val="auto"/>
        <w:outlineLvl w:val="0"/>
        <w:rPr>
          <w:rFonts w:hint="eastAsia" w:ascii="方正小标宋_GBK" w:hAnsi="方正小标宋_GBK" w:eastAsia="方正小标宋_GBK" w:cs="方正小标宋_GBK"/>
          <w:color w:val="auto"/>
          <w:sz w:val="36"/>
          <w:szCs w:val="36"/>
          <w:highlight w:val="none"/>
          <w:lang w:val="zh-CN"/>
        </w:rPr>
      </w:pPr>
      <w:r>
        <w:rPr>
          <w:rFonts w:hint="eastAsia" w:ascii="方正小标宋_GBK" w:hAnsi="方正小标宋_GBK" w:eastAsia="方正小标宋_GBK" w:cs="方正小标宋_GBK"/>
          <w:color w:val="auto"/>
          <w:sz w:val="36"/>
          <w:szCs w:val="36"/>
          <w:highlight w:val="none"/>
        </w:rPr>
        <w:t>第二章 竞争性磋商须知</w:t>
      </w:r>
      <w:bookmarkEnd w:id="4"/>
    </w:p>
    <w:p w14:paraId="566923C3">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一、总则</w:t>
      </w:r>
    </w:p>
    <w:p w14:paraId="7BD9E5AF">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bookmarkStart w:id="41" w:name="_Toc508699410"/>
      <w:r>
        <w:rPr>
          <w:rFonts w:hint="eastAsia" w:ascii="仿宋" w:hAnsi="仿宋" w:eastAsia="仿宋" w:cs="仿宋"/>
          <w:color w:val="auto"/>
          <w:sz w:val="30"/>
          <w:szCs w:val="30"/>
          <w:highlight w:val="none"/>
          <w:lang w:val="zh-CN"/>
        </w:rPr>
        <w:t>1、适用法律</w:t>
      </w:r>
      <w:bookmarkEnd w:id="41"/>
    </w:p>
    <w:p w14:paraId="3CED02C9">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 《中华人民共和国政府采购法》《中华人民共和国政府采购法实施条例》《政府采购竞争性磋商采购方式管理暂行办法》等有关法律、规章和规定等。</w:t>
      </w:r>
    </w:p>
    <w:p w14:paraId="1486C143">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bookmarkStart w:id="42" w:name="_Toc508699411"/>
      <w:r>
        <w:rPr>
          <w:rFonts w:hint="eastAsia" w:ascii="仿宋" w:hAnsi="仿宋" w:eastAsia="仿宋" w:cs="仿宋"/>
          <w:b/>
          <w:color w:val="auto"/>
          <w:sz w:val="30"/>
          <w:szCs w:val="30"/>
          <w:highlight w:val="none"/>
          <w:lang w:val="zh-CN"/>
        </w:rPr>
        <w:t>2、定义</w:t>
      </w:r>
      <w:bookmarkEnd w:id="42"/>
    </w:p>
    <w:p w14:paraId="1BDDE692">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“采购人”是指依法进行政府采购的国家机关、事业单位、团体组织。</w:t>
      </w:r>
      <w:r>
        <w:rPr>
          <w:rFonts w:hint="eastAsia" w:ascii="仿宋" w:hAnsi="仿宋" w:eastAsia="仿宋" w:cs="仿宋"/>
          <w:color w:val="auto"/>
          <w:sz w:val="30"/>
          <w:szCs w:val="30"/>
          <w:highlight w:val="none"/>
        </w:rPr>
        <w:t>一般为采购项目的用户或使用单位，即合同的发包人。</w:t>
      </w:r>
    </w:p>
    <w:p w14:paraId="29AA1130">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是指参加磋商竞争，并符合采购文件规定资格条件的法人、其他组织或者自然人。</w:t>
      </w:r>
    </w:p>
    <w:p w14:paraId="5204F600">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 xml:space="preserve"> “货物、服务、工程”指本采购文件中所述相关货物、服务、工程。</w:t>
      </w:r>
    </w:p>
    <w:p w14:paraId="3C32C451">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合法</w:t>
      </w:r>
      <w:r>
        <w:rPr>
          <w:rFonts w:hint="eastAsia" w:ascii="仿宋" w:hAnsi="仿宋" w:eastAsia="仿宋" w:cs="仿宋"/>
          <w:color w:val="auto"/>
          <w:sz w:val="30"/>
          <w:szCs w:val="30"/>
          <w:highlight w:val="none"/>
          <w:lang w:val="zh-CN"/>
        </w:rPr>
        <w:t>使用货物、服务、工程的单位。</w:t>
      </w:r>
    </w:p>
    <w:p w14:paraId="38AA9C88">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2.5 “代理人”是指为本项目服务的采购代理机构。</w:t>
      </w:r>
    </w:p>
    <w:p w14:paraId="7D3F737E">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3、政策功能</w:t>
      </w:r>
    </w:p>
    <w:p w14:paraId="594F037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bookmarkStart w:id="43" w:name="_Toc508699412"/>
      <w:r>
        <w:rPr>
          <w:rFonts w:hint="eastAsia" w:ascii="仿宋" w:hAnsi="仿宋" w:eastAsia="仿宋" w:cs="仿宋"/>
          <w:color w:val="auto"/>
          <w:sz w:val="30"/>
          <w:szCs w:val="30"/>
          <w:highlight w:val="none"/>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〉的通知》</w:t>
      </w:r>
      <w:r>
        <w:rPr>
          <w:rFonts w:hint="eastAsia" w:ascii="仿宋" w:hAnsi="仿宋" w:eastAsia="仿宋" w:cs="仿宋"/>
          <w:color w:val="auto"/>
          <w:sz w:val="30"/>
          <w:szCs w:val="30"/>
          <w:highlight w:val="none"/>
        </w:rPr>
        <w:t>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66BE2FED">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0094FC69">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225E942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3447219B">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3.5 强制采购信息安全产品。参加政府采购活动的信息安全产品供应商应当选择经国家认证的信息安全产品响应，并提供由国家信息安全认证中心按国家标准认证颁发的有效认证证书。</w:t>
      </w:r>
    </w:p>
    <w:p w14:paraId="5BE3930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p>
    <w:p w14:paraId="2485E00A">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（1）除采购公告载明接受进口产品参加外，不允许进口产品参加。进口产品认定依照《财政部关于政府采购进口产品管理有关问题的通知》（财办库〔2008〕248 号）的规定。</w:t>
      </w:r>
    </w:p>
    <w:p w14:paraId="79161CD6">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（2）允许进口产品参加的，满足需求的国内产品可以参加。</w:t>
      </w:r>
    </w:p>
    <w:p w14:paraId="53F16D1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（3）允许进口产品参加的，优先采购向我国企业转让技术、与我国企业签订消化吸收再创新方案的供应商的进口产品。</w:t>
      </w:r>
    </w:p>
    <w:p w14:paraId="6E82DCE2">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3.7 未按要求提供相关材料的，不享受相关政策。</w:t>
      </w:r>
    </w:p>
    <w:p w14:paraId="1A3CBCF9">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4、</w:t>
      </w:r>
      <w:r>
        <w:rPr>
          <w:rFonts w:hint="eastAsia" w:ascii="仿宋" w:hAnsi="仿宋" w:eastAsia="仿宋" w:cs="仿宋"/>
          <w:b/>
          <w:bCs/>
          <w:color w:val="auto"/>
          <w:sz w:val="30"/>
          <w:szCs w:val="30"/>
          <w:highlight w:val="none"/>
          <w:lang w:val="zh-CN"/>
        </w:rPr>
        <w:t>磋商费用</w:t>
      </w:r>
      <w:bookmarkEnd w:id="43"/>
    </w:p>
    <w:p w14:paraId="70E178DE">
      <w:pPr>
        <w:tabs>
          <w:tab w:val="left" w:pos="525"/>
          <w:tab w:val="left" w:pos="945"/>
        </w:tabs>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4.1 供应商应承担所有与准备和参加磋商有关的费用，无论采购结果如何，代理人和采购人在任</w:t>
      </w:r>
      <w:r>
        <w:rPr>
          <w:rFonts w:hint="eastAsia" w:ascii="仿宋" w:hAnsi="仿宋" w:eastAsia="仿宋" w:cs="仿宋"/>
          <w:bCs/>
          <w:color w:val="auto"/>
          <w:sz w:val="30"/>
          <w:szCs w:val="30"/>
          <w:highlight w:val="none"/>
        </w:rPr>
        <w:t>何情况下均无义务和责任承担这些费用。</w:t>
      </w:r>
    </w:p>
    <w:p w14:paraId="58259CB3">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4.2 本项目的采购代理服务费、造价咨询服务费</w:t>
      </w:r>
      <w:r>
        <w:rPr>
          <w:rFonts w:hint="eastAsia" w:ascii="仿宋" w:hAnsi="仿宋" w:eastAsia="仿宋" w:cs="仿宋"/>
          <w:bCs/>
          <w:color w:val="auto"/>
          <w:sz w:val="30"/>
          <w:szCs w:val="30"/>
          <w:highlight w:val="none"/>
          <w:lang w:val="en-US" w:eastAsia="zh-CN"/>
        </w:rPr>
        <w:t>及评审费</w:t>
      </w:r>
      <w:r>
        <w:rPr>
          <w:rFonts w:hint="eastAsia" w:ascii="仿宋" w:hAnsi="仿宋" w:eastAsia="仿宋" w:cs="仿宋"/>
          <w:bCs/>
          <w:color w:val="auto"/>
          <w:sz w:val="30"/>
          <w:szCs w:val="30"/>
          <w:highlight w:val="none"/>
        </w:rPr>
        <w:t>均由江苏省机关事务管理局承担。</w:t>
      </w:r>
    </w:p>
    <w:p w14:paraId="6C1A9F99">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4.3 本项目不收取磋商保证金。</w:t>
      </w:r>
    </w:p>
    <w:p w14:paraId="3DC2E228">
      <w:pPr>
        <w:autoSpaceDE w:val="0"/>
        <w:autoSpaceDN w:val="0"/>
        <w:adjustRightInd w:val="0"/>
        <w:snapToGrid w:val="0"/>
        <w:spacing w:line="560" w:lineRule="exact"/>
        <w:ind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二、响应文件编制</w:t>
      </w:r>
    </w:p>
    <w:p w14:paraId="2358D7AC">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5、</w:t>
      </w:r>
      <w:r>
        <w:rPr>
          <w:rFonts w:hint="eastAsia" w:ascii="仿宋" w:hAnsi="仿宋" w:eastAsia="仿宋" w:cs="仿宋"/>
          <w:color w:val="auto"/>
          <w:sz w:val="30"/>
          <w:szCs w:val="30"/>
          <w:lang w:val="zh-CN"/>
        </w:rPr>
        <w:t>供应商应当按照采购文件的要求编制响应文件，并对其提交的响应文件真实性、合法性承担法律责任。</w:t>
      </w:r>
    </w:p>
    <w:p w14:paraId="5D3B24D0">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6、响应文件的语言、计量单位、货币和编制</w:t>
      </w:r>
    </w:p>
    <w:p w14:paraId="2830649B">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701C376B">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6.2 供应商所使用的计量单位应为国家法定计量单位。</w:t>
      </w:r>
    </w:p>
    <w:p w14:paraId="7774DFCC">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6.3 供应商应用人民币报价。</w:t>
      </w:r>
    </w:p>
    <w:p w14:paraId="400CE1BE">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6.4 响应文件应字迹清楚、内容齐全、不得涂改。如有修改，修改处须有供应商公章或法定代表人或其授权磋商代表签字。</w:t>
      </w:r>
    </w:p>
    <w:p w14:paraId="23A78C87">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6.5 响应文件应按照磋商文件规定的顺序，统一用A4规格幅面打印、装订成册并编制目录，由于编排混乱导致磋商文件被误读或查找不到，责任由供应商承担。</w:t>
      </w:r>
    </w:p>
    <w:p w14:paraId="4EF549F6">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6.6响应文件应逐页编码，不得跳页。</w:t>
      </w:r>
    </w:p>
    <w:p w14:paraId="0A038D56">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6.7 供应商应在响应文件中写清相应的项目编号、项目名称、供应商名称、地址、电话、传真等。</w:t>
      </w:r>
    </w:p>
    <w:p w14:paraId="6BFCCCAA">
      <w:pPr>
        <w:autoSpaceDE w:val="0"/>
        <w:autoSpaceDN w:val="0"/>
        <w:adjustRightInd w:val="0"/>
        <w:snapToGrid w:val="0"/>
        <w:spacing w:line="560" w:lineRule="exact"/>
        <w:ind w:firstLine="602" w:firstLineChars="200"/>
        <w:rPr>
          <w:rFonts w:hint="eastAsia" w:ascii="仿宋" w:hAnsi="仿宋" w:eastAsia="仿宋" w:cs="仿宋"/>
          <w:b/>
          <w:bCs/>
          <w:snapToGrid w:val="0"/>
          <w:color w:val="auto"/>
          <w:sz w:val="30"/>
          <w:szCs w:val="30"/>
          <w:lang w:val="zh-CN"/>
        </w:rPr>
      </w:pPr>
      <w:r>
        <w:rPr>
          <w:rFonts w:hint="eastAsia" w:ascii="仿宋" w:hAnsi="仿宋" w:eastAsia="仿宋" w:cs="仿宋"/>
          <w:b/>
          <w:bCs/>
          <w:snapToGrid w:val="0"/>
          <w:color w:val="auto"/>
          <w:sz w:val="30"/>
          <w:szCs w:val="30"/>
          <w:lang w:val="zh-CN"/>
        </w:rPr>
        <w:t>7、响应文件的组成</w:t>
      </w:r>
    </w:p>
    <w:p w14:paraId="29D09595">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 xml:space="preserve">7.1 </w:t>
      </w:r>
      <w:r>
        <w:rPr>
          <w:rFonts w:hint="eastAsia" w:ascii="仿宋" w:hAnsi="仿宋" w:eastAsia="仿宋" w:cs="仿宋"/>
          <w:snapToGrid w:val="0"/>
          <w:color w:val="auto"/>
          <w:sz w:val="30"/>
          <w:szCs w:val="30"/>
        </w:rPr>
        <w:t>供应商应当根据磋商文件要求编制响应文件，并根据自己的商务能力、技术水平对磋商文件提出的要求和条件逐条标明是否响应。</w:t>
      </w:r>
      <w:r>
        <w:rPr>
          <w:rFonts w:hint="eastAsia" w:ascii="仿宋" w:hAnsi="仿宋" w:eastAsia="仿宋" w:cs="仿宋"/>
          <w:snapToGrid w:val="0"/>
          <w:color w:val="auto"/>
          <w:sz w:val="30"/>
          <w:szCs w:val="30"/>
          <w:lang w:val="zh-CN"/>
        </w:rPr>
        <w:t>响应文件由商务部分、技术部分、价格部分，以及其他部分组成。</w:t>
      </w:r>
    </w:p>
    <w:p w14:paraId="69F53140">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bCs/>
          <w:snapToGrid w:val="0"/>
          <w:color w:val="auto"/>
          <w:sz w:val="30"/>
          <w:szCs w:val="30"/>
          <w:lang w:val="zh-CN"/>
        </w:rPr>
        <w:t xml:space="preserve">7.2 </w:t>
      </w:r>
      <w:r>
        <w:rPr>
          <w:rFonts w:hint="eastAsia" w:ascii="仿宋" w:hAnsi="仿宋" w:eastAsia="仿宋" w:cs="仿宋"/>
          <w:b/>
          <w:bCs/>
          <w:snapToGrid w:val="0"/>
          <w:color w:val="auto"/>
          <w:sz w:val="30"/>
          <w:szCs w:val="30"/>
          <w:lang w:val="zh-CN"/>
        </w:rPr>
        <w:t>响应文件的商务部分。</w:t>
      </w:r>
      <w:r>
        <w:rPr>
          <w:rFonts w:hint="eastAsia" w:ascii="仿宋" w:hAnsi="仿宋" w:eastAsia="仿宋" w:cs="仿宋"/>
          <w:snapToGrid w:val="0"/>
          <w:color w:val="auto"/>
          <w:sz w:val="30"/>
          <w:szCs w:val="30"/>
          <w:lang w:val="zh-CN"/>
        </w:rPr>
        <w:t>商务部分是证明供应商有资格参加磋商和成交后有能力履行合同的文件，</w:t>
      </w:r>
      <w:r>
        <w:rPr>
          <w:rFonts w:hint="eastAsia" w:ascii="仿宋" w:hAnsi="仿宋" w:eastAsia="仿宋" w:cs="仿宋"/>
          <w:snapToGrid w:val="0"/>
          <w:color w:val="auto"/>
          <w:sz w:val="30"/>
          <w:szCs w:val="30"/>
        </w:rPr>
        <w:t>这些文件应能满足竞争性磋商采购文件的要求</w:t>
      </w:r>
      <w:r>
        <w:rPr>
          <w:rFonts w:hint="eastAsia" w:ascii="仿宋" w:hAnsi="仿宋" w:eastAsia="仿宋" w:cs="仿宋"/>
          <w:snapToGrid w:val="0"/>
          <w:color w:val="auto"/>
          <w:sz w:val="30"/>
          <w:szCs w:val="30"/>
          <w:lang w:val="zh-CN"/>
        </w:rPr>
        <w:t>，包括但不限于下列文件，其中加“*或★”项目不得有缺失或无效：</w:t>
      </w:r>
    </w:p>
    <w:p w14:paraId="17C0C650">
      <w:pPr>
        <w:autoSpaceDE w:val="0"/>
        <w:autoSpaceDN w:val="0"/>
        <w:adjustRightInd w:val="0"/>
        <w:snapToGrid w:val="0"/>
        <w:spacing w:line="560" w:lineRule="exact"/>
        <w:ind w:firstLine="600" w:firstLineChars="200"/>
        <w:jc w:val="left"/>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（1）★ 磋商申请及声明；</w:t>
      </w:r>
    </w:p>
    <w:p w14:paraId="4D402404">
      <w:pPr>
        <w:widowControl/>
        <w:adjustRightInd w:val="0"/>
        <w:snapToGrid w:val="0"/>
        <w:spacing w:line="560" w:lineRule="exact"/>
        <w:ind w:firstLine="600" w:firstLineChars="200"/>
        <w:jc w:val="left"/>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（2）★ 法定代表人授权委托书及委托代理人的身份证复印件；</w:t>
      </w:r>
    </w:p>
    <w:p w14:paraId="4A8B64E0">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 xml:space="preserve">（3）★ </w:t>
      </w:r>
      <w:r>
        <w:rPr>
          <w:rFonts w:hint="eastAsia" w:ascii="仿宋" w:hAnsi="仿宋" w:eastAsia="仿宋" w:cs="仿宋"/>
          <w:snapToGrid w:val="0"/>
          <w:color w:val="auto"/>
          <w:sz w:val="30"/>
          <w:szCs w:val="30"/>
        </w:rPr>
        <w:t>第一章公告中二、申请人的资格要求</w:t>
      </w:r>
      <w:r>
        <w:rPr>
          <w:rFonts w:hint="eastAsia" w:ascii="仿宋" w:hAnsi="仿宋" w:eastAsia="仿宋" w:cs="仿宋"/>
          <w:snapToGrid w:val="0"/>
          <w:color w:val="auto"/>
          <w:sz w:val="30"/>
          <w:szCs w:val="30"/>
          <w:lang w:val="zh-CN"/>
        </w:rPr>
        <w:t>规定的资格条件证明文件；</w:t>
      </w:r>
    </w:p>
    <w:p w14:paraId="6D376918">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4</w:t>
      </w:r>
      <w:r>
        <w:rPr>
          <w:rFonts w:hint="eastAsia" w:ascii="仿宋" w:hAnsi="仿宋" w:eastAsia="仿宋" w:cs="仿宋"/>
          <w:snapToGrid w:val="0"/>
          <w:color w:val="auto"/>
          <w:sz w:val="30"/>
          <w:szCs w:val="30"/>
          <w:lang w:val="zh-CN"/>
        </w:rPr>
        <w:t>）★报价表（格式见附件）；</w:t>
      </w:r>
    </w:p>
    <w:p w14:paraId="5EB4D7BD">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5</w:t>
      </w:r>
      <w:r>
        <w:rPr>
          <w:rFonts w:hint="eastAsia" w:ascii="仿宋" w:hAnsi="仿宋" w:eastAsia="仿宋" w:cs="仿宋"/>
          <w:snapToGrid w:val="0"/>
          <w:color w:val="auto"/>
          <w:sz w:val="30"/>
          <w:szCs w:val="30"/>
          <w:lang w:val="zh-CN"/>
        </w:rPr>
        <w:t>）分项报价表；</w:t>
      </w:r>
    </w:p>
    <w:p w14:paraId="045559CC">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6</w:t>
      </w:r>
      <w:r>
        <w:rPr>
          <w:rFonts w:hint="eastAsia" w:ascii="仿宋" w:hAnsi="仿宋" w:eastAsia="仿宋" w:cs="仿宋"/>
          <w:snapToGrid w:val="0"/>
          <w:color w:val="auto"/>
          <w:sz w:val="30"/>
          <w:szCs w:val="30"/>
          <w:lang w:val="zh-CN"/>
        </w:rPr>
        <w:t>）《商务条款偏离表》；</w:t>
      </w:r>
    </w:p>
    <w:p w14:paraId="5F04F676">
      <w:pPr>
        <w:adjustRightInd w:val="0"/>
        <w:snapToGrid w:val="0"/>
        <w:spacing w:line="560" w:lineRule="exact"/>
        <w:ind w:firstLine="600" w:firstLineChars="200"/>
        <w:rPr>
          <w:rFonts w:hint="eastAsia" w:ascii="仿宋" w:hAnsi="仿宋" w:eastAsia="仿宋" w:cs="仿宋"/>
          <w:snapToGrid w:val="0"/>
          <w:color w:val="auto"/>
          <w:sz w:val="30"/>
          <w:szCs w:val="30"/>
        </w:rPr>
      </w:pPr>
      <w:r>
        <w:rPr>
          <w:rFonts w:hint="eastAsia" w:ascii="仿宋" w:hAnsi="仿宋" w:eastAsia="仿宋" w:cs="仿宋"/>
          <w:snapToGrid w:val="0"/>
          <w:color w:val="auto"/>
          <w:sz w:val="30"/>
          <w:szCs w:val="30"/>
        </w:rPr>
        <w:t>（7）供应商认为需要</w:t>
      </w:r>
      <w:r>
        <w:rPr>
          <w:rFonts w:hint="eastAsia" w:ascii="仿宋" w:hAnsi="仿宋" w:eastAsia="仿宋" w:cs="仿宋"/>
          <w:snapToGrid w:val="0"/>
          <w:color w:val="auto"/>
          <w:sz w:val="30"/>
          <w:szCs w:val="30"/>
          <w:lang w:val="zh-CN"/>
        </w:rPr>
        <w:t>提供的其他资格证明文件和商务资料。</w:t>
      </w:r>
    </w:p>
    <w:p w14:paraId="2ECE6645">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bCs/>
          <w:snapToGrid w:val="0"/>
          <w:color w:val="auto"/>
          <w:sz w:val="30"/>
          <w:szCs w:val="30"/>
          <w:lang w:val="zh-CN"/>
        </w:rPr>
        <w:t xml:space="preserve">7.3 </w:t>
      </w:r>
      <w:r>
        <w:rPr>
          <w:rFonts w:hint="eastAsia" w:ascii="仿宋" w:hAnsi="仿宋" w:eastAsia="仿宋" w:cs="仿宋"/>
          <w:b/>
          <w:bCs/>
          <w:snapToGrid w:val="0"/>
          <w:color w:val="auto"/>
          <w:sz w:val="30"/>
          <w:szCs w:val="30"/>
          <w:lang w:val="zh-CN"/>
        </w:rPr>
        <w:t>响应文件的技术部分。</w:t>
      </w:r>
      <w:r>
        <w:rPr>
          <w:rFonts w:hint="eastAsia" w:ascii="仿宋" w:hAnsi="仿宋" w:eastAsia="仿宋" w:cs="仿宋"/>
          <w:snapToGrid w:val="0"/>
          <w:color w:val="auto"/>
          <w:sz w:val="30"/>
          <w:szCs w:val="30"/>
          <w:lang w:val="zh-CN"/>
        </w:rPr>
        <w:t>技术部分是证明</w:t>
      </w:r>
      <w:r>
        <w:rPr>
          <w:rFonts w:hint="eastAsia" w:ascii="仿宋" w:hAnsi="仿宋" w:eastAsia="仿宋" w:cs="仿宋"/>
          <w:snapToGrid w:val="0"/>
          <w:color w:val="auto"/>
          <w:sz w:val="30"/>
          <w:szCs w:val="30"/>
        </w:rPr>
        <w:t>供应商提供的货物、服务和工程是合格的，并符合磋商文件要求的证明文件，以及</w:t>
      </w:r>
      <w:r>
        <w:rPr>
          <w:rFonts w:hint="eastAsia" w:ascii="仿宋" w:hAnsi="仿宋" w:eastAsia="仿宋" w:cs="仿宋"/>
          <w:snapToGrid w:val="0"/>
          <w:color w:val="auto"/>
          <w:sz w:val="30"/>
          <w:szCs w:val="30"/>
          <w:lang w:val="zh-CN"/>
        </w:rPr>
        <w:t>对</w:t>
      </w:r>
      <w:r>
        <w:rPr>
          <w:rFonts w:hint="eastAsia" w:ascii="仿宋" w:hAnsi="仿宋" w:eastAsia="仿宋" w:cs="仿宋"/>
          <w:snapToGrid w:val="0"/>
          <w:color w:val="auto"/>
          <w:sz w:val="30"/>
          <w:szCs w:val="30"/>
        </w:rPr>
        <w:t>货物、服务和工程</w:t>
      </w:r>
      <w:r>
        <w:rPr>
          <w:rFonts w:hint="eastAsia" w:ascii="仿宋" w:hAnsi="仿宋" w:eastAsia="仿宋" w:cs="仿宋"/>
          <w:snapToGrid w:val="0"/>
          <w:color w:val="auto"/>
          <w:sz w:val="30"/>
          <w:szCs w:val="30"/>
          <w:lang w:val="zh-CN"/>
        </w:rPr>
        <w:t>的详细说明，这些文件可以是文字资料、图纸和数据等。提供的</w:t>
      </w:r>
      <w:r>
        <w:rPr>
          <w:rFonts w:hint="eastAsia" w:ascii="仿宋" w:hAnsi="仿宋" w:eastAsia="仿宋" w:cs="仿宋"/>
          <w:snapToGrid w:val="0"/>
          <w:color w:val="auto"/>
          <w:sz w:val="30"/>
          <w:szCs w:val="30"/>
        </w:rPr>
        <w:t>货物、服务和工程</w:t>
      </w:r>
      <w:r>
        <w:rPr>
          <w:rFonts w:hint="eastAsia" w:ascii="仿宋" w:hAnsi="仿宋" w:eastAsia="仿宋" w:cs="仿宋"/>
          <w:snapToGrid w:val="0"/>
          <w:color w:val="auto"/>
          <w:sz w:val="30"/>
          <w:szCs w:val="30"/>
          <w:lang w:val="zh-CN"/>
        </w:rPr>
        <w:t>如与磋商文件要求有不符之处，应说明其差别之所在。包括但不限于下列文件，其中加</w:t>
      </w:r>
      <w:r>
        <w:rPr>
          <w:rFonts w:hint="eastAsia" w:ascii="仿宋" w:hAnsi="仿宋" w:eastAsia="仿宋" w:cs="仿宋"/>
          <w:snapToGrid w:val="0"/>
          <w:color w:val="auto"/>
          <w:sz w:val="30"/>
          <w:szCs w:val="30"/>
        </w:rPr>
        <w:t>“</w:t>
      </w:r>
      <w:r>
        <w:rPr>
          <w:rFonts w:hint="eastAsia" w:ascii="仿宋" w:hAnsi="仿宋" w:eastAsia="仿宋" w:cs="仿宋"/>
          <w:snapToGrid w:val="0"/>
          <w:color w:val="auto"/>
          <w:sz w:val="30"/>
          <w:szCs w:val="30"/>
          <w:lang w:val="zh-CN"/>
        </w:rPr>
        <w:t>*或★</w:t>
      </w:r>
      <w:r>
        <w:rPr>
          <w:rFonts w:hint="eastAsia" w:ascii="仿宋" w:hAnsi="仿宋" w:eastAsia="仿宋" w:cs="仿宋"/>
          <w:snapToGrid w:val="0"/>
          <w:color w:val="auto"/>
          <w:sz w:val="30"/>
          <w:szCs w:val="30"/>
        </w:rPr>
        <w:t>”</w:t>
      </w:r>
      <w:r>
        <w:rPr>
          <w:rFonts w:hint="eastAsia" w:ascii="仿宋" w:hAnsi="仿宋" w:eastAsia="仿宋" w:cs="仿宋"/>
          <w:snapToGrid w:val="0"/>
          <w:color w:val="auto"/>
          <w:sz w:val="30"/>
          <w:szCs w:val="30"/>
          <w:lang w:val="zh-CN"/>
        </w:rPr>
        <w:t>项目不得有缺失或无效：</w:t>
      </w:r>
    </w:p>
    <w:p w14:paraId="3AF5F3EB">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项目技术方案或服务说明；</w:t>
      </w:r>
    </w:p>
    <w:p w14:paraId="1D39965F">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1</w:t>
      </w:r>
      <w:r>
        <w:rPr>
          <w:rFonts w:hint="eastAsia" w:ascii="仿宋" w:hAnsi="仿宋" w:eastAsia="仿宋" w:cs="仿宋"/>
          <w:color w:val="auto"/>
          <w:sz w:val="30"/>
          <w:szCs w:val="30"/>
          <w:lang w:val="zh-CN"/>
        </w:rPr>
        <w:t>）</w:t>
      </w:r>
      <w:r>
        <w:rPr>
          <w:rFonts w:hint="eastAsia" w:ascii="仿宋" w:hAnsi="仿宋" w:eastAsia="仿宋" w:cs="仿宋"/>
          <w:snapToGrid w:val="0"/>
          <w:color w:val="auto"/>
          <w:sz w:val="30"/>
          <w:szCs w:val="30"/>
          <w:lang w:val="zh-CN"/>
        </w:rPr>
        <w:t>★</w:t>
      </w:r>
      <w:r>
        <w:rPr>
          <w:rFonts w:hint="eastAsia" w:ascii="仿宋" w:hAnsi="仿宋" w:eastAsia="仿宋" w:cs="仿宋"/>
          <w:color w:val="auto"/>
          <w:sz w:val="30"/>
          <w:szCs w:val="30"/>
          <w:lang w:val="zh-CN"/>
        </w:rPr>
        <w:t>《技术条款偏离表》；</w:t>
      </w:r>
    </w:p>
    <w:p w14:paraId="4B215C3A">
      <w:pPr>
        <w:widowControl/>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2</w:t>
      </w:r>
      <w:r>
        <w:rPr>
          <w:rFonts w:hint="eastAsia" w:ascii="仿宋" w:hAnsi="仿宋" w:eastAsia="仿宋" w:cs="仿宋"/>
          <w:color w:val="auto"/>
          <w:sz w:val="30"/>
          <w:szCs w:val="30"/>
          <w:lang w:val="zh-CN"/>
        </w:rPr>
        <w:t>）服务承诺；</w:t>
      </w:r>
    </w:p>
    <w:p w14:paraId="5A021363">
      <w:pPr>
        <w:widowControl/>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3</w:t>
      </w:r>
      <w:r>
        <w:rPr>
          <w:rFonts w:hint="eastAsia" w:ascii="仿宋" w:hAnsi="仿宋" w:eastAsia="仿宋" w:cs="仿宋"/>
          <w:color w:val="auto"/>
          <w:sz w:val="30"/>
          <w:szCs w:val="30"/>
          <w:lang w:val="zh-CN"/>
        </w:rPr>
        <w:t>）供应商认为需要提供的其他技术资料。</w:t>
      </w:r>
    </w:p>
    <w:p w14:paraId="0491E82E">
      <w:pPr>
        <w:autoSpaceDE w:val="0"/>
        <w:autoSpaceDN w:val="0"/>
        <w:adjustRightInd w:val="0"/>
        <w:snapToGrid w:val="0"/>
        <w:spacing w:line="560" w:lineRule="exact"/>
        <w:ind w:firstLine="600" w:firstLineChars="200"/>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响应文件的价格部分</w:t>
      </w:r>
    </w:p>
    <w:p w14:paraId="206E67C8">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（1）价格部分是对</w:t>
      </w:r>
      <w:r>
        <w:rPr>
          <w:rFonts w:hint="eastAsia" w:ascii="仿宋" w:hAnsi="仿宋" w:eastAsia="仿宋" w:cs="仿宋"/>
          <w:snapToGrid w:val="0"/>
          <w:color w:val="auto"/>
          <w:sz w:val="30"/>
          <w:szCs w:val="30"/>
        </w:rPr>
        <w:t>货物、服务和工程</w:t>
      </w:r>
      <w:r>
        <w:rPr>
          <w:rFonts w:hint="eastAsia" w:ascii="仿宋" w:hAnsi="仿宋" w:eastAsia="仿宋" w:cs="仿宋"/>
          <w:color w:val="auto"/>
          <w:sz w:val="30"/>
          <w:szCs w:val="30"/>
          <w:lang w:val="zh-CN"/>
        </w:rPr>
        <w:t>价格构成的说明，磋商文件如没有特别说明的话，对每一项货物和服务仅接受一个价格。</w:t>
      </w:r>
    </w:p>
    <w:p w14:paraId="09C5CF9B">
      <w:pPr>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（2）报价应包含完成本项目发生的所有含税费用、支付给员工的工资和国家强制缴纳的各种社会保障资金</w:t>
      </w:r>
      <w:r>
        <w:rPr>
          <w:rFonts w:hint="eastAsia" w:ascii="仿宋" w:hAnsi="仿宋" w:eastAsia="仿宋" w:cs="仿宋"/>
          <w:b/>
          <w:bCs/>
          <w:color w:val="auto"/>
          <w:sz w:val="30"/>
          <w:szCs w:val="30"/>
        </w:rPr>
        <w:t>及住房公积金，以及供应商认为需要的其他费用等。</w:t>
      </w:r>
    </w:p>
    <w:p w14:paraId="0C733D52">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（3）供应商应充分考虑到市场价格变动，以及项目实施过程中的不可预见因素，一旦成交，单价不变，如果有漏项，视同让利。</w:t>
      </w:r>
    </w:p>
    <w:p w14:paraId="30CF0948">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（4）经磋商后，二次报价为最</w:t>
      </w:r>
      <w:r>
        <w:rPr>
          <w:rFonts w:hint="eastAsia" w:ascii="仿宋" w:hAnsi="仿宋" w:eastAsia="仿宋" w:cs="仿宋"/>
          <w:color w:val="auto"/>
          <w:sz w:val="30"/>
          <w:szCs w:val="30"/>
        </w:rPr>
        <w:t>后</w:t>
      </w:r>
      <w:r>
        <w:rPr>
          <w:rFonts w:hint="eastAsia" w:ascii="仿宋" w:hAnsi="仿宋" w:eastAsia="仿宋" w:cs="仿宋"/>
          <w:color w:val="auto"/>
          <w:sz w:val="30"/>
          <w:szCs w:val="30"/>
          <w:lang w:val="zh-CN"/>
        </w:rPr>
        <w:t>报价，二次报价不</w:t>
      </w:r>
      <w:r>
        <w:rPr>
          <w:rFonts w:hint="eastAsia" w:ascii="仿宋" w:hAnsi="仿宋" w:eastAsia="仿宋" w:cs="仿宋"/>
          <w:color w:val="auto"/>
          <w:sz w:val="30"/>
          <w:szCs w:val="30"/>
        </w:rPr>
        <w:t>得</w:t>
      </w:r>
      <w:r>
        <w:rPr>
          <w:rFonts w:hint="eastAsia" w:ascii="仿宋" w:hAnsi="仿宋" w:eastAsia="仿宋" w:cs="仿宋"/>
          <w:color w:val="auto"/>
          <w:sz w:val="30"/>
          <w:szCs w:val="30"/>
          <w:lang w:val="zh-CN"/>
        </w:rPr>
        <w:t>高于首次报价。</w:t>
      </w:r>
      <w:r>
        <w:rPr>
          <w:rFonts w:hint="eastAsia" w:ascii="仿宋" w:hAnsi="仿宋" w:eastAsia="仿宋" w:cs="仿宋"/>
          <w:b/>
          <w:bCs/>
          <w:color w:val="auto"/>
          <w:sz w:val="30"/>
          <w:szCs w:val="30"/>
          <w:lang w:val="zh-CN"/>
        </w:rPr>
        <w:t>如果成交价低于供应商在响应文件中首次报价的，其分项报价（除暂列金、暂估价以外）同比例调整。</w:t>
      </w:r>
    </w:p>
    <w:p w14:paraId="3DF0EAC5">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响应文件的其他部分。</w:t>
      </w:r>
      <w:r>
        <w:rPr>
          <w:rFonts w:hint="eastAsia" w:ascii="仿宋" w:hAnsi="仿宋" w:eastAsia="仿宋" w:cs="仿宋"/>
          <w:color w:val="auto"/>
          <w:sz w:val="30"/>
          <w:szCs w:val="30"/>
          <w:lang w:val="zh-CN"/>
        </w:rPr>
        <w:t>其他部分由供应商根据编制响应文件需要提供的其他相关文件。</w:t>
      </w:r>
    </w:p>
    <w:p w14:paraId="1EDA9DD2">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8、磋商保证金</w:t>
      </w:r>
    </w:p>
    <w:p w14:paraId="43F72F1F">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本项目不收取保证金</w:t>
      </w:r>
      <w:r>
        <w:rPr>
          <w:rFonts w:hint="eastAsia" w:ascii="仿宋" w:hAnsi="仿宋" w:eastAsia="仿宋" w:cs="仿宋"/>
          <w:color w:val="auto"/>
          <w:sz w:val="30"/>
          <w:szCs w:val="30"/>
          <w:lang w:val="zh-CN"/>
        </w:rPr>
        <w:t>。</w:t>
      </w:r>
    </w:p>
    <w:p w14:paraId="5621E28B">
      <w:pPr>
        <w:autoSpaceDE w:val="0"/>
        <w:autoSpaceDN w:val="0"/>
        <w:adjustRightInd w:val="0"/>
        <w:snapToGrid w:val="0"/>
        <w:spacing w:line="560" w:lineRule="exact"/>
        <w:ind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三、响应文件签署与提交</w:t>
      </w:r>
    </w:p>
    <w:p w14:paraId="36E233D3">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b w:val="0"/>
          <w:bCs w:val="0"/>
          <w:color w:val="auto"/>
          <w:sz w:val="30"/>
          <w:szCs w:val="30"/>
          <w:lang w:val="zh-CN"/>
        </w:rPr>
        <w:t>9</w:t>
      </w:r>
      <w:r>
        <w:rPr>
          <w:rFonts w:hint="eastAsia" w:ascii="仿宋" w:hAnsi="仿宋" w:eastAsia="仿宋" w:cs="仿宋"/>
          <w:color w:val="auto"/>
          <w:sz w:val="30"/>
          <w:szCs w:val="30"/>
          <w:lang w:val="zh-CN"/>
        </w:rPr>
        <w:t>.1 供应商应当按照《操作手册》规定，在磋商公告规定的提交响应文件截止时间前制作并上传电子响应文件。</w:t>
      </w:r>
    </w:p>
    <w:p w14:paraId="7BED56D9">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9.2 供应商应充分考虑网络环境、网络带宽等因素可能对磋商产生的影响，如因供应商自身原因造成的电子响应文件上传不成功的，按照本磋商文件规定做无效响应处理。</w:t>
      </w:r>
    </w:p>
    <w:p w14:paraId="03AFB6E9">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10.响应文件的拒收</w:t>
      </w:r>
    </w:p>
    <w:p w14:paraId="55F5247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10.1 采购代理机构拒绝接收提交响应文件截止时间后上传的任何电子响应文件。</w:t>
      </w:r>
    </w:p>
    <w:p w14:paraId="29499FB4">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11.响应文件的撤回和修改</w:t>
      </w:r>
    </w:p>
    <w:p w14:paraId="77CAEDD1">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11.1响应文件的撤回</w:t>
      </w:r>
    </w:p>
    <w:p w14:paraId="5C49A024">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（1）供应商可在提交响应文件截止时间前撤回其电子响应文件，具体操作方法见《操作手册》。</w:t>
      </w:r>
    </w:p>
    <w:p w14:paraId="451F167D">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（2）供应商撤回电子响应文件，则认为其不再参与本项目磋商活动。</w:t>
      </w:r>
    </w:p>
    <w:p w14:paraId="64CF31E2">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11.2响应文件的修改</w:t>
      </w:r>
    </w:p>
    <w:p w14:paraId="16E55F8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（1）供应商可在提交响应文件截止时间前对其电子响应文件进行修改，具体操作方法见《操作手册》。</w:t>
      </w:r>
    </w:p>
    <w:p w14:paraId="319A50E4">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（2）提交响应文件截止时间之后，供应商不得对其电子响应文件作任何修改。</w:t>
      </w:r>
    </w:p>
    <w:p w14:paraId="290CBC3A">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11.3在提交响应文件截止时间至磋商文件中规定的磋商有效期满之间的这段时间内，供应商不得撤回其响应文件。</w:t>
      </w:r>
    </w:p>
    <w:p w14:paraId="6A4DE973">
      <w:pPr>
        <w:numPr>
          <w:ilvl w:val="-1"/>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11.4如标书制作工具中格式和内容与“江苏政府采购网”发布的磋商文件不一致，以上述网站发布的磋商文件为准。</w:t>
      </w:r>
    </w:p>
    <w:p w14:paraId="31A9F263">
      <w:pPr>
        <w:numPr>
          <w:ilvl w:val="-1"/>
          <w:numId w:val="0"/>
        </w:numPr>
        <w:autoSpaceDE w:val="0"/>
        <w:autoSpaceDN w:val="0"/>
        <w:adjustRightInd w:val="0"/>
        <w:snapToGrid w:val="0"/>
        <w:spacing w:line="560" w:lineRule="exact"/>
        <w:ind w:firstLine="300" w:firstLineChars="100"/>
        <w:jc w:val="lef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11.5成交供应商需无偿提供纸质版响应文件一式叁份（壹份正本、贰份副本）；(电子版标书一份,U盘形式，响应文件电子版中必须包含响应文件的全部内容，不得加密，所有文档、图表等采用WORD格式)。</w:t>
      </w:r>
    </w:p>
    <w:p w14:paraId="7A084512">
      <w:pPr>
        <w:autoSpaceDE w:val="0"/>
        <w:autoSpaceDN w:val="0"/>
        <w:adjustRightInd w:val="0"/>
        <w:snapToGrid w:val="0"/>
        <w:spacing w:line="560" w:lineRule="exact"/>
        <w:ind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四、磋商</w:t>
      </w:r>
    </w:p>
    <w:p w14:paraId="41EFE6DB">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1</w:t>
      </w:r>
      <w:r>
        <w:rPr>
          <w:rFonts w:hint="eastAsia" w:ascii="仿宋" w:hAnsi="仿宋" w:eastAsia="仿宋" w:cs="仿宋"/>
          <w:b/>
          <w:bCs/>
          <w:color w:val="auto"/>
          <w:sz w:val="30"/>
          <w:szCs w:val="30"/>
          <w:lang w:val="en-US" w:eastAsia="zh-CN"/>
        </w:rPr>
        <w:t>2</w:t>
      </w:r>
      <w:r>
        <w:rPr>
          <w:rFonts w:hint="eastAsia" w:ascii="仿宋" w:hAnsi="仿宋" w:eastAsia="仿宋" w:cs="仿宋"/>
          <w:b/>
          <w:bCs/>
          <w:color w:val="auto"/>
          <w:sz w:val="30"/>
          <w:szCs w:val="30"/>
          <w:lang w:val="zh-CN"/>
        </w:rPr>
        <w:t>.响应文件解密</w:t>
      </w:r>
    </w:p>
    <w:p w14:paraId="2FF2BC39">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lang w:val="zh-CN"/>
        </w:rPr>
      </w:pPr>
      <w:r>
        <w:rPr>
          <w:rFonts w:hint="eastAsia" w:ascii="仿宋" w:hAnsi="仿宋" w:eastAsia="仿宋" w:cs="仿宋"/>
          <w:b w:val="0"/>
          <w:bCs w:val="0"/>
          <w:color w:val="auto"/>
          <w:sz w:val="30"/>
          <w:szCs w:val="30"/>
          <w:lang w:val="en-US" w:eastAsia="zh-CN"/>
        </w:rPr>
        <w:t>12</w:t>
      </w:r>
      <w:r>
        <w:rPr>
          <w:rFonts w:hint="eastAsia" w:ascii="仿宋" w:hAnsi="仿宋" w:eastAsia="仿宋" w:cs="仿宋"/>
          <w:b w:val="0"/>
          <w:bCs w:val="0"/>
          <w:color w:val="auto"/>
          <w:sz w:val="30"/>
          <w:szCs w:val="30"/>
          <w:lang w:val="zh-CN"/>
        </w:rPr>
        <w:t>.1 供应商应当按照《操作手册》规定，在苏采云系统规定的时间内对响应文件进行解密。</w:t>
      </w:r>
    </w:p>
    <w:p w14:paraId="0AB657F1">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1</w:t>
      </w:r>
      <w:r>
        <w:rPr>
          <w:rFonts w:hint="eastAsia" w:ascii="仿宋" w:hAnsi="仿宋" w:eastAsia="仿宋" w:cs="仿宋"/>
          <w:b/>
          <w:bCs/>
          <w:color w:val="auto"/>
          <w:sz w:val="30"/>
          <w:szCs w:val="30"/>
          <w:lang w:val="en-US" w:eastAsia="zh-CN"/>
        </w:rPr>
        <w:t>3</w:t>
      </w:r>
      <w:r>
        <w:rPr>
          <w:rFonts w:hint="eastAsia" w:ascii="仿宋" w:hAnsi="仿宋" w:eastAsia="仿宋" w:cs="仿宋"/>
          <w:b/>
          <w:bCs/>
          <w:color w:val="auto"/>
          <w:sz w:val="30"/>
          <w:szCs w:val="30"/>
          <w:lang w:val="zh-CN"/>
        </w:rPr>
        <w:t>、磋商组织</w:t>
      </w:r>
    </w:p>
    <w:p w14:paraId="28F6C7ED">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3</w:t>
      </w:r>
      <w:r>
        <w:rPr>
          <w:rFonts w:hint="eastAsia" w:ascii="仿宋" w:hAnsi="仿宋" w:eastAsia="仿宋" w:cs="仿宋"/>
          <w:color w:val="auto"/>
          <w:sz w:val="30"/>
          <w:szCs w:val="30"/>
          <w:lang w:val="zh-CN"/>
        </w:rPr>
        <w:t xml:space="preserve">.1 </w:t>
      </w:r>
      <w:r>
        <w:rPr>
          <w:rFonts w:hint="eastAsia" w:ascii="仿宋" w:hAnsi="仿宋" w:eastAsia="仿宋" w:cs="仿宋"/>
          <w:color w:val="auto"/>
          <w:sz w:val="30"/>
          <w:szCs w:val="30"/>
        </w:rPr>
        <w:t>磋商</w:t>
      </w:r>
      <w:r>
        <w:rPr>
          <w:rFonts w:hint="eastAsia" w:ascii="仿宋" w:hAnsi="仿宋" w:eastAsia="仿宋" w:cs="仿宋"/>
          <w:color w:val="auto"/>
          <w:sz w:val="30"/>
          <w:szCs w:val="30"/>
          <w:lang w:val="zh-CN"/>
        </w:rPr>
        <w:t>工作由代理人负责组织，具体</w:t>
      </w:r>
      <w:r>
        <w:rPr>
          <w:rFonts w:hint="eastAsia" w:ascii="仿宋" w:hAnsi="仿宋" w:eastAsia="仿宋" w:cs="仿宋"/>
          <w:color w:val="auto"/>
          <w:sz w:val="30"/>
          <w:szCs w:val="30"/>
        </w:rPr>
        <w:t>磋商</w:t>
      </w:r>
      <w:r>
        <w:rPr>
          <w:rFonts w:hint="eastAsia" w:ascii="仿宋" w:hAnsi="仿宋" w:eastAsia="仿宋" w:cs="仿宋"/>
          <w:color w:val="auto"/>
          <w:sz w:val="30"/>
          <w:szCs w:val="30"/>
          <w:lang w:val="zh-CN"/>
        </w:rPr>
        <w:t>事务由依法组建的磋商小组负责。</w:t>
      </w:r>
    </w:p>
    <w:p w14:paraId="422729F8">
      <w:pPr>
        <w:autoSpaceDE w:val="0"/>
        <w:autoSpaceDN w:val="0"/>
        <w:adjustRightInd w:val="0"/>
        <w:snapToGrid w:val="0"/>
        <w:spacing w:line="560" w:lineRule="exact"/>
        <w:ind w:firstLine="602" w:firstLineChars="200"/>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1</w:t>
      </w:r>
      <w:r>
        <w:rPr>
          <w:rFonts w:hint="eastAsia" w:ascii="仿宋" w:hAnsi="仿宋" w:eastAsia="仿宋" w:cs="仿宋"/>
          <w:b/>
          <w:color w:val="auto"/>
          <w:sz w:val="30"/>
          <w:szCs w:val="30"/>
          <w:lang w:val="en-US" w:eastAsia="zh-CN"/>
        </w:rPr>
        <w:t>4</w:t>
      </w:r>
      <w:r>
        <w:rPr>
          <w:rFonts w:hint="eastAsia" w:ascii="仿宋" w:hAnsi="仿宋" w:eastAsia="仿宋" w:cs="仿宋"/>
          <w:b/>
          <w:color w:val="auto"/>
          <w:sz w:val="30"/>
          <w:szCs w:val="30"/>
          <w:lang w:val="zh-CN"/>
        </w:rPr>
        <w:t>、磋商程序</w:t>
      </w:r>
    </w:p>
    <w:p w14:paraId="137BAFEB">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.1 磋商小组评审供应商所递交的响应性文件，</w:t>
      </w:r>
      <w:r>
        <w:rPr>
          <w:rFonts w:hint="eastAsia" w:ascii="仿宋" w:hAnsi="仿宋" w:eastAsia="仿宋" w:cs="仿宋"/>
          <w:color w:val="auto"/>
          <w:sz w:val="30"/>
          <w:szCs w:val="30"/>
        </w:rPr>
        <w:t>并根据磋商文件规定的程序、评定成交的标准等事项与实质性响应磋商文件要求的供应商进行磋商。未实质性响应磋商文件的响应文件按无效处理，磋商小组应将无效标原因告知有关供应商。</w:t>
      </w:r>
    </w:p>
    <w:p w14:paraId="672093FB">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lang w:val="en-US" w:eastAsia="zh-CN"/>
        </w:rPr>
        <w:t>2</w:t>
      </w:r>
      <w:r>
        <w:rPr>
          <w:rFonts w:hint="eastAsia" w:ascii="仿宋" w:hAnsi="仿宋" w:eastAsia="仿宋" w:cs="仿宋"/>
          <w:color w:val="auto"/>
          <w:sz w:val="30"/>
          <w:szCs w:val="30"/>
          <w:lang w:val="zh-CN"/>
        </w:rPr>
        <w:t>项目评审期间，磋商小组有权要求供应商对响应文件中含义不明确、同类问题表述不一致或者有明显文字和计算错误的内容等作出必要的澄清、说明或者补正。</w:t>
      </w:r>
    </w:p>
    <w:p w14:paraId="430D812D">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供应商的澄清、说明或者补正不得超出响应文件的范围或者改变响应文件的实质性内容。</w:t>
      </w:r>
    </w:p>
    <w:p w14:paraId="43AFCAD9">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磋商小组并非对每个供应商都作澄清要求。</w:t>
      </w:r>
    </w:p>
    <w:p w14:paraId="63D85BC6">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lang w:val="en-US" w:eastAsia="zh-CN"/>
        </w:rPr>
        <w:t>3</w:t>
      </w:r>
      <w:r>
        <w:rPr>
          <w:rFonts w:hint="eastAsia" w:ascii="仿宋" w:hAnsi="仿宋" w:eastAsia="仿宋" w:cs="仿宋"/>
          <w:color w:val="auto"/>
          <w:sz w:val="30"/>
          <w:szCs w:val="30"/>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0E7B7B60">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auto"/>
          <w:kern w:val="2"/>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接到磋商小组澄清、说明和补正要求的供应商如未按规定做出澄清、说明和补正，其风险由供应商自行承担。</w:t>
      </w:r>
    </w:p>
    <w:p w14:paraId="75F34152">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.5 磋商结束后，磋商小组将要求所有继续参加磋商的供应商在规定时间内提交最后报价。</w:t>
      </w:r>
      <w:r>
        <w:rPr>
          <w:rFonts w:hint="eastAsia" w:ascii="仿宋" w:hAnsi="仿宋" w:eastAsia="仿宋" w:cs="仿宋"/>
          <w:b/>
          <w:bCs/>
          <w:color w:val="auto"/>
          <w:sz w:val="30"/>
          <w:szCs w:val="30"/>
          <w:lang w:val="zh-CN"/>
        </w:rPr>
        <w:t>最后报价由其法定代表人或授权代表签字或者加盖公章，最后报价是供应商响应文件的有效组成部分。</w:t>
      </w:r>
    </w:p>
    <w:p w14:paraId="5C7A9ACC">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4</w:t>
      </w:r>
      <w:r>
        <w:rPr>
          <w:rFonts w:hint="eastAsia" w:ascii="仿宋" w:hAnsi="仿宋" w:eastAsia="仿宋" w:cs="仿宋"/>
          <w:b w:val="0"/>
          <w:bCs w:val="0"/>
          <w:color w:val="auto"/>
          <w:sz w:val="30"/>
          <w:szCs w:val="30"/>
          <w:lang w:val="zh-CN"/>
        </w:rPr>
        <w:t>.</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响应文件报价出现前后不一致的，除采购文件另有规定外，按照下列规定修正：</w:t>
      </w:r>
    </w:p>
    <w:p w14:paraId="6E7AF46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(1)大写金额和小写金额不一致的，以大写金额为准；</w:t>
      </w:r>
    </w:p>
    <w:p w14:paraId="1C126977">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(2)单价金额小数点或者百分比有明显错位的，以报价表的总价为准，并修改单价；</w:t>
      </w:r>
    </w:p>
    <w:p w14:paraId="6CC3EE69">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(3)总价金额与按单价汇总金额不一致的，以单价金额计算结果为准。</w:t>
      </w:r>
    </w:p>
    <w:p w14:paraId="713E4FA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同时出现两种以上不一致的，按照前款规定的顺序修正。</w:t>
      </w:r>
    </w:p>
    <w:p w14:paraId="7CE0F2E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磋商小组将按上述修正错误的方法调整响应文件中的</w:t>
      </w:r>
      <w:r>
        <w:rPr>
          <w:rFonts w:hint="eastAsia" w:ascii="仿宋" w:hAnsi="仿宋" w:eastAsia="仿宋" w:cs="仿宋"/>
          <w:b w:val="0"/>
          <w:bCs w:val="0"/>
          <w:color w:val="auto"/>
          <w:sz w:val="30"/>
          <w:szCs w:val="30"/>
          <w:lang w:val="en-US" w:eastAsia="zh-CN"/>
        </w:rPr>
        <w:t>响应</w:t>
      </w:r>
      <w:r>
        <w:rPr>
          <w:rFonts w:hint="eastAsia" w:ascii="仿宋" w:hAnsi="仿宋" w:eastAsia="仿宋" w:cs="仿宋"/>
          <w:b w:val="0"/>
          <w:bCs w:val="0"/>
          <w:color w:val="auto"/>
          <w:sz w:val="30"/>
          <w:szCs w:val="30"/>
          <w:lang w:val="zh-CN"/>
        </w:rPr>
        <w:t>报价，并通过苏采云系统告知供应商，调整后的价格对供应商具有约束力。如果供应商不接受修正后的价格，则其投标将被拒绝。</w:t>
      </w:r>
    </w:p>
    <w:p w14:paraId="51E16D1B">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.响应文件的资格审查</w:t>
      </w:r>
    </w:p>
    <w:p w14:paraId="11311904">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.1响应文件审查分为资格审查和符合性审查。</w:t>
      </w:r>
    </w:p>
    <w:p w14:paraId="5CAC7E15">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.2资格性审查：依据法律法规和磋商文件的规定，磋商小组对响应文件中的资格证明文件进行审查，以确定供应商是否具备参加磋商的资格。</w:t>
      </w:r>
    </w:p>
    <w:p w14:paraId="06280595">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.2.1响应文件有下列情况之一的，在资格性审查时按照无效投标处理：</w:t>
      </w:r>
    </w:p>
    <w:p w14:paraId="092C0CE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（1）不具备采购文件中规定资格条件的；</w:t>
      </w:r>
    </w:p>
    <w:p w14:paraId="53FC451A">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（2）未提供</w:t>
      </w:r>
      <w:r>
        <w:rPr>
          <w:rFonts w:hint="eastAsia" w:ascii="仿宋" w:hAnsi="仿宋" w:eastAsia="仿宋" w:cs="仿宋"/>
          <w:b w:val="0"/>
          <w:bCs w:val="0"/>
          <w:color w:val="auto"/>
          <w:sz w:val="30"/>
          <w:szCs w:val="30"/>
          <w:lang w:val="en-US" w:eastAsia="zh-CN"/>
        </w:rPr>
        <w:t>其它材料的（如有）</w:t>
      </w:r>
      <w:r>
        <w:rPr>
          <w:rFonts w:hint="eastAsia" w:ascii="仿宋" w:hAnsi="仿宋" w:eastAsia="仿宋" w:cs="仿宋"/>
          <w:b w:val="0"/>
          <w:bCs w:val="0"/>
          <w:color w:val="auto"/>
          <w:sz w:val="30"/>
          <w:szCs w:val="30"/>
          <w:lang w:val="zh-CN"/>
        </w:rPr>
        <w:t>。</w:t>
      </w:r>
    </w:p>
    <w:p w14:paraId="05E54C2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 响应文件的符合性检查</w:t>
      </w:r>
    </w:p>
    <w:p w14:paraId="6CF098F9">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.3.1磋商小组将依据法律法规和竞争性磋商文件的规定，对响应文件的有效性、完整性和对竞争性磋商文件的响应程度进行审查，以确定是否对竞争性磋商文件的实质性要求作出响应。</w:t>
      </w:r>
    </w:p>
    <w:p w14:paraId="72689B5B">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.3.2实质性要求是指本竞争性磋商文件中用带星号（“*”）、（“★”）、“必须”或“应（应当）”等其他文字说明的商务和技术要求。</w:t>
      </w:r>
    </w:p>
    <w:p w14:paraId="32BE76EF">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.3.3响应文件属下列情形之一的，按照无效响应处理：</w:t>
      </w:r>
    </w:p>
    <w:p w14:paraId="6E5A53C2">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如果响应文件实质上没有响应竞争性磋商文件的要求，磋商小组将予以拒绝，供应商不得通过修改或撤销不合要求的偏离或保留而使其投标成为实质性响应的投标。</w:t>
      </w:r>
    </w:p>
    <w:p w14:paraId="262D673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（1）供应商在苏采云系统规定的时间内未成功解密电子响应文件；</w:t>
      </w:r>
    </w:p>
    <w:p w14:paraId="357FC96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（2）供应商未按照磋商文件要求上传电子响应文件；</w:t>
      </w:r>
    </w:p>
    <w:p w14:paraId="18CBA614">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（3）响应文件未按照磋商文件要求加盖电子公章；</w:t>
      </w:r>
    </w:p>
    <w:p w14:paraId="646BCFBB">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（4）同一供应商提交两个（含两个）以上不同的响应文件或者最后报价；</w:t>
      </w:r>
    </w:p>
    <w:p w14:paraId="6CD28C2F">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（5）不具备竞争性磋商文件中规定资格要求的；</w:t>
      </w:r>
    </w:p>
    <w:p w14:paraId="5D0027F9">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（6）投标总价超出采购项目预算或者最高限价的；</w:t>
      </w:r>
    </w:p>
    <w:p w14:paraId="5BA0D295">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（7）不同供应商的响应文件由同一单位或者个人编制；</w:t>
      </w:r>
    </w:p>
    <w:p w14:paraId="1338EC9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（8）不同供应商委托同一单位或者个人办理投标事宜；</w:t>
      </w:r>
    </w:p>
    <w:p w14:paraId="214A40D1">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（9）不同供应商的ip地址、MAC地址、标书制作工具客户端标识码一致的；</w:t>
      </w:r>
    </w:p>
    <w:p w14:paraId="5ADA62E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（10）不同供应商的响应文件载明的项目管理成员或者联系人员为同一人；</w:t>
      </w:r>
    </w:p>
    <w:p w14:paraId="57BD7416">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（11）不同供应商的响应文件异常一致或者响应报价呈规律性差异；</w:t>
      </w:r>
    </w:p>
    <w:p w14:paraId="553AF1F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（12）不同供应商的负责人为同一人或者存在控股、管理关系的；</w:t>
      </w:r>
    </w:p>
    <w:p w14:paraId="3B139D01">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（13）响应文件含有采购人不能接受的附加条件的；</w:t>
      </w:r>
    </w:p>
    <w:p w14:paraId="1C56ACF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（14）不符合法律、法规和竞争性磋商文件规定的其他实质性要求的。</w:t>
      </w:r>
    </w:p>
    <w:p w14:paraId="4DED269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.4出现下列情形之一的磋商终止：</w:t>
      </w:r>
    </w:p>
    <w:p w14:paraId="295866CE">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（1）因情况变化，不再符合规定的竞争性磋商采购方式适用情形的；</w:t>
      </w:r>
    </w:p>
    <w:p w14:paraId="6B40E92E">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（2）出现影响采购公正的违法、违规行为的；</w:t>
      </w:r>
    </w:p>
    <w:p w14:paraId="08BA7FA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（3）在苏采云系统规定时间内成功解密电子响应文件的供应商不足3家；</w:t>
      </w:r>
    </w:p>
    <w:p w14:paraId="136C95D1">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（4）除本磋商文件第二章第1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.3条规定的情形外，磋商过程中符合要求的供应商或者提交最后报价且未超过采购预算（最高限价）的供应商不足3家；</w:t>
      </w:r>
    </w:p>
    <w:p w14:paraId="3DBE36C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（5）法律法规规定的其他应当终止情形。</w:t>
      </w:r>
    </w:p>
    <w:p w14:paraId="6842A42A">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.5 未通过资格审查或符合性审查的供应商，磋商小组将通过苏采云系统告知具体原因，评审结束后将不再接受有关询问。</w:t>
      </w:r>
    </w:p>
    <w:p w14:paraId="6869A1E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.6供应商在项目评审全过程中应保持通讯畅通，及时登录苏采云系统查阅、答复相关信息，并安排专人与采购代理机构及磋商小组联系。</w:t>
      </w:r>
    </w:p>
    <w:p w14:paraId="32ADFDB2">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.磋商程序</w:t>
      </w:r>
    </w:p>
    <w:p w14:paraId="361FE464">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.1 磋商小组将与通过资格审查和符合性审查的供应商分别进行磋商。磋商小组通过苏采云系统向供应商发出《磋商函》，供应商应当按照要求在苏采云系统提交《磋商响应函》并加盖电子公章。</w:t>
      </w:r>
    </w:p>
    <w:p w14:paraId="23F0F95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182DCD0C">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4689DFF2">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214DF27C">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007902C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6372C84A">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7</w:t>
      </w:r>
      <w:r>
        <w:rPr>
          <w:rFonts w:hint="eastAsia" w:ascii="仿宋" w:hAnsi="仿宋" w:eastAsia="仿宋" w:cs="仿宋"/>
          <w:b w:val="0"/>
          <w:bCs w:val="0"/>
          <w:color w:val="auto"/>
          <w:sz w:val="30"/>
          <w:szCs w:val="30"/>
          <w:lang w:val="zh-CN"/>
        </w:rPr>
        <w:t>.评分方法和标准</w:t>
      </w:r>
    </w:p>
    <w:p w14:paraId="1389B0BB">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7</w:t>
      </w:r>
      <w:r>
        <w:rPr>
          <w:rFonts w:hint="eastAsia" w:ascii="仿宋" w:hAnsi="仿宋" w:eastAsia="仿宋" w:cs="仿宋"/>
          <w:b w:val="0"/>
          <w:bCs w:val="0"/>
          <w:color w:val="auto"/>
          <w:sz w:val="30"/>
          <w:szCs w:val="30"/>
          <w:lang w:val="zh-CN"/>
        </w:rPr>
        <w:t>.1 采用综合评分法。即在最大限度地满足竞争性磋商文件实质性要求前提下，按照竞争性磋商文件中规定的各项因素进行综合评审后，以评审总得分最高的供应商作为成交候选供应商或者成交供应商的评分方法。</w:t>
      </w:r>
    </w:p>
    <w:p w14:paraId="16ED4C77">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7</w:t>
      </w:r>
      <w:r>
        <w:rPr>
          <w:rFonts w:hint="eastAsia" w:ascii="仿宋" w:hAnsi="仿宋" w:eastAsia="仿宋" w:cs="仿宋"/>
          <w:b w:val="0"/>
          <w:bCs w:val="0"/>
          <w:color w:val="auto"/>
          <w:sz w:val="30"/>
          <w:szCs w:val="30"/>
          <w:lang w:val="zh-CN"/>
        </w:rPr>
        <w:t>.2 评分标准详见第三章。</w:t>
      </w:r>
    </w:p>
    <w:p w14:paraId="104D7959">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18</w:t>
      </w:r>
      <w:r>
        <w:rPr>
          <w:rFonts w:hint="eastAsia" w:ascii="仿宋" w:hAnsi="仿宋" w:eastAsia="仿宋" w:cs="仿宋"/>
          <w:b w:val="0"/>
          <w:bCs w:val="0"/>
          <w:color w:val="auto"/>
          <w:sz w:val="30"/>
          <w:szCs w:val="30"/>
          <w:lang w:val="zh-CN"/>
        </w:rPr>
        <w:t>.确定成交供应商</w:t>
      </w:r>
    </w:p>
    <w:p w14:paraId="7B33866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18</w:t>
      </w:r>
      <w:r>
        <w:rPr>
          <w:rFonts w:hint="eastAsia" w:ascii="仿宋" w:hAnsi="仿宋" w:eastAsia="仿宋" w:cs="仿宋"/>
          <w:b w:val="0"/>
          <w:bCs w:val="0"/>
          <w:color w:val="auto"/>
          <w:sz w:val="30"/>
          <w:szCs w:val="30"/>
          <w:lang w:val="zh-CN"/>
        </w:rPr>
        <w:t>.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2045A42A">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18</w:t>
      </w:r>
      <w:r>
        <w:rPr>
          <w:rFonts w:hint="eastAsia" w:ascii="仿宋" w:hAnsi="仿宋" w:eastAsia="仿宋" w:cs="仿宋"/>
          <w:b w:val="0"/>
          <w:bCs w:val="0"/>
          <w:color w:val="auto"/>
          <w:sz w:val="30"/>
          <w:szCs w:val="30"/>
          <w:lang w:val="zh-CN"/>
        </w:rPr>
        <w:t>.2 采购代理机构将在“江苏政府采购网”发布成交结果公告，公告期限为1个工作日。</w:t>
      </w:r>
    </w:p>
    <w:p w14:paraId="585200F2">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19</w:t>
      </w:r>
      <w:r>
        <w:rPr>
          <w:rFonts w:hint="eastAsia" w:ascii="仿宋" w:hAnsi="仿宋" w:eastAsia="仿宋" w:cs="仿宋"/>
          <w:b w:val="0"/>
          <w:bCs w:val="0"/>
          <w:color w:val="auto"/>
          <w:sz w:val="30"/>
          <w:szCs w:val="30"/>
          <w:lang w:val="zh-CN"/>
        </w:rPr>
        <w:t>、编写磋商（评审）报告</w:t>
      </w:r>
    </w:p>
    <w:p w14:paraId="055FD45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19</w:t>
      </w:r>
      <w:r>
        <w:rPr>
          <w:rFonts w:hint="eastAsia" w:ascii="仿宋" w:hAnsi="仿宋" w:eastAsia="仿宋" w:cs="仿宋"/>
          <w:b w:val="0"/>
          <w:bCs w:val="0"/>
          <w:color w:val="auto"/>
          <w:sz w:val="30"/>
          <w:szCs w:val="30"/>
          <w:lang w:val="zh-CN"/>
        </w:rPr>
        <w:t>.1磋商小组根据磋商过程和结果编写磋商（评审）报告。</w:t>
      </w:r>
    </w:p>
    <w:p w14:paraId="01D71E1B">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20</w:t>
      </w:r>
      <w:r>
        <w:rPr>
          <w:rFonts w:hint="eastAsia" w:ascii="仿宋" w:hAnsi="仿宋" w:eastAsia="仿宋" w:cs="仿宋"/>
          <w:b w:val="0"/>
          <w:bCs w:val="0"/>
          <w:color w:val="auto"/>
          <w:sz w:val="30"/>
          <w:szCs w:val="30"/>
          <w:lang w:val="zh-CN"/>
        </w:rPr>
        <w:t>.成交通知书</w:t>
      </w:r>
    </w:p>
    <w:p w14:paraId="37AA154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20</w:t>
      </w:r>
      <w:r>
        <w:rPr>
          <w:rFonts w:hint="eastAsia" w:ascii="仿宋" w:hAnsi="仿宋" w:eastAsia="仿宋" w:cs="仿宋"/>
          <w:b w:val="0"/>
          <w:bCs w:val="0"/>
          <w:color w:val="auto"/>
          <w:sz w:val="30"/>
          <w:szCs w:val="30"/>
          <w:lang w:val="zh-CN"/>
        </w:rPr>
        <w:t xml:space="preserve">.1 成交结果确定后，采购代理机构将向成交供应商发出成交通知书。成交供应商可在成交结果公告届满之日起三十日内，登录苏采云系统下载。    </w:t>
      </w:r>
    </w:p>
    <w:p w14:paraId="106C67D2">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因系统存储空间有限，成交结果公告届满之日起三十日后，苏采云系统不再保证提供下载成交通知书服务,因未及时下载而造成的不利后果由成交供应商自行承担。</w:t>
      </w:r>
    </w:p>
    <w:p w14:paraId="6926C22E">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b w:val="0"/>
          <w:bCs w:val="0"/>
          <w:color w:val="auto"/>
          <w:sz w:val="30"/>
          <w:szCs w:val="30"/>
          <w:lang w:val="zh-CN"/>
        </w:rPr>
        <w:t>2</w:t>
      </w:r>
      <w:r>
        <w:rPr>
          <w:rFonts w:hint="eastAsia" w:ascii="仿宋" w:hAnsi="仿宋" w:eastAsia="仿宋" w:cs="仿宋"/>
          <w:b w:val="0"/>
          <w:bCs w:val="0"/>
          <w:color w:val="auto"/>
          <w:sz w:val="30"/>
          <w:szCs w:val="30"/>
          <w:lang w:val="en-US" w:eastAsia="zh-CN"/>
        </w:rPr>
        <w:t>0</w:t>
      </w:r>
      <w:r>
        <w:rPr>
          <w:rFonts w:hint="eastAsia" w:ascii="仿宋" w:hAnsi="仿宋" w:eastAsia="仿宋" w:cs="仿宋"/>
          <w:b w:val="0"/>
          <w:bCs w:val="0"/>
          <w:color w:val="auto"/>
          <w:sz w:val="30"/>
          <w:szCs w:val="30"/>
          <w:lang w:val="zh-CN"/>
        </w:rPr>
        <w:t>.2 成交通知书将是合同的一个组成部分，对采购人和成交供应商均具有法律效力。成交通知书发出后，采购人改变成交结果的，或者成交供应商放弃成交项目的，应当依法承担法律责任。</w:t>
      </w:r>
    </w:p>
    <w:p w14:paraId="4B41904A">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color w:val="auto"/>
          <w:sz w:val="30"/>
          <w:szCs w:val="30"/>
          <w:lang w:val="en-US" w:eastAsia="zh-CN"/>
        </w:rPr>
        <w:t>21</w:t>
      </w:r>
      <w:r>
        <w:rPr>
          <w:rFonts w:hint="eastAsia" w:ascii="仿宋" w:hAnsi="仿宋" w:eastAsia="仿宋" w:cs="仿宋"/>
          <w:b/>
          <w:color w:val="auto"/>
          <w:sz w:val="30"/>
          <w:szCs w:val="30"/>
          <w:lang w:val="zh-CN"/>
        </w:rPr>
        <w:t>、</w:t>
      </w:r>
      <w:r>
        <w:rPr>
          <w:rFonts w:hint="eastAsia" w:ascii="仿宋" w:hAnsi="仿宋" w:eastAsia="仿宋" w:cs="仿宋"/>
          <w:b/>
          <w:bCs/>
          <w:color w:val="auto"/>
          <w:sz w:val="30"/>
          <w:szCs w:val="30"/>
          <w:lang w:val="zh-CN"/>
        </w:rPr>
        <w:t>签订合同</w:t>
      </w:r>
    </w:p>
    <w:p w14:paraId="587953AD">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1 成交供应商应当</w:t>
      </w:r>
      <w:r>
        <w:rPr>
          <w:rFonts w:hint="eastAsia" w:ascii="仿宋" w:hAnsi="仿宋" w:eastAsia="仿宋" w:cs="仿宋"/>
          <w:color w:val="auto"/>
          <w:sz w:val="30"/>
          <w:szCs w:val="30"/>
          <w:lang w:val="zh-CN"/>
        </w:rPr>
        <w:t>自成交通知书发出之日起三十日内，</w:t>
      </w:r>
      <w:r>
        <w:rPr>
          <w:rFonts w:hint="eastAsia" w:ascii="仿宋" w:hAnsi="仿宋" w:eastAsia="仿宋" w:cs="仿宋"/>
          <w:color w:val="auto"/>
          <w:sz w:val="30"/>
          <w:szCs w:val="30"/>
        </w:rPr>
        <w:t>与采购人签订政府采购合同，所签订的合同不得对采购文件和响应文件作实质性修改。</w:t>
      </w:r>
    </w:p>
    <w:p w14:paraId="6748FDDF">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采购人不得向成交供应商提出任何不合理的要求作为签订合同的条件，不得与成交供应商私下订立背离合同实质性内容的协议。</w:t>
      </w:r>
    </w:p>
    <w:p w14:paraId="779D7519">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成交通知书发出后，采购人改变成交结果，或者成交供应商拒绝签订政府采购合同的，应当承担相应的法律责任。</w:t>
      </w:r>
    </w:p>
    <w:p w14:paraId="2830C653">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171786A5">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.5成交供应商拒绝签订政府采购合同的，</w:t>
      </w:r>
      <w:r>
        <w:rPr>
          <w:rFonts w:hint="eastAsia" w:ascii="仿宋" w:hAnsi="仿宋" w:eastAsia="仿宋" w:cs="仿宋"/>
          <w:color w:val="auto"/>
          <w:sz w:val="30"/>
          <w:szCs w:val="30"/>
        </w:rPr>
        <w:t>或因不可抗力或者自身原因不能履行政府采购合同的，</w:t>
      </w:r>
      <w:r>
        <w:rPr>
          <w:rFonts w:hint="eastAsia" w:ascii="仿宋" w:hAnsi="仿宋" w:eastAsia="仿宋" w:cs="仿宋"/>
          <w:color w:val="auto"/>
          <w:sz w:val="30"/>
          <w:szCs w:val="30"/>
          <w:lang w:val="zh-CN"/>
        </w:rPr>
        <w:t>采购人可以视情与排位在成交供应商之后第一位的成交候选供应商签订政府采购合同，也可以重新开展采购活动。</w:t>
      </w:r>
    </w:p>
    <w:p w14:paraId="20966790">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7EB5BEF0">
      <w:pPr>
        <w:autoSpaceDE w:val="0"/>
        <w:autoSpaceDN w:val="0"/>
        <w:adjustRightInd w:val="0"/>
        <w:snapToGrid w:val="0"/>
        <w:spacing w:line="560" w:lineRule="exact"/>
        <w:ind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五、询问、质疑、投诉和诚实信用</w:t>
      </w:r>
    </w:p>
    <w:p w14:paraId="6E294202">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22</w:t>
      </w:r>
      <w:r>
        <w:rPr>
          <w:rFonts w:hint="eastAsia" w:ascii="仿宋" w:hAnsi="仿宋" w:eastAsia="仿宋" w:cs="仿宋"/>
          <w:b/>
          <w:bCs/>
          <w:color w:val="auto"/>
          <w:sz w:val="30"/>
          <w:szCs w:val="30"/>
          <w:lang w:val="zh-CN"/>
        </w:rPr>
        <w:t>、询问</w:t>
      </w:r>
    </w:p>
    <w:p w14:paraId="5F5BAFF6">
      <w:pPr>
        <w:autoSpaceDE w:val="0"/>
        <w:autoSpaceDN w:val="0"/>
        <w:adjustRightInd w:val="0"/>
        <w:spacing w:line="560" w:lineRule="exact"/>
        <w:ind w:firstLine="600" w:firstLineChars="200"/>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en-US" w:eastAsia="zh-CN"/>
        </w:rPr>
        <w:t>22</w:t>
      </w:r>
      <w:r>
        <w:rPr>
          <w:rFonts w:hint="eastAsia" w:ascii="仿宋" w:hAnsi="仿宋" w:eastAsia="仿宋" w:cs="仿宋"/>
          <w:color w:val="auto"/>
          <w:sz w:val="30"/>
          <w:szCs w:val="30"/>
          <w:lang w:val="zh-CN"/>
        </w:rPr>
        <w:t>.1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w:t>
      </w:r>
    </w:p>
    <w:p w14:paraId="741688AA">
      <w:pPr>
        <w:autoSpaceDE w:val="0"/>
        <w:autoSpaceDN w:val="0"/>
        <w:adjustRightInd w:val="0"/>
        <w:spacing w:line="560" w:lineRule="exact"/>
        <w:ind w:firstLine="602" w:firstLineChars="200"/>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en-US" w:eastAsia="zh-CN"/>
        </w:rPr>
        <w:t>23</w:t>
      </w:r>
      <w:r>
        <w:rPr>
          <w:rFonts w:hint="eastAsia" w:ascii="仿宋" w:hAnsi="仿宋" w:eastAsia="仿宋" w:cs="仿宋"/>
          <w:b/>
          <w:color w:val="auto"/>
          <w:sz w:val="30"/>
          <w:szCs w:val="30"/>
          <w:lang w:val="zh-CN"/>
        </w:rPr>
        <w:t>、质疑</w:t>
      </w:r>
    </w:p>
    <w:p w14:paraId="02329C0B">
      <w:pPr>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质疑供应商是指直接参加本次采购活动的供应商，未参加采购活动的供应商或在采购活动中自身权益未受到损害的供应商所提出的质疑不予受理。</w:t>
      </w:r>
    </w:p>
    <w:p w14:paraId="102B8BD9">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lang w:val="zh-CN"/>
        </w:rPr>
        <w:t>.2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原件送达</w:t>
      </w:r>
      <w:r>
        <w:rPr>
          <w:rFonts w:hint="eastAsia" w:ascii="仿宋" w:hAnsi="仿宋" w:eastAsia="仿宋" w:cs="仿宋"/>
          <w:bCs/>
          <w:color w:val="auto"/>
          <w:sz w:val="30"/>
          <w:szCs w:val="30"/>
          <w:lang w:val="zh-CN"/>
        </w:rPr>
        <w:t>至</w:t>
      </w:r>
      <w:r>
        <w:rPr>
          <w:rFonts w:hint="eastAsia" w:ascii="仿宋" w:hAnsi="仿宋" w:eastAsia="仿宋" w:cs="仿宋"/>
          <w:color w:val="auto"/>
          <w:sz w:val="30"/>
          <w:szCs w:val="30"/>
          <w:lang w:val="zh-CN"/>
        </w:rPr>
        <w:t>代理人处。</w:t>
      </w:r>
    </w:p>
    <w:p w14:paraId="0E06C671">
      <w:pPr>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lang w:val="zh-CN"/>
        </w:rPr>
        <w:t>.3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上述应知其权益受到损害之日是指：</w:t>
      </w:r>
    </w:p>
    <w:p w14:paraId="5240B371">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（1）对磋商文件提出质疑的，为磋商文件公告期限届满之日起计算；</w:t>
      </w:r>
    </w:p>
    <w:p w14:paraId="65EE1687">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（2）对采购过程提出质疑的，自采购程序环节结束之日起计算；</w:t>
      </w:r>
    </w:p>
    <w:p w14:paraId="44E401D8">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（3）对成交结果提出质疑的，自成交结果公告期限届满之日起计算。</w:t>
      </w:r>
    </w:p>
    <w:p w14:paraId="7C1DD598">
      <w:pPr>
        <w:autoSpaceDE w:val="0"/>
        <w:autoSpaceDN w:val="0"/>
        <w:adjustRightInd w:val="0"/>
        <w:spacing w:line="560" w:lineRule="exact"/>
        <w:ind w:firstLine="600" w:firstLineChars="200"/>
        <w:rPr>
          <w:rFonts w:hint="eastAsia" w:ascii="仿宋" w:hAnsi="仿宋" w:eastAsia="仿宋" w:cs="仿宋"/>
          <w:snapToGrid w:val="0"/>
          <w:color w:val="auto"/>
          <w:sz w:val="30"/>
          <w:szCs w:val="30"/>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lang w:val="zh-CN"/>
        </w:rPr>
        <w:t>.4 质疑文件应包括以下主要内容，并</w:t>
      </w:r>
      <w:r>
        <w:rPr>
          <w:rFonts w:hint="eastAsia" w:ascii="仿宋" w:hAnsi="仿宋" w:eastAsia="仿宋" w:cs="仿宋"/>
          <w:color w:val="auto"/>
          <w:sz w:val="30"/>
          <w:szCs w:val="30"/>
        </w:rPr>
        <w:t>按照“谁主张、谁举证”的原则，附上相关证明材料。否则，代理人不予受理：</w:t>
      </w:r>
    </w:p>
    <w:p w14:paraId="674EBEBC">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（1）质疑项目名称、项目编号、包号、采购公告发布时间、磋商时间；</w:t>
      </w:r>
    </w:p>
    <w:p w14:paraId="60DFAD96">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（2）提起质疑的日期、具体的质疑事项及事实根据（具体条款）；</w:t>
      </w:r>
    </w:p>
    <w:p w14:paraId="1BBBBB20">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（3）认为自己合法权益受到损害或可能受到损害的相关证据材料；</w:t>
      </w:r>
    </w:p>
    <w:p w14:paraId="57DBCEC3">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（4）质疑供应商名称、地址、邮编、联系人、联系电话</w:t>
      </w:r>
      <w:r>
        <w:rPr>
          <w:rFonts w:hint="eastAsia" w:ascii="仿宋" w:hAnsi="仿宋" w:eastAsia="仿宋" w:cs="仿宋"/>
          <w:color w:val="auto"/>
          <w:sz w:val="30"/>
          <w:szCs w:val="30"/>
        </w:rPr>
        <w:t>（包括座机、手机、传真号码等）</w:t>
      </w:r>
      <w:r>
        <w:rPr>
          <w:rFonts w:hint="eastAsia" w:ascii="仿宋" w:hAnsi="仿宋" w:eastAsia="仿宋" w:cs="仿宋"/>
          <w:color w:val="auto"/>
          <w:sz w:val="30"/>
          <w:szCs w:val="30"/>
          <w:lang w:val="zh-CN"/>
        </w:rPr>
        <w:t>；</w:t>
      </w:r>
    </w:p>
    <w:p w14:paraId="06421D38">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（5）质疑函应当署名，质疑人为自然人的，应当由本人签字并附有效身份证明；质疑人为法人或其他组织的，应当由法定代表人签字并加盖单位公章；</w:t>
      </w:r>
    </w:p>
    <w:p w14:paraId="72A44136">
      <w:pPr>
        <w:autoSpaceDE w:val="0"/>
        <w:autoSpaceDN w:val="0"/>
        <w:adjustRightIn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lang w:val="zh-CN"/>
        </w:rPr>
        <w:t>（6）供应商委托代理质疑的，应当提交授权委托书，并载明委托代理的具体权限和事项。</w:t>
      </w:r>
    </w:p>
    <w:p w14:paraId="3A8AFE0D">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rPr>
        <w:t>.5 采购人（代理人）在收到供应商的书面质疑后将及时组织调查核实，在</w:t>
      </w:r>
      <w:r>
        <w:rPr>
          <w:rFonts w:hint="eastAsia" w:ascii="仿宋" w:hAnsi="仿宋" w:eastAsia="仿宋" w:cs="仿宋"/>
          <w:b/>
          <w:bCs/>
          <w:color w:val="auto"/>
          <w:sz w:val="30"/>
          <w:szCs w:val="30"/>
          <w:lang w:val="zh-CN"/>
        </w:rPr>
        <w:t>七个工作日内</w:t>
      </w:r>
      <w:r>
        <w:rPr>
          <w:rFonts w:hint="eastAsia" w:ascii="仿宋" w:hAnsi="仿宋" w:eastAsia="仿宋" w:cs="仿宋"/>
          <w:color w:val="auto"/>
          <w:sz w:val="30"/>
          <w:szCs w:val="30"/>
          <w:lang w:val="zh-CN"/>
        </w:rPr>
        <w:t>作出答复，并以书面通知质疑供应商和其他有关供应商，答复的内容不涉及商业秘密。代理人</w:t>
      </w:r>
      <w:r>
        <w:rPr>
          <w:rFonts w:hint="eastAsia" w:ascii="仿宋" w:hAnsi="仿宋" w:eastAsia="仿宋" w:cs="仿宋"/>
          <w:color w:val="auto"/>
          <w:sz w:val="30"/>
          <w:szCs w:val="30"/>
        </w:rPr>
        <w:t>遵循“谁过错谁负担”的原则，有过错的一方承担调查论证费用。</w:t>
      </w:r>
    </w:p>
    <w:p w14:paraId="06ED781E">
      <w:pPr>
        <w:autoSpaceDE w:val="0"/>
        <w:autoSpaceDN w:val="0"/>
        <w:adjustRightInd w:val="0"/>
        <w:spacing w:line="560" w:lineRule="exact"/>
        <w:ind w:firstLine="602" w:firstLineChars="200"/>
        <w:rPr>
          <w:rFonts w:hint="eastAsia" w:ascii="仿宋" w:hAnsi="仿宋" w:eastAsia="仿宋" w:cs="仿宋"/>
          <w:color w:val="auto"/>
          <w:sz w:val="30"/>
          <w:szCs w:val="30"/>
          <w:lang w:val="zh-CN"/>
        </w:rPr>
      </w:pPr>
      <w:r>
        <w:rPr>
          <w:rFonts w:hint="eastAsia" w:ascii="仿宋" w:hAnsi="仿宋" w:eastAsia="仿宋" w:cs="仿宋"/>
          <w:b/>
          <w:bCs/>
          <w:color w:val="auto"/>
          <w:sz w:val="30"/>
          <w:szCs w:val="30"/>
          <w:lang w:val="en-US" w:eastAsia="zh-CN"/>
        </w:rPr>
        <w:t>24</w:t>
      </w:r>
      <w:r>
        <w:rPr>
          <w:rFonts w:hint="eastAsia" w:ascii="仿宋" w:hAnsi="仿宋" w:eastAsia="仿宋" w:cs="仿宋"/>
          <w:b/>
          <w:bCs/>
          <w:color w:val="auto"/>
          <w:sz w:val="30"/>
          <w:szCs w:val="30"/>
          <w:lang w:val="zh-CN"/>
        </w:rPr>
        <w:t>、投诉</w:t>
      </w:r>
    </w:p>
    <w:p w14:paraId="38903113">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24</w:t>
      </w:r>
      <w:r>
        <w:rPr>
          <w:rFonts w:hint="eastAsia" w:ascii="仿宋" w:hAnsi="仿宋" w:eastAsia="仿宋" w:cs="仿宋"/>
          <w:color w:val="auto"/>
          <w:sz w:val="30"/>
          <w:szCs w:val="30"/>
          <w:lang w:val="zh-CN"/>
        </w:rPr>
        <w:t>.1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十五个工作日内</w:t>
      </w:r>
      <w:r>
        <w:rPr>
          <w:rFonts w:hint="eastAsia" w:ascii="仿宋" w:hAnsi="仿宋" w:eastAsia="仿宋" w:cs="仿宋"/>
          <w:color w:val="auto"/>
          <w:sz w:val="30"/>
          <w:szCs w:val="30"/>
          <w:lang w:val="zh-CN"/>
        </w:rPr>
        <w:t>向采购项目同级财政部门投诉。</w:t>
      </w:r>
    </w:p>
    <w:p w14:paraId="32DB8D8D">
      <w:pPr>
        <w:autoSpaceDE w:val="0"/>
        <w:autoSpaceDN w:val="0"/>
        <w:adjustRightIn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25</w:t>
      </w:r>
      <w:r>
        <w:rPr>
          <w:rFonts w:hint="eastAsia" w:ascii="仿宋" w:hAnsi="仿宋" w:eastAsia="仿宋" w:cs="仿宋"/>
          <w:b/>
          <w:bCs/>
          <w:color w:val="auto"/>
          <w:sz w:val="30"/>
          <w:szCs w:val="30"/>
          <w:lang w:val="zh-CN"/>
        </w:rPr>
        <w:t>、诚实信用</w:t>
      </w:r>
    </w:p>
    <w:p w14:paraId="24784293">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.1 供应商之间不得相互串通响应报价，不得妨碍其他供应商的公平竞争，不得损害采购人和其他供应商的合法权益。</w:t>
      </w:r>
    </w:p>
    <w:p w14:paraId="67812A72">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政府采购管理部门将供应商列入不良行为记录名单，按照</w:t>
      </w:r>
      <w:r>
        <w:rPr>
          <w:rFonts w:hint="eastAsia" w:ascii="仿宋" w:hAnsi="仿宋" w:eastAsia="仿宋" w:cs="仿宋"/>
          <w:bCs/>
          <w:color w:val="auto"/>
          <w:sz w:val="30"/>
          <w:szCs w:val="30"/>
        </w:rPr>
        <w:t>《中华人民共和国政府采购法》</w:t>
      </w:r>
      <w:r>
        <w:rPr>
          <w:rFonts w:hint="eastAsia" w:ascii="仿宋" w:hAnsi="仿宋" w:eastAsia="仿宋" w:cs="仿宋"/>
          <w:color w:val="auto"/>
          <w:sz w:val="30"/>
          <w:szCs w:val="30"/>
        </w:rPr>
        <w:t>有关规定处理。</w:t>
      </w:r>
    </w:p>
    <w:p w14:paraId="2F0C66FA">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6EC3C3C3">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.4 供应商不得虚假承诺，否则，按照提供虚假材料谋取成交处理。</w:t>
      </w:r>
    </w:p>
    <w:p w14:paraId="537FCA11">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.5 供应商应自觉遵守磋商纪律，扰乱磋商现场秩序的，属于失信行为，根据《江苏省政府采购供应商监督管理暂行办法》，失信行为将被记入供应商诚信档案。</w:t>
      </w:r>
    </w:p>
    <w:p w14:paraId="6A3C8DC8">
      <w:pPr>
        <w:spacing w:line="560" w:lineRule="exact"/>
        <w:ind w:firstLine="602" w:firstLineChars="200"/>
        <w:rPr>
          <w:rFonts w:hint="eastAsia" w:ascii="仿宋" w:hAnsi="仿宋" w:eastAsia="仿宋" w:cs="仿宋"/>
          <w:b/>
          <w:bCs/>
          <w:color w:val="auto"/>
          <w:sz w:val="30"/>
          <w:szCs w:val="30"/>
        </w:rPr>
      </w:pPr>
      <w:r>
        <w:rPr>
          <w:rFonts w:hint="eastAsia" w:ascii="仿宋" w:hAnsi="仿宋" w:eastAsia="仿宋" w:cs="仿宋"/>
          <w:b/>
          <w:bCs/>
          <w:color w:val="auto"/>
          <w:sz w:val="30"/>
          <w:szCs w:val="30"/>
        </w:rPr>
        <w:t>2</w:t>
      </w:r>
      <w:r>
        <w:rPr>
          <w:rFonts w:hint="eastAsia" w:ascii="仿宋" w:hAnsi="仿宋" w:eastAsia="仿宋" w:cs="仿宋"/>
          <w:b/>
          <w:bCs/>
          <w:color w:val="auto"/>
          <w:sz w:val="30"/>
          <w:szCs w:val="30"/>
          <w:lang w:val="en-US" w:eastAsia="zh-CN"/>
        </w:rPr>
        <w:t>6</w:t>
      </w:r>
      <w:r>
        <w:rPr>
          <w:rFonts w:hint="eastAsia" w:ascii="仿宋" w:hAnsi="仿宋" w:eastAsia="仿宋" w:cs="仿宋"/>
          <w:b/>
          <w:bCs/>
          <w:color w:val="auto"/>
          <w:sz w:val="30"/>
          <w:szCs w:val="30"/>
        </w:rPr>
        <w:t>、其他</w:t>
      </w:r>
    </w:p>
    <w:p w14:paraId="6DC10679">
      <w:pPr>
        <w:autoSpaceDE w:val="0"/>
        <w:autoSpaceDN w:val="0"/>
        <w:adjustRightInd w:val="0"/>
        <w:spacing w:line="560" w:lineRule="exact"/>
        <w:ind w:firstLine="600" w:firstLineChars="200"/>
        <w:jc w:val="left"/>
        <w:rPr>
          <w:rFonts w:hint="eastAsia" w:ascii="仿宋" w:hAnsi="仿宋" w:eastAsia="仿宋" w:cs="仿宋"/>
          <w:color w:val="auto"/>
          <w:sz w:val="30"/>
          <w:szCs w:val="30"/>
        </w:rPr>
      </w:pPr>
      <w:r>
        <w:rPr>
          <w:rFonts w:hint="eastAsia" w:ascii="仿宋" w:hAnsi="仿宋" w:eastAsia="仿宋" w:cs="仿宋"/>
          <w:color w:val="auto"/>
          <w:sz w:val="30"/>
          <w:szCs w:val="30"/>
        </w:rPr>
        <w:t>2</w:t>
      </w:r>
      <w:r>
        <w:rPr>
          <w:rFonts w:hint="eastAsia" w:ascii="仿宋" w:hAnsi="仿宋" w:eastAsia="仿宋" w:cs="仿宋"/>
          <w:color w:val="auto"/>
          <w:sz w:val="30"/>
          <w:szCs w:val="30"/>
          <w:lang w:val="en-US" w:eastAsia="zh-CN"/>
        </w:rPr>
        <w:t>6</w:t>
      </w:r>
      <w:r>
        <w:rPr>
          <w:rFonts w:hint="eastAsia" w:ascii="仿宋" w:hAnsi="仿宋" w:eastAsia="仿宋" w:cs="仿宋"/>
          <w:color w:val="auto"/>
          <w:sz w:val="30"/>
          <w:szCs w:val="30"/>
        </w:rPr>
        <w:t>.1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5F5C6723">
      <w:pPr>
        <w:spacing w:line="560" w:lineRule="exact"/>
        <w:ind w:firstLine="602" w:firstLineChars="200"/>
        <w:rPr>
          <w:rFonts w:hint="eastAsia" w:ascii="仿宋" w:hAnsi="仿宋" w:eastAsia="仿宋" w:cs="仿宋"/>
          <w:b/>
          <w:bCs/>
          <w:color w:val="auto"/>
          <w:kern w:val="2"/>
          <w:sz w:val="30"/>
          <w:szCs w:val="30"/>
          <w:lang w:val="en-US" w:eastAsia="zh-CN" w:bidi="ar-SA"/>
        </w:rPr>
      </w:pPr>
      <w:r>
        <w:rPr>
          <w:rFonts w:hint="eastAsia" w:ascii="仿宋" w:hAnsi="仿宋" w:eastAsia="仿宋" w:cs="仿宋"/>
          <w:b/>
          <w:bCs/>
          <w:color w:val="auto"/>
          <w:sz w:val="30"/>
          <w:szCs w:val="30"/>
        </w:rPr>
        <w:t>2</w:t>
      </w:r>
      <w:r>
        <w:rPr>
          <w:rFonts w:hint="eastAsia" w:ascii="仿宋" w:hAnsi="仿宋" w:eastAsia="仿宋" w:cs="仿宋"/>
          <w:b/>
          <w:bCs/>
          <w:color w:val="auto"/>
          <w:sz w:val="30"/>
          <w:szCs w:val="30"/>
          <w:lang w:val="en-US" w:eastAsia="zh-CN"/>
        </w:rPr>
        <w:t>6</w:t>
      </w:r>
      <w:r>
        <w:rPr>
          <w:rFonts w:hint="eastAsia" w:ascii="仿宋" w:hAnsi="仿宋" w:eastAsia="仿宋" w:cs="仿宋"/>
          <w:b/>
          <w:bCs/>
          <w:color w:val="auto"/>
          <w:sz w:val="30"/>
          <w:szCs w:val="30"/>
        </w:rPr>
        <w:t>.2</w:t>
      </w:r>
      <w:r>
        <w:rPr>
          <w:rFonts w:hint="eastAsia" w:ascii="仿宋" w:hAnsi="仿宋" w:eastAsia="仿宋" w:cs="仿宋"/>
          <w:b/>
          <w:bCs/>
          <w:color w:val="auto"/>
          <w:kern w:val="2"/>
          <w:sz w:val="30"/>
          <w:szCs w:val="30"/>
          <w:lang w:val="en-US" w:eastAsia="zh-CN" w:bidi="ar-SA"/>
        </w:rPr>
        <w:t>磋商过程中出现下列情形之一的，磋商小组应当启动异常低价响应审查程序：</w:t>
      </w:r>
    </w:p>
    <w:p w14:paraId="0665C4B5">
      <w:pPr>
        <w:pStyle w:val="212"/>
        <w:ind w:firstLine="0" w:firstLineChars="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①响应报价低于全部通过符合性审查供应商响应报价平均值65%的，即响应报价&lt;全部通过符合性审查供应商响应报价平均值×65%；</w:t>
      </w:r>
    </w:p>
    <w:p w14:paraId="6AECD0CD">
      <w:pPr>
        <w:pStyle w:val="212"/>
        <w:ind w:firstLine="0" w:firstLineChars="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②响应报价低于通过符合性审查的次低报价供应商响应报价65%的，即响应报价&lt;通过符合性审查的次低报价供应商响应报价×65%；</w:t>
      </w:r>
    </w:p>
    <w:p w14:paraId="5F0DEE04">
      <w:pPr>
        <w:pStyle w:val="212"/>
        <w:ind w:firstLine="0" w:firstLineChars="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③响应报价低于采购项目最高限价65%的，即响应报价&lt;采购项目最高限价×65%；</w:t>
      </w:r>
    </w:p>
    <w:p w14:paraId="285893C2">
      <w:pPr>
        <w:pStyle w:val="212"/>
        <w:ind w:firstLine="0" w:firstLineChars="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④磋商小组基于专业判断，认为供应商报价过低，有可能影响产品质量或者不能诚信履约的其他情形。</w:t>
      </w:r>
    </w:p>
    <w:p w14:paraId="057CAC14">
      <w:pPr>
        <w:pStyle w:val="212"/>
        <w:ind w:firstLine="600" w:firstLineChars="20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045F0EF5">
      <w:pPr>
        <w:pStyle w:val="212"/>
        <w:ind w:firstLine="600" w:firstLineChars="20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4A782F28">
      <w:pPr>
        <w:autoSpaceDE w:val="0"/>
        <w:autoSpaceDN w:val="0"/>
        <w:adjustRightInd w:val="0"/>
        <w:spacing w:line="360" w:lineRule="auto"/>
        <w:ind w:firstLine="600" w:firstLineChars="200"/>
        <w:jc w:val="left"/>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（3）异常低价响应审查的启动原因、审查意见和审查结果应当在评审报告中记录，并随供应商提供的相关书面说明及证明材料，以及磋商小组有关互联网浏览、查询历史一并归档。</w:t>
      </w:r>
    </w:p>
    <w:p w14:paraId="28537C3D">
      <w:pPr>
        <w:autoSpaceDE w:val="0"/>
        <w:autoSpaceDN w:val="0"/>
        <w:adjustRightInd w:val="0"/>
        <w:spacing w:line="360" w:lineRule="auto"/>
        <w:ind w:firstLine="560" w:firstLineChars="200"/>
        <w:jc w:val="center"/>
        <w:outlineLvl w:val="0"/>
        <w:rPr>
          <w:rFonts w:hint="eastAsia" w:ascii="方正小标宋_GBK" w:hAnsi="方正小标宋_GBK" w:eastAsia="方正小标宋_GBK" w:cs="方正小标宋_GBK"/>
          <w:color w:val="auto"/>
          <w:sz w:val="36"/>
          <w:szCs w:val="36"/>
          <w:highlight w:val="none"/>
        </w:rPr>
      </w:pPr>
      <w:r>
        <w:rPr>
          <w:rFonts w:hint="eastAsia" w:ascii="宋体" w:hAnsi="宋体" w:cs="宋体"/>
          <w:color w:val="auto"/>
          <w:sz w:val="28"/>
          <w:szCs w:val="28"/>
          <w:highlight w:val="none"/>
        </w:rPr>
        <w:br w:type="page"/>
      </w:r>
      <w:bookmarkStart w:id="44" w:name="_Toc7918"/>
      <w:bookmarkStart w:id="45" w:name="_Toc11584"/>
      <w:r>
        <w:rPr>
          <w:rFonts w:hint="eastAsia" w:ascii="方正小标宋_GBK" w:hAnsi="方正小标宋_GBK" w:eastAsia="方正小标宋_GBK" w:cs="方正小标宋_GBK"/>
          <w:color w:val="auto"/>
          <w:sz w:val="36"/>
          <w:szCs w:val="36"/>
          <w:highlight w:val="none"/>
        </w:rPr>
        <w:t>第三章 成交标准</w:t>
      </w:r>
      <w:bookmarkEnd w:id="44"/>
      <w:bookmarkEnd w:id="45"/>
    </w:p>
    <w:p w14:paraId="75B01D56">
      <w:pPr>
        <w:autoSpaceDE w:val="0"/>
        <w:autoSpaceDN w:val="0"/>
        <w:adjustRightInd w:val="0"/>
        <w:spacing w:line="560" w:lineRule="exact"/>
        <w:ind w:firstLine="600" w:firstLineChars="200"/>
        <w:jc w:val="left"/>
        <w:outlineLvl w:val="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1、成交标准：质量和服务均能满足采购文件实质性要求，且符合采购人要求</w:t>
      </w:r>
      <w:r>
        <w:rPr>
          <w:rFonts w:hint="eastAsia" w:ascii="仿宋" w:hAnsi="仿宋" w:eastAsia="仿宋" w:cs="仿宋"/>
          <w:b/>
          <w:color w:val="auto"/>
          <w:sz w:val="30"/>
          <w:szCs w:val="30"/>
          <w:highlight w:val="none"/>
        </w:rPr>
        <w:t>。</w:t>
      </w:r>
    </w:p>
    <w:p w14:paraId="6EB5AAC5">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采用百分制（满分100分）</w:t>
      </w:r>
      <w:r>
        <w:rPr>
          <w:rFonts w:hint="eastAsia" w:ascii="仿宋" w:hAnsi="仿宋" w:eastAsia="仿宋" w:cs="仿宋"/>
          <w:color w:val="auto"/>
          <w:sz w:val="30"/>
          <w:szCs w:val="30"/>
          <w:highlight w:val="none"/>
          <w:lang w:eastAsia="zh-CN"/>
        </w:rPr>
        <w:t>。</w:t>
      </w:r>
    </w:p>
    <w:tbl>
      <w:tblPr>
        <w:tblStyle w:val="69"/>
        <w:tblpPr w:leftFromText="180" w:rightFromText="180" w:vertAnchor="text" w:horzAnchor="margin" w:tblpXSpec="center" w:tblpY="327"/>
        <w:tblOverlap w:val="never"/>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2"/>
        <w:gridCol w:w="1395"/>
        <w:gridCol w:w="6701"/>
        <w:gridCol w:w="672"/>
      </w:tblGrid>
      <w:tr w14:paraId="283AA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76141D33">
            <w:pPr>
              <w:spacing w:line="240" w:lineRule="auto"/>
              <w:jc w:val="center"/>
              <w:rPr>
                <w:rFonts w:hint="eastAsia" w:ascii="华文仿宋" w:hAnsi="华文仿宋" w:eastAsia="华文仿宋" w:cs="华文仿宋"/>
                <w:b/>
                <w:bCs/>
                <w:color w:val="auto"/>
                <w:sz w:val="28"/>
                <w:szCs w:val="28"/>
                <w:highlight w:val="none"/>
              </w:rPr>
            </w:pPr>
            <w:bookmarkStart w:id="46" w:name="_Toc4559"/>
            <w:r>
              <w:rPr>
                <w:rFonts w:hint="eastAsia" w:ascii="华文仿宋" w:hAnsi="华文仿宋" w:eastAsia="华文仿宋" w:cs="华文仿宋"/>
                <w:b/>
                <w:bCs/>
                <w:color w:val="auto"/>
                <w:sz w:val="28"/>
                <w:szCs w:val="28"/>
                <w:highlight w:val="none"/>
              </w:rPr>
              <w:t>序号</w:t>
            </w:r>
          </w:p>
        </w:tc>
        <w:tc>
          <w:tcPr>
            <w:tcW w:w="1395" w:type="dxa"/>
            <w:tcBorders>
              <w:top w:val="single" w:color="000000" w:sz="4" w:space="0"/>
              <w:left w:val="single" w:color="000000" w:sz="4" w:space="0"/>
              <w:bottom w:val="single" w:color="000000" w:sz="4" w:space="0"/>
              <w:right w:val="single" w:color="000000" w:sz="4" w:space="0"/>
            </w:tcBorders>
            <w:vAlign w:val="center"/>
          </w:tcPr>
          <w:p w14:paraId="1CE20A9D">
            <w:pPr>
              <w:spacing w:line="240" w:lineRule="auto"/>
              <w:jc w:val="center"/>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评审因素</w:t>
            </w:r>
          </w:p>
        </w:tc>
        <w:tc>
          <w:tcPr>
            <w:tcW w:w="6701" w:type="dxa"/>
            <w:tcBorders>
              <w:top w:val="single" w:color="000000" w:sz="4" w:space="0"/>
              <w:left w:val="single" w:color="000000" w:sz="4" w:space="0"/>
              <w:bottom w:val="single" w:color="000000" w:sz="4" w:space="0"/>
              <w:right w:val="single" w:color="000000" w:sz="4" w:space="0"/>
            </w:tcBorders>
            <w:vAlign w:val="top"/>
          </w:tcPr>
          <w:p w14:paraId="27D4C48F">
            <w:pPr>
              <w:spacing w:line="240" w:lineRule="auto"/>
              <w:jc w:val="center"/>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评分细则</w:t>
            </w:r>
          </w:p>
        </w:tc>
        <w:tc>
          <w:tcPr>
            <w:tcW w:w="672" w:type="dxa"/>
            <w:tcBorders>
              <w:top w:val="single" w:color="000000" w:sz="4" w:space="0"/>
              <w:left w:val="single" w:color="000000" w:sz="4" w:space="0"/>
              <w:bottom w:val="single" w:color="000000" w:sz="4" w:space="0"/>
              <w:right w:val="single" w:color="000000" w:sz="4" w:space="0"/>
            </w:tcBorders>
            <w:vAlign w:val="center"/>
          </w:tcPr>
          <w:p w14:paraId="765874F1">
            <w:pPr>
              <w:spacing w:line="240" w:lineRule="auto"/>
              <w:jc w:val="center"/>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分值</w:t>
            </w:r>
          </w:p>
        </w:tc>
      </w:tr>
      <w:tr w14:paraId="2C895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0758DBD2">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w:t>
            </w:r>
          </w:p>
        </w:tc>
        <w:tc>
          <w:tcPr>
            <w:tcW w:w="1395" w:type="dxa"/>
            <w:tcBorders>
              <w:top w:val="single" w:color="000000" w:sz="4" w:space="0"/>
              <w:left w:val="single" w:color="000000" w:sz="4" w:space="0"/>
              <w:bottom w:val="single" w:color="000000" w:sz="4" w:space="0"/>
              <w:right w:val="single" w:color="000000" w:sz="4" w:space="0"/>
            </w:tcBorders>
            <w:vAlign w:val="center"/>
          </w:tcPr>
          <w:p w14:paraId="2690BA36">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价格</w:t>
            </w:r>
          </w:p>
          <w:p w14:paraId="5E76ECC5">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（30分）</w:t>
            </w:r>
          </w:p>
        </w:tc>
        <w:tc>
          <w:tcPr>
            <w:tcW w:w="6701" w:type="dxa"/>
            <w:tcBorders>
              <w:top w:val="single" w:color="000000" w:sz="4" w:space="0"/>
              <w:left w:val="single" w:color="000000" w:sz="4" w:space="0"/>
              <w:bottom w:val="single" w:color="auto" w:sz="4" w:space="0"/>
              <w:right w:val="single" w:color="000000" w:sz="4" w:space="0"/>
            </w:tcBorders>
            <w:vAlign w:val="top"/>
          </w:tcPr>
          <w:p w14:paraId="7097E602">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采用低价优先法计算，即满足磋商文件要求且最终磋商价格最低的报价为基准价，其价格分为满分。</w:t>
            </w:r>
          </w:p>
          <w:p w14:paraId="59857EBD">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其他供应商的价格分统一按照下列公式计算：磋商报价得分=(竞争性磋商基准价/最终磋商报价)×30（小数点保留两位）</w:t>
            </w:r>
          </w:p>
        </w:tc>
        <w:tc>
          <w:tcPr>
            <w:tcW w:w="672" w:type="dxa"/>
            <w:tcBorders>
              <w:top w:val="single" w:color="000000" w:sz="4" w:space="0"/>
              <w:left w:val="single" w:color="000000" w:sz="4" w:space="0"/>
              <w:bottom w:val="single" w:color="auto" w:sz="4" w:space="0"/>
              <w:right w:val="single" w:color="000000" w:sz="4" w:space="0"/>
            </w:tcBorders>
            <w:vAlign w:val="center"/>
          </w:tcPr>
          <w:p w14:paraId="450F2729">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30</w:t>
            </w:r>
          </w:p>
        </w:tc>
      </w:tr>
      <w:tr w14:paraId="480FD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632" w:type="dxa"/>
            <w:tcBorders>
              <w:top w:val="single" w:color="000000" w:sz="4" w:space="0"/>
              <w:left w:val="single" w:color="000000" w:sz="4" w:space="0"/>
              <w:bottom w:val="single" w:color="auto" w:sz="4" w:space="0"/>
              <w:right w:val="single" w:color="000000" w:sz="4" w:space="0"/>
            </w:tcBorders>
            <w:vAlign w:val="center"/>
          </w:tcPr>
          <w:p w14:paraId="44B83601">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2.1</w:t>
            </w:r>
          </w:p>
        </w:tc>
        <w:tc>
          <w:tcPr>
            <w:tcW w:w="1395" w:type="dxa"/>
            <w:vMerge w:val="restart"/>
            <w:tcBorders>
              <w:top w:val="single" w:color="000000" w:sz="4" w:space="0"/>
              <w:left w:val="single" w:color="000000" w:sz="4" w:space="0"/>
              <w:right w:val="single" w:color="000000" w:sz="4" w:space="0"/>
            </w:tcBorders>
            <w:vAlign w:val="center"/>
          </w:tcPr>
          <w:p w14:paraId="526C8663">
            <w:pPr>
              <w:spacing w:line="240" w:lineRule="auto"/>
              <w:jc w:val="center"/>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商务分</w:t>
            </w:r>
          </w:p>
          <w:p w14:paraId="123B5DF5">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w:t>
            </w:r>
            <w:r>
              <w:rPr>
                <w:rFonts w:hint="eastAsia" w:ascii="华文仿宋" w:hAnsi="华文仿宋" w:eastAsia="华文仿宋" w:cs="华文仿宋"/>
                <w:color w:val="auto"/>
                <w:sz w:val="28"/>
                <w:szCs w:val="28"/>
                <w:highlight w:val="none"/>
                <w:lang w:val="en-US" w:eastAsia="zh-CN"/>
              </w:rPr>
              <w:t>30</w:t>
            </w:r>
            <w:r>
              <w:rPr>
                <w:rFonts w:hint="eastAsia" w:ascii="华文仿宋" w:hAnsi="华文仿宋" w:eastAsia="华文仿宋" w:cs="华文仿宋"/>
                <w:color w:val="auto"/>
                <w:sz w:val="28"/>
                <w:szCs w:val="28"/>
                <w:highlight w:val="none"/>
              </w:rPr>
              <w:t>分）</w:t>
            </w:r>
          </w:p>
        </w:tc>
        <w:tc>
          <w:tcPr>
            <w:tcW w:w="6701" w:type="dxa"/>
            <w:tcBorders>
              <w:top w:val="single" w:color="auto" w:sz="4" w:space="0"/>
              <w:left w:val="single" w:color="000000" w:sz="4" w:space="0"/>
              <w:bottom w:val="single" w:color="auto" w:sz="4" w:space="0"/>
              <w:right w:val="single" w:color="000000" w:sz="4" w:space="0"/>
            </w:tcBorders>
            <w:vAlign w:val="center"/>
          </w:tcPr>
          <w:p w14:paraId="7214266B">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供应商</w:t>
            </w:r>
            <w:r>
              <w:rPr>
                <w:rFonts w:hint="eastAsia" w:ascii="华文仿宋" w:hAnsi="华文仿宋" w:eastAsia="华文仿宋" w:cs="华文仿宋"/>
                <w:color w:val="auto"/>
                <w:sz w:val="28"/>
                <w:szCs w:val="28"/>
                <w:highlight w:val="none"/>
                <w:lang w:eastAsia="zh-CN"/>
              </w:rPr>
              <w:t>所</w:t>
            </w:r>
            <w:r>
              <w:rPr>
                <w:rFonts w:hint="eastAsia" w:ascii="华文仿宋" w:hAnsi="华文仿宋" w:eastAsia="华文仿宋" w:cs="华文仿宋"/>
                <w:color w:val="auto"/>
                <w:sz w:val="28"/>
                <w:szCs w:val="28"/>
                <w:highlight w:val="none"/>
                <w:lang w:val="en-US" w:eastAsia="zh-CN"/>
              </w:rPr>
              <w:t>投</w:t>
            </w:r>
            <w:r>
              <w:rPr>
                <w:rFonts w:hint="eastAsia" w:ascii="华文仿宋" w:hAnsi="华文仿宋" w:eastAsia="华文仿宋" w:cs="华文仿宋"/>
                <w:color w:val="auto"/>
                <w:sz w:val="28"/>
                <w:szCs w:val="28"/>
                <w:highlight w:val="none"/>
              </w:rPr>
              <w:t>电梯主要部件均为原品牌(与电梯整机同一品牌),主要部件指:曳引机、门机（门系统）、控制柜、安全钳、限速器、</w:t>
            </w:r>
            <w:r>
              <w:rPr>
                <w:rFonts w:hint="eastAsia" w:ascii="华文仿宋" w:hAnsi="华文仿宋" w:eastAsia="华文仿宋" w:cs="华文仿宋"/>
                <w:color w:val="auto"/>
                <w:sz w:val="28"/>
                <w:szCs w:val="28"/>
                <w:highlight w:val="none"/>
                <w:lang w:val="en"/>
              </w:rPr>
              <w:t>上行超速保护装置</w:t>
            </w:r>
            <w:r>
              <w:rPr>
                <w:rFonts w:hint="eastAsia" w:ascii="华文仿宋" w:hAnsi="华文仿宋" w:eastAsia="华文仿宋" w:cs="华文仿宋"/>
                <w:color w:val="auto"/>
                <w:sz w:val="28"/>
                <w:szCs w:val="28"/>
                <w:highlight w:val="none"/>
              </w:rPr>
              <w:t>，以上部件为</w:t>
            </w:r>
            <w:r>
              <w:rPr>
                <w:rFonts w:hint="eastAsia" w:ascii="华文仿宋" w:hAnsi="华文仿宋" w:eastAsia="华文仿宋" w:cs="华文仿宋"/>
                <w:color w:val="auto"/>
                <w:sz w:val="28"/>
                <w:szCs w:val="28"/>
                <w:highlight w:val="none"/>
                <w:lang w:eastAsia="zh-CN"/>
              </w:rPr>
              <w:t>所投电梯</w:t>
            </w:r>
            <w:r>
              <w:rPr>
                <w:rFonts w:hint="eastAsia" w:ascii="华文仿宋" w:hAnsi="华文仿宋" w:eastAsia="华文仿宋" w:cs="华文仿宋"/>
                <w:color w:val="auto"/>
                <w:sz w:val="28"/>
                <w:szCs w:val="28"/>
                <w:highlight w:val="none"/>
              </w:rPr>
              <w:t>原厂品牌（(提供电梯的《特种设备型式试验报告</w:t>
            </w:r>
            <w:r>
              <w:rPr>
                <w:rFonts w:hint="eastAsia" w:ascii="华文仿宋" w:hAnsi="华文仿宋" w:eastAsia="华文仿宋" w:cs="华文仿宋"/>
                <w:color w:val="auto"/>
                <w:sz w:val="28"/>
                <w:szCs w:val="28"/>
                <w:highlight w:val="none"/>
                <w:lang w:val="en-US" w:eastAsia="zh-CN"/>
              </w:rPr>
              <w:t>原件</w:t>
            </w:r>
            <w:r>
              <w:rPr>
                <w:rFonts w:hint="eastAsia" w:ascii="华文仿宋" w:hAnsi="华文仿宋" w:eastAsia="华文仿宋" w:cs="华文仿宋"/>
                <w:color w:val="auto"/>
                <w:sz w:val="28"/>
                <w:szCs w:val="28"/>
                <w:highlight w:val="none"/>
                <w:lang w:val="en-US" w:eastAsia="zh-CN" w:bidi="ar-SA"/>
              </w:rPr>
              <w:t>扫描件上传</w:t>
            </w:r>
            <w:r>
              <w:rPr>
                <w:rFonts w:hint="eastAsia" w:ascii="华文仿宋" w:hAnsi="华文仿宋" w:eastAsia="华文仿宋" w:cs="华文仿宋"/>
                <w:color w:val="auto"/>
                <w:sz w:val="28"/>
                <w:szCs w:val="28"/>
                <w:highlight w:val="none"/>
              </w:rPr>
              <w:t>)</w:t>
            </w:r>
            <w:r>
              <w:rPr>
                <w:rFonts w:hint="eastAsia" w:ascii="华文仿宋" w:hAnsi="华文仿宋" w:eastAsia="华文仿宋" w:cs="华文仿宋"/>
                <w:color w:val="auto"/>
                <w:sz w:val="28"/>
                <w:szCs w:val="28"/>
                <w:highlight w:val="none"/>
                <w:lang w:val="en" w:eastAsia="zh-CN"/>
              </w:rPr>
              <w:t>）</w:t>
            </w:r>
            <w:r>
              <w:rPr>
                <w:rFonts w:hint="eastAsia" w:ascii="华文仿宋" w:hAnsi="华文仿宋" w:eastAsia="华文仿宋" w:cs="华文仿宋"/>
                <w:color w:val="auto"/>
                <w:sz w:val="28"/>
                <w:szCs w:val="28"/>
                <w:highlight w:val="none"/>
              </w:rPr>
              <w:t>，每一项得</w:t>
            </w: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rPr>
              <w:t>分</w:t>
            </w:r>
            <w:r>
              <w:rPr>
                <w:rFonts w:hint="eastAsia" w:ascii="华文仿宋" w:hAnsi="华文仿宋" w:eastAsia="华文仿宋" w:cs="华文仿宋"/>
                <w:color w:val="auto"/>
                <w:sz w:val="28"/>
                <w:szCs w:val="28"/>
                <w:highlight w:val="none"/>
                <w:lang w:eastAsia="zh-CN"/>
              </w:rPr>
              <w:t>，满分</w:t>
            </w: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rPr>
              <w:t>分</w:t>
            </w:r>
            <w:r>
              <w:rPr>
                <w:rFonts w:hint="eastAsia" w:ascii="华文仿宋" w:hAnsi="华文仿宋" w:eastAsia="华文仿宋" w:cs="华文仿宋"/>
                <w:color w:val="auto"/>
                <w:sz w:val="28"/>
                <w:szCs w:val="28"/>
                <w:highlight w:val="none"/>
                <w:lang w:eastAsia="zh-CN"/>
              </w:rPr>
              <w:t>，否则</w:t>
            </w:r>
            <w:r>
              <w:rPr>
                <w:rFonts w:hint="eastAsia" w:ascii="华文仿宋" w:hAnsi="华文仿宋" w:eastAsia="华文仿宋" w:cs="华文仿宋"/>
                <w:color w:val="auto"/>
                <w:sz w:val="28"/>
                <w:szCs w:val="28"/>
                <w:highlight w:val="none"/>
              </w:rPr>
              <w:t>不得分。</w:t>
            </w:r>
          </w:p>
        </w:tc>
        <w:tc>
          <w:tcPr>
            <w:tcW w:w="672" w:type="dxa"/>
            <w:tcBorders>
              <w:top w:val="single" w:color="auto" w:sz="4" w:space="0"/>
              <w:left w:val="single" w:color="000000" w:sz="4" w:space="0"/>
              <w:bottom w:val="single" w:color="auto" w:sz="4" w:space="0"/>
              <w:right w:val="single" w:color="000000" w:sz="4" w:space="0"/>
            </w:tcBorders>
            <w:vAlign w:val="center"/>
          </w:tcPr>
          <w:p w14:paraId="657A3027">
            <w:pPr>
              <w:spacing w:line="240" w:lineRule="auto"/>
              <w:jc w:val="center"/>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en-US" w:eastAsia="zh-CN"/>
              </w:rPr>
              <w:t>2</w:t>
            </w:r>
          </w:p>
        </w:tc>
      </w:tr>
      <w:tr w14:paraId="4EE3F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jc w:val="center"/>
        </w:trPr>
        <w:tc>
          <w:tcPr>
            <w:tcW w:w="632" w:type="dxa"/>
            <w:tcBorders>
              <w:top w:val="single" w:color="auto" w:sz="4" w:space="0"/>
              <w:left w:val="single" w:color="000000" w:sz="4" w:space="0"/>
              <w:bottom w:val="single" w:color="000000" w:sz="4" w:space="0"/>
              <w:right w:val="single" w:color="000000" w:sz="4" w:space="0"/>
            </w:tcBorders>
            <w:vAlign w:val="center"/>
          </w:tcPr>
          <w:p w14:paraId="173EC944">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2.2</w:t>
            </w:r>
          </w:p>
        </w:tc>
        <w:tc>
          <w:tcPr>
            <w:tcW w:w="1395" w:type="dxa"/>
            <w:vMerge w:val="continue"/>
            <w:tcBorders>
              <w:left w:val="single" w:color="000000" w:sz="4" w:space="0"/>
              <w:right w:val="single" w:color="000000" w:sz="4" w:space="0"/>
            </w:tcBorders>
            <w:vAlign w:val="center"/>
          </w:tcPr>
          <w:p w14:paraId="05837904">
            <w:pPr>
              <w:spacing w:line="240" w:lineRule="auto"/>
              <w:jc w:val="center"/>
              <w:rPr>
                <w:rFonts w:hint="eastAsia" w:ascii="华文仿宋" w:hAnsi="华文仿宋" w:eastAsia="华文仿宋" w:cs="华文仿宋"/>
                <w:color w:val="auto"/>
                <w:sz w:val="28"/>
                <w:szCs w:val="28"/>
                <w:highlight w:val="none"/>
              </w:rPr>
            </w:pPr>
          </w:p>
        </w:tc>
        <w:tc>
          <w:tcPr>
            <w:tcW w:w="6701" w:type="dxa"/>
            <w:tcBorders>
              <w:top w:val="single" w:color="auto" w:sz="4" w:space="0"/>
              <w:left w:val="single" w:color="000000" w:sz="4" w:space="0"/>
              <w:bottom w:val="single" w:color="000000" w:sz="4" w:space="0"/>
              <w:right w:val="single" w:color="000000" w:sz="4" w:space="0"/>
            </w:tcBorders>
            <w:vAlign w:val="center"/>
          </w:tcPr>
          <w:p w14:paraId="671A57C7">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节能环保：</w:t>
            </w:r>
          </w:p>
          <w:p w14:paraId="753FD755">
            <w:pPr>
              <w:spacing w:line="240" w:lineRule="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sz w:val="28"/>
                <w:szCs w:val="28"/>
                <w:highlight w:val="none"/>
                <w:lang w:val="en-US" w:eastAsia="zh-CN"/>
              </w:rPr>
              <w:t>供应商</w:t>
            </w:r>
            <w:r>
              <w:rPr>
                <w:rFonts w:hint="eastAsia" w:ascii="华文仿宋" w:hAnsi="华文仿宋" w:eastAsia="华文仿宋" w:cs="华文仿宋"/>
                <w:color w:val="auto"/>
                <w:sz w:val="28"/>
                <w:szCs w:val="28"/>
                <w:highlight w:val="none"/>
                <w:lang w:eastAsia="zh-CN"/>
              </w:rPr>
              <w:t>所</w:t>
            </w:r>
            <w:r>
              <w:rPr>
                <w:rFonts w:hint="eastAsia" w:ascii="华文仿宋" w:hAnsi="华文仿宋" w:eastAsia="华文仿宋" w:cs="华文仿宋"/>
                <w:color w:val="auto"/>
                <w:sz w:val="28"/>
                <w:szCs w:val="28"/>
                <w:highlight w:val="none"/>
                <w:lang w:val="en-US" w:eastAsia="zh-CN"/>
              </w:rPr>
              <w:t>投</w:t>
            </w:r>
            <w:r>
              <w:rPr>
                <w:rFonts w:hint="eastAsia" w:ascii="华文仿宋" w:hAnsi="华文仿宋" w:eastAsia="华文仿宋" w:cs="华文仿宋"/>
                <w:color w:val="auto"/>
                <w:sz w:val="28"/>
                <w:szCs w:val="28"/>
                <w:highlight w:val="none"/>
              </w:rPr>
              <w:t>垂直</w:t>
            </w:r>
            <w:r>
              <w:rPr>
                <w:rFonts w:hint="eastAsia" w:ascii="华文仿宋" w:hAnsi="华文仿宋" w:eastAsia="华文仿宋" w:cs="华文仿宋"/>
                <w:color w:val="auto"/>
                <w:sz w:val="28"/>
                <w:szCs w:val="28"/>
                <w:highlight w:val="none"/>
                <w:lang w:val="zh-CN"/>
              </w:rPr>
              <w:t>电梯获得VDI4707或</w:t>
            </w:r>
            <w:r>
              <w:rPr>
                <w:rFonts w:hint="eastAsia" w:ascii="华文仿宋" w:hAnsi="华文仿宋" w:eastAsia="华文仿宋" w:cs="华文仿宋"/>
                <w:color w:val="auto"/>
                <w:sz w:val="28"/>
                <w:szCs w:val="28"/>
                <w:highlight w:val="none"/>
              </w:rPr>
              <w:t>ISO25745</w:t>
            </w:r>
            <w:r>
              <w:rPr>
                <w:rFonts w:hint="eastAsia" w:ascii="华文仿宋" w:hAnsi="华文仿宋" w:eastAsia="华文仿宋" w:cs="华文仿宋"/>
                <w:color w:val="auto"/>
                <w:sz w:val="28"/>
                <w:szCs w:val="28"/>
                <w:highlight w:val="none"/>
                <w:lang w:val="zh-CN"/>
              </w:rPr>
              <w:t>国际认证A级能效认证证书的各</w:t>
            </w:r>
            <w:r>
              <w:rPr>
                <w:rFonts w:hint="eastAsia" w:ascii="华文仿宋" w:hAnsi="华文仿宋" w:eastAsia="华文仿宋" w:cs="华文仿宋"/>
                <w:color w:val="auto"/>
                <w:sz w:val="28"/>
                <w:szCs w:val="28"/>
                <w:highlight w:val="none"/>
              </w:rPr>
              <w:t>得</w:t>
            </w: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lang w:val="zh-CN"/>
              </w:rPr>
              <w:t>分；获得B级证书</w:t>
            </w:r>
            <w:r>
              <w:rPr>
                <w:rFonts w:hint="eastAsia" w:ascii="华文仿宋" w:hAnsi="华文仿宋" w:eastAsia="华文仿宋" w:cs="华文仿宋"/>
                <w:color w:val="auto"/>
                <w:sz w:val="28"/>
                <w:szCs w:val="28"/>
                <w:highlight w:val="none"/>
              </w:rPr>
              <w:t>各</w:t>
            </w:r>
            <w:r>
              <w:rPr>
                <w:rFonts w:hint="eastAsia" w:ascii="华文仿宋" w:hAnsi="华文仿宋" w:eastAsia="华文仿宋" w:cs="华文仿宋"/>
                <w:color w:val="auto"/>
                <w:sz w:val="28"/>
                <w:szCs w:val="28"/>
                <w:highlight w:val="none"/>
                <w:lang w:val="zh-CN"/>
              </w:rPr>
              <w:t>得</w:t>
            </w: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zh-CN"/>
              </w:rPr>
              <w:t>分；其他不得分（提供证书</w:t>
            </w:r>
            <w:r>
              <w:rPr>
                <w:rFonts w:hint="eastAsia" w:ascii="华文仿宋" w:hAnsi="华文仿宋" w:eastAsia="华文仿宋" w:cs="华文仿宋"/>
                <w:color w:val="auto"/>
                <w:sz w:val="28"/>
                <w:szCs w:val="28"/>
                <w:highlight w:val="none"/>
                <w:lang w:val="en-US" w:eastAsia="zh-CN"/>
              </w:rPr>
              <w:t>原件扫描件</w:t>
            </w:r>
            <w:r>
              <w:rPr>
                <w:rFonts w:hint="eastAsia" w:ascii="华文仿宋" w:hAnsi="华文仿宋" w:eastAsia="华文仿宋" w:cs="华文仿宋"/>
                <w:color w:val="auto"/>
                <w:sz w:val="28"/>
                <w:szCs w:val="28"/>
                <w:highlight w:val="none"/>
                <w:lang w:val="zh-CN"/>
              </w:rPr>
              <w:t>，</w:t>
            </w:r>
            <w:r>
              <w:rPr>
                <w:rFonts w:hint="eastAsia" w:ascii="华文仿宋" w:hAnsi="华文仿宋" w:eastAsia="华文仿宋" w:cs="华文仿宋"/>
                <w:color w:val="auto"/>
                <w:sz w:val="28"/>
                <w:szCs w:val="28"/>
                <w:highlight w:val="none"/>
              </w:rPr>
              <w:t>证书</w:t>
            </w:r>
            <w:r>
              <w:rPr>
                <w:rFonts w:hint="eastAsia" w:ascii="华文仿宋" w:hAnsi="华文仿宋" w:eastAsia="华文仿宋" w:cs="华文仿宋"/>
                <w:color w:val="auto"/>
                <w:sz w:val="28"/>
                <w:szCs w:val="28"/>
                <w:highlight w:val="none"/>
                <w:lang w:val="zh-CN"/>
              </w:rPr>
              <w:t>没有</w:t>
            </w:r>
            <w:r>
              <w:rPr>
                <w:rFonts w:hint="eastAsia" w:ascii="华文仿宋" w:hAnsi="华文仿宋" w:eastAsia="华文仿宋" w:cs="华文仿宋"/>
                <w:color w:val="auto"/>
                <w:sz w:val="28"/>
                <w:szCs w:val="28"/>
                <w:highlight w:val="none"/>
              </w:rPr>
              <w:t>或不全</w:t>
            </w:r>
            <w:r>
              <w:rPr>
                <w:rFonts w:hint="eastAsia" w:ascii="华文仿宋" w:hAnsi="华文仿宋" w:eastAsia="华文仿宋" w:cs="华文仿宋"/>
                <w:color w:val="auto"/>
                <w:sz w:val="28"/>
                <w:szCs w:val="28"/>
                <w:highlight w:val="none"/>
                <w:lang w:val="zh-CN"/>
              </w:rPr>
              <w:t>不得分）。</w:t>
            </w:r>
          </w:p>
        </w:tc>
        <w:tc>
          <w:tcPr>
            <w:tcW w:w="672" w:type="dxa"/>
            <w:tcBorders>
              <w:top w:val="single" w:color="auto" w:sz="4" w:space="0"/>
              <w:left w:val="single" w:color="000000" w:sz="4" w:space="0"/>
              <w:bottom w:val="single" w:color="000000" w:sz="4" w:space="0"/>
              <w:right w:val="single" w:color="000000" w:sz="4" w:space="0"/>
            </w:tcBorders>
            <w:vAlign w:val="center"/>
          </w:tcPr>
          <w:p w14:paraId="67685726">
            <w:pPr>
              <w:spacing w:line="240" w:lineRule="auto"/>
              <w:jc w:val="center"/>
              <w:rPr>
                <w:rFonts w:hint="eastAsia" w:ascii="华文仿宋" w:hAnsi="华文仿宋" w:eastAsia="华文仿宋" w:cs="华文仿宋"/>
                <w:color w:val="auto"/>
                <w:kern w:val="2"/>
                <w:sz w:val="28"/>
                <w:szCs w:val="28"/>
                <w:highlight w:val="none"/>
                <w:lang w:val="en-US" w:eastAsia="zh-CN" w:bidi="zh-CN"/>
              </w:rPr>
            </w:pPr>
            <w:r>
              <w:rPr>
                <w:rFonts w:hint="eastAsia" w:ascii="华文仿宋" w:hAnsi="华文仿宋" w:eastAsia="华文仿宋" w:cs="华文仿宋"/>
                <w:color w:val="auto"/>
                <w:sz w:val="28"/>
                <w:szCs w:val="28"/>
                <w:highlight w:val="none"/>
                <w:lang w:val="en-US" w:bidi="zh-CN"/>
              </w:rPr>
              <w:t>2</w:t>
            </w:r>
          </w:p>
        </w:tc>
      </w:tr>
      <w:tr w14:paraId="6E0BB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632" w:type="dxa"/>
            <w:tcBorders>
              <w:top w:val="single" w:color="auto" w:sz="4" w:space="0"/>
              <w:left w:val="single" w:color="000000" w:sz="4" w:space="0"/>
              <w:bottom w:val="single" w:color="000000" w:sz="4" w:space="0"/>
              <w:right w:val="single" w:color="000000" w:sz="4" w:space="0"/>
            </w:tcBorders>
            <w:vAlign w:val="center"/>
          </w:tcPr>
          <w:p w14:paraId="42C1D790">
            <w:pPr>
              <w:widowControl/>
              <w:spacing w:line="240" w:lineRule="auto"/>
              <w:jc w:val="center"/>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2.3</w:t>
            </w:r>
          </w:p>
        </w:tc>
        <w:tc>
          <w:tcPr>
            <w:tcW w:w="1395" w:type="dxa"/>
            <w:vMerge w:val="continue"/>
            <w:tcBorders>
              <w:left w:val="single" w:color="000000" w:sz="4" w:space="0"/>
              <w:right w:val="single" w:color="000000" w:sz="4" w:space="0"/>
            </w:tcBorders>
            <w:vAlign w:val="center"/>
          </w:tcPr>
          <w:p w14:paraId="0C31EF11">
            <w:pPr>
              <w:spacing w:line="240" w:lineRule="auto"/>
              <w:jc w:val="center"/>
              <w:rPr>
                <w:rFonts w:hint="eastAsia" w:ascii="华文仿宋" w:hAnsi="华文仿宋" w:eastAsia="华文仿宋" w:cs="华文仿宋"/>
                <w:color w:val="auto"/>
                <w:sz w:val="28"/>
                <w:szCs w:val="28"/>
                <w:highlight w:val="none"/>
              </w:rPr>
            </w:pPr>
          </w:p>
        </w:tc>
        <w:tc>
          <w:tcPr>
            <w:tcW w:w="6701" w:type="dxa"/>
            <w:tcBorders>
              <w:top w:val="single" w:color="auto" w:sz="4" w:space="0"/>
              <w:left w:val="single" w:color="000000" w:sz="4" w:space="0"/>
              <w:bottom w:val="single" w:color="000000" w:sz="4" w:space="0"/>
              <w:right w:val="single" w:color="000000" w:sz="4" w:space="0"/>
            </w:tcBorders>
            <w:vAlign w:val="center"/>
          </w:tcPr>
          <w:p w14:paraId="22445FC2">
            <w:pPr>
              <w:numPr>
                <w:ilvl w:val="0"/>
                <w:numId w:val="0"/>
              </w:numPr>
              <w:spacing w:line="240" w:lineRule="auto"/>
              <w:ind w:leftChars="-6"/>
              <w:jc w:val="left"/>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rPr>
              <w:t>供应商信誉证明</w:t>
            </w:r>
            <w:r>
              <w:rPr>
                <w:rFonts w:hint="eastAsia" w:ascii="华文仿宋" w:hAnsi="华文仿宋" w:eastAsia="华文仿宋" w:cs="华文仿宋"/>
                <w:color w:val="auto"/>
                <w:sz w:val="28"/>
                <w:szCs w:val="28"/>
                <w:highlight w:val="none"/>
                <w:lang w:eastAsia="zh-CN"/>
              </w:rPr>
              <w:t>：</w:t>
            </w:r>
          </w:p>
          <w:p w14:paraId="1E441591">
            <w:pPr>
              <w:numPr>
                <w:ilvl w:val="0"/>
                <w:numId w:val="5"/>
              </w:numPr>
              <w:spacing w:line="240" w:lineRule="auto"/>
              <w:ind w:left="13" w:hanging="16" w:hangingChars="6"/>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供应商获得《ISO9001质量管理体系》认证证书得</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分；</w:t>
            </w:r>
          </w:p>
          <w:p w14:paraId="45FD92E7">
            <w:pPr>
              <w:pStyle w:val="170"/>
              <w:widowControl w:val="0"/>
              <w:numPr>
                <w:ilvl w:val="0"/>
                <w:numId w:val="5"/>
              </w:numPr>
              <w:spacing w:line="240" w:lineRule="auto"/>
              <w:ind w:left="0"/>
              <w:rPr>
                <w:rFonts w:hint="eastAsia" w:ascii="华文仿宋" w:hAnsi="华文仿宋" w:eastAsia="华文仿宋" w:cs="华文仿宋"/>
                <w:color w:val="auto"/>
                <w:kern w:val="2"/>
                <w:sz w:val="28"/>
                <w:szCs w:val="28"/>
                <w:highlight w:val="none"/>
                <w:lang w:val="en-US" w:eastAsia="zh-CN"/>
              </w:rPr>
            </w:pPr>
            <w:r>
              <w:rPr>
                <w:rFonts w:hint="eastAsia" w:ascii="华文仿宋" w:hAnsi="华文仿宋" w:eastAsia="华文仿宋" w:cs="华文仿宋"/>
                <w:color w:val="auto"/>
                <w:kern w:val="2"/>
                <w:sz w:val="28"/>
                <w:szCs w:val="28"/>
                <w:highlight w:val="none"/>
                <w:lang w:val="en-US" w:eastAsia="zh-CN"/>
              </w:rPr>
              <w:t>供应商获得《ISO14001环境管理体系》认证证书得1分；</w:t>
            </w:r>
          </w:p>
          <w:p w14:paraId="399088FF">
            <w:pPr>
              <w:pStyle w:val="170"/>
              <w:widowControl w:val="0"/>
              <w:numPr>
                <w:ilvl w:val="0"/>
                <w:numId w:val="5"/>
              </w:numPr>
              <w:spacing w:line="240" w:lineRule="auto"/>
              <w:ind w:left="0"/>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kern w:val="2"/>
                <w:sz w:val="28"/>
                <w:szCs w:val="28"/>
                <w:highlight w:val="none"/>
                <w:lang w:val="en-US" w:eastAsia="zh-CN"/>
              </w:rPr>
              <w:t>供应商获得《ISO45001职业健康安全管理体系》认证证书得1分。</w:t>
            </w:r>
          </w:p>
          <w:p w14:paraId="0E14D9F4">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kern w:val="2"/>
                <w:sz w:val="28"/>
                <w:szCs w:val="28"/>
                <w:highlight w:val="none"/>
                <w:lang w:val="en-US" w:eastAsia="zh-CN"/>
              </w:rPr>
              <w:t>（提供证书扫描件上传，未提供不得分）</w:t>
            </w:r>
          </w:p>
        </w:tc>
        <w:tc>
          <w:tcPr>
            <w:tcW w:w="672" w:type="dxa"/>
            <w:tcBorders>
              <w:top w:val="single" w:color="auto" w:sz="4" w:space="0"/>
              <w:left w:val="single" w:color="000000" w:sz="4" w:space="0"/>
              <w:bottom w:val="single" w:color="000000" w:sz="4" w:space="0"/>
              <w:right w:val="single" w:color="000000" w:sz="4" w:space="0"/>
            </w:tcBorders>
            <w:vAlign w:val="center"/>
          </w:tcPr>
          <w:p w14:paraId="40AA5C23">
            <w:pPr>
              <w:spacing w:line="240" w:lineRule="auto"/>
              <w:jc w:val="center"/>
              <w:rPr>
                <w:rFonts w:hint="default" w:ascii="华文仿宋" w:hAnsi="华文仿宋" w:eastAsia="华文仿宋" w:cs="华文仿宋"/>
                <w:color w:val="auto"/>
                <w:sz w:val="28"/>
                <w:szCs w:val="28"/>
                <w:highlight w:val="none"/>
                <w:lang w:val="en-US" w:bidi="zh-CN"/>
              </w:rPr>
            </w:pPr>
            <w:r>
              <w:rPr>
                <w:rFonts w:hint="eastAsia" w:ascii="华文仿宋" w:hAnsi="华文仿宋" w:eastAsia="华文仿宋" w:cs="华文仿宋"/>
                <w:color w:val="auto"/>
                <w:sz w:val="28"/>
                <w:szCs w:val="28"/>
                <w:highlight w:val="none"/>
                <w:lang w:val="en-US" w:bidi="zh-CN"/>
              </w:rPr>
              <w:t>3</w:t>
            </w:r>
          </w:p>
        </w:tc>
      </w:tr>
      <w:tr w14:paraId="4D785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jc w:val="center"/>
        </w:trPr>
        <w:tc>
          <w:tcPr>
            <w:tcW w:w="632" w:type="dxa"/>
            <w:tcBorders>
              <w:top w:val="single" w:color="auto" w:sz="4" w:space="0"/>
              <w:left w:val="single" w:color="000000" w:sz="4" w:space="0"/>
              <w:bottom w:val="single" w:color="000000" w:sz="4" w:space="0"/>
              <w:right w:val="single" w:color="000000" w:sz="4" w:space="0"/>
            </w:tcBorders>
            <w:vAlign w:val="center"/>
          </w:tcPr>
          <w:p w14:paraId="45E1CF8C">
            <w:pPr>
              <w:widowControl/>
              <w:spacing w:line="240" w:lineRule="auto"/>
              <w:jc w:val="center"/>
              <w:rPr>
                <w:rFonts w:hint="eastAsia" w:ascii="华文仿宋" w:hAnsi="华文仿宋" w:eastAsia="华文仿宋" w:cs="华文仿宋"/>
                <w:color w:val="auto"/>
                <w:sz w:val="28"/>
                <w:szCs w:val="28"/>
                <w:highlight w:val="none"/>
                <w:lang w:val="en-US" w:eastAsia="zh-CN"/>
              </w:rPr>
            </w:pPr>
          </w:p>
        </w:tc>
        <w:tc>
          <w:tcPr>
            <w:tcW w:w="1395" w:type="dxa"/>
            <w:vMerge w:val="restart"/>
            <w:tcBorders>
              <w:left w:val="single" w:color="000000" w:sz="4" w:space="0"/>
              <w:right w:val="single" w:color="000000" w:sz="4" w:space="0"/>
            </w:tcBorders>
            <w:vAlign w:val="center"/>
          </w:tcPr>
          <w:p w14:paraId="3C9191AB">
            <w:pPr>
              <w:spacing w:line="240" w:lineRule="auto"/>
              <w:jc w:val="center"/>
              <w:rPr>
                <w:rFonts w:hint="eastAsia" w:ascii="华文仿宋" w:hAnsi="华文仿宋" w:eastAsia="华文仿宋" w:cs="华文仿宋"/>
                <w:color w:val="auto"/>
                <w:sz w:val="28"/>
                <w:szCs w:val="28"/>
                <w:highlight w:val="none"/>
              </w:rPr>
            </w:pPr>
          </w:p>
        </w:tc>
        <w:tc>
          <w:tcPr>
            <w:tcW w:w="6701" w:type="dxa"/>
            <w:tcBorders>
              <w:top w:val="single" w:color="auto" w:sz="4" w:space="0"/>
              <w:left w:val="single" w:color="000000" w:sz="4" w:space="0"/>
              <w:bottom w:val="single" w:color="000000" w:sz="4" w:space="0"/>
              <w:right w:val="single" w:color="000000" w:sz="4" w:space="0"/>
            </w:tcBorders>
            <w:vAlign w:val="center"/>
          </w:tcPr>
          <w:p w14:paraId="4D1E3CBE">
            <w:pPr>
              <w:spacing w:line="240" w:lineRule="auto"/>
              <w:rPr>
                <w:rFonts w:hint="default" w:ascii="仿宋" w:hAnsi="仿宋" w:eastAsia="仿宋" w:cs="仿宋"/>
                <w:color w:val="auto"/>
                <w:kern w:val="44"/>
                <w:sz w:val="28"/>
                <w:szCs w:val="28"/>
                <w:highlight w:val="none"/>
                <w:lang w:val="en-US" w:eastAsia="zh-CN"/>
              </w:rPr>
            </w:pPr>
            <w:r>
              <w:rPr>
                <w:rFonts w:hint="eastAsia" w:ascii="仿宋" w:hAnsi="仿宋" w:eastAsia="仿宋" w:cs="仿宋"/>
                <w:color w:val="auto"/>
                <w:kern w:val="44"/>
                <w:sz w:val="28"/>
                <w:szCs w:val="28"/>
                <w:highlight w:val="none"/>
                <w:lang w:val="en-US" w:eastAsia="zh-CN"/>
              </w:rPr>
              <w:t>企业业绩：</w:t>
            </w:r>
          </w:p>
          <w:p w14:paraId="4E282CFB">
            <w:pPr>
              <w:spacing w:line="240" w:lineRule="auto"/>
              <w:rPr>
                <w:rFonts w:hint="eastAsia" w:ascii="华文仿宋" w:hAnsi="华文仿宋" w:eastAsia="华文仿宋" w:cs="华文仿宋"/>
                <w:color w:val="auto"/>
                <w:kern w:val="2"/>
                <w:sz w:val="28"/>
                <w:szCs w:val="28"/>
                <w:highlight w:val="none"/>
                <w:lang w:val="en-US" w:eastAsia="zh-CN"/>
              </w:rPr>
            </w:pPr>
            <w:r>
              <w:rPr>
                <w:rFonts w:hint="eastAsia" w:ascii="仿宋" w:hAnsi="仿宋" w:eastAsia="仿宋" w:cs="仿宋"/>
                <w:color w:val="auto"/>
                <w:kern w:val="44"/>
                <w:sz w:val="28"/>
                <w:szCs w:val="28"/>
                <w:highlight w:val="none"/>
                <w:lang w:val="zh-CN"/>
              </w:rPr>
              <w:t>供应商自2023年1月1日以来具有</w:t>
            </w:r>
            <w:r>
              <w:rPr>
                <w:rFonts w:hint="eastAsia" w:ascii="仿宋" w:hAnsi="仿宋" w:eastAsia="仿宋" w:cs="仿宋"/>
                <w:color w:val="auto"/>
                <w:kern w:val="44"/>
                <w:sz w:val="28"/>
                <w:szCs w:val="28"/>
                <w:highlight w:val="none"/>
                <w:lang w:val="en-US" w:eastAsia="zh-CN"/>
              </w:rPr>
              <w:t>所投电梯</w:t>
            </w:r>
            <w:r>
              <w:rPr>
                <w:rFonts w:hint="eastAsia" w:ascii="仿宋" w:hAnsi="仿宋" w:eastAsia="仿宋" w:cs="仿宋"/>
                <w:color w:val="auto"/>
                <w:kern w:val="44"/>
                <w:sz w:val="28"/>
                <w:szCs w:val="28"/>
                <w:highlight w:val="none"/>
                <w:lang w:val="zh-CN"/>
              </w:rPr>
              <w:t>类似项目业绩的，提供3个及以上得10分，提供2个得6分，提供1个得3分，未提供或不符合要求的不得分。</w:t>
            </w:r>
            <w:r>
              <w:rPr>
                <w:rFonts w:hint="eastAsia" w:ascii="仿宋" w:hAnsi="仿宋" w:eastAsia="仿宋" w:cs="仿宋"/>
                <w:color w:val="auto"/>
                <w:kern w:val="44"/>
                <w:sz w:val="28"/>
                <w:szCs w:val="28"/>
                <w:highlight w:val="none"/>
                <w:lang w:val="zh-CN" w:eastAsia="zh-CN"/>
              </w:rPr>
              <w:t>（提供中标（成交）通知书、合同、验收证明文件</w:t>
            </w:r>
            <w:r>
              <w:rPr>
                <w:rFonts w:hint="eastAsia" w:ascii="仿宋" w:hAnsi="仿宋" w:eastAsia="仿宋" w:cs="仿宋"/>
                <w:color w:val="auto"/>
                <w:kern w:val="44"/>
                <w:sz w:val="28"/>
                <w:szCs w:val="28"/>
                <w:highlight w:val="none"/>
                <w:lang w:val="en-US" w:eastAsia="zh-CN"/>
              </w:rPr>
              <w:t>原件扫描件</w:t>
            </w:r>
            <w:r>
              <w:rPr>
                <w:rFonts w:hint="eastAsia" w:ascii="仿宋" w:hAnsi="仿宋" w:eastAsia="仿宋" w:cs="仿宋"/>
                <w:color w:val="auto"/>
                <w:kern w:val="44"/>
                <w:sz w:val="28"/>
                <w:szCs w:val="28"/>
                <w:highlight w:val="none"/>
                <w:lang w:val="zh-CN" w:eastAsia="zh-CN"/>
              </w:rPr>
              <w:t>，时间以</w:t>
            </w:r>
            <w:r>
              <w:rPr>
                <w:rFonts w:hint="eastAsia" w:ascii="仿宋" w:hAnsi="仿宋" w:eastAsia="仿宋" w:cs="仿宋"/>
                <w:color w:val="auto"/>
                <w:kern w:val="44"/>
                <w:sz w:val="28"/>
                <w:szCs w:val="28"/>
                <w:highlight w:val="none"/>
                <w:lang w:val="en-US" w:eastAsia="zh-CN"/>
              </w:rPr>
              <w:t>中标（成交）通知书</w:t>
            </w:r>
            <w:r>
              <w:rPr>
                <w:rFonts w:hint="eastAsia" w:ascii="仿宋" w:hAnsi="仿宋" w:eastAsia="仿宋" w:cs="仿宋"/>
                <w:color w:val="auto"/>
                <w:kern w:val="44"/>
                <w:sz w:val="28"/>
                <w:szCs w:val="28"/>
                <w:highlight w:val="none"/>
                <w:lang w:val="zh-CN" w:eastAsia="zh-CN"/>
              </w:rPr>
              <w:t>证明文件时间为准，提供的证明材料需能反映上述内容，否则视为未提供。</w:t>
            </w:r>
            <w:r>
              <w:rPr>
                <w:rFonts w:hint="eastAsia" w:ascii="仿宋" w:hAnsi="仿宋" w:eastAsia="仿宋" w:cs="仿宋"/>
                <w:color w:val="auto"/>
                <w:kern w:val="44"/>
                <w:sz w:val="28"/>
                <w:szCs w:val="28"/>
                <w:highlight w:val="none"/>
                <w:lang w:val="zh-CN"/>
              </w:rPr>
              <w:t>）</w:t>
            </w:r>
          </w:p>
        </w:tc>
        <w:tc>
          <w:tcPr>
            <w:tcW w:w="672" w:type="dxa"/>
            <w:tcBorders>
              <w:top w:val="single" w:color="auto" w:sz="4" w:space="0"/>
              <w:left w:val="single" w:color="000000" w:sz="4" w:space="0"/>
              <w:bottom w:val="single" w:color="000000" w:sz="4" w:space="0"/>
              <w:right w:val="single" w:color="000000" w:sz="4" w:space="0"/>
            </w:tcBorders>
            <w:vAlign w:val="center"/>
          </w:tcPr>
          <w:p w14:paraId="26BA91FC">
            <w:pPr>
              <w:spacing w:line="240" w:lineRule="auto"/>
              <w:jc w:val="center"/>
              <w:rPr>
                <w:rFonts w:hint="default" w:ascii="华文仿宋" w:hAnsi="华文仿宋" w:eastAsia="华文仿宋" w:cs="华文仿宋"/>
                <w:color w:val="auto"/>
                <w:sz w:val="28"/>
                <w:szCs w:val="28"/>
                <w:highlight w:val="none"/>
                <w:lang w:val="en-US" w:bidi="zh-CN"/>
              </w:rPr>
            </w:pPr>
            <w:r>
              <w:rPr>
                <w:rFonts w:hint="eastAsia" w:ascii="华文仿宋" w:hAnsi="华文仿宋" w:eastAsia="华文仿宋" w:cs="华文仿宋"/>
                <w:color w:val="auto"/>
                <w:sz w:val="28"/>
                <w:szCs w:val="28"/>
                <w:highlight w:val="none"/>
                <w:lang w:val="en-US" w:bidi="zh-CN"/>
              </w:rPr>
              <w:t>10</w:t>
            </w:r>
          </w:p>
        </w:tc>
      </w:tr>
      <w:tr w14:paraId="77F27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1" w:hRule="atLeast"/>
          <w:jc w:val="center"/>
        </w:trPr>
        <w:tc>
          <w:tcPr>
            <w:tcW w:w="632" w:type="dxa"/>
            <w:tcBorders>
              <w:top w:val="single" w:color="auto" w:sz="4" w:space="0"/>
              <w:left w:val="single" w:color="000000" w:sz="4" w:space="0"/>
              <w:bottom w:val="single" w:color="000000" w:sz="4" w:space="0"/>
              <w:right w:val="single" w:color="000000" w:sz="4" w:space="0"/>
            </w:tcBorders>
            <w:vAlign w:val="center"/>
          </w:tcPr>
          <w:p w14:paraId="358B914E">
            <w:pPr>
              <w:widowControl/>
              <w:spacing w:line="240" w:lineRule="auto"/>
              <w:jc w:val="center"/>
              <w:rPr>
                <w:rFonts w:hint="eastAsia" w:ascii="华文仿宋" w:hAnsi="华文仿宋" w:eastAsia="华文仿宋" w:cs="华文仿宋"/>
                <w:color w:val="auto"/>
                <w:sz w:val="28"/>
                <w:szCs w:val="28"/>
                <w:highlight w:val="none"/>
                <w:lang w:val="en-US" w:eastAsia="zh-CN"/>
              </w:rPr>
            </w:pPr>
          </w:p>
        </w:tc>
        <w:tc>
          <w:tcPr>
            <w:tcW w:w="1395" w:type="dxa"/>
            <w:vMerge w:val="continue"/>
            <w:tcBorders>
              <w:left w:val="single" w:color="000000" w:sz="4" w:space="0"/>
              <w:right w:val="single" w:color="000000" w:sz="4" w:space="0"/>
            </w:tcBorders>
            <w:vAlign w:val="center"/>
          </w:tcPr>
          <w:p w14:paraId="67C47496">
            <w:pPr>
              <w:spacing w:line="240" w:lineRule="auto"/>
              <w:jc w:val="center"/>
              <w:rPr>
                <w:rFonts w:hint="eastAsia" w:ascii="华文仿宋" w:hAnsi="华文仿宋" w:eastAsia="华文仿宋" w:cs="华文仿宋"/>
                <w:color w:val="auto"/>
                <w:sz w:val="28"/>
                <w:szCs w:val="28"/>
                <w:highlight w:val="none"/>
              </w:rPr>
            </w:pPr>
          </w:p>
        </w:tc>
        <w:tc>
          <w:tcPr>
            <w:tcW w:w="6701" w:type="dxa"/>
            <w:tcBorders>
              <w:top w:val="single" w:color="auto" w:sz="4" w:space="0"/>
              <w:left w:val="single" w:color="000000" w:sz="4" w:space="0"/>
              <w:bottom w:val="single" w:color="000000" w:sz="4" w:space="0"/>
              <w:right w:val="single" w:color="000000" w:sz="4" w:space="0"/>
            </w:tcBorders>
            <w:vAlign w:val="center"/>
          </w:tcPr>
          <w:p w14:paraId="4D748FB2">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质保期：</w:t>
            </w:r>
          </w:p>
          <w:p w14:paraId="03EAA8F8">
            <w:pPr>
              <w:spacing w:line="240" w:lineRule="auto"/>
              <w:rPr>
                <w:rFonts w:hint="eastAsia" w:ascii="仿宋" w:hAnsi="仿宋" w:eastAsia="仿宋" w:cs="仿宋"/>
                <w:color w:val="auto"/>
                <w:kern w:val="44"/>
                <w:sz w:val="28"/>
                <w:szCs w:val="28"/>
                <w:highlight w:val="none"/>
                <w:lang w:val="zh-CN"/>
              </w:rPr>
            </w:pPr>
            <w:r>
              <w:rPr>
                <w:rFonts w:hint="eastAsia" w:ascii="华文仿宋" w:hAnsi="华文仿宋" w:eastAsia="华文仿宋" w:cs="华文仿宋"/>
                <w:color w:val="auto"/>
                <w:sz w:val="28"/>
                <w:szCs w:val="28"/>
                <w:highlight w:val="none"/>
              </w:rPr>
              <w:t>在5年质保期的基础上，每</w:t>
            </w:r>
            <w:r>
              <w:rPr>
                <w:rFonts w:hint="eastAsia" w:ascii="华文仿宋" w:hAnsi="华文仿宋" w:eastAsia="华文仿宋" w:cs="华文仿宋"/>
                <w:color w:val="auto"/>
                <w:sz w:val="28"/>
                <w:szCs w:val="28"/>
                <w:highlight w:val="none"/>
                <w:lang w:val="en-US" w:eastAsia="zh-CN"/>
              </w:rPr>
              <w:t>延长</w:t>
            </w:r>
            <w:r>
              <w:rPr>
                <w:rFonts w:hint="eastAsia" w:ascii="华文仿宋" w:hAnsi="华文仿宋" w:eastAsia="华文仿宋" w:cs="华文仿宋"/>
                <w:color w:val="auto"/>
                <w:sz w:val="28"/>
                <w:szCs w:val="28"/>
                <w:highlight w:val="none"/>
              </w:rPr>
              <w:t>一年得1分，满分得3分。（提供承诺书原件扫描件上传）</w:t>
            </w:r>
          </w:p>
        </w:tc>
        <w:tc>
          <w:tcPr>
            <w:tcW w:w="672" w:type="dxa"/>
            <w:tcBorders>
              <w:top w:val="single" w:color="auto" w:sz="4" w:space="0"/>
              <w:left w:val="single" w:color="000000" w:sz="4" w:space="0"/>
              <w:bottom w:val="single" w:color="000000" w:sz="4" w:space="0"/>
              <w:right w:val="single" w:color="000000" w:sz="4" w:space="0"/>
            </w:tcBorders>
            <w:vAlign w:val="center"/>
          </w:tcPr>
          <w:p w14:paraId="6B125F0C">
            <w:pPr>
              <w:spacing w:line="240" w:lineRule="auto"/>
              <w:jc w:val="center"/>
              <w:rPr>
                <w:rFonts w:hint="default" w:ascii="华文仿宋" w:hAnsi="华文仿宋" w:eastAsia="华文仿宋" w:cs="华文仿宋"/>
                <w:color w:val="auto"/>
                <w:sz w:val="28"/>
                <w:szCs w:val="28"/>
                <w:highlight w:val="none"/>
                <w:lang w:val="en-US" w:bidi="zh-CN"/>
              </w:rPr>
            </w:pPr>
            <w:r>
              <w:rPr>
                <w:rFonts w:hint="eastAsia" w:ascii="华文仿宋" w:hAnsi="华文仿宋" w:eastAsia="华文仿宋" w:cs="华文仿宋"/>
                <w:color w:val="auto"/>
                <w:sz w:val="28"/>
                <w:szCs w:val="28"/>
                <w:highlight w:val="none"/>
                <w:lang w:val="en-US" w:bidi="zh-CN"/>
              </w:rPr>
              <w:t>3</w:t>
            </w:r>
          </w:p>
        </w:tc>
      </w:tr>
      <w:tr w14:paraId="3448E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1962B7BA">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3.1</w:t>
            </w:r>
          </w:p>
        </w:tc>
        <w:tc>
          <w:tcPr>
            <w:tcW w:w="1395" w:type="dxa"/>
            <w:vMerge w:val="restart"/>
            <w:tcBorders>
              <w:left w:val="single" w:color="000000" w:sz="4" w:space="0"/>
              <w:right w:val="single" w:color="000000" w:sz="4" w:space="0"/>
            </w:tcBorders>
            <w:vAlign w:val="center"/>
          </w:tcPr>
          <w:p w14:paraId="16579888">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技术分</w:t>
            </w:r>
            <w:r>
              <w:rPr>
                <w:rFonts w:hint="eastAsia" w:ascii="华文仿宋" w:hAnsi="华文仿宋" w:eastAsia="华文仿宋" w:cs="华文仿宋"/>
                <w:color w:val="auto"/>
                <w:sz w:val="28"/>
                <w:szCs w:val="28"/>
                <w:highlight w:val="none"/>
              </w:rPr>
              <w:t>（</w:t>
            </w:r>
            <w:r>
              <w:rPr>
                <w:rFonts w:hint="eastAsia" w:ascii="华文仿宋" w:hAnsi="华文仿宋" w:eastAsia="华文仿宋" w:cs="华文仿宋"/>
                <w:color w:val="auto"/>
                <w:sz w:val="28"/>
                <w:szCs w:val="28"/>
                <w:highlight w:val="none"/>
                <w:lang w:val="en-US" w:eastAsia="zh-CN"/>
              </w:rPr>
              <w:t>40</w:t>
            </w:r>
            <w:r>
              <w:rPr>
                <w:rFonts w:hint="eastAsia" w:ascii="华文仿宋" w:hAnsi="华文仿宋" w:eastAsia="华文仿宋" w:cs="华文仿宋"/>
                <w:color w:val="auto"/>
                <w:sz w:val="28"/>
                <w:szCs w:val="28"/>
                <w:highlight w:val="none"/>
              </w:rPr>
              <w:t>分）</w:t>
            </w:r>
          </w:p>
        </w:tc>
        <w:tc>
          <w:tcPr>
            <w:tcW w:w="6701" w:type="dxa"/>
            <w:tcBorders>
              <w:top w:val="single" w:color="000000" w:sz="4" w:space="0"/>
              <w:left w:val="single" w:color="000000" w:sz="4" w:space="0"/>
              <w:bottom w:val="single" w:color="000000" w:sz="4" w:space="0"/>
              <w:right w:val="single" w:color="000000" w:sz="4" w:space="0"/>
            </w:tcBorders>
            <w:vAlign w:val="center"/>
          </w:tcPr>
          <w:p w14:paraId="62E62831">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根据各供应商针对本项目的旧梯拆除、安装调试方案、验收标准及计划的合理性、完整性，质量保证措施等内容进行综合评审。</w:t>
            </w:r>
          </w:p>
          <w:p w14:paraId="03C93179">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方案完整、具体、针对性强、可操作性强的得</w:t>
            </w: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 xml:space="preserve">分；得 </w:t>
            </w: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分；</w:t>
            </w:r>
          </w:p>
          <w:p w14:paraId="6BCD13FF">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rPr>
              <w:t>方案完整、表述清晰但不够严谨、合理，具有针对性和可操作性的得</w:t>
            </w:r>
            <w:r>
              <w:rPr>
                <w:rFonts w:hint="eastAsia" w:ascii="华文仿宋" w:hAnsi="华文仿宋" w:eastAsia="华文仿宋" w:cs="华文仿宋"/>
                <w:color w:val="auto"/>
                <w:sz w:val="28"/>
                <w:szCs w:val="28"/>
                <w:highlight w:val="none"/>
                <w:lang w:val="en-US" w:eastAsia="zh-CN"/>
              </w:rPr>
              <w:t>8</w:t>
            </w:r>
            <w:r>
              <w:rPr>
                <w:rFonts w:hint="eastAsia" w:ascii="华文仿宋" w:hAnsi="华文仿宋" w:eastAsia="华文仿宋" w:cs="华文仿宋"/>
                <w:color w:val="auto"/>
                <w:sz w:val="28"/>
                <w:szCs w:val="28"/>
                <w:highlight w:val="none"/>
              </w:rPr>
              <w:t>分；</w:t>
            </w:r>
          </w:p>
          <w:p w14:paraId="2B78FD55">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3</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方案表述清晰但不够完整、无针对性，可操作性一般的得</w:t>
            </w:r>
            <w:r>
              <w:rPr>
                <w:rFonts w:hint="eastAsia" w:ascii="华文仿宋" w:hAnsi="华文仿宋" w:eastAsia="华文仿宋" w:cs="华文仿宋"/>
                <w:color w:val="auto"/>
                <w:sz w:val="28"/>
                <w:szCs w:val="28"/>
                <w:highlight w:val="none"/>
                <w:lang w:val="en-US" w:eastAsia="zh-CN"/>
              </w:rPr>
              <w:t>6</w:t>
            </w:r>
            <w:r>
              <w:rPr>
                <w:rFonts w:hint="eastAsia" w:ascii="华文仿宋" w:hAnsi="华文仿宋" w:eastAsia="华文仿宋" w:cs="华文仿宋"/>
                <w:color w:val="auto"/>
                <w:sz w:val="28"/>
                <w:szCs w:val="28"/>
                <w:highlight w:val="none"/>
              </w:rPr>
              <w:t>分；</w:t>
            </w:r>
          </w:p>
          <w:p w14:paraId="0358FF82">
            <w:pPr>
              <w:spacing w:line="240" w:lineRule="auto"/>
              <w:jc w:val="left"/>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方案</w:t>
            </w:r>
            <w:r>
              <w:rPr>
                <w:rFonts w:hint="eastAsia" w:ascii="华文仿宋" w:hAnsi="华文仿宋" w:eastAsia="华文仿宋" w:cs="华文仿宋"/>
                <w:color w:val="auto"/>
                <w:sz w:val="28"/>
                <w:szCs w:val="28"/>
                <w:highlight w:val="none"/>
                <w:lang w:eastAsia="zh-CN"/>
              </w:rPr>
              <w:t>表述不完整可操作性较差的得</w:t>
            </w: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lang w:eastAsia="zh-CN"/>
              </w:rPr>
              <w:t>分；</w:t>
            </w:r>
          </w:p>
          <w:p w14:paraId="0334BFF6">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5）</w:t>
            </w:r>
            <w:r>
              <w:rPr>
                <w:rFonts w:hint="eastAsia" w:ascii="华文仿宋" w:hAnsi="华文仿宋" w:eastAsia="华文仿宋" w:cs="华文仿宋"/>
                <w:color w:val="auto"/>
                <w:sz w:val="28"/>
                <w:szCs w:val="28"/>
                <w:highlight w:val="none"/>
              </w:rPr>
              <w:t>未提供拆梯方案的不得分。</w:t>
            </w:r>
          </w:p>
        </w:tc>
        <w:tc>
          <w:tcPr>
            <w:tcW w:w="672" w:type="dxa"/>
            <w:tcBorders>
              <w:top w:val="single" w:color="000000" w:sz="4" w:space="0"/>
              <w:left w:val="single" w:color="000000" w:sz="4" w:space="0"/>
              <w:bottom w:val="single" w:color="000000" w:sz="4" w:space="0"/>
              <w:right w:val="single" w:color="000000" w:sz="4" w:space="0"/>
            </w:tcBorders>
            <w:vAlign w:val="center"/>
          </w:tcPr>
          <w:p w14:paraId="42C464BA">
            <w:pPr>
              <w:spacing w:line="240" w:lineRule="auto"/>
              <w:jc w:val="center"/>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10</w:t>
            </w:r>
          </w:p>
        </w:tc>
      </w:tr>
      <w:tr w14:paraId="29430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9"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00CBEDE9">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3.2</w:t>
            </w:r>
          </w:p>
        </w:tc>
        <w:tc>
          <w:tcPr>
            <w:tcW w:w="1395" w:type="dxa"/>
            <w:vMerge w:val="continue"/>
            <w:tcBorders>
              <w:left w:val="single" w:color="000000" w:sz="4" w:space="0"/>
              <w:right w:val="single" w:color="000000" w:sz="4" w:space="0"/>
            </w:tcBorders>
            <w:vAlign w:val="center"/>
          </w:tcPr>
          <w:p w14:paraId="2E03DEC9">
            <w:pPr>
              <w:spacing w:line="240" w:lineRule="auto"/>
              <w:jc w:val="center"/>
              <w:rPr>
                <w:rFonts w:hint="eastAsia" w:ascii="华文仿宋" w:hAnsi="华文仿宋" w:eastAsia="华文仿宋" w:cs="华文仿宋"/>
                <w:color w:val="auto"/>
                <w:sz w:val="28"/>
                <w:szCs w:val="28"/>
                <w:highlight w:val="none"/>
              </w:rPr>
            </w:pPr>
          </w:p>
        </w:tc>
        <w:tc>
          <w:tcPr>
            <w:tcW w:w="6701" w:type="dxa"/>
            <w:tcBorders>
              <w:top w:val="single" w:color="000000" w:sz="4" w:space="0"/>
              <w:left w:val="single" w:color="000000" w:sz="4" w:space="0"/>
              <w:bottom w:val="single" w:color="000000" w:sz="4" w:space="0"/>
              <w:right w:val="single" w:color="000000" w:sz="4" w:space="0"/>
            </w:tcBorders>
            <w:vAlign w:val="center"/>
          </w:tcPr>
          <w:p w14:paraId="33F8D027">
            <w:pPr>
              <w:spacing w:line="240" w:lineRule="auto"/>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val="en-US" w:eastAsia="zh-CN"/>
              </w:rPr>
              <w:t>根据各供应商安装</w:t>
            </w:r>
            <w:r>
              <w:rPr>
                <w:rFonts w:hint="eastAsia" w:ascii="华文仿宋" w:hAnsi="华文仿宋" w:eastAsia="华文仿宋" w:cs="华文仿宋"/>
                <w:color w:val="auto"/>
                <w:sz w:val="28"/>
                <w:szCs w:val="28"/>
                <w:highlight w:val="none"/>
              </w:rPr>
              <w:t>人员配置及培训计划</w:t>
            </w:r>
            <w:r>
              <w:rPr>
                <w:rFonts w:hint="eastAsia" w:ascii="华文仿宋" w:hAnsi="华文仿宋" w:eastAsia="华文仿宋" w:cs="华文仿宋"/>
                <w:color w:val="auto"/>
                <w:sz w:val="28"/>
                <w:szCs w:val="28"/>
                <w:highlight w:val="none"/>
                <w:lang w:val="en-US" w:eastAsia="zh-CN"/>
              </w:rPr>
              <w:t>，</w:t>
            </w:r>
            <w:r>
              <w:rPr>
                <w:rFonts w:hint="eastAsia" w:ascii="华文仿宋" w:hAnsi="华文仿宋" w:eastAsia="华文仿宋" w:cs="华文仿宋"/>
                <w:color w:val="auto"/>
                <w:sz w:val="28"/>
                <w:szCs w:val="28"/>
                <w:highlight w:val="none"/>
              </w:rPr>
              <w:t>针对人员配置及员工的培训（技能、服务等）、现场管理人员的培训（管理、领导力等）</w:t>
            </w:r>
            <w:r>
              <w:rPr>
                <w:rFonts w:hint="eastAsia" w:ascii="华文仿宋" w:hAnsi="华文仿宋" w:eastAsia="华文仿宋" w:cs="华文仿宋"/>
                <w:color w:val="auto"/>
                <w:sz w:val="28"/>
                <w:szCs w:val="28"/>
                <w:highlight w:val="none"/>
                <w:lang w:eastAsia="zh-CN"/>
              </w:rPr>
              <w:t>：</w:t>
            </w:r>
          </w:p>
          <w:p w14:paraId="5D2D3C03">
            <w:pPr>
              <w:numPr>
                <w:ilvl w:val="0"/>
                <w:numId w:val="6"/>
              </w:numPr>
              <w:spacing w:line="240" w:lineRule="auto"/>
              <w:rPr>
                <w:rFonts w:hint="eastAsia" w:ascii="仿宋" w:hAnsi="仿宋" w:eastAsia="仿宋" w:cs="仿宋"/>
                <w:color w:val="auto"/>
                <w:sz w:val="28"/>
                <w:szCs w:val="28"/>
                <w:highlight w:val="none"/>
                <w:u w:val="none" w:color="000000"/>
                <w:lang w:val="zh-TW" w:eastAsia="zh-TW"/>
              </w:rPr>
            </w:pPr>
            <w:r>
              <w:rPr>
                <w:rFonts w:hint="eastAsia" w:ascii="华文仿宋" w:hAnsi="华文仿宋" w:eastAsia="华文仿宋" w:cs="华文仿宋"/>
                <w:color w:val="auto"/>
                <w:sz w:val="28"/>
                <w:szCs w:val="28"/>
                <w:highlight w:val="none"/>
              </w:rPr>
              <w:t>有完整的培训计划和实施举措的</w:t>
            </w:r>
            <w:r>
              <w:rPr>
                <w:rFonts w:hint="eastAsia" w:ascii="仿宋" w:hAnsi="仿宋" w:eastAsia="仿宋" w:cs="仿宋"/>
                <w:color w:val="auto"/>
                <w:sz w:val="28"/>
                <w:szCs w:val="28"/>
                <w:highlight w:val="none"/>
                <w:u w:val="none" w:color="000000"/>
                <w:lang w:val="zh-TW" w:eastAsia="zh-TW"/>
              </w:rPr>
              <w:t>针对性强、可操作性强的得</w:t>
            </w:r>
            <w:r>
              <w:rPr>
                <w:rFonts w:hint="eastAsia" w:ascii="仿宋" w:hAnsi="仿宋" w:eastAsia="仿宋" w:cs="仿宋"/>
                <w:color w:val="auto"/>
                <w:sz w:val="28"/>
                <w:szCs w:val="28"/>
                <w:highlight w:val="none"/>
                <w:u w:val="none" w:color="000000"/>
                <w:lang w:val="en-US" w:eastAsia="zh-CN"/>
              </w:rPr>
              <w:t>10</w:t>
            </w:r>
            <w:r>
              <w:rPr>
                <w:rFonts w:hint="eastAsia" w:ascii="仿宋" w:hAnsi="仿宋" w:eastAsia="仿宋" w:cs="仿宋"/>
                <w:color w:val="auto"/>
                <w:sz w:val="28"/>
                <w:szCs w:val="28"/>
                <w:highlight w:val="none"/>
                <w:u w:val="none" w:color="000000"/>
                <w:lang w:val="zh-TW" w:eastAsia="zh-TW"/>
              </w:rPr>
              <w:t>分；</w:t>
            </w:r>
          </w:p>
          <w:p w14:paraId="49CB4DC7">
            <w:pPr>
              <w:numPr>
                <w:ilvl w:val="0"/>
                <w:numId w:val="6"/>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培训计划和实施举措的人员配置</w:t>
            </w:r>
            <w:r>
              <w:rPr>
                <w:rFonts w:hint="eastAsia" w:ascii="华文仿宋" w:hAnsi="华文仿宋" w:eastAsia="华文仿宋" w:cs="华文仿宋"/>
                <w:color w:val="auto"/>
                <w:sz w:val="28"/>
                <w:szCs w:val="28"/>
                <w:highlight w:val="none"/>
                <w:lang w:eastAsia="zh-CN"/>
              </w:rPr>
              <w:t>，</w:t>
            </w:r>
            <w:r>
              <w:rPr>
                <w:rFonts w:hint="eastAsia" w:ascii="仿宋" w:hAnsi="仿宋" w:eastAsia="仿宋" w:cs="仿宋"/>
                <w:color w:val="auto"/>
                <w:sz w:val="28"/>
                <w:szCs w:val="28"/>
                <w:highlight w:val="none"/>
                <w:u w:val="none" w:color="000000"/>
                <w:lang w:val="zh-TW" w:eastAsia="zh-TW"/>
              </w:rPr>
              <w:t>不够严谨、合理，具有针对性和可操作性</w:t>
            </w:r>
            <w:r>
              <w:rPr>
                <w:rFonts w:hint="eastAsia" w:ascii="仿宋" w:hAnsi="仿宋" w:eastAsia="仿宋" w:cs="仿宋"/>
                <w:color w:val="auto"/>
                <w:sz w:val="28"/>
                <w:szCs w:val="28"/>
                <w:highlight w:val="none"/>
                <w:u w:val="none" w:color="000000"/>
                <w:lang w:val="zh-TW" w:eastAsia="zh-CN"/>
              </w:rPr>
              <w:t>，</w:t>
            </w:r>
            <w:r>
              <w:rPr>
                <w:rFonts w:hint="eastAsia" w:ascii="仿宋" w:hAnsi="仿宋" w:eastAsia="仿宋" w:cs="仿宋"/>
                <w:color w:val="auto"/>
                <w:sz w:val="28"/>
                <w:szCs w:val="28"/>
                <w:highlight w:val="none"/>
                <w:u w:val="none" w:color="000000"/>
                <w:lang w:val="en-US" w:eastAsia="zh-CN"/>
              </w:rPr>
              <w:t>得8分；</w:t>
            </w:r>
          </w:p>
          <w:p w14:paraId="09092039">
            <w:pPr>
              <w:numPr>
                <w:ilvl w:val="0"/>
                <w:numId w:val="6"/>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培训计划和实施举措方案有漏项，或留用人员安置一般的不够完整、无针对性，可操作性一般的得</w:t>
            </w:r>
            <w:r>
              <w:rPr>
                <w:rFonts w:hint="eastAsia" w:ascii="华文仿宋" w:hAnsi="华文仿宋" w:eastAsia="华文仿宋" w:cs="华文仿宋"/>
                <w:color w:val="auto"/>
                <w:sz w:val="28"/>
                <w:szCs w:val="28"/>
                <w:highlight w:val="none"/>
                <w:lang w:val="en-US" w:eastAsia="zh-CN"/>
              </w:rPr>
              <w:t>6</w:t>
            </w:r>
            <w:r>
              <w:rPr>
                <w:rFonts w:hint="eastAsia" w:ascii="华文仿宋" w:hAnsi="华文仿宋" w:eastAsia="华文仿宋" w:cs="华文仿宋"/>
                <w:color w:val="auto"/>
                <w:sz w:val="28"/>
                <w:szCs w:val="28"/>
                <w:highlight w:val="none"/>
              </w:rPr>
              <w:t>分，</w:t>
            </w:r>
          </w:p>
          <w:p w14:paraId="6DA3488D">
            <w:pPr>
              <w:numPr>
                <w:ilvl w:val="0"/>
                <w:numId w:val="6"/>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培训计划和实施举措方案表述不完整可操作性较差的得</w:t>
            </w: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rPr>
              <w:t>分，</w:t>
            </w:r>
          </w:p>
          <w:p w14:paraId="0907B13F">
            <w:pPr>
              <w:numPr>
                <w:ilvl w:val="0"/>
                <w:numId w:val="6"/>
              </w:numPr>
              <w:spacing w:line="240" w:lineRule="auto"/>
              <w:rPr>
                <w:rFonts w:hint="eastAsia" w:ascii="华文仿宋" w:hAnsi="华文仿宋" w:eastAsia="华文仿宋" w:cs="华文仿宋"/>
                <w:color w:val="auto"/>
                <w:sz w:val="28"/>
                <w:szCs w:val="28"/>
                <w:highlight w:val="none"/>
              </w:rPr>
            </w:pPr>
            <w:r>
              <w:rPr>
                <w:rFonts w:hint="eastAsia" w:ascii="仿宋" w:hAnsi="仿宋" w:eastAsia="仿宋" w:cs="仿宋"/>
                <w:color w:val="auto"/>
                <w:sz w:val="28"/>
                <w:szCs w:val="28"/>
                <w:highlight w:val="none"/>
                <w:u w:val="none" w:color="000000"/>
                <w:lang w:val="zh-TW" w:eastAsia="zh-TW"/>
              </w:rPr>
              <w:t>未提供不得分。</w:t>
            </w:r>
          </w:p>
        </w:tc>
        <w:tc>
          <w:tcPr>
            <w:tcW w:w="672" w:type="dxa"/>
            <w:tcBorders>
              <w:top w:val="single" w:color="000000" w:sz="4" w:space="0"/>
              <w:left w:val="single" w:color="000000" w:sz="4" w:space="0"/>
              <w:bottom w:val="single" w:color="000000" w:sz="4" w:space="0"/>
              <w:right w:val="single" w:color="000000" w:sz="4" w:space="0"/>
            </w:tcBorders>
            <w:vAlign w:val="center"/>
          </w:tcPr>
          <w:p w14:paraId="02957A9A">
            <w:pPr>
              <w:spacing w:line="240" w:lineRule="auto"/>
              <w:jc w:val="center"/>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10</w:t>
            </w:r>
          </w:p>
        </w:tc>
      </w:tr>
      <w:tr w14:paraId="1D43E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3"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695DE917">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3.3</w:t>
            </w:r>
          </w:p>
        </w:tc>
        <w:tc>
          <w:tcPr>
            <w:tcW w:w="1395" w:type="dxa"/>
            <w:vMerge w:val="continue"/>
            <w:tcBorders>
              <w:left w:val="single" w:color="000000" w:sz="4" w:space="0"/>
              <w:right w:val="single" w:color="000000" w:sz="4" w:space="0"/>
            </w:tcBorders>
            <w:vAlign w:val="center"/>
          </w:tcPr>
          <w:p w14:paraId="65EE4E29">
            <w:pPr>
              <w:spacing w:line="240" w:lineRule="auto"/>
              <w:jc w:val="center"/>
              <w:rPr>
                <w:rFonts w:hint="eastAsia" w:ascii="华文仿宋" w:hAnsi="华文仿宋" w:eastAsia="华文仿宋" w:cs="华文仿宋"/>
                <w:color w:val="auto"/>
                <w:sz w:val="28"/>
                <w:szCs w:val="28"/>
                <w:highlight w:val="none"/>
              </w:rPr>
            </w:pPr>
          </w:p>
        </w:tc>
        <w:tc>
          <w:tcPr>
            <w:tcW w:w="6701" w:type="dxa"/>
            <w:tcBorders>
              <w:top w:val="single" w:color="000000" w:sz="4" w:space="0"/>
              <w:left w:val="single" w:color="000000" w:sz="4" w:space="0"/>
              <w:bottom w:val="single" w:color="000000" w:sz="4" w:space="0"/>
              <w:right w:val="single" w:color="000000" w:sz="4" w:space="0"/>
            </w:tcBorders>
            <w:vAlign w:val="center"/>
          </w:tcPr>
          <w:p w14:paraId="62E8A2DE">
            <w:pPr>
              <w:pStyle w:val="393"/>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根据各供应商</w:t>
            </w:r>
            <w:r>
              <w:rPr>
                <w:rFonts w:hint="eastAsia" w:ascii="华文仿宋" w:hAnsi="华文仿宋" w:eastAsia="华文仿宋" w:cs="华文仿宋"/>
                <w:color w:val="auto"/>
                <w:sz w:val="28"/>
                <w:szCs w:val="28"/>
                <w:highlight w:val="none"/>
              </w:rPr>
              <w:t>质量、安全、文明施工及环境保护管理体系与措施综合评审：</w:t>
            </w:r>
          </w:p>
          <w:p w14:paraId="1EEC40BC">
            <w:pPr>
              <w:keepNext w:val="0"/>
              <w:keepLines w:val="0"/>
              <w:pageBreakBefore w:val="0"/>
              <w:widowControl/>
              <w:kinsoku/>
              <w:wordWrap/>
              <w:overflowPunct/>
              <w:topLinePunct w:val="0"/>
              <w:autoSpaceDE/>
              <w:autoSpaceDN/>
              <w:bidi w:val="0"/>
              <w:spacing w:line="240" w:lineRule="auto"/>
              <w:ind w:firstLine="218" w:firstLineChars="78"/>
              <w:jc w:val="left"/>
              <w:textAlignment w:val="auto"/>
              <w:rPr>
                <w:rFonts w:hint="eastAsia" w:ascii="仿宋" w:hAnsi="仿宋" w:eastAsia="仿宋" w:cs="仿宋"/>
                <w:color w:val="auto"/>
                <w:sz w:val="28"/>
                <w:szCs w:val="28"/>
                <w:highlight w:val="none"/>
                <w:u w:val="none" w:color="000000"/>
                <w:lang w:val="zh-TW" w:eastAsia="zh-TW"/>
              </w:rPr>
            </w:pPr>
            <w:r>
              <w:rPr>
                <w:rFonts w:hint="eastAsia" w:ascii="仿宋" w:hAnsi="仿宋" w:eastAsia="仿宋" w:cs="仿宋"/>
                <w:color w:val="auto"/>
                <w:sz w:val="28"/>
                <w:szCs w:val="28"/>
                <w:highlight w:val="none"/>
                <w:u w:val="none" w:color="000000"/>
                <w:lang w:val="zh-TW" w:eastAsia="zh-TW"/>
              </w:rPr>
              <w:t>（1）</w:t>
            </w:r>
            <w:r>
              <w:rPr>
                <w:rFonts w:hint="eastAsia" w:ascii="华文仿宋" w:hAnsi="华文仿宋" w:eastAsia="华文仿宋" w:cs="华文仿宋"/>
                <w:color w:val="auto"/>
                <w:sz w:val="28"/>
                <w:szCs w:val="28"/>
                <w:highlight w:val="none"/>
              </w:rPr>
              <w:t>管理体系与措施完善</w:t>
            </w:r>
            <w:r>
              <w:rPr>
                <w:rFonts w:hint="eastAsia" w:ascii="仿宋" w:hAnsi="仿宋" w:eastAsia="仿宋" w:cs="仿宋"/>
                <w:color w:val="auto"/>
                <w:sz w:val="28"/>
                <w:szCs w:val="28"/>
                <w:highlight w:val="none"/>
                <w:u w:val="none" w:color="000000"/>
                <w:lang w:val="zh-TW" w:eastAsia="zh-TW"/>
              </w:rPr>
              <w:t>表述清晰完整、严谨、科学合理，针对性强、可操作性强的得</w:t>
            </w:r>
            <w:r>
              <w:rPr>
                <w:rFonts w:hint="eastAsia" w:ascii="仿宋" w:hAnsi="仿宋" w:eastAsia="仿宋" w:cs="仿宋"/>
                <w:color w:val="auto"/>
                <w:sz w:val="28"/>
                <w:szCs w:val="28"/>
                <w:highlight w:val="none"/>
                <w:u w:val="none" w:color="000000"/>
                <w:lang w:val="en-US" w:eastAsia="zh-CN"/>
              </w:rPr>
              <w:t>10</w:t>
            </w:r>
            <w:r>
              <w:rPr>
                <w:rFonts w:hint="eastAsia" w:ascii="仿宋" w:hAnsi="仿宋" w:eastAsia="仿宋" w:cs="仿宋"/>
                <w:color w:val="auto"/>
                <w:sz w:val="28"/>
                <w:szCs w:val="28"/>
                <w:highlight w:val="none"/>
                <w:u w:val="none" w:color="000000"/>
                <w:lang w:val="zh-TW" w:eastAsia="zh-TW"/>
              </w:rPr>
              <w:t>分；</w:t>
            </w:r>
          </w:p>
          <w:p w14:paraId="3F2B8D2F">
            <w:pPr>
              <w:keepNext w:val="0"/>
              <w:keepLines w:val="0"/>
              <w:pageBreakBefore w:val="0"/>
              <w:widowControl/>
              <w:kinsoku/>
              <w:wordWrap/>
              <w:overflowPunct/>
              <w:topLinePunct w:val="0"/>
              <w:autoSpaceDE/>
              <w:autoSpaceDN/>
              <w:bidi w:val="0"/>
              <w:spacing w:line="240" w:lineRule="auto"/>
              <w:ind w:firstLine="218" w:firstLineChars="78"/>
              <w:jc w:val="left"/>
              <w:textAlignment w:val="auto"/>
              <w:rPr>
                <w:rFonts w:hint="eastAsia" w:ascii="仿宋" w:hAnsi="仿宋" w:eastAsia="仿宋" w:cs="仿宋"/>
                <w:color w:val="auto"/>
                <w:sz w:val="28"/>
                <w:szCs w:val="28"/>
                <w:highlight w:val="none"/>
                <w:u w:val="none" w:color="000000"/>
                <w:lang w:val="zh-TW" w:eastAsia="zh-TW"/>
              </w:rPr>
            </w:pPr>
            <w:r>
              <w:rPr>
                <w:rFonts w:hint="eastAsia" w:ascii="仿宋" w:hAnsi="仿宋" w:eastAsia="仿宋" w:cs="仿宋"/>
                <w:color w:val="auto"/>
                <w:sz w:val="28"/>
                <w:szCs w:val="28"/>
                <w:highlight w:val="none"/>
                <w:u w:val="none" w:color="000000"/>
                <w:lang w:val="zh-TW" w:eastAsia="zh-TW"/>
              </w:rPr>
              <w:t>（2）</w:t>
            </w:r>
            <w:r>
              <w:rPr>
                <w:rFonts w:hint="eastAsia" w:ascii="华文仿宋" w:hAnsi="华文仿宋" w:eastAsia="华文仿宋" w:cs="华文仿宋"/>
                <w:color w:val="auto"/>
                <w:sz w:val="28"/>
                <w:szCs w:val="28"/>
                <w:highlight w:val="none"/>
              </w:rPr>
              <w:t>管理体系与措施完善</w:t>
            </w:r>
            <w:r>
              <w:rPr>
                <w:rFonts w:hint="eastAsia" w:ascii="仿宋" w:hAnsi="仿宋" w:eastAsia="仿宋" w:cs="仿宋"/>
                <w:color w:val="auto"/>
                <w:sz w:val="28"/>
                <w:szCs w:val="28"/>
                <w:highlight w:val="none"/>
                <w:u w:val="none" w:color="000000"/>
                <w:lang w:val="zh-TW" w:eastAsia="zh-TW"/>
              </w:rPr>
              <w:t>表述清晰完整但不够严谨、合理，具有针对性和可操作性的得</w:t>
            </w:r>
            <w:r>
              <w:rPr>
                <w:rFonts w:hint="eastAsia" w:ascii="仿宋" w:hAnsi="仿宋" w:eastAsia="仿宋" w:cs="仿宋"/>
                <w:color w:val="auto"/>
                <w:sz w:val="28"/>
                <w:szCs w:val="28"/>
                <w:highlight w:val="none"/>
                <w:u w:val="none" w:color="000000"/>
                <w:lang w:val="en-US" w:eastAsia="zh-CN"/>
              </w:rPr>
              <w:t>8</w:t>
            </w:r>
            <w:r>
              <w:rPr>
                <w:rFonts w:hint="eastAsia" w:ascii="仿宋" w:hAnsi="仿宋" w:eastAsia="仿宋" w:cs="仿宋"/>
                <w:color w:val="auto"/>
                <w:sz w:val="28"/>
                <w:szCs w:val="28"/>
                <w:highlight w:val="none"/>
                <w:u w:val="none" w:color="000000"/>
                <w:lang w:val="zh-TW" w:eastAsia="zh-TW"/>
              </w:rPr>
              <w:t>分；</w:t>
            </w:r>
          </w:p>
          <w:p w14:paraId="5E7AF0D6">
            <w:pPr>
              <w:keepNext w:val="0"/>
              <w:keepLines w:val="0"/>
              <w:pageBreakBefore w:val="0"/>
              <w:widowControl/>
              <w:kinsoku/>
              <w:wordWrap/>
              <w:overflowPunct/>
              <w:topLinePunct w:val="0"/>
              <w:autoSpaceDE/>
              <w:autoSpaceDN/>
              <w:bidi w:val="0"/>
              <w:spacing w:line="240" w:lineRule="auto"/>
              <w:ind w:firstLine="218" w:firstLineChars="78"/>
              <w:jc w:val="left"/>
              <w:textAlignment w:val="auto"/>
              <w:rPr>
                <w:rFonts w:hint="eastAsia" w:ascii="仿宋" w:hAnsi="仿宋" w:eastAsia="仿宋" w:cs="仿宋"/>
                <w:color w:val="auto"/>
                <w:sz w:val="28"/>
                <w:szCs w:val="28"/>
                <w:highlight w:val="none"/>
                <w:u w:val="none" w:color="000000"/>
                <w:lang w:val="zh-TW" w:eastAsia="zh-TW"/>
              </w:rPr>
            </w:pPr>
            <w:r>
              <w:rPr>
                <w:rFonts w:hint="eastAsia" w:ascii="仿宋" w:hAnsi="仿宋" w:eastAsia="仿宋" w:cs="仿宋"/>
                <w:color w:val="auto"/>
                <w:sz w:val="28"/>
                <w:szCs w:val="28"/>
                <w:highlight w:val="none"/>
                <w:u w:val="none" w:color="000000"/>
                <w:lang w:val="zh-TW" w:eastAsia="zh-TW"/>
              </w:rPr>
              <w:t>（3）</w:t>
            </w:r>
            <w:r>
              <w:rPr>
                <w:rFonts w:hint="eastAsia" w:ascii="华文仿宋" w:hAnsi="华文仿宋" w:eastAsia="华文仿宋" w:cs="华文仿宋"/>
                <w:color w:val="auto"/>
                <w:sz w:val="28"/>
                <w:szCs w:val="28"/>
                <w:highlight w:val="none"/>
              </w:rPr>
              <w:t>管理体系与措施完善</w:t>
            </w:r>
            <w:r>
              <w:rPr>
                <w:rFonts w:hint="eastAsia" w:ascii="仿宋" w:hAnsi="仿宋" w:eastAsia="仿宋" w:cs="仿宋"/>
                <w:color w:val="auto"/>
                <w:sz w:val="28"/>
                <w:szCs w:val="28"/>
                <w:highlight w:val="none"/>
                <w:u w:val="none" w:color="000000"/>
                <w:lang w:val="zh-TW" w:eastAsia="zh-TW"/>
              </w:rPr>
              <w:t>表述清晰但不够完整、无针对性，可操作性一般的得</w:t>
            </w:r>
            <w:r>
              <w:rPr>
                <w:rFonts w:hint="eastAsia" w:ascii="仿宋" w:hAnsi="仿宋" w:eastAsia="仿宋" w:cs="仿宋"/>
                <w:color w:val="auto"/>
                <w:sz w:val="28"/>
                <w:szCs w:val="28"/>
                <w:highlight w:val="none"/>
                <w:u w:val="none" w:color="000000"/>
                <w:lang w:val="en-US" w:eastAsia="zh-CN"/>
              </w:rPr>
              <w:t>6</w:t>
            </w:r>
            <w:r>
              <w:rPr>
                <w:rFonts w:hint="eastAsia" w:ascii="仿宋" w:hAnsi="仿宋" w:eastAsia="仿宋" w:cs="仿宋"/>
                <w:color w:val="auto"/>
                <w:sz w:val="28"/>
                <w:szCs w:val="28"/>
                <w:highlight w:val="none"/>
                <w:u w:val="none" w:color="000000"/>
                <w:lang w:val="zh-TW" w:eastAsia="zh-TW"/>
              </w:rPr>
              <w:t>分；</w:t>
            </w:r>
          </w:p>
          <w:p w14:paraId="7B826699">
            <w:pPr>
              <w:keepNext w:val="0"/>
              <w:keepLines w:val="0"/>
              <w:pageBreakBefore w:val="0"/>
              <w:widowControl/>
              <w:kinsoku/>
              <w:wordWrap/>
              <w:overflowPunct/>
              <w:topLinePunct w:val="0"/>
              <w:autoSpaceDE/>
              <w:autoSpaceDN/>
              <w:bidi w:val="0"/>
              <w:spacing w:line="240" w:lineRule="auto"/>
              <w:ind w:firstLine="218" w:firstLineChars="78"/>
              <w:jc w:val="left"/>
              <w:textAlignment w:val="auto"/>
              <w:rPr>
                <w:rFonts w:hint="eastAsia" w:ascii="仿宋" w:hAnsi="仿宋" w:eastAsia="仿宋" w:cs="仿宋"/>
                <w:color w:val="auto"/>
                <w:sz w:val="28"/>
                <w:szCs w:val="28"/>
                <w:highlight w:val="none"/>
                <w:u w:val="none" w:color="000000"/>
                <w:lang w:val="zh-TW" w:eastAsia="zh-TW"/>
              </w:rPr>
            </w:pPr>
            <w:r>
              <w:rPr>
                <w:rFonts w:hint="eastAsia" w:ascii="仿宋" w:hAnsi="仿宋" w:eastAsia="仿宋" w:cs="仿宋"/>
                <w:color w:val="auto"/>
                <w:sz w:val="28"/>
                <w:szCs w:val="28"/>
                <w:highlight w:val="none"/>
                <w:u w:val="none" w:color="000000"/>
                <w:lang w:val="zh-TW" w:eastAsia="zh-TW"/>
              </w:rPr>
              <w:t>（4）</w:t>
            </w:r>
            <w:r>
              <w:rPr>
                <w:rFonts w:hint="eastAsia" w:ascii="华文仿宋" w:hAnsi="华文仿宋" w:eastAsia="华文仿宋" w:cs="华文仿宋"/>
                <w:color w:val="auto"/>
                <w:sz w:val="28"/>
                <w:szCs w:val="28"/>
                <w:highlight w:val="none"/>
              </w:rPr>
              <w:t>管理体系与措施完善</w:t>
            </w:r>
            <w:r>
              <w:rPr>
                <w:rFonts w:hint="eastAsia" w:ascii="仿宋" w:hAnsi="仿宋" w:eastAsia="仿宋" w:cs="仿宋"/>
                <w:color w:val="auto"/>
                <w:sz w:val="28"/>
                <w:szCs w:val="28"/>
                <w:highlight w:val="none"/>
                <w:u w:val="none" w:color="000000"/>
                <w:lang w:val="zh-TW" w:eastAsia="zh-TW"/>
              </w:rPr>
              <w:t>表述不完整可操作性较差的得</w:t>
            </w:r>
            <w:r>
              <w:rPr>
                <w:rFonts w:hint="eastAsia" w:ascii="仿宋" w:hAnsi="仿宋" w:eastAsia="仿宋" w:cs="仿宋"/>
                <w:color w:val="auto"/>
                <w:sz w:val="28"/>
                <w:szCs w:val="28"/>
                <w:highlight w:val="none"/>
                <w:u w:val="none" w:color="000000"/>
                <w:lang w:val="en-US" w:eastAsia="zh-CN"/>
              </w:rPr>
              <w:t>4</w:t>
            </w:r>
            <w:r>
              <w:rPr>
                <w:rFonts w:hint="eastAsia" w:ascii="仿宋" w:hAnsi="仿宋" w:eastAsia="仿宋" w:cs="仿宋"/>
                <w:color w:val="auto"/>
                <w:sz w:val="28"/>
                <w:szCs w:val="28"/>
                <w:highlight w:val="none"/>
                <w:u w:val="none" w:color="000000"/>
                <w:lang w:val="zh-TW" w:eastAsia="zh-TW"/>
              </w:rPr>
              <w:t>分；</w:t>
            </w:r>
          </w:p>
          <w:p w14:paraId="7E8A40CF">
            <w:pPr>
              <w:pStyle w:val="393"/>
              <w:spacing w:line="240" w:lineRule="auto"/>
              <w:rPr>
                <w:rFonts w:hint="eastAsia" w:ascii="华文仿宋" w:hAnsi="华文仿宋" w:eastAsia="华文仿宋" w:cs="华文仿宋"/>
                <w:color w:val="auto"/>
                <w:sz w:val="28"/>
                <w:szCs w:val="28"/>
                <w:highlight w:val="none"/>
              </w:rPr>
            </w:pPr>
            <w:r>
              <w:rPr>
                <w:rFonts w:hint="eastAsia" w:ascii="仿宋" w:hAnsi="仿宋" w:eastAsia="仿宋" w:cs="仿宋"/>
                <w:color w:val="auto"/>
                <w:sz w:val="28"/>
                <w:szCs w:val="28"/>
                <w:highlight w:val="none"/>
                <w:u w:val="none" w:color="000000"/>
                <w:lang w:val="en-US" w:eastAsia="zh-CN"/>
              </w:rPr>
              <w:t xml:space="preserve"> </w:t>
            </w:r>
            <w:r>
              <w:rPr>
                <w:rFonts w:hint="eastAsia" w:ascii="仿宋" w:hAnsi="仿宋" w:eastAsia="仿宋" w:cs="仿宋"/>
                <w:color w:val="auto"/>
                <w:sz w:val="28"/>
                <w:szCs w:val="28"/>
                <w:highlight w:val="none"/>
                <w:u w:val="none" w:color="000000"/>
                <w:lang w:val="zh-TW" w:eastAsia="zh-TW"/>
              </w:rPr>
              <w:t>（5）未提供不得分。</w:t>
            </w:r>
          </w:p>
        </w:tc>
        <w:tc>
          <w:tcPr>
            <w:tcW w:w="672" w:type="dxa"/>
            <w:tcBorders>
              <w:top w:val="single" w:color="000000" w:sz="4" w:space="0"/>
              <w:left w:val="single" w:color="000000" w:sz="4" w:space="0"/>
              <w:bottom w:val="single" w:color="000000" w:sz="4" w:space="0"/>
              <w:right w:val="single" w:color="000000" w:sz="4" w:space="0"/>
            </w:tcBorders>
            <w:vAlign w:val="center"/>
          </w:tcPr>
          <w:p w14:paraId="33B62769">
            <w:pPr>
              <w:spacing w:line="240" w:lineRule="auto"/>
              <w:jc w:val="center"/>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10</w:t>
            </w:r>
          </w:p>
        </w:tc>
      </w:tr>
      <w:tr w14:paraId="12CB3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3" w:hRule="atLeast"/>
          <w:jc w:val="center"/>
        </w:trPr>
        <w:tc>
          <w:tcPr>
            <w:tcW w:w="632" w:type="dxa"/>
            <w:tcBorders>
              <w:top w:val="single" w:color="000000" w:sz="4" w:space="0"/>
              <w:left w:val="single" w:color="000000" w:sz="4" w:space="0"/>
              <w:bottom w:val="single" w:color="000000" w:sz="4" w:space="0"/>
              <w:right w:val="single" w:color="000000" w:sz="4" w:space="0"/>
            </w:tcBorders>
            <w:vAlign w:val="center"/>
          </w:tcPr>
          <w:p w14:paraId="21E16D48">
            <w:pPr>
              <w:widowControl/>
              <w:spacing w:line="240" w:lineRule="auto"/>
              <w:jc w:val="center"/>
              <w:rPr>
                <w:rFonts w:hint="eastAsia" w:ascii="华文仿宋" w:hAnsi="华文仿宋" w:eastAsia="华文仿宋" w:cs="华文仿宋"/>
                <w:color w:val="auto"/>
                <w:sz w:val="28"/>
                <w:szCs w:val="28"/>
                <w:highlight w:val="none"/>
              </w:rPr>
            </w:pPr>
          </w:p>
        </w:tc>
        <w:tc>
          <w:tcPr>
            <w:tcW w:w="1395" w:type="dxa"/>
            <w:tcBorders>
              <w:left w:val="single" w:color="000000" w:sz="4" w:space="0"/>
              <w:right w:val="single" w:color="000000" w:sz="4" w:space="0"/>
            </w:tcBorders>
            <w:vAlign w:val="center"/>
          </w:tcPr>
          <w:p w14:paraId="1C1696C7">
            <w:pPr>
              <w:spacing w:line="240" w:lineRule="auto"/>
              <w:jc w:val="center"/>
              <w:rPr>
                <w:rFonts w:hint="eastAsia" w:ascii="华文仿宋" w:hAnsi="华文仿宋" w:eastAsia="华文仿宋" w:cs="华文仿宋"/>
                <w:color w:val="auto"/>
                <w:sz w:val="28"/>
                <w:szCs w:val="28"/>
                <w:highlight w:val="none"/>
              </w:rPr>
            </w:pPr>
          </w:p>
        </w:tc>
        <w:tc>
          <w:tcPr>
            <w:tcW w:w="6701" w:type="dxa"/>
            <w:tcBorders>
              <w:top w:val="single" w:color="000000" w:sz="4" w:space="0"/>
              <w:left w:val="single" w:color="000000" w:sz="4" w:space="0"/>
              <w:bottom w:val="single" w:color="000000" w:sz="4" w:space="0"/>
              <w:right w:val="single" w:color="000000" w:sz="4" w:space="0"/>
            </w:tcBorders>
            <w:vAlign w:val="center"/>
          </w:tcPr>
          <w:p w14:paraId="663811C7">
            <w:pPr>
              <w:spacing w:line="240" w:lineRule="auto"/>
              <w:jc w:val="left"/>
              <w:rPr>
                <w:rFonts w:hint="eastAsia" w:ascii="华文仿宋" w:hAnsi="华文仿宋" w:eastAsia="华文仿宋" w:cs="华文仿宋"/>
                <w:color w:val="auto"/>
                <w:sz w:val="28"/>
                <w:szCs w:val="28"/>
                <w:highlight w:val="none"/>
                <w:lang w:val="en-US" w:eastAsia="zh-CN" w:bidi="ar-SA"/>
              </w:rPr>
            </w:pPr>
            <w:r>
              <w:rPr>
                <w:rFonts w:hint="eastAsia" w:ascii="华文仿宋" w:hAnsi="华文仿宋" w:eastAsia="华文仿宋" w:cs="华文仿宋"/>
                <w:color w:val="auto"/>
                <w:sz w:val="28"/>
                <w:szCs w:val="28"/>
                <w:highlight w:val="none"/>
                <w:lang w:val="en-US" w:eastAsia="zh-CN" w:bidi="ar-SA"/>
              </w:rPr>
              <w:t>根据供应商</w:t>
            </w:r>
            <w:r>
              <w:rPr>
                <w:rFonts w:hint="eastAsia" w:ascii="华文仿宋" w:hAnsi="华文仿宋" w:eastAsia="华文仿宋" w:cs="华文仿宋"/>
                <w:color w:val="auto"/>
                <w:sz w:val="28"/>
                <w:szCs w:val="28"/>
                <w:highlight w:val="none"/>
                <w:lang w:val="en-US" w:bidi="ar-SA"/>
              </w:rPr>
              <w:t>提供完整的售后服务方案，包括响应时间、应急处理方式、培训方案、售后人员配置清单及人员专业技术证书、社保等；对各</w:t>
            </w:r>
            <w:r>
              <w:rPr>
                <w:rFonts w:hint="eastAsia" w:ascii="华文仿宋" w:hAnsi="华文仿宋" w:eastAsia="华文仿宋" w:cs="华文仿宋"/>
                <w:color w:val="auto"/>
                <w:sz w:val="28"/>
                <w:szCs w:val="28"/>
                <w:highlight w:val="none"/>
                <w:lang w:val="en-US" w:eastAsia="zh-CN" w:bidi="ar-SA"/>
              </w:rPr>
              <w:t>供应商</w:t>
            </w:r>
            <w:r>
              <w:rPr>
                <w:rFonts w:hint="eastAsia" w:ascii="华文仿宋" w:hAnsi="华文仿宋" w:eastAsia="华文仿宋" w:cs="华文仿宋"/>
                <w:color w:val="auto"/>
                <w:sz w:val="28"/>
                <w:szCs w:val="28"/>
                <w:highlight w:val="none"/>
                <w:lang w:val="en-US" w:bidi="ar-SA"/>
              </w:rPr>
              <w:t>提供的资料综合评分</w:t>
            </w:r>
            <w:r>
              <w:rPr>
                <w:rFonts w:hint="eastAsia" w:ascii="华文仿宋" w:hAnsi="华文仿宋" w:eastAsia="华文仿宋" w:cs="华文仿宋"/>
                <w:color w:val="auto"/>
                <w:sz w:val="28"/>
                <w:szCs w:val="28"/>
                <w:highlight w:val="none"/>
                <w:lang w:val="en-US" w:eastAsia="zh-CN" w:bidi="ar-SA"/>
              </w:rPr>
              <w:t>：</w:t>
            </w:r>
          </w:p>
          <w:p w14:paraId="2F3CC521">
            <w:pPr>
              <w:keepNext w:val="0"/>
              <w:keepLines w:val="0"/>
              <w:pageBreakBefore w:val="0"/>
              <w:widowControl/>
              <w:kinsoku/>
              <w:wordWrap/>
              <w:overflowPunct/>
              <w:topLinePunct w:val="0"/>
              <w:autoSpaceDE/>
              <w:autoSpaceDN/>
              <w:bidi w:val="0"/>
              <w:spacing w:line="240" w:lineRule="auto"/>
              <w:ind w:firstLine="218" w:firstLineChars="78"/>
              <w:jc w:val="left"/>
              <w:textAlignment w:val="auto"/>
              <w:rPr>
                <w:rFonts w:hint="eastAsia" w:ascii="仿宋" w:hAnsi="仿宋" w:eastAsia="仿宋" w:cs="仿宋"/>
                <w:color w:val="auto"/>
                <w:sz w:val="28"/>
                <w:szCs w:val="28"/>
                <w:highlight w:val="none"/>
                <w:u w:val="none" w:color="000000"/>
                <w:lang w:val="zh-TW" w:eastAsia="zh-TW"/>
              </w:rPr>
            </w:pPr>
            <w:r>
              <w:rPr>
                <w:rFonts w:hint="eastAsia" w:ascii="仿宋" w:hAnsi="仿宋" w:eastAsia="仿宋" w:cs="仿宋"/>
                <w:color w:val="auto"/>
                <w:sz w:val="28"/>
                <w:szCs w:val="28"/>
                <w:highlight w:val="none"/>
                <w:u w:val="none" w:color="000000"/>
                <w:lang w:val="zh-TW" w:eastAsia="zh-TW"/>
              </w:rPr>
              <w:t>（1）售后服务方案、</w:t>
            </w:r>
            <w:r>
              <w:rPr>
                <w:rFonts w:hint="eastAsia" w:ascii="仿宋" w:hAnsi="仿宋" w:eastAsia="仿宋" w:cs="仿宋"/>
                <w:color w:val="auto"/>
                <w:sz w:val="28"/>
                <w:szCs w:val="28"/>
                <w:highlight w:val="none"/>
                <w:u w:val="none" w:color="000000"/>
                <w:lang w:eastAsia="zh-CN"/>
              </w:rPr>
              <w:t>岗位职责划分</w:t>
            </w:r>
            <w:r>
              <w:rPr>
                <w:rFonts w:hint="eastAsia" w:ascii="仿宋" w:hAnsi="仿宋" w:eastAsia="仿宋" w:cs="仿宋"/>
                <w:color w:val="auto"/>
                <w:sz w:val="28"/>
                <w:szCs w:val="28"/>
                <w:highlight w:val="none"/>
                <w:u w:val="none" w:color="000000"/>
                <w:lang w:val="zh-TW" w:eastAsia="zh-TW"/>
              </w:rPr>
              <w:t>科学合理，针对性强、可操作性强的得</w:t>
            </w:r>
            <w:r>
              <w:rPr>
                <w:rFonts w:hint="eastAsia" w:ascii="仿宋" w:hAnsi="仿宋" w:eastAsia="仿宋" w:cs="仿宋"/>
                <w:color w:val="auto"/>
                <w:sz w:val="28"/>
                <w:szCs w:val="28"/>
                <w:highlight w:val="none"/>
                <w:u w:val="none" w:color="000000"/>
                <w:lang w:val="en-US" w:eastAsia="zh-CN"/>
              </w:rPr>
              <w:t>10</w:t>
            </w:r>
            <w:r>
              <w:rPr>
                <w:rFonts w:hint="eastAsia" w:ascii="仿宋" w:hAnsi="仿宋" w:eastAsia="仿宋" w:cs="仿宋"/>
                <w:color w:val="auto"/>
                <w:sz w:val="28"/>
                <w:szCs w:val="28"/>
                <w:highlight w:val="none"/>
                <w:u w:val="none" w:color="000000"/>
                <w:lang w:val="zh-TW" w:eastAsia="zh-TW"/>
              </w:rPr>
              <w:t>分；</w:t>
            </w:r>
          </w:p>
          <w:p w14:paraId="3A85D724">
            <w:pPr>
              <w:keepNext w:val="0"/>
              <w:keepLines w:val="0"/>
              <w:pageBreakBefore w:val="0"/>
              <w:widowControl/>
              <w:kinsoku/>
              <w:wordWrap/>
              <w:overflowPunct/>
              <w:topLinePunct w:val="0"/>
              <w:autoSpaceDE/>
              <w:autoSpaceDN/>
              <w:bidi w:val="0"/>
              <w:spacing w:line="240" w:lineRule="auto"/>
              <w:ind w:firstLine="218" w:firstLineChars="78"/>
              <w:jc w:val="left"/>
              <w:textAlignment w:val="auto"/>
              <w:rPr>
                <w:rFonts w:hint="eastAsia" w:ascii="仿宋" w:hAnsi="仿宋" w:eastAsia="仿宋" w:cs="仿宋"/>
                <w:color w:val="auto"/>
                <w:sz w:val="28"/>
                <w:szCs w:val="28"/>
                <w:highlight w:val="none"/>
                <w:u w:val="none" w:color="000000"/>
                <w:lang w:val="zh-TW" w:eastAsia="zh-TW"/>
              </w:rPr>
            </w:pPr>
            <w:r>
              <w:rPr>
                <w:rFonts w:hint="eastAsia" w:ascii="仿宋" w:hAnsi="仿宋" w:eastAsia="仿宋" w:cs="仿宋"/>
                <w:color w:val="auto"/>
                <w:sz w:val="28"/>
                <w:szCs w:val="28"/>
                <w:highlight w:val="none"/>
                <w:u w:val="none" w:color="000000"/>
                <w:lang w:val="zh-TW" w:eastAsia="zh-TW"/>
              </w:rPr>
              <w:t>（2）</w:t>
            </w:r>
            <w:r>
              <w:rPr>
                <w:rFonts w:hint="eastAsia" w:ascii="华文仿宋" w:hAnsi="华文仿宋" w:eastAsia="华文仿宋" w:cs="华文仿宋"/>
                <w:color w:val="auto"/>
                <w:sz w:val="28"/>
                <w:szCs w:val="28"/>
                <w:highlight w:val="none"/>
                <w:lang w:val="en-US" w:bidi="ar-SA"/>
              </w:rPr>
              <w:t>售后服务方案</w:t>
            </w:r>
            <w:r>
              <w:rPr>
                <w:rFonts w:hint="eastAsia" w:ascii="仿宋" w:hAnsi="仿宋" w:eastAsia="仿宋" w:cs="仿宋"/>
                <w:color w:val="auto"/>
                <w:sz w:val="28"/>
                <w:szCs w:val="28"/>
                <w:highlight w:val="none"/>
                <w:u w:val="none" w:color="000000"/>
                <w:lang w:val="zh-TW" w:eastAsia="zh-TW"/>
              </w:rPr>
              <w:t>、</w:t>
            </w:r>
            <w:r>
              <w:rPr>
                <w:rFonts w:hint="eastAsia" w:ascii="仿宋" w:hAnsi="仿宋" w:eastAsia="仿宋" w:cs="仿宋"/>
                <w:color w:val="auto"/>
                <w:sz w:val="28"/>
                <w:szCs w:val="28"/>
                <w:highlight w:val="none"/>
                <w:u w:val="none" w:color="000000"/>
                <w:lang w:eastAsia="zh-CN"/>
              </w:rPr>
              <w:t>岗位职责划分</w:t>
            </w:r>
            <w:r>
              <w:rPr>
                <w:rFonts w:hint="eastAsia" w:ascii="仿宋" w:hAnsi="仿宋" w:eastAsia="仿宋" w:cs="仿宋"/>
                <w:color w:val="auto"/>
                <w:sz w:val="28"/>
                <w:szCs w:val="28"/>
                <w:highlight w:val="none"/>
                <w:u w:val="none" w:color="000000"/>
                <w:lang w:val="zh-TW" w:eastAsia="zh-TW"/>
              </w:rPr>
              <w:t>合理但不够科学，具有针对性和可操作性的得</w:t>
            </w:r>
            <w:r>
              <w:rPr>
                <w:rFonts w:hint="eastAsia" w:ascii="仿宋" w:hAnsi="仿宋" w:eastAsia="仿宋" w:cs="仿宋"/>
                <w:color w:val="auto"/>
                <w:sz w:val="28"/>
                <w:szCs w:val="28"/>
                <w:highlight w:val="none"/>
                <w:u w:val="none" w:color="000000"/>
                <w:lang w:val="en-US" w:eastAsia="zh-CN"/>
              </w:rPr>
              <w:t>8</w:t>
            </w:r>
            <w:r>
              <w:rPr>
                <w:rFonts w:hint="eastAsia" w:ascii="仿宋" w:hAnsi="仿宋" w:eastAsia="仿宋" w:cs="仿宋"/>
                <w:color w:val="auto"/>
                <w:sz w:val="28"/>
                <w:szCs w:val="28"/>
                <w:highlight w:val="none"/>
                <w:u w:val="none" w:color="000000"/>
                <w:lang w:val="zh-TW" w:eastAsia="zh-TW"/>
              </w:rPr>
              <w:t>分；</w:t>
            </w:r>
          </w:p>
          <w:p w14:paraId="2BB48381">
            <w:pPr>
              <w:keepNext w:val="0"/>
              <w:keepLines w:val="0"/>
              <w:pageBreakBefore w:val="0"/>
              <w:widowControl/>
              <w:kinsoku/>
              <w:wordWrap/>
              <w:overflowPunct/>
              <w:topLinePunct w:val="0"/>
              <w:autoSpaceDE/>
              <w:autoSpaceDN/>
              <w:bidi w:val="0"/>
              <w:spacing w:line="240" w:lineRule="auto"/>
              <w:ind w:firstLine="218" w:firstLineChars="78"/>
              <w:jc w:val="left"/>
              <w:textAlignment w:val="auto"/>
              <w:rPr>
                <w:rFonts w:hint="eastAsia" w:ascii="仿宋" w:hAnsi="仿宋" w:eastAsia="仿宋" w:cs="仿宋"/>
                <w:color w:val="auto"/>
                <w:sz w:val="28"/>
                <w:szCs w:val="28"/>
                <w:highlight w:val="none"/>
                <w:u w:val="none" w:color="000000"/>
                <w:lang w:val="zh-TW" w:eastAsia="zh-TW"/>
              </w:rPr>
            </w:pPr>
            <w:r>
              <w:rPr>
                <w:rFonts w:hint="eastAsia" w:ascii="仿宋" w:hAnsi="仿宋" w:eastAsia="仿宋" w:cs="仿宋"/>
                <w:color w:val="auto"/>
                <w:sz w:val="28"/>
                <w:szCs w:val="28"/>
                <w:highlight w:val="none"/>
                <w:u w:val="none" w:color="000000"/>
                <w:lang w:val="zh-TW" w:eastAsia="zh-TW"/>
              </w:rPr>
              <w:t>（3）售后服务方案、</w:t>
            </w:r>
            <w:r>
              <w:rPr>
                <w:rFonts w:hint="eastAsia" w:ascii="仿宋" w:hAnsi="仿宋" w:eastAsia="仿宋" w:cs="仿宋"/>
                <w:color w:val="auto"/>
                <w:sz w:val="28"/>
                <w:szCs w:val="28"/>
                <w:highlight w:val="none"/>
                <w:u w:val="none" w:color="000000"/>
                <w:lang w:eastAsia="zh-CN"/>
              </w:rPr>
              <w:t>岗位职责划分</w:t>
            </w:r>
            <w:r>
              <w:rPr>
                <w:rFonts w:hint="eastAsia" w:ascii="仿宋" w:hAnsi="仿宋" w:eastAsia="仿宋" w:cs="仿宋"/>
                <w:color w:val="auto"/>
                <w:sz w:val="28"/>
                <w:szCs w:val="28"/>
                <w:highlight w:val="none"/>
                <w:u w:val="none" w:color="000000"/>
                <w:lang w:val="zh-TW" w:eastAsia="zh-TW"/>
              </w:rPr>
              <w:t>无针对性，可操作性一般的得</w:t>
            </w:r>
            <w:r>
              <w:rPr>
                <w:rFonts w:hint="eastAsia" w:ascii="仿宋" w:hAnsi="仿宋" w:eastAsia="仿宋" w:cs="仿宋"/>
                <w:color w:val="auto"/>
                <w:sz w:val="28"/>
                <w:szCs w:val="28"/>
                <w:highlight w:val="none"/>
                <w:u w:val="none" w:color="000000"/>
                <w:lang w:val="en-US" w:eastAsia="zh-CN"/>
              </w:rPr>
              <w:t>6</w:t>
            </w:r>
            <w:r>
              <w:rPr>
                <w:rFonts w:hint="eastAsia" w:ascii="仿宋" w:hAnsi="仿宋" w:eastAsia="仿宋" w:cs="仿宋"/>
                <w:color w:val="auto"/>
                <w:sz w:val="28"/>
                <w:szCs w:val="28"/>
                <w:highlight w:val="none"/>
                <w:u w:val="none" w:color="000000"/>
                <w:lang w:val="zh-TW" w:eastAsia="zh-TW"/>
              </w:rPr>
              <w:t>分；</w:t>
            </w:r>
          </w:p>
          <w:p w14:paraId="47152637">
            <w:pPr>
              <w:keepNext w:val="0"/>
              <w:keepLines w:val="0"/>
              <w:pageBreakBefore w:val="0"/>
              <w:widowControl/>
              <w:kinsoku/>
              <w:wordWrap/>
              <w:overflowPunct/>
              <w:topLinePunct w:val="0"/>
              <w:autoSpaceDE/>
              <w:autoSpaceDN/>
              <w:bidi w:val="0"/>
              <w:spacing w:line="240" w:lineRule="auto"/>
              <w:ind w:firstLine="218" w:firstLineChars="78"/>
              <w:jc w:val="left"/>
              <w:textAlignment w:val="auto"/>
              <w:rPr>
                <w:rFonts w:hint="eastAsia" w:ascii="仿宋" w:hAnsi="仿宋" w:eastAsia="仿宋" w:cs="仿宋"/>
                <w:color w:val="auto"/>
                <w:sz w:val="28"/>
                <w:szCs w:val="28"/>
                <w:highlight w:val="none"/>
                <w:u w:val="none" w:color="000000"/>
                <w:lang w:val="zh-TW" w:eastAsia="zh-TW"/>
              </w:rPr>
            </w:pPr>
            <w:r>
              <w:rPr>
                <w:rFonts w:hint="eastAsia" w:ascii="仿宋" w:hAnsi="仿宋" w:eastAsia="仿宋" w:cs="仿宋"/>
                <w:color w:val="auto"/>
                <w:sz w:val="28"/>
                <w:szCs w:val="28"/>
                <w:highlight w:val="none"/>
                <w:u w:val="none" w:color="000000"/>
                <w:lang w:val="zh-TW" w:eastAsia="zh-TW"/>
              </w:rPr>
              <w:t>（4）售后服务方案、</w:t>
            </w:r>
            <w:r>
              <w:rPr>
                <w:rFonts w:hint="eastAsia" w:ascii="仿宋" w:hAnsi="仿宋" w:eastAsia="仿宋" w:cs="仿宋"/>
                <w:color w:val="auto"/>
                <w:sz w:val="28"/>
                <w:szCs w:val="28"/>
                <w:highlight w:val="none"/>
                <w:u w:val="none" w:color="000000"/>
                <w:lang w:eastAsia="zh-CN"/>
              </w:rPr>
              <w:t>岗位职责划分</w:t>
            </w:r>
            <w:r>
              <w:rPr>
                <w:rFonts w:hint="eastAsia" w:ascii="仿宋" w:hAnsi="仿宋" w:eastAsia="仿宋" w:cs="仿宋"/>
                <w:color w:val="auto"/>
                <w:sz w:val="28"/>
                <w:szCs w:val="28"/>
                <w:highlight w:val="none"/>
                <w:u w:val="none" w:color="000000"/>
                <w:lang w:val="zh-TW" w:eastAsia="zh-TW"/>
              </w:rPr>
              <w:t>可操作性较差的得</w:t>
            </w:r>
            <w:r>
              <w:rPr>
                <w:rFonts w:hint="eastAsia" w:ascii="仿宋" w:hAnsi="仿宋" w:eastAsia="仿宋" w:cs="仿宋"/>
                <w:color w:val="auto"/>
                <w:sz w:val="28"/>
                <w:szCs w:val="28"/>
                <w:highlight w:val="none"/>
                <w:u w:val="none" w:color="000000"/>
                <w:lang w:val="en-US" w:eastAsia="zh-CN"/>
              </w:rPr>
              <w:t>4</w:t>
            </w:r>
            <w:r>
              <w:rPr>
                <w:rFonts w:hint="eastAsia" w:ascii="仿宋" w:hAnsi="仿宋" w:eastAsia="仿宋" w:cs="仿宋"/>
                <w:color w:val="auto"/>
                <w:sz w:val="28"/>
                <w:szCs w:val="28"/>
                <w:highlight w:val="none"/>
                <w:u w:val="none" w:color="000000"/>
                <w:lang w:val="zh-TW" w:eastAsia="zh-TW"/>
              </w:rPr>
              <w:t>分；</w:t>
            </w:r>
          </w:p>
          <w:p w14:paraId="44C67F2C">
            <w:pPr>
              <w:pStyle w:val="6"/>
              <w:ind w:firstLine="280" w:firstLineChars="100"/>
              <w:rPr>
                <w:rFonts w:hint="eastAsia" w:ascii="华文仿宋" w:hAnsi="华文仿宋" w:eastAsia="华文仿宋" w:cs="华文仿宋"/>
                <w:color w:val="auto"/>
                <w:sz w:val="28"/>
                <w:szCs w:val="28"/>
                <w:highlight w:val="none"/>
                <w:lang w:val="en-US" w:bidi="ar-SA"/>
              </w:rPr>
            </w:pPr>
            <w:r>
              <w:rPr>
                <w:rFonts w:hint="eastAsia" w:ascii="仿宋" w:hAnsi="仿宋" w:eastAsia="仿宋" w:cs="仿宋"/>
                <w:b w:val="0"/>
                <w:bCs/>
                <w:color w:val="auto"/>
                <w:sz w:val="28"/>
                <w:szCs w:val="28"/>
                <w:highlight w:val="none"/>
                <w:u w:val="none" w:color="000000"/>
                <w:lang w:val="zh-TW" w:eastAsia="zh-TW"/>
              </w:rPr>
              <w:t>（5）未提供不得分。</w:t>
            </w:r>
          </w:p>
        </w:tc>
        <w:tc>
          <w:tcPr>
            <w:tcW w:w="672" w:type="dxa"/>
            <w:tcBorders>
              <w:top w:val="single" w:color="000000" w:sz="4" w:space="0"/>
              <w:left w:val="single" w:color="000000" w:sz="4" w:space="0"/>
              <w:bottom w:val="single" w:color="000000" w:sz="4" w:space="0"/>
              <w:right w:val="single" w:color="000000" w:sz="4" w:space="0"/>
            </w:tcBorders>
            <w:vAlign w:val="center"/>
          </w:tcPr>
          <w:p w14:paraId="1AD7B309">
            <w:pPr>
              <w:spacing w:line="240" w:lineRule="auto"/>
              <w:jc w:val="center"/>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10</w:t>
            </w:r>
          </w:p>
        </w:tc>
      </w:tr>
    </w:tbl>
    <w:p w14:paraId="43029D32">
      <w:pPr>
        <w:spacing w:line="360" w:lineRule="auto"/>
        <w:ind w:firstLineChars="200"/>
        <w:jc w:val="left"/>
        <w:rPr>
          <w:rFonts w:hint="eastAsia" w:ascii="方正黑体_GBK" w:hAnsi="方正黑体_GBK" w:eastAsia="方正黑体_GBK" w:cs="方正黑体_GBK"/>
          <w:color w:val="auto"/>
          <w:sz w:val="28"/>
          <w:szCs w:val="28"/>
          <w:highlight w:val="none"/>
          <w:lang w:val="en-US" w:eastAsia="zh-CN"/>
        </w:rPr>
      </w:pPr>
    </w:p>
    <w:p w14:paraId="087C5EB6">
      <w:pPr>
        <w:spacing w:line="360" w:lineRule="auto"/>
        <w:ind w:firstLineChars="200"/>
        <w:jc w:val="left"/>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说明：</w:t>
      </w:r>
    </w:p>
    <w:p w14:paraId="0ED035C7">
      <w:pPr>
        <w:spacing w:line="560" w:lineRule="exact"/>
        <w:ind w:firstLine="600" w:firstLineChars="200"/>
        <w:jc w:val="lef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1</w:t>
      </w:r>
      <w:r>
        <w:rPr>
          <w:rFonts w:hint="eastAsia" w:ascii="仿宋" w:hAnsi="仿宋" w:eastAsia="仿宋" w:cs="仿宋"/>
          <w:color w:val="auto"/>
          <w:sz w:val="30"/>
          <w:szCs w:val="30"/>
          <w:highlight w:val="none"/>
        </w:rPr>
        <w:t>、所有证书及合同业绩均以有效的证明文件的</w:t>
      </w:r>
      <w:r>
        <w:rPr>
          <w:rFonts w:hint="eastAsia" w:ascii="仿宋" w:hAnsi="仿宋" w:eastAsia="仿宋" w:cs="仿宋"/>
          <w:color w:val="auto"/>
          <w:sz w:val="30"/>
          <w:szCs w:val="30"/>
          <w:highlight w:val="none"/>
          <w:lang w:val="en-US" w:eastAsia="zh-CN"/>
        </w:rPr>
        <w:t>原件扫描件</w:t>
      </w:r>
      <w:r>
        <w:rPr>
          <w:rFonts w:hint="eastAsia" w:ascii="仿宋" w:hAnsi="仿宋" w:eastAsia="仿宋" w:cs="仿宋"/>
          <w:color w:val="auto"/>
          <w:sz w:val="30"/>
          <w:szCs w:val="30"/>
          <w:highlight w:val="none"/>
        </w:rPr>
        <w:t>为依据，原件备查，当复印件不清晰时需要提供原件备查，不能提供者该项不得分。</w:t>
      </w:r>
    </w:p>
    <w:p w14:paraId="6A17A6AD">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p>
    <w:p w14:paraId="1218EED2">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3、根据“关于印发《政府采购促进中小企业发展管理办法》的通知”（财库〔2020〕46号）的规定，对于专门面向中小企业或小型、微型企业的项目，只面向中小企业或小型、微型企业采购。</w:t>
      </w:r>
    </w:p>
    <w:p w14:paraId="4975D93A">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p>
    <w:p w14:paraId="7812D675">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5、所有认证、证明和业绩均以有效的证明文件的</w:t>
      </w:r>
      <w:r>
        <w:rPr>
          <w:rFonts w:hint="eastAsia" w:ascii="仿宋" w:hAnsi="仿宋" w:eastAsia="仿宋" w:cs="仿宋"/>
          <w:color w:val="auto"/>
          <w:sz w:val="30"/>
          <w:szCs w:val="30"/>
          <w:highlight w:val="none"/>
          <w:lang w:val="en-US" w:eastAsia="zh-CN"/>
        </w:rPr>
        <w:t>原件扫描件</w:t>
      </w:r>
      <w:r>
        <w:rPr>
          <w:rFonts w:hint="eastAsia" w:ascii="仿宋" w:hAnsi="仿宋" w:eastAsia="仿宋" w:cs="仿宋"/>
          <w:color w:val="auto"/>
          <w:sz w:val="30"/>
          <w:szCs w:val="30"/>
          <w:highlight w:val="none"/>
        </w:rPr>
        <w:t>为依据（要求提供原件的除外）。</w:t>
      </w:r>
    </w:p>
    <w:p w14:paraId="3B07F495">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6、若供应商提供虚假资料，一经查实作无效响应文件处理。</w:t>
      </w:r>
    </w:p>
    <w:p w14:paraId="1F9E7F4D">
      <w:pPr>
        <w:autoSpaceDE w:val="0"/>
        <w:autoSpaceDN w:val="0"/>
        <w:adjustRightInd w:val="0"/>
        <w:spacing w:line="560" w:lineRule="exact"/>
        <w:ind w:firstLine="561" w:firstLineChars="200"/>
        <w:jc w:val="center"/>
        <w:outlineLvl w:val="0"/>
        <w:rPr>
          <w:rFonts w:hint="eastAsia" w:ascii="方正小标宋_GBK" w:hAnsi="方正小标宋_GBK" w:eastAsia="方正小标宋_GBK" w:cs="方正小标宋_GBK"/>
          <w:color w:val="auto"/>
          <w:sz w:val="36"/>
          <w:szCs w:val="36"/>
          <w:highlight w:val="none"/>
          <w:lang w:val="zh-CN"/>
        </w:rPr>
      </w:pPr>
      <w:r>
        <w:rPr>
          <w:rFonts w:hint="eastAsia" w:ascii="华文仿宋" w:hAnsi="华文仿宋" w:eastAsia="华文仿宋" w:cs="华文仿宋"/>
          <w:b/>
          <w:bCs/>
          <w:color w:val="auto"/>
          <w:spacing w:val="-10"/>
          <w:sz w:val="30"/>
          <w:szCs w:val="30"/>
          <w:highlight w:val="none"/>
        </w:rPr>
        <w:br w:type="page"/>
      </w:r>
      <w:bookmarkStart w:id="47" w:name="_Toc12729"/>
      <w:r>
        <w:rPr>
          <w:rFonts w:hint="eastAsia" w:ascii="方正小标宋_GBK" w:hAnsi="方正小标宋_GBK" w:eastAsia="方正小标宋_GBK" w:cs="方正小标宋_GBK"/>
          <w:color w:val="auto"/>
          <w:sz w:val="36"/>
          <w:szCs w:val="36"/>
          <w:highlight w:val="none"/>
          <w:lang w:val="zh-CN"/>
        </w:rPr>
        <w:t>第四章 采购项目的技术规格、要求和数量等</w:t>
      </w:r>
      <w:bookmarkEnd w:id="46"/>
      <w:bookmarkEnd w:id="47"/>
    </w:p>
    <w:p w14:paraId="4AB5E312">
      <w:pPr>
        <w:tabs>
          <w:tab w:val="left" w:pos="2023"/>
        </w:tabs>
        <w:snapToGrid w:val="0"/>
        <w:spacing w:line="240" w:lineRule="auto"/>
        <w:ind w:firstLine="651" w:firstLineChars="217"/>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30"/>
          <w:szCs w:val="30"/>
          <w:highlight w:val="none"/>
          <w:lang w:val="zh-CN"/>
        </w:rPr>
        <w:t>一、项目名称</w:t>
      </w:r>
      <w:r>
        <w:rPr>
          <w:rFonts w:hint="eastAsia" w:ascii="华文仿宋" w:hAnsi="华文仿宋" w:eastAsia="华文仿宋" w:cs="华文仿宋"/>
          <w:color w:val="auto"/>
          <w:sz w:val="30"/>
          <w:szCs w:val="30"/>
          <w:highlight w:val="none"/>
        </w:rPr>
        <w:t>：</w:t>
      </w:r>
      <w:r>
        <w:rPr>
          <w:rFonts w:hint="eastAsia" w:ascii="华文仿宋" w:hAnsi="华文仿宋" w:eastAsia="华文仿宋" w:cs="华文仿宋"/>
          <w:color w:val="auto"/>
          <w:sz w:val="28"/>
          <w:szCs w:val="28"/>
          <w:highlight w:val="none"/>
          <w:lang w:eastAsia="zh-CN"/>
        </w:rPr>
        <w:t>水佐岗49号电梯维修改造项目</w:t>
      </w:r>
    </w:p>
    <w:p w14:paraId="58AC3A63">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二、项目概况：</w:t>
      </w:r>
      <w:r>
        <w:rPr>
          <w:rFonts w:hint="eastAsia" w:ascii="华文仿宋" w:hAnsi="华文仿宋" w:eastAsia="华文仿宋" w:cs="华文仿宋"/>
          <w:color w:val="auto"/>
          <w:sz w:val="30"/>
          <w:szCs w:val="30"/>
          <w:highlight w:val="none"/>
          <w:u w:val="none"/>
          <w:lang w:val="en-US" w:eastAsia="zh-CN"/>
        </w:rPr>
        <w:t xml:space="preserve"> </w:t>
      </w:r>
      <w:r>
        <w:rPr>
          <w:rFonts w:hint="eastAsia" w:ascii="华文仿宋" w:hAnsi="华文仿宋" w:eastAsia="华文仿宋" w:cs="华文仿宋"/>
          <w:color w:val="auto"/>
          <w:sz w:val="28"/>
          <w:szCs w:val="28"/>
          <w:highlight w:val="none"/>
          <w:u w:val="none"/>
          <w:lang w:eastAsia="zh-CN"/>
        </w:rPr>
        <w:t>水佐岗49号电梯维修改造项目，</w:t>
      </w:r>
      <w:r>
        <w:rPr>
          <w:rFonts w:hint="eastAsia" w:ascii="华文仿宋" w:hAnsi="华文仿宋" w:eastAsia="华文仿宋" w:cs="华文仿宋"/>
          <w:color w:val="auto"/>
          <w:sz w:val="28"/>
          <w:szCs w:val="28"/>
          <w:highlight w:val="none"/>
          <w:u w:val="none"/>
        </w:rPr>
        <w:t>包括电梯设备拆除、采购、运输、安装调试及操作人员培训、试运行、报检验收，保修及零配件易损件的长期供应、更换、及时响应维护等内容。质保期提供免费维修和维保</w:t>
      </w:r>
      <w:r>
        <w:rPr>
          <w:rFonts w:hint="eastAsia" w:ascii="华文仿宋" w:hAnsi="华文仿宋" w:eastAsia="华文仿宋" w:cs="华文仿宋"/>
          <w:color w:val="auto"/>
          <w:sz w:val="28"/>
          <w:szCs w:val="28"/>
          <w:highlight w:val="none"/>
          <w:u w:val="none"/>
          <w:lang w:val="en-US" w:eastAsia="zh-CN"/>
        </w:rPr>
        <w:t>。</w:t>
      </w:r>
    </w:p>
    <w:p w14:paraId="1D6BFD1B">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三、项目地点：</w:t>
      </w:r>
      <w:r>
        <w:rPr>
          <w:rFonts w:hint="eastAsia" w:ascii="华文仿宋" w:hAnsi="华文仿宋" w:eastAsia="华文仿宋" w:cs="华文仿宋"/>
          <w:color w:val="auto"/>
          <w:sz w:val="28"/>
          <w:szCs w:val="28"/>
          <w:highlight w:val="none"/>
        </w:rPr>
        <w:t>南京市水佐岗49号</w:t>
      </w:r>
      <w:r>
        <w:rPr>
          <w:rFonts w:hint="eastAsia" w:ascii="华文仿宋" w:hAnsi="华文仿宋" w:eastAsia="华文仿宋" w:cs="华文仿宋"/>
          <w:color w:val="auto"/>
          <w:sz w:val="30"/>
          <w:szCs w:val="30"/>
          <w:highlight w:val="none"/>
          <w:lang w:val="en-US" w:eastAsia="zh-CN"/>
        </w:rPr>
        <w:t xml:space="preserve"> </w:t>
      </w:r>
    </w:p>
    <w:p w14:paraId="09E57E51">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四、服务期限：</w:t>
      </w:r>
      <w:r>
        <w:rPr>
          <w:rFonts w:hint="eastAsia" w:ascii="华文仿宋" w:hAnsi="华文仿宋" w:eastAsia="华文仿宋" w:cs="华文仿宋"/>
          <w:color w:val="auto"/>
          <w:sz w:val="30"/>
          <w:szCs w:val="30"/>
          <w:highlight w:val="none"/>
          <w:lang w:val="en-US" w:eastAsia="zh-CN"/>
        </w:rPr>
        <w:t>60</w:t>
      </w:r>
      <w:r>
        <w:rPr>
          <w:rFonts w:hint="eastAsia" w:ascii="华文仿宋" w:hAnsi="华文仿宋" w:eastAsia="华文仿宋" w:cs="华文仿宋"/>
          <w:color w:val="auto"/>
          <w:sz w:val="30"/>
          <w:szCs w:val="30"/>
          <w:highlight w:val="none"/>
        </w:rPr>
        <w:t>日历天（</w:t>
      </w:r>
      <w:r>
        <w:rPr>
          <w:rFonts w:hint="eastAsia" w:ascii="华文仿宋" w:hAnsi="华文仿宋" w:eastAsia="华文仿宋" w:cs="华文仿宋"/>
          <w:color w:val="auto"/>
          <w:sz w:val="30"/>
          <w:szCs w:val="30"/>
          <w:highlight w:val="none"/>
          <w:lang w:val="en-US" w:eastAsia="zh-CN"/>
        </w:rPr>
        <w:t>2026年</w:t>
      </w:r>
      <w:r>
        <w:rPr>
          <w:rFonts w:hint="eastAsia" w:ascii="华文仿宋" w:hAnsi="华文仿宋" w:eastAsia="华文仿宋" w:cs="华文仿宋"/>
          <w:color w:val="auto"/>
          <w:sz w:val="30"/>
          <w:szCs w:val="30"/>
          <w:highlight w:val="none"/>
        </w:rPr>
        <w:t>8月20日前完成）</w:t>
      </w:r>
      <w:r>
        <w:rPr>
          <w:rFonts w:hint="eastAsia" w:ascii="华文仿宋" w:hAnsi="华文仿宋" w:eastAsia="华文仿宋" w:cs="华文仿宋"/>
          <w:color w:val="auto"/>
          <w:sz w:val="30"/>
          <w:szCs w:val="30"/>
          <w:highlight w:val="none"/>
          <w:lang w:val="en-US" w:eastAsia="zh-CN"/>
        </w:rPr>
        <w:t xml:space="preserve"> </w:t>
      </w:r>
    </w:p>
    <w:p w14:paraId="3D1DE343">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五、项目实施要求：</w:t>
      </w:r>
    </w:p>
    <w:p w14:paraId="343C3A86">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1、成交供应商提供的材料需满足国家及行业环保和质量标准。</w:t>
      </w:r>
    </w:p>
    <w:p w14:paraId="0247C25B">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2、施工要求</w:t>
      </w:r>
    </w:p>
    <w:p w14:paraId="0D0B6503">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（1）成交供应商应严格按照响应文件中提供的施工组织设计方案和进度计划表进行施工组织，并服从采购人的安排。</w:t>
      </w:r>
    </w:p>
    <w:p w14:paraId="6AE462A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（2）成交供应商负责组织专业技术人员到现场进行施工，采购人提供必需的基本条件和专人配合，保证各项工作顺利进行。</w:t>
      </w:r>
    </w:p>
    <w:p w14:paraId="27D7BA41">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3、验收标准：按国家有关规定执行。</w:t>
      </w:r>
    </w:p>
    <w:p w14:paraId="7D83859A">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4、项目实施时间服从采购人安排，不得影响采购人正常办公。</w:t>
      </w:r>
    </w:p>
    <w:p w14:paraId="5A1582E1">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六、施工现场管理要求：</w:t>
      </w:r>
    </w:p>
    <w:p w14:paraId="30A8BDDB">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1、施工期间要保持施工区域内环境整洁，施工产生的垃圾要求随产随清，装袋至采购人指定地点临时堆放，并自行负责搬运至城管部门指定的垃圾堆场。</w:t>
      </w:r>
    </w:p>
    <w:p w14:paraId="47E17D30">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2、严格遵守采购人场所管理规定自行考虑降效成本。</w:t>
      </w:r>
    </w:p>
    <w:p w14:paraId="6B5036F2">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七、报价要求：</w:t>
      </w:r>
    </w:p>
    <w:p w14:paraId="5E833D9C">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按工程量清单报价。</w:t>
      </w:r>
    </w:p>
    <w:p w14:paraId="635404A3">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供应商的任何错漏、优惠、竞争性报价不得作为减轻责任、减少服务、增加收费、降低质量的理由。</w:t>
      </w:r>
    </w:p>
    <w:p w14:paraId="1B2EFA8F">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八</w:t>
      </w:r>
      <w:r>
        <w:rPr>
          <w:rFonts w:hint="eastAsia" w:ascii="华文仿宋" w:hAnsi="华文仿宋" w:eastAsia="华文仿宋" w:cs="华文仿宋"/>
          <w:color w:val="auto"/>
          <w:sz w:val="30"/>
          <w:szCs w:val="30"/>
          <w:highlight w:val="none"/>
          <w:lang w:val="zh-CN"/>
        </w:rPr>
        <w:t>、其他说明：</w:t>
      </w:r>
    </w:p>
    <w:p w14:paraId="0D231C9C">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采购人向潜在供应商提供的有关本项目的资料和数据仅供潜在供应商参考。采购人对潜在供应商由此所做出的推论、理解和结论概不负责。</w:t>
      </w:r>
    </w:p>
    <w:p w14:paraId="3DD8B6DA">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确定为成交供应商后不得以不完全了解现场状况为由，而向采购方提出额外补偿费。</w:t>
      </w:r>
    </w:p>
    <w:p w14:paraId="08ACA79F">
      <w:pPr>
        <w:spacing w:line="560" w:lineRule="exact"/>
        <w:ind w:firstLine="601"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b/>
          <w:bCs/>
          <w:color w:val="auto"/>
          <w:sz w:val="30"/>
          <w:szCs w:val="30"/>
          <w:highlight w:val="none"/>
          <w:lang w:val="en-US" w:eastAsia="zh-CN"/>
        </w:rPr>
        <w:t>3、成交代理商在签订合同前应提交电梯制造商针对本项目的销售授权书。</w:t>
      </w:r>
    </w:p>
    <w:p w14:paraId="687044E3">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九、</w:t>
      </w:r>
      <w:bookmarkStart w:id="48" w:name="_Toc22755"/>
      <w:bookmarkStart w:id="49" w:name="_Toc488329636"/>
      <w:r>
        <w:rPr>
          <w:rFonts w:hint="eastAsia" w:ascii="华文仿宋" w:hAnsi="华文仿宋" w:eastAsia="华文仿宋" w:cs="华文仿宋"/>
          <w:color w:val="auto"/>
          <w:sz w:val="30"/>
          <w:szCs w:val="30"/>
          <w:highlight w:val="none"/>
        </w:rPr>
        <w:t>主要材料设备</w:t>
      </w:r>
    </w:p>
    <w:p w14:paraId="5B0BA90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eastAsia="zh-CN"/>
        </w:rPr>
      </w:pPr>
      <w:bookmarkStart w:id="50" w:name="OLE_LINK52"/>
      <w:r>
        <w:rPr>
          <w:rFonts w:hint="eastAsia" w:ascii="华文仿宋" w:hAnsi="华文仿宋" w:eastAsia="华文仿宋" w:cs="华文仿宋"/>
          <w:color w:val="auto"/>
          <w:sz w:val="30"/>
          <w:szCs w:val="30"/>
          <w:highlight w:val="none"/>
          <w:lang w:val="en-US" w:eastAsia="zh-CN"/>
        </w:rPr>
        <w:t>1、</w:t>
      </w:r>
      <w:r>
        <w:rPr>
          <w:rFonts w:hint="eastAsia" w:ascii="华文仿宋" w:hAnsi="华文仿宋" w:eastAsia="华文仿宋" w:cs="华文仿宋"/>
          <w:color w:val="auto"/>
          <w:sz w:val="30"/>
          <w:szCs w:val="30"/>
          <w:highlight w:val="none"/>
          <w:lang w:val="zh-CN"/>
        </w:rPr>
        <w:t>本项目主要</w:t>
      </w:r>
      <w:r>
        <w:rPr>
          <w:rFonts w:hint="eastAsia" w:ascii="华文仿宋" w:hAnsi="华文仿宋" w:eastAsia="华文仿宋" w:cs="华文仿宋"/>
          <w:color w:val="auto"/>
          <w:sz w:val="30"/>
          <w:szCs w:val="30"/>
          <w:highlight w:val="none"/>
          <w:lang w:val="en-US" w:eastAsia="zh-CN"/>
        </w:rPr>
        <w:t>设备的</w:t>
      </w:r>
      <w:r>
        <w:rPr>
          <w:rFonts w:hint="eastAsia" w:ascii="华文仿宋" w:hAnsi="华文仿宋" w:eastAsia="华文仿宋" w:cs="华文仿宋"/>
          <w:color w:val="auto"/>
          <w:sz w:val="30"/>
          <w:szCs w:val="30"/>
          <w:lang w:val="zh-CN"/>
        </w:rPr>
        <w:t>技术标准和质量要求参考</w:t>
      </w:r>
      <w:r>
        <w:rPr>
          <w:rFonts w:hint="eastAsia" w:ascii="华文仿宋" w:hAnsi="华文仿宋" w:eastAsia="华文仿宋" w:cs="华文仿宋"/>
          <w:color w:val="auto"/>
          <w:sz w:val="30"/>
          <w:szCs w:val="30"/>
          <w:highlight w:val="none"/>
          <w:lang w:val="zh-CN"/>
        </w:rPr>
        <w:t>如下品牌：</w:t>
      </w:r>
    </w:p>
    <w:tbl>
      <w:tblPr>
        <w:tblStyle w:val="70"/>
        <w:tblW w:w="8478"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746"/>
        <w:gridCol w:w="3529"/>
        <w:gridCol w:w="2273"/>
      </w:tblGrid>
      <w:tr w14:paraId="4C2B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30" w:type="dxa"/>
            <w:vAlign w:val="center"/>
          </w:tcPr>
          <w:p w14:paraId="0F680D24">
            <w:pPr>
              <w:autoSpaceDE w:val="0"/>
              <w:autoSpaceDN w:val="0"/>
              <w:adjustRightInd w:val="0"/>
              <w:spacing w:line="560" w:lineRule="exact"/>
              <w:jc w:val="center"/>
              <w:outlineLvl w:val="0"/>
              <w:rPr>
                <w:rFonts w:hint="eastAsia" w:ascii="华文仿宋" w:hAnsi="华文仿宋" w:eastAsia="华文仿宋" w:cs="华文仿宋"/>
                <w:b/>
                <w:bCs/>
                <w:color w:val="auto"/>
                <w:sz w:val="30"/>
                <w:szCs w:val="30"/>
                <w:highlight w:val="none"/>
                <w:lang w:val="zh-CN"/>
              </w:rPr>
            </w:pPr>
            <w:r>
              <w:rPr>
                <w:rFonts w:hint="eastAsia" w:ascii="华文仿宋" w:hAnsi="华文仿宋" w:eastAsia="华文仿宋" w:cs="华文仿宋"/>
                <w:b/>
                <w:bCs/>
                <w:color w:val="auto"/>
                <w:sz w:val="30"/>
                <w:szCs w:val="30"/>
                <w:highlight w:val="none"/>
                <w:lang w:val="zh-CN"/>
              </w:rPr>
              <w:t>序号</w:t>
            </w:r>
          </w:p>
        </w:tc>
        <w:tc>
          <w:tcPr>
            <w:tcW w:w="1746" w:type="dxa"/>
            <w:vAlign w:val="center"/>
          </w:tcPr>
          <w:p w14:paraId="284F67B5">
            <w:pPr>
              <w:autoSpaceDE w:val="0"/>
              <w:autoSpaceDN w:val="0"/>
              <w:adjustRightInd w:val="0"/>
              <w:spacing w:line="560" w:lineRule="exact"/>
              <w:ind w:left="0" w:leftChars="0" w:firstLine="0" w:firstLineChars="0"/>
              <w:jc w:val="center"/>
              <w:outlineLvl w:val="0"/>
              <w:rPr>
                <w:rFonts w:hint="eastAsia" w:ascii="华文仿宋" w:hAnsi="华文仿宋" w:eastAsia="华文仿宋" w:cs="华文仿宋"/>
                <w:b/>
                <w:bCs/>
                <w:color w:val="auto"/>
                <w:sz w:val="30"/>
                <w:szCs w:val="30"/>
                <w:highlight w:val="none"/>
                <w:lang w:val="zh-CN"/>
              </w:rPr>
            </w:pPr>
            <w:r>
              <w:rPr>
                <w:rFonts w:hint="eastAsia" w:ascii="华文仿宋" w:hAnsi="华文仿宋" w:eastAsia="华文仿宋" w:cs="华文仿宋"/>
                <w:b/>
                <w:bCs/>
                <w:color w:val="auto"/>
                <w:sz w:val="30"/>
                <w:szCs w:val="30"/>
                <w:highlight w:val="none"/>
                <w:lang w:val="zh-CN"/>
              </w:rPr>
              <w:t>设备名称</w:t>
            </w:r>
          </w:p>
        </w:tc>
        <w:tc>
          <w:tcPr>
            <w:tcW w:w="3529" w:type="dxa"/>
            <w:vAlign w:val="center"/>
          </w:tcPr>
          <w:p w14:paraId="0044F3A3">
            <w:pPr>
              <w:autoSpaceDE w:val="0"/>
              <w:autoSpaceDN w:val="0"/>
              <w:adjustRightInd w:val="0"/>
              <w:spacing w:line="560" w:lineRule="exact"/>
              <w:jc w:val="center"/>
              <w:outlineLvl w:val="0"/>
              <w:rPr>
                <w:rFonts w:hint="eastAsia" w:ascii="华文仿宋" w:hAnsi="华文仿宋" w:eastAsia="华文仿宋" w:cs="华文仿宋"/>
                <w:b/>
                <w:bCs/>
                <w:color w:val="auto"/>
                <w:sz w:val="30"/>
                <w:szCs w:val="30"/>
                <w:highlight w:val="none"/>
                <w:lang w:val="zh-CN"/>
              </w:rPr>
            </w:pPr>
            <w:r>
              <w:rPr>
                <w:rFonts w:hint="eastAsia" w:ascii="华文仿宋" w:hAnsi="华文仿宋" w:eastAsia="华文仿宋" w:cs="华文仿宋"/>
                <w:b/>
                <w:bCs/>
                <w:color w:val="auto"/>
                <w:sz w:val="30"/>
                <w:szCs w:val="30"/>
                <w:highlight w:val="none"/>
                <w:lang w:val="en-US" w:eastAsia="zh-CN"/>
              </w:rPr>
              <w:t>参考</w:t>
            </w:r>
            <w:r>
              <w:rPr>
                <w:rFonts w:hint="eastAsia" w:ascii="华文仿宋" w:hAnsi="华文仿宋" w:eastAsia="华文仿宋" w:cs="华文仿宋"/>
                <w:b/>
                <w:bCs/>
                <w:color w:val="auto"/>
                <w:sz w:val="30"/>
                <w:szCs w:val="30"/>
                <w:highlight w:val="none"/>
                <w:lang w:val="zh-CN"/>
              </w:rPr>
              <w:t>品牌</w:t>
            </w:r>
          </w:p>
        </w:tc>
        <w:tc>
          <w:tcPr>
            <w:tcW w:w="2273" w:type="dxa"/>
            <w:vAlign w:val="center"/>
          </w:tcPr>
          <w:p w14:paraId="7BFE04D2">
            <w:pPr>
              <w:autoSpaceDE w:val="0"/>
              <w:autoSpaceDN w:val="0"/>
              <w:adjustRightInd w:val="0"/>
              <w:spacing w:line="560" w:lineRule="exact"/>
              <w:ind w:left="0" w:leftChars="0" w:firstLine="0" w:firstLineChars="0"/>
              <w:jc w:val="center"/>
              <w:outlineLvl w:val="0"/>
              <w:rPr>
                <w:rFonts w:hint="default" w:ascii="华文仿宋" w:hAnsi="华文仿宋" w:eastAsia="华文仿宋" w:cs="华文仿宋"/>
                <w:b/>
                <w:bCs/>
                <w:color w:val="auto"/>
                <w:sz w:val="30"/>
                <w:szCs w:val="30"/>
                <w:highlight w:val="none"/>
                <w:lang w:val="en-US" w:eastAsia="zh-CN"/>
              </w:rPr>
            </w:pPr>
            <w:r>
              <w:rPr>
                <w:rFonts w:hint="eastAsia" w:ascii="华文仿宋" w:hAnsi="华文仿宋" w:eastAsia="华文仿宋" w:cs="华文仿宋"/>
                <w:b/>
                <w:bCs/>
                <w:color w:val="auto"/>
                <w:sz w:val="30"/>
                <w:szCs w:val="30"/>
                <w:highlight w:val="none"/>
                <w:lang w:val="en-US" w:eastAsia="zh-CN"/>
              </w:rPr>
              <w:t>备注</w:t>
            </w:r>
          </w:p>
        </w:tc>
      </w:tr>
      <w:tr w14:paraId="2F70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930" w:type="dxa"/>
            <w:vAlign w:val="center"/>
          </w:tcPr>
          <w:p w14:paraId="0726CAF8">
            <w:pPr>
              <w:autoSpaceDE w:val="0"/>
              <w:autoSpaceDN w:val="0"/>
              <w:adjustRightInd w:val="0"/>
              <w:spacing w:line="560" w:lineRule="exact"/>
              <w:jc w:val="center"/>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1</w:t>
            </w:r>
          </w:p>
        </w:tc>
        <w:tc>
          <w:tcPr>
            <w:tcW w:w="1746" w:type="dxa"/>
            <w:vAlign w:val="center"/>
          </w:tcPr>
          <w:p w14:paraId="73327E8C">
            <w:pPr>
              <w:autoSpaceDE w:val="0"/>
              <w:autoSpaceDN w:val="0"/>
              <w:adjustRightInd w:val="0"/>
              <w:spacing w:line="560" w:lineRule="exact"/>
              <w:ind w:left="0" w:leftChars="0" w:firstLine="0" w:firstLineChars="0"/>
              <w:jc w:val="center"/>
              <w:outlineLvl w:val="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电梯</w:t>
            </w:r>
          </w:p>
        </w:tc>
        <w:tc>
          <w:tcPr>
            <w:tcW w:w="3529" w:type="dxa"/>
            <w:vAlign w:val="center"/>
          </w:tcPr>
          <w:p w14:paraId="715DBD50">
            <w:pPr>
              <w:autoSpaceDE w:val="0"/>
              <w:autoSpaceDN w:val="0"/>
              <w:adjustRightInd w:val="0"/>
              <w:spacing w:line="560" w:lineRule="exact"/>
              <w:ind w:left="0" w:leftChars="0" w:firstLine="0" w:firstLineChars="0"/>
              <w:jc w:val="center"/>
              <w:outlineLvl w:val="0"/>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蒂升、奥的斯、上海三菱</w:t>
            </w:r>
          </w:p>
        </w:tc>
        <w:tc>
          <w:tcPr>
            <w:tcW w:w="2273" w:type="dxa"/>
            <w:vAlign w:val="center"/>
          </w:tcPr>
          <w:p w14:paraId="4FDCF142">
            <w:pPr>
              <w:autoSpaceDE w:val="0"/>
              <w:autoSpaceDN w:val="0"/>
              <w:adjustRightInd w:val="0"/>
              <w:spacing w:line="560" w:lineRule="exact"/>
              <w:ind w:firstLine="0" w:firstLineChars="0"/>
              <w:jc w:val="left"/>
              <w:outlineLvl w:val="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b/>
                <w:bCs/>
                <w:color w:val="auto"/>
                <w:sz w:val="30"/>
                <w:szCs w:val="30"/>
                <w:highlight w:val="none"/>
                <w:lang w:val="en-US" w:eastAsia="zh-CN"/>
              </w:rPr>
              <w:t>或同档次品牌</w:t>
            </w:r>
          </w:p>
        </w:tc>
      </w:tr>
      <w:bookmarkEnd w:id="50"/>
    </w:tbl>
    <w:p w14:paraId="05022D47">
      <w:pPr>
        <w:numPr>
          <w:ilvl w:val="0"/>
          <w:numId w:val="7"/>
        </w:num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lang w:val="en-US" w:eastAsia="zh-CN"/>
        </w:rPr>
      </w:pPr>
      <w:r>
        <w:rPr>
          <w:rFonts w:hint="eastAsia" w:ascii="华文仿宋" w:hAnsi="华文仿宋" w:eastAsia="华文仿宋" w:cs="华文仿宋"/>
          <w:color w:val="auto"/>
          <w:sz w:val="30"/>
          <w:szCs w:val="30"/>
          <w:lang w:val="en-US" w:eastAsia="zh-CN"/>
        </w:rPr>
        <w:t>电梯专用空调由供应商同步配置，应为知名品牌，质保期与电梯整机相同。</w:t>
      </w:r>
    </w:p>
    <w:p w14:paraId="6B2C43EA">
      <w:pPr>
        <w:numPr>
          <w:ilvl w:val="0"/>
          <w:numId w:val="7"/>
        </w:num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lang w:val="en-US" w:eastAsia="zh-CN"/>
        </w:rPr>
      </w:pPr>
      <w:r>
        <w:rPr>
          <w:rFonts w:hint="eastAsia" w:ascii="华文仿宋" w:hAnsi="华文仿宋" w:eastAsia="华文仿宋" w:cs="华文仿宋"/>
          <w:color w:val="auto"/>
          <w:sz w:val="30"/>
          <w:szCs w:val="30"/>
          <w:lang w:val="en-US" w:eastAsia="zh-CN"/>
        </w:rPr>
        <w:t>轿厢摄像头应为原品牌的最新产品，像素分辨率等参数指标不低于原有产品，保证与校区监控系统兼容。</w:t>
      </w:r>
    </w:p>
    <w:p w14:paraId="7F5980AA">
      <w:pPr>
        <w:numPr>
          <w:ilvl w:val="0"/>
          <w:numId w:val="0"/>
        </w:num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lang w:val="en-US" w:eastAsia="zh-CN"/>
        </w:rPr>
      </w:pPr>
      <w:r>
        <w:rPr>
          <w:rFonts w:hint="eastAsia" w:ascii="华文仿宋" w:hAnsi="华文仿宋" w:eastAsia="华文仿宋" w:cs="华文仿宋"/>
          <w:color w:val="auto"/>
          <w:sz w:val="30"/>
          <w:szCs w:val="30"/>
          <w:lang w:val="zh-CN"/>
        </w:rPr>
        <w:t>主要</w:t>
      </w:r>
      <w:r>
        <w:rPr>
          <w:rFonts w:hint="eastAsia" w:ascii="华文仿宋" w:hAnsi="华文仿宋" w:eastAsia="华文仿宋" w:cs="华文仿宋"/>
          <w:color w:val="auto"/>
          <w:sz w:val="30"/>
          <w:szCs w:val="30"/>
          <w:lang w:val="en-US" w:eastAsia="zh-CN"/>
        </w:rPr>
        <w:t>设备</w:t>
      </w:r>
      <w:r>
        <w:rPr>
          <w:rFonts w:hint="eastAsia" w:ascii="华文仿宋" w:hAnsi="华文仿宋" w:eastAsia="华文仿宋" w:cs="华文仿宋"/>
          <w:color w:val="auto"/>
          <w:sz w:val="30"/>
          <w:szCs w:val="30"/>
          <w:lang w:val="zh-CN"/>
        </w:rPr>
        <w:t>技术标准和质量要求的说明：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p>
    <w:p w14:paraId="72FC4152">
      <w:pPr>
        <w:numPr>
          <w:ilvl w:val="0"/>
          <w:numId w:val="0"/>
        </w:num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lang w:val="en-US" w:eastAsia="zh-CN"/>
        </w:rPr>
      </w:pPr>
      <w:r>
        <w:rPr>
          <w:rFonts w:hint="eastAsia" w:ascii="华文仿宋" w:hAnsi="华文仿宋" w:eastAsia="华文仿宋" w:cs="华文仿宋"/>
          <w:color w:val="auto"/>
          <w:sz w:val="30"/>
          <w:szCs w:val="30"/>
          <w:lang w:val="en-US" w:eastAsia="zh-CN"/>
        </w:rPr>
        <w:t>十、技术标准及相关要求</w:t>
      </w:r>
    </w:p>
    <w:p w14:paraId="5F6C0F3F">
      <w:pPr>
        <w:numPr>
          <w:ilvl w:val="0"/>
          <w:numId w:val="0"/>
        </w:numPr>
        <w:spacing w:before="306" w:line="240" w:lineRule="auto"/>
        <w:ind w:firstLine="220" w:firstLineChars="83"/>
        <w:outlineLvl w:val="1"/>
        <w:rPr>
          <w:rFonts w:hint="default" w:ascii="宋体" w:hAnsi="宋体" w:eastAsia="宋体" w:cs="宋体"/>
          <w:b w:val="0"/>
          <w:bCs w:val="0"/>
          <w:color w:val="auto"/>
          <w:spacing w:val="-8"/>
          <w:sz w:val="28"/>
          <w:szCs w:val="28"/>
          <w:lang w:val="en-US" w:eastAsia="zh-CN"/>
        </w:rPr>
      </w:pPr>
      <w:r>
        <w:rPr>
          <w:rFonts w:hint="eastAsia" w:ascii="方正仿宋_GB2312" w:hAnsi="方正仿宋_GB2312" w:eastAsia="方正仿宋_GB2312" w:cs="方正仿宋_GB2312"/>
          <w:b/>
          <w:bCs/>
          <w:color w:val="auto"/>
          <w:spacing w:val="-8"/>
          <w:sz w:val="28"/>
          <w:szCs w:val="28"/>
          <w:lang w:val="en-US" w:eastAsia="zh-CN"/>
        </w:rPr>
        <w:t>1、原有电梯详细参数</w:t>
      </w:r>
    </w:p>
    <w:p w14:paraId="5A0D00A9">
      <w:pPr>
        <w:spacing w:line="67" w:lineRule="exact"/>
        <w:rPr>
          <w:color w:val="auto"/>
        </w:rPr>
      </w:pPr>
    </w:p>
    <w:tbl>
      <w:tblPr>
        <w:tblStyle w:val="410"/>
        <w:tblW w:w="8976"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512"/>
        <w:gridCol w:w="1212"/>
        <w:gridCol w:w="1356"/>
        <w:gridCol w:w="997"/>
        <w:gridCol w:w="1090"/>
        <w:gridCol w:w="1054"/>
        <w:gridCol w:w="926"/>
        <w:gridCol w:w="769"/>
        <w:gridCol w:w="1060"/>
      </w:tblGrid>
      <w:tr w14:paraId="027E62E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40" w:hRule="atLeast"/>
          <w:tblHeader/>
          <w:jc w:val="center"/>
        </w:trPr>
        <w:tc>
          <w:tcPr>
            <w:tcW w:w="512" w:type="dxa"/>
            <w:tcBorders>
              <w:tl2br w:val="nil"/>
              <w:tr2bl w:val="nil"/>
            </w:tcBorders>
            <w:vAlign w:val="center"/>
          </w:tcPr>
          <w:p w14:paraId="0245A3AA">
            <w:pPr>
              <w:snapToGrid w:val="0"/>
              <w:spacing w:before="103" w:line="240" w:lineRule="auto"/>
              <w:ind w:left="0" w:leftChars="0" w:right="0" w:rightChars="0" w:firstLine="0" w:firstLineChars="0"/>
              <w:jc w:val="center"/>
              <w:rPr>
                <w:rFonts w:hint="eastAsia" w:ascii="方正仿宋_GB2312" w:hAnsi="方正仿宋_GB2312" w:eastAsia="方正仿宋_GB2312" w:cs="方正仿宋_GB2312"/>
                <w:b/>
                <w:bCs/>
                <w:color w:val="auto"/>
                <w:spacing w:val="-16"/>
                <w:w w:val="95"/>
                <w:sz w:val="24"/>
                <w:szCs w:val="24"/>
                <w:lang w:val="en-US" w:eastAsia="zh-CN"/>
              </w:rPr>
            </w:pPr>
            <w:r>
              <w:rPr>
                <w:rFonts w:hint="eastAsia" w:ascii="方正仿宋_GB2312" w:hAnsi="方正仿宋_GB2312" w:eastAsia="方正仿宋_GB2312" w:cs="方正仿宋_GB2312"/>
                <w:b/>
                <w:bCs/>
                <w:color w:val="auto"/>
                <w:spacing w:val="-16"/>
                <w:w w:val="95"/>
                <w:sz w:val="24"/>
                <w:szCs w:val="24"/>
                <w:lang w:val="en-US" w:eastAsia="zh-CN"/>
              </w:rPr>
              <w:t>序号</w:t>
            </w:r>
          </w:p>
        </w:tc>
        <w:tc>
          <w:tcPr>
            <w:tcW w:w="1212" w:type="dxa"/>
            <w:tcBorders>
              <w:tl2br w:val="nil"/>
              <w:tr2bl w:val="nil"/>
            </w:tcBorders>
            <w:vAlign w:val="center"/>
          </w:tcPr>
          <w:p w14:paraId="2C639F97">
            <w:pPr>
              <w:snapToGrid w:val="0"/>
              <w:spacing w:before="103" w:line="240" w:lineRule="auto"/>
              <w:ind w:left="0" w:leftChars="0" w:right="0" w:rightChars="0" w:firstLine="0" w:firstLineChars="0"/>
              <w:jc w:val="center"/>
              <w:rPr>
                <w:rFonts w:hint="eastAsia" w:ascii="方正仿宋_GB2312" w:hAnsi="方正仿宋_GB2312" w:eastAsia="方正仿宋_GB2312" w:cs="方正仿宋_GB2312"/>
                <w:b/>
                <w:bCs/>
                <w:color w:val="auto"/>
                <w:spacing w:val="-16"/>
                <w:w w:val="95"/>
                <w:sz w:val="24"/>
                <w:szCs w:val="24"/>
              </w:rPr>
            </w:pPr>
            <w:r>
              <w:rPr>
                <w:rFonts w:hint="eastAsia" w:ascii="方正仿宋_GB2312" w:hAnsi="方正仿宋_GB2312" w:eastAsia="方正仿宋_GB2312" w:cs="方正仿宋_GB2312"/>
                <w:b/>
                <w:bCs/>
                <w:color w:val="auto"/>
                <w:spacing w:val="-16"/>
                <w:w w:val="95"/>
                <w:sz w:val="24"/>
                <w:szCs w:val="24"/>
                <w:lang w:val="en-US" w:eastAsia="zh-CN"/>
              </w:rPr>
              <w:t>原</w:t>
            </w:r>
            <w:r>
              <w:rPr>
                <w:rFonts w:hint="eastAsia" w:ascii="方正仿宋_GB2312" w:hAnsi="方正仿宋_GB2312" w:eastAsia="方正仿宋_GB2312" w:cs="方正仿宋_GB2312"/>
                <w:b/>
                <w:bCs/>
                <w:color w:val="auto"/>
                <w:spacing w:val="-16"/>
                <w:w w:val="95"/>
                <w:sz w:val="24"/>
                <w:szCs w:val="24"/>
              </w:rPr>
              <w:t>品牌</w:t>
            </w:r>
          </w:p>
        </w:tc>
        <w:tc>
          <w:tcPr>
            <w:tcW w:w="1356" w:type="dxa"/>
            <w:tcBorders>
              <w:tl2br w:val="nil"/>
              <w:tr2bl w:val="nil"/>
            </w:tcBorders>
            <w:vAlign w:val="center"/>
          </w:tcPr>
          <w:p w14:paraId="6111DCC2">
            <w:pPr>
              <w:snapToGrid w:val="0"/>
              <w:spacing w:before="103" w:line="240" w:lineRule="auto"/>
              <w:ind w:left="0" w:leftChars="0" w:right="0" w:rightChars="0" w:firstLine="0" w:firstLineChars="0"/>
              <w:jc w:val="center"/>
              <w:rPr>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pacing w:val="-2"/>
                <w:sz w:val="24"/>
                <w:szCs w:val="24"/>
                <w:lang w:val="en-US" w:eastAsia="zh-CN"/>
              </w:rPr>
              <w:t>类</w:t>
            </w:r>
            <w:r>
              <w:rPr>
                <w:rFonts w:hint="eastAsia" w:ascii="方正仿宋_GB2312" w:hAnsi="方正仿宋_GB2312" w:eastAsia="方正仿宋_GB2312" w:cs="方正仿宋_GB2312"/>
                <w:b/>
                <w:bCs/>
                <w:color w:val="auto"/>
                <w:spacing w:val="-2"/>
                <w:sz w:val="24"/>
                <w:szCs w:val="24"/>
              </w:rPr>
              <w:t>型</w:t>
            </w:r>
          </w:p>
        </w:tc>
        <w:tc>
          <w:tcPr>
            <w:tcW w:w="997" w:type="dxa"/>
            <w:tcBorders>
              <w:tl2br w:val="nil"/>
              <w:tr2bl w:val="nil"/>
            </w:tcBorders>
            <w:vAlign w:val="center"/>
          </w:tcPr>
          <w:p w14:paraId="3F39570B">
            <w:pPr>
              <w:snapToGrid w:val="0"/>
              <w:spacing w:before="310" w:line="240" w:lineRule="auto"/>
              <w:ind w:left="0" w:leftChars="0" w:right="0" w:rightChars="0" w:firstLine="0" w:firstLineChars="0"/>
              <w:jc w:val="center"/>
              <w:rPr>
                <w:rFonts w:hint="eastAsia" w:ascii="方正仿宋_GB2312" w:hAnsi="方正仿宋_GB2312" w:eastAsia="方正仿宋_GB2312" w:cs="方正仿宋_GB2312"/>
                <w:b/>
                <w:bCs/>
                <w:color w:val="auto"/>
                <w:sz w:val="24"/>
                <w:szCs w:val="24"/>
                <w:lang w:val="en-US" w:eastAsia="zh-CN"/>
              </w:rPr>
            </w:pPr>
            <w:r>
              <w:rPr>
                <w:rFonts w:hint="eastAsia" w:ascii="方正仿宋_GB2312" w:hAnsi="方正仿宋_GB2312" w:eastAsia="方正仿宋_GB2312" w:cs="方正仿宋_GB2312"/>
                <w:b/>
                <w:bCs/>
                <w:color w:val="auto"/>
                <w:sz w:val="24"/>
                <w:szCs w:val="24"/>
                <w:lang w:val="en-US" w:eastAsia="zh-CN"/>
              </w:rPr>
              <w:t>位置</w:t>
            </w:r>
          </w:p>
        </w:tc>
        <w:tc>
          <w:tcPr>
            <w:tcW w:w="1090" w:type="dxa"/>
            <w:tcBorders>
              <w:tl2br w:val="nil"/>
              <w:tr2bl w:val="nil"/>
            </w:tcBorders>
            <w:vAlign w:val="center"/>
          </w:tcPr>
          <w:p w14:paraId="3A1C8927">
            <w:pPr>
              <w:snapToGrid w:val="0"/>
              <w:spacing w:before="315" w:line="240" w:lineRule="auto"/>
              <w:ind w:left="0" w:leftChars="0" w:right="0" w:rightChars="0" w:firstLine="0" w:firstLineChars="0"/>
              <w:jc w:val="center"/>
              <w:rPr>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pacing w:val="-3"/>
                <w:sz w:val="24"/>
                <w:szCs w:val="24"/>
              </w:rPr>
              <w:t>型号</w:t>
            </w:r>
          </w:p>
        </w:tc>
        <w:tc>
          <w:tcPr>
            <w:tcW w:w="1054" w:type="dxa"/>
            <w:tcBorders>
              <w:tl2br w:val="nil"/>
              <w:tr2bl w:val="nil"/>
            </w:tcBorders>
            <w:vAlign w:val="center"/>
          </w:tcPr>
          <w:p w14:paraId="0140C9BF">
            <w:pPr>
              <w:snapToGrid w:val="0"/>
              <w:spacing w:before="103" w:line="240" w:lineRule="auto"/>
              <w:ind w:left="0" w:leftChars="0" w:right="0" w:rightChars="0" w:firstLine="0" w:firstLineChars="0"/>
              <w:jc w:val="center"/>
              <w:rPr>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pacing w:val="-2"/>
                <w:sz w:val="24"/>
                <w:szCs w:val="24"/>
              </w:rPr>
              <w:t>制造日</w:t>
            </w:r>
            <w:r>
              <w:rPr>
                <w:rFonts w:hint="eastAsia" w:ascii="方正仿宋_GB2312" w:hAnsi="方正仿宋_GB2312" w:eastAsia="方正仿宋_GB2312" w:cs="方正仿宋_GB2312"/>
                <w:b/>
                <w:bCs/>
                <w:color w:val="auto"/>
                <w:sz w:val="24"/>
                <w:szCs w:val="24"/>
              </w:rPr>
              <w:t>期</w:t>
            </w:r>
          </w:p>
        </w:tc>
        <w:tc>
          <w:tcPr>
            <w:tcW w:w="926" w:type="dxa"/>
            <w:tcBorders>
              <w:tl2br w:val="nil"/>
              <w:tr2bl w:val="nil"/>
            </w:tcBorders>
            <w:vAlign w:val="center"/>
          </w:tcPr>
          <w:p w14:paraId="7505F033">
            <w:pPr>
              <w:snapToGrid w:val="0"/>
              <w:spacing w:before="103" w:line="240" w:lineRule="auto"/>
              <w:ind w:left="0" w:leftChars="0" w:right="0" w:rightChars="0" w:firstLine="0" w:firstLineChars="0"/>
              <w:jc w:val="center"/>
              <w:rPr>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pacing w:val="-1"/>
                <w:sz w:val="24"/>
                <w:szCs w:val="24"/>
              </w:rPr>
              <w:t>层/站/</w:t>
            </w:r>
            <w:r>
              <w:rPr>
                <w:rFonts w:hint="eastAsia" w:ascii="方正仿宋_GB2312" w:hAnsi="方正仿宋_GB2312" w:eastAsia="方正仿宋_GB2312" w:cs="方正仿宋_GB2312"/>
                <w:b/>
                <w:bCs/>
                <w:color w:val="auto"/>
                <w:sz w:val="24"/>
                <w:szCs w:val="24"/>
              </w:rPr>
              <w:t>门</w:t>
            </w:r>
          </w:p>
        </w:tc>
        <w:tc>
          <w:tcPr>
            <w:tcW w:w="769" w:type="dxa"/>
            <w:tcBorders>
              <w:tl2br w:val="nil"/>
              <w:tr2bl w:val="nil"/>
            </w:tcBorders>
            <w:vAlign w:val="center"/>
          </w:tcPr>
          <w:p w14:paraId="52189E71">
            <w:pPr>
              <w:snapToGrid w:val="0"/>
              <w:spacing w:before="208" w:line="240" w:lineRule="auto"/>
              <w:ind w:left="0" w:leftChars="0" w:right="0" w:rightChars="0" w:firstLine="0" w:firstLineChars="0"/>
              <w:jc w:val="center"/>
              <w:rPr>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pacing w:val="-3"/>
                <w:sz w:val="24"/>
                <w:szCs w:val="24"/>
              </w:rPr>
              <w:t>载重</w:t>
            </w:r>
          </w:p>
        </w:tc>
        <w:tc>
          <w:tcPr>
            <w:tcW w:w="1060" w:type="dxa"/>
            <w:tcBorders>
              <w:tl2br w:val="nil"/>
              <w:tr2bl w:val="nil"/>
            </w:tcBorders>
            <w:vAlign w:val="center"/>
          </w:tcPr>
          <w:p w14:paraId="15969D1E">
            <w:pPr>
              <w:snapToGrid w:val="0"/>
              <w:spacing w:before="103" w:line="240" w:lineRule="auto"/>
              <w:ind w:left="0" w:leftChars="0" w:right="0" w:rightChars="0" w:firstLine="0" w:firstLineChars="0"/>
              <w:jc w:val="center"/>
              <w:rPr>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pacing w:val="-3"/>
                <w:sz w:val="24"/>
                <w:szCs w:val="24"/>
                <w:lang w:val="en-US" w:eastAsia="zh-CN"/>
              </w:rPr>
              <w:t>运行</w:t>
            </w:r>
            <w:r>
              <w:rPr>
                <w:rFonts w:hint="eastAsia" w:ascii="方正仿宋_GB2312" w:hAnsi="方正仿宋_GB2312" w:eastAsia="方正仿宋_GB2312" w:cs="方正仿宋_GB2312"/>
                <w:b/>
                <w:bCs/>
                <w:color w:val="auto"/>
                <w:spacing w:val="-3"/>
                <w:sz w:val="24"/>
                <w:szCs w:val="24"/>
              </w:rPr>
              <w:t>速度</w:t>
            </w:r>
          </w:p>
        </w:tc>
      </w:tr>
      <w:tr w14:paraId="287CDCF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85" w:hRule="atLeast"/>
          <w:jc w:val="center"/>
        </w:trPr>
        <w:tc>
          <w:tcPr>
            <w:tcW w:w="512" w:type="dxa"/>
            <w:tcBorders>
              <w:tl2br w:val="nil"/>
              <w:tr2bl w:val="nil"/>
            </w:tcBorders>
            <w:vAlign w:val="center"/>
          </w:tcPr>
          <w:p w14:paraId="306FB540">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6"/>
                <w:sz w:val="24"/>
                <w:szCs w:val="24"/>
                <w:lang w:val="en-US" w:eastAsia="zh-CN"/>
              </w:rPr>
            </w:pPr>
            <w:r>
              <w:rPr>
                <w:rFonts w:hint="eastAsia" w:ascii="方正仿宋_GB2312" w:hAnsi="方正仿宋_GB2312" w:eastAsia="方正仿宋_GB2312" w:cs="方正仿宋_GB2312"/>
                <w:color w:val="auto"/>
                <w:spacing w:val="6"/>
                <w:sz w:val="24"/>
                <w:szCs w:val="24"/>
                <w:lang w:val="en-US" w:eastAsia="zh-CN"/>
              </w:rPr>
              <w:t>1</w:t>
            </w:r>
          </w:p>
        </w:tc>
        <w:tc>
          <w:tcPr>
            <w:tcW w:w="1212" w:type="dxa"/>
            <w:tcBorders>
              <w:tl2br w:val="nil"/>
              <w:tr2bl w:val="nil"/>
            </w:tcBorders>
            <w:vAlign w:val="center"/>
          </w:tcPr>
          <w:p w14:paraId="125742FA">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6"/>
                <w:sz w:val="24"/>
                <w:szCs w:val="24"/>
              </w:rPr>
              <w:t>奥的斯电</w:t>
            </w:r>
            <w:r>
              <w:rPr>
                <w:rFonts w:hint="eastAsia" w:ascii="方正仿宋_GB2312" w:hAnsi="方正仿宋_GB2312" w:eastAsia="方正仿宋_GB2312" w:cs="方正仿宋_GB2312"/>
                <w:color w:val="auto"/>
                <w:spacing w:val="-2"/>
                <w:sz w:val="24"/>
                <w:szCs w:val="24"/>
              </w:rPr>
              <w:t>梯（中国）</w:t>
            </w:r>
            <w:r>
              <w:rPr>
                <w:rFonts w:hint="eastAsia" w:ascii="方正仿宋_GB2312" w:hAnsi="方正仿宋_GB2312" w:eastAsia="方正仿宋_GB2312" w:cs="方正仿宋_GB2312"/>
                <w:color w:val="auto"/>
                <w:spacing w:val="16"/>
                <w:sz w:val="24"/>
                <w:szCs w:val="24"/>
              </w:rPr>
              <w:t>有限公司</w:t>
            </w:r>
          </w:p>
        </w:tc>
        <w:tc>
          <w:tcPr>
            <w:tcW w:w="1356" w:type="dxa"/>
            <w:tcBorders>
              <w:tl2br w:val="nil"/>
              <w:tr2bl w:val="nil"/>
            </w:tcBorders>
            <w:vAlign w:val="center"/>
          </w:tcPr>
          <w:p w14:paraId="240D15CC">
            <w:pPr>
              <w:pStyle w:val="415"/>
              <w:snapToGrid w:val="0"/>
              <w:spacing w:before="59"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sz w:val="24"/>
                <w:szCs w:val="24"/>
              </w:rPr>
              <w:t>曳引驱</w:t>
            </w:r>
            <w:r>
              <w:rPr>
                <w:rFonts w:hint="eastAsia" w:ascii="方正仿宋_GB2312" w:hAnsi="方正仿宋_GB2312" w:eastAsia="方正仿宋_GB2312" w:cs="方正仿宋_GB2312"/>
                <w:color w:val="auto"/>
                <w:spacing w:val="7"/>
                <w:sz w:val="24"/>
                <w:szCs w:val="24"/>
              </w:rPr>
              <w:t>动乘客</w:t>
            </w:r>
            <w:r>
              <w:rPr>
                <w:rFonts w:hint="eastAsia" w:ascii="方正仿宋_GB2312" w:hAnsi="方正仿宋_GB2312" w:eastAsia="方正仿宋_GB2312" w:cs="方正仿宋_GB2312"/>
                <w:color w:val="auto"/>
                <w:spacing w:val="-7"/>
                <w:sz w:val="24"/>
                <w:szCs w:val="24"/>
              </w:rPr>
              <w:t>电梯</w:t>
            </w:r>
            <w:r>
              <w:rPr>
                <w:rFonts w:hint="eastAsia" w:ascii="方正仿宋_GB2312" w:hAnsi="方正仿宋_GB2312" w:eastAsia="方正仿宋_GB2312" w:cs="方正仿宋_GB2312"/>
                <w:color w:val="auto"/>
                <w:spacing w:val="4"/>
                <w:sz w:val="24"/>
                <w:szCs w:val="24"/>
              </w:rPr>
              <w:t>（有机</w:t>
            </w:r>
            <w:r>
              <w:rPr>
                <w:rFonts w:hint="eastAsia" w:ascii="方正仿宋_GB2312" w:hAnsi="方正仿宋_GB2312" w:eastAsia="方正仿宋_GB2312" w:cs="方正仿宋_GB2312"/>
                <w:color w:val="auto"/>
                <w:sz w:val="24"/>
                <w:szCs w:val="24"/>
              </w:rPr>
              <w:t>房）</w:t>
            </w:r>
          </w:p>
        </w:tc>
        <w:tc>
          <w:tcPr>
            <w:tcW w:w="997" w:type="dxa"/>
            <w:tcBorders>
              <w:tl2br w:val="nil"/>
              <w:tr2bl w:val="nil"/>
            </w:tcBorders>
            <w:vAlign w:val="center"/>
          </w:tcPr>
          <w:p w14:paraId="65247B6A">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sz w:val="24"/>
                <w:szCs w:val="24"/>
              </w:rPr>
              <w:t>教学楼</w:t>
            </w:r>
            <w:r>
              <w:rPr>
                <w:rFonts w:hint="eastAsia" w:ascii="方正仿宋_GB2312" w:hAnsi="方正仿宋_GB2312" w:eastAsia="方正仿宋_GB2312" w:cs="方正仿宋_GB2312"/>
                <w:color w:val="auto"/>
                <w:spacing w:val="-7"/>
                <w:sz w:val="24"/>
                <w:szCs w:val="24"/>
              </w:rPr>
              <w:t>1#</w:t>
            </w:r>
          </w:p>
        </w:tc>
        <w:tc>
          <w:tcPr>
            <w:tcW w:w="1090" w:type="dxa"/>
            <w:tcBorders>
              <w:tl2br w:val="nil"/>
              <w:tr2bl w:val="nil"/>
            </w:tcBorders>
            <w:vAlign w:val="center"/>
          </w:tcPr>
          <w:p w14:paraId="4EF4BC7F">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OTIS</w:t>
            </w:r>
            <w:r>
              <w:rPr>
                <w:rFonts w:hint="eastAsia" w:ascii="方正仿宋_GB2312" w:hAnsi="方正仿宋_GB2312" w:eastAsia="方正仿宋_GB2312" w:cs="方正仿宋_GB2312"/>
                <w:color w:val="auto"/>
                <w:spacing w:val="18"/>
                <w:sz w:val="24"/>
                <w:szCs w:val="24"/>
              </w:rPr>
              <w:t>_</w:t>
            </w:r>
            <w:r>
              <w:rPr>
                <w:rFonts w:hint="eastAsia" w:ascii="方正仿宋_GB2312" w:hAnsi="方正仿宋_GB2312" w:eastAsia="方正仿宋_GB2312" w:cs="方正仿宋_GB2312"/>
                <w:color w:val="auto"/>
                <w:spacing w:val="2"/>
                <w:sz w:val="24"/>
                <w:szCs w:val="24"/>
              </w:rPr>
              <w:t>SKY</w:t>
            </w:r>
          </w:p>
        </w:tc>
        <w:tc>
          <w:tcPr>
            <w:tcW w:w="1054" w:type="dxa"/>
            <w:tcBorders>
              <w:tl2br w:val="nil"/>
              <w:tr2bl w:val="nil"/>
            </w:tcBorders>
            <w:vAlign w:val="center"/>
          </w:tcPr>
          <w:p w14:paraId="275908E3">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2010</w:t>
            </w:r>
            <w:r>
              <w:rPr>
                <w:rFonts w:hint="eastAsia" w:ascii="方正仿宋_GB2312" w:hAnsi="方正仿宋_GB2312" w:eastAsia="方正仿宋_GB2312" w:cs="方正仿宋_GB2312"/>
                <w:color w:val="auto"/>
                <w:spacing w:val="-35"/>
                <w:sz w:val="24"/>
                <w:szCs w:val="24"/>
              </w:rPr>
              <w:t xml:space="preserve"> </w:t>
            </w:r>
            <w:r>
              <w:rPr>
                <w:rFonts w:hint="eastAsia" w:ascii="方正仿宋_GB2312" w:hAnsi="方正仿宋_GB2312" w:eastAsia="方正仿宋_GB2312" w:cs="方正仿宋_GB2312"/>
                <w:color w:val="auto"/>
                <w:spacing w:val="1"/>
                <w:sz w:val="24"/>
                <w:szCs w:val="24"/>
              </w:rPr>
              <w:t>年</w:t>
            </w:r>
            <w:r>
              <w:rPr>
                <w:rFonts w:hint="eastAsia" w:ascii="方正仿宋_GB2312" w:hAnsi="方正仿宋_GB2312" w:eastAsia="方正仿宋_GB2312" w:cs="方正仿宋_GB2312"/>
                <w:color w:val="auto"/>
                <w:spacing w:val="-35"/>
                <w:sz w:val="24"/>
                <w:szCs w:val="24"/>
                <w:lang w:val="en-US" w:eastAsia="zh-CN"/>
              </w:rPr>
              <w:t>7</w:t>
            </w:r>
            <w:r>
              <w:rPr>
                <w:rFonts w:hint="eastAsia" w:ascii="方正仿宋_GB2312" w:hAnsi="方正仿宋_GB2312" w:eastAsia="方正仿宋_GB2312" w:cs="方正仿宋_GB2312"/>
                <w:color w:val="auto"/>
                <w:spacing w:val="-2"/>
                <w:sz w:val="24"/>
                <w:szCs w:val="24"/>
              </w:rPr>
              <w:t>月</w:t>
            </w:r>
          </w:p>
        </w:tc>
        <w:tc>
          <w:tcPr>
            <w:tcW w:w="926" w:type="dxa"/>
            <w:tcBorders>
              <w:tl2br w:val="nil"/>
              <w:tr2bl w:val="nil"/>
            </w:tcBorders>
            <w:vAlign w:val="center"/>
          </w:tcPr>
          <w:p w14:paraId="7969C039">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3"/>
                <w:sz w:val="24"/>
                <w:szCs w:val="24"/>
              </w:rPr>
              <w:t>4/4/4</w:t>
            </w:r>
          </w:p>
        </w:tc>
        <w:tc>
          <w:tcPr>
            <w:tcW w:w="769" w:type="dxa"/>
            <w:tcBorders>
              <w:tl2br w:val="nil"/>
              <w:tr2bl w:val="nil"/>
            </w:tcBorders>
            <w:vAlign w:val="center"/>
          </w:tcPr>
          <w:p w14:paraId="68A54188">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position w:val="1"/>
                <w:sz w:val="24"/>
                <w:szCs w:val="24"/>
              </w:rPr>
              <w:t>1350kg</w:t>
            </w:r>
          </w:p>
        </w:tc>
        <w:tc>
          <w:tcPr>
            <w:tcW w:w="1060" w:type="dxa"/>
            <w:tcBorders>
              <w:tl2br w:val="nil"/>
              <w:tr2bl w:val="nil"/>
            </w:tcBorders>
            <w:vAlign w:val="center"/>
          </w:tcPr>
          <w:p w14:paraId="558A2778">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1m/s</w:t>
            </w:r>
          </w:p>
        </w:tc>
      </w:tr>
      <w:tr w14:paraId="7D52517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85" w:hRule="atLeast"/>
          <w:jc w:val="center"/>
        </w:trPr>
        <w:tc>
          <w:tcPr>
            <w:tcW w:w="512" w:type="dxa"/>
            <w:tcBorders>
              <w:tl2br w:val="nil"/>
              <w:tr2bl w:val="nil"/>
            </w:tcBorders>
            <w:vAlign w:val="center"/>
          </w:tcPr>
          <w:p w14:paraId="47ECD89C">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6"/>
                <w:sz w:val="24"/>
                <w:szCs w:val="24"/>
                <w:lang w:val="en-US" w:eastAsia="zh-CN"/>
              </w:rPr>
            </w:pPr>
            <w:r>
              <w:rPr>
                <w:rFonts w:hint="eastAsia" w:ascii="方正仿宋_GB2312" w:hAnsi="方正仿宋_GB2312" w:eastAsia="方正仿宋_GB2312" w:cs="方正仿宋_GB2312"/>
                <w:color w:val="auto"/>
                <w:spacing w:val="6"/>
                <w:sz w:val="24"/>
                <w:szCs w:val="24"/>
                <w:lang w:val="en-US" w:eastAsia="zh-CN"/>
              </w:rPr>
              <w:t>2</w:t>
            </w:r>
          </w:p>
        </w:tc>
        <w:tc>
          <w:tcPr>
            <w:tcW w:w="1212" w:type="dxa"/>
            <w:tcBorders>
              <w:tl2br w:val="nil"/>
              <w:tr2bl w:val="nil"/>
            </w:tcBorders>
            <w:vAlign w:val="center"/>
          </w:tcPr>
          <w:p w14:paraId="2606B1D5">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6"/>
                <w:sz w:val="24"/>
                <w:szCs w:val="24"/>
              </w:rPr>
              <w:t>奥的斯电</w:t>
            </w:r>
            <w:r>
              <w:rPr>
                <w:rFonts w:hint="eastAsia" w:ascii="方正仿宋_GB2312" w:hAnsi="方正仿宋_GB2312" w:eastAsia="方正仿宋_GB2312" w:cs="方正仿宋_GB2312"/>
                <w:color w:val="auto"/>
                <w:spacing w:val="-2"/>
                <w:sz w:val="24"/>
                <w:szCs w:val="24"/>
              </w:rPr>
              <w:t>梯（中国）</w:t>
            </w:r>
            <w:r>
              <w:rPr>
                <w:rFonts w:hint="eastAsia" w:ascii="方正仿宋_GB2312" w:hAnsi="方正仿宋_GB2312" w:eastAsia="方正仿宋_GB2312" w:cs="方正仿宋_GB2312"/>
                <w:color w:val="auto"/>
                <w:spacing w:val="16"/>
                <w:sz w:val="24"/>
                <w:szCs w:val="24"/>
              </w:rPr>
              <w:t>有限公司</w:t>
            </w:r>
          </w:p>
        </w:tc>
        <w:tc>
          <w:tcPr>
            <w:tcW w:w="1356" w:type="dxa"/>
            <w:tcBorders>
              <w:tl2br w:val="nil"/>
              <w:tr2bl w:val="nil"/>
            </w:tcBorders>
            <w:vAlign w:val="center"/>
          </w:tcPr>
          <w:p w14:paraId="75B8E429">
            <w:pPr>
              <w:pStyle w:val="415"/>
              <w:snapToGrid w:val="0"/>
              <w:spacing w:before="60"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sz w:val="24"/>
                <w:szCs w:val="24"/>
              </w:rPr>
              <w:t>曳引驱</w:t>
            </w:r>
            <w:r>
              <w:rPr>
                <w:rFonts w:hint="eastAsia" w:ascii="方正仿宋_GB2312" w:hAnsi="方正仿宋_GB2312" w:eastAsia="方正仿宋_GB2312" w:cs="方正仿宋_GB2312"/>
                <w:color w:val="auto"/>
                <w:spacing w:val="7"/>
                <w:sz w:val="24"/>
                <w:szCs w:val="24"/>
              </w:rPr>
              <w:t>动乘客</w:t>
            </w:r>
            <w:r>
              <w:rPr>
                <w:rFonts w:hint="eastAsia" w:ascii="方正仿宋_GB2312" w:hAnsi="方正仿宋_GB2312" w:eastAsia="方正仿宋_GB2312" w:cs="方正仿宋_GB2312"/>
                <w:color w:val="auto"/>
                <w:spacing w:val="-7"/>
                <w:sz w:val="24"/>
                <w:szCs w:val="24"/>
              </w:rPr>
              <w:t>电梯</w:t>
            </w:r>
            <w:r>
              <w:rPr>
                <w:rFonts w:hint="eastAsia" w:ascii="方正仿宋_GB2312" w:hAnsi="方正仿宋_GB2312" w:eastAsia="方正仿宋_GB2312" w:cs="方正仿宋_GB2312"/>
                <w:color w:val="auto"/>
                <w:spacing w:val="4"/>
                <w:sz w:val="24"/>
                <w:szCs w:val="24"/>
              </w:rPr>
              <w:t>（有机</w:t>
            </w:r>
            <w:r>
              <w:rPr>
                <w:rFonts w:hint="eastAsia" w:ascii="方正仿宋_GB2312" w:hAnsi="方正仿宋_GB2312" w:eastAsia="方正仿宋_GB2312" w:cs="方正仿宋_GB2312"/>
                <w:color w:val="auto"/>
                <w:sz w:val="24"/>
                <w:szCs w:val="24"/>
              </w:rPr>
              <w:t>房）</w:t>
            </w:r>
          </w:p>
        </w:tc>
        <w:tc>
          <w:tcPr>
            <w:tcW w:w="997" w:type="dxa"/>
            <w:tcBorders>
              <w:tl2br w:val="nil"/>
              <w:tr2bl w:val="nil"/>
            </w:tcBorders>
            <w:vAlign w:val="center"/>
          </w:tcPr>
          <w:p w14:paraId="7B523EDA">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sz w:val="24"/>
                <w:szCs w:val="24"/>
              </w:rPr>
              <w:t>教学楼</w:t>
            </w:r>
            <w:r>
              <w:rPr>
                <w:rFonts w:hint="eastAsia" w:ascii="方正仿宋_GB2312" w:hAnsi="方正仿宋_GB2312" w:eastAsia="方正仿宋_GB2312" w:cs="方正仿宋_GB2312"/>
                <w:color w:val="auto"/>
                <w:sz w:val="24"/>
                <w:szCs w:val="24"/>
              </w:rPr>
              <w:t>2#</w:t>
            </w:r>
          </w:p>
        </w:tc>
        <w:tc>
          <w:tcPr>
            <w:tcW w:w="1090" w:type="dxa"/>
            <w:tcBorders>
              <w:tl2br w:val="nil"/>
              <w:tr2bl w:val="nil"/>
            </w:tcBorders>
            <w:vAlign w:val="center"/>
          </w:tcPr>
          <w:p w14:paraId="75BDF824">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OTIS</w:t>
            </w:r>
            <w:r>
              <w:rPr>
                <w:rFonts w:hint="eastAsia" w:ascii="方正仿宋_GB2312" w:hAnsi="方正仿宋_GB2312" w:eastAsia="方正仿宋_GB2312" w:cs="方正仿宋_GB2312"/>
                <w:color w:val="auto"/>
                <w:spacing w:val="18"/>
                <w:sz w:val="24"/>
                <w:szCs w:val="24"/>
              </w:rPr>
              <w:t>_</w:t>
            </w:r>
            <w:r>
              <w:rPr>
                <w:rFonts w:hint="eastAsia" w:ascii="方正仿宋_GB2312" w:hAnsi="方正仿宋_GB2312" w:eastAsia="方正仿宋_GB2312" w:cs="方正仿宋_GB2312"/>
                <w:color w:val="auto"/>
                <w:spacing w:val="2"/>
                <w:sz w:val="24"/>
                <w:szCs w:val="24"/>
              </w:rPr>
              <w:t>SKY</w:t>
            </w:r>
          </w:p>
        </w:tc>
        <w:tc>
          <w:tcPr>
            <w:tcW w:w="1054" w:type="dxa"/>
            <w:tcBorders>
              <w:tl2br w:val="nil"/>
              <w:tr2bl w:val="nil"/>
            </w:tcBorders>
            <w:vAlign w:val="center"/>
          </w:tcPr>
          <w:p w14:paraId="1C8C9BC9">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2010</w:t>
            </w:r>
            <w:r>
              <w:rPr>
                <w:rFonts w:hint="eastAsia" w:ascii="方正仿宋_GB2312" w:hAnsi="方正仿宋_GB2312" w:eastAsia="方正仿宋_GB2312" w:cs="方正仿宋_GB2312"/>
                <w:color w:val="auto"/>
                <w:spacing w:val="-35"/>
                <w:sz w:val="24"/>
                <w:szCs w:val="24"/>
              </w:rPr>
              <w:t xml:space="preserve"> </w:t>
            </w:r>
            <w:r>
              <w:rPr>
                <w:rFonts w:hint="eastAsia" w:ascii="方正仿宋_GB2312" w:hAnsi="方正仿宋_GB2312" w:eastAsia="方正仿宋_GB2312" w:cs="方正仿宋_GB2312"/>
                <w:color w:val="auto"/>
                <w:spacing w:val="1"/>
                <w:sz w:val="24"/>
                <w:szCs w:val="24"/>
              </w:rPr>
              <w:t>年</w:t>
            </w:r>
            <w:r>
              <w:rPr>
                <w:rFonts w:hint="eastAsia" w:ascii="方正仿宋_GB2312" w:hAnsi="方正仿宋_GB2312" w:eastAsia="方正仿宋_GB2312" w:cs="方正仿宋_GB2312"/>
                <w:color w:val="auto"/>
                <w:spacing w:val="-35"/>
                <w:sz w:val="24"/>
                <w:szCs w:val="24"/>
                <w:lang w:val="en-US" w:eastAsia="zh-CN"/>
              </w:rPr>
              <w:t>7</w:t>
            </w:r>
            <w:r>
              <w:rPr>
                <w:rFonts w:hint="eastAsia" w:ascii="方正仿宋_GB2312" w:hAnsi="方正仿宋_GB2312" w:eastAsia="方正仿宋_GB2312" w:cs="方正仿宋_GB2312"/>
                <w:color w:val="auto"/>
                <w:spacing w:val="-2"/>
                <w:sz w:val="24"/>
                <w:szCs w:val="24"/>
              </w:rPr>
              <w:t>月</w:t>
            </w:r>
          </w:p>
        </w:tc>
        <w:tc>
          <w:tcPr>
            <w:tcW w:w="926" w:type="dxa"/>
            <w:tcBorders>
              <w:tl2br w:val="nil"/>
              <w:tr2bl w:val="nil"/>
            </w:tcBorders>
            <w:vAlign w:val="center"/>
          </w:tcPr>
          <w:p w14:paraId="01928BBC">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2"/>
                <w:sz w:val="24"/>
                <w:szCs w:val="24"/>
              </w:rPr>
              <w:t>5/5/5</w:t>
            </w:r>
          </w:p>
        </w:tc>
        <w:tc>
          <w:tcPr>
            <w:tcW w:w="769" w:type="dxa"/>
            <w:tcBorders>
              <w:tl2br w:val="nil"/>
              <w:tr2bl w:val="nil"/>
            </w:tcBorders>
            <w:vAlign w:val="center"/>
          </w:tcPr>
          <w:p w14:paraId="37EDBC61">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position w:val="1"/>
                <w:sz w:val="24"/>
                <w:szCs w:val="24"/>
              </w:rPr>
              <w:t>1350kg</w:t>
            </w:r>
          </w:p>
        </w:tc>
        <w:tc>
          <w:tcPr>
            <w:tcW w:w="1060" w:type="dxa"/>
            <w:tcBorders>
              <w:tl2br w:val="nil"/>
              <w:tr2bl w:val="nil"/>
            </w:tcBorders>
            <w:vAlign w:val="center"/>
          </w:tcPr>
          <w:p w14:paraId="59A3A40F">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1m/s</w:t>
            </w:r>
          </w:p>
        </w:tc>
      </w:tr>
      <w:tr w14:paraId="4044C94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85" w:hRule="atLeast"/>
          <w:jc w:val="center"/>
        </w:trPr>
        <w:tc>
          <w:tcPr>
            <w:tcW w:w="512" w:type="dxa"/>
            <w:tcBorders>
              <w:tl2br w:val="nil"/>
              <w:tr2bl w:val="nil"/>
            </w:tcBorders>
            <w:vAlign w:val="center"/>
          </w:tcPr>
          <w:p w14:paraId="0A2445CF">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6"/>
                <w:sz w:val="24"/>
                <w:szCs w:val="24"/>
                <w:lang w:val="en-US" w:eastAsia="zh-CN"/>
              </w:rPr>
            </w:pPr>
            <w:r>
              <w:rPr>
                <w:rFonts w:hint="eastAsia" w:ascii="方正仿宋_GB2312" w:hAnsi="方正仿宋_GB2312" w:eastAsia="方正仿宋_GB2312" w:cs="方正仿宋_GB2312"/>
                <w:color w:val="auto"/>
                <w:spacing w:val="6"/>
                <w:sz w:val="24"/>
                <w:szCs w:val="24"/>
                <w:lang w:val="en-US" w:eastAsia="zh-CN"/>
              </w:rPr>
              <w:t>3</w:t>
            </w:r>
          </w:p>
        </w:tc>
        <w:tc>
          <w:tcPr>
            <w:tcW w:w="1212" w:type="dxa"/>
            <w:tcBorders>
              <w:tl2br w:val="nil"/>
              <w:tr2bl w:val="nil"/>
            </w:tcBorders>
            <w:vAlign w:val="center"/>
          </w:tcPr>
          <w:p w14:paraId="04DD4121">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6"/>
                <w:sz w:val="24"/>
                <w:szCs w:val="24"/>
              </w:rPr>
              <w:t>奥的斯电</w:t>
            </w:r>
            <w:r>
              <w:rPr>
                <w:rFonts w:hint="eastAsia" w:ascii="方正仿宋_GB2312" w:hAnsi="方正仿宋_GB2312" w:eastAsia="方正仿宋_GB2312" w:cs="方正仿宋_GB2312"/>
                <w:color w:val="auto"/>
                <w:spacing w:val="-2"/>
                <w:sz w:val="24"/>
                <w:szCs w:val="24"/>
              </w:rPr>
              <w:t>梯（中国）</w:t>
            </w:r>
            <w:r>
              <w:rPr>
                <w:rFonts w:hint="eastAsia" w:ascii="方正仿宋_GB2312" w:hAnsi="方正仿宋_GB2312" w:eastAsia="方正仿宋_GB2312" w:cs="方正仿宋_GB2312"/>
                <w:color w:val="auto"/>
                <w:spacing w:val="16"/>
                <w:sz w:val="24"/>
                <w:szCs w:val="24"/>
              </w:rPr>
              <w:t>有限公司</w:t>
            </w:r>
          </w:p>
        </w:tc>
        <w:tc>
          <w:tcPr>
            <w:tcW w:w="1356" w:type="dxa"/>
            <w:tcBorders>
              <w:tl2br w:val="nil"/>
              <w:tr2bl w:val="nil"/>
            </w:tcBorders>
            <w:vAlign w:val="center"/>
          </w:tcPr>
          <w:p w14:paraId="09253DA7">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sz w:val="24"/>
                <w:szCs w:val="24"/>
              </w:rPr>
              <w:t>曳引驱</w:t>
            </w:r>
            <w:r>
              <w:rPr>
                <w:rFonts w:hint="eastAsia" w:ascii="方正仿宋_GB2312" w:hAnsi="方正仿宋_GB2312" w:eastAsia="方正仿宋_GB2312" w:cs="方正仿宋_GB2312"/>
                <w:color w:val="auto"/>
                <w:spacing w:val="7"/>
                <w:sz w:val="24"/>
                <w:szCs w:val="24"/>
              </w:rPr>
              <w:t>动乘客</w:t>
            </w:r>
            <w:r>
              <w:rPr>
                <w:rFonts w:hint="eastAsia" w:ascii="方正仿宋_GB2312" w:hAnsi="方正仿宋_GB2312" w:eastAsia="方正仿宋_GB2312" w:cs="方正仿宋_GB2312"/>
                <w:color w:val="auto"/>
                <w:spacing w:val="-7"/>
                <w:sz w:val="24"/>
                <w:szCs w:val="24"/>
              </w:rPr>
              <w:t>电梯</w:t>
            </w:r>
            <w:r>
              <w:rPr>
                <w:rFonts w:hint="eastAsia" w:ascii="方正仿宋_GB2312" w:hAnsi="方正仿宋_GB2312" w:eastAsia="方正仿宋_GB2312" w:cs="方正仿宋_GB2312"/>
                <w:color w:val="auto"/>
                <w:spacing w:val="4"/>
                <w:sz w:val="24"/>
                <w:szCs w:val="24"/>
              </w:rPr>
              <w:t>（有机</w:t>
            </w:r>
            <w:r>
              <w:rPr>
                <w:rFonts w:hint="eastAsia" w:ascii="方正仿宋_GB2312" w:hAnsi="方正仿宋_GB2312" w:eastAsia="方正仿宋_GB2312" w:cs="方正仿宋_GB2312"/>
                <w:color w:val="auto"/>
                <w:sz w:val="24"/>
                <w:szCs w:val="24"/>
              </w:rPr>
              <w:t>房）</w:t>
            </w:r>
          </w:p>
        </w:tc>
        <w:tc>
          <w:tcPr>
            <w:tcW w:w="997" w:type="dxa"/>
            <w:tcBorders>
              <w:tl2br w:val="nil"/>
              <w:tr2bl w:val="nil"/>
            </w:tcBorders>
            <w:vAlign w:val="center"/>
          </w:tcPr>
          <w:p w14:paraId="169F70DA">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sz w:val="24"/>
                <w:szCs w:val="24"/>
              </w:rPr>
              <w:t>教学楼</w:t>
            </w:r>
            <w:r>
              <w:rPr>
                <w:rFonts w:hint="eastAsia" w:ascii="方正仿宋_GB2312" w:hAnsi="方正仿宋_GB2312" w:eastAsia="方正仿宋_GB2312" w:cs="方正仿宋_GB2312"/>
                <w:color w:val="auto"/>
                <w:spacing w:val="-1"/>
                <w:sz w:val="24"/>
                <w:szCs w:val="24"/>
              </w:rPr>
              <w:t>3#</w:t>
            </w:r>
          </w:p>
        </w:tc>
        <w:tc>
          <w:tcPr>
            <w:tcW w:w="1090" w:type="dxa"/>
            <w:tcBorders>
              <w:tl2br w:val="nil"/>
              <w:tr2bl w:val="nil"/>
            </w:tcBorders>
            <w:vAlign w:val="center"/>
          </w:tcPr>
          <w:p w14:paraId="2DAED3D8">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OTIS</w:t>
            </w:r>
            <w:r>
              <w:rPr>
                <w:rFonts w:hint="eastAsia" w:ascii="方正仿宋_GB2312" w:hAnsi="方正仿宋_GB2312" w:eastAsia="方正仿宋_GB2312" w:cs="方正仿宋_GB2312"/>
                <w:color w:val="auto"/>
                <w:spacing w:val="18"/>
                <w:sz w:val="24"/>
                <w:szCs w:val="24"/>
              </w:rPr>
              <w:t>_</w:t>
            </w:r>
            <w:r>
              <w:rPr>
                <w:rFonts w:hint="eastAsia" w:ascii="方正仿宋_GB2312" w:hAnsi="方正仿宋_GB2312" w:eastAsia="方正仿宋_GB2312" w:cs="方正仿宋_GB2312"/>
                <w:color w:val="auto"/>
                <w:spacing w:val="2"/>
                <w:sz w:val="24"/>
                <w:szCs w:val="24"/>
              </w:rPr>
              <w:t>SKY</w:t>
            </w:r>
          </w:p>
        </w:tc>
        <w:tc>
          <w:tcPr>
            <w:tcW w:w="1054" w:type="dxa"/>
            <w:tcBorders>
              <w:tl2br w:val="nil"/>
              <w:tr2bl w:val="nil"/>
            </w:tcBorders>
            <w:vAlign w:val="center"/>
          </w:tcPr>
          <w:p w14:paraId="45EA4E04">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2010</w:t>
            </w:r>
            <w:r>
              <w:rPr>
                <w:rFonts w:hint="eastAsia" w:ascii="方正仿宋_GB2312" w:hAnsi="方正仿宋_GB2312" w:eastAsia="方正仿宋_GB2312" w:cs="方正仿宋_GB2312"/>
                <w:color w:val="auto"/>
                <w:spacing w:val="-35"/>
                <w:sz w:val="24"/>
                <w:szCs w:val="24"/>
              </w:rPr>
              <w:t xml:space="preserve"> </w:t>
            </w:r>
            <w:r>
              <w:rPr>
                <w:rFonts w:hint="eastAsia" w:ascii="方正仿宋_GB2312" w:hAnsi="方正仿宋_GB2312" w:eastAsia="方正仿宋_GB2312" w:cs="方正仿宋_GB2312"/>
                <w:color w:val="auto"/>
                <w:spacing w:val="1"/>
                <w:sz w:val="24"/>
                <w:szCs w:val="24"/>
              </w:rPr>
              <w:t>年</w:t>
            </w:r>
            <w:r>
              <w:rPr>
                <w:rFonts w:hint="eastAsia" w:ascii="方正仿宋_GB2312" w:hAnsi="方正仿宋_GB2312" w:eastAsia="方正仿宋_GB2312" w:cs="方正仿宋_GB2312"/>
                <w:color w:val="auto"/>
                <w:spacing w:val="-35"/>
                <w:sz w:val="24"/>
                <w:szCs w:val="24"/>
                <w:lang w:val="en-US" w:eastAsia="zh-CN"/>
              </w:rPr>
              <w:t>7</w:t>
            </w:r>
            <w:r>
              <w:rPr>
                <w:rFonts w:hint="eastAsia" w:ascii="方正仿宋_GB2312" w:hAnsi="方正仿宋_GB2312" w:eastAsia="方正仿宋_GB2312" w:cs="方正仿宋_GB2312"/>
                <w:color w:val="auto"/>
                <w:spacing w:val="-2"/>
                <w:sz w:val="24"/>
                <w:szCs w:val="24"/>
              </w:rPr>
              <w:t>月</w:t>
            </w:r>
          </w:p>
        </w:tc>
        <w:tc>
          <w:tcPr>
            <w:tcW w:w="926" w:type="dxa"/>
            <w:tcBorders>
              <w:tl2br w:val="nil"/>
              <w:tr2bl w:val="nil"/>
            </w:tcBorders>
            <w:vAlign w:val="center"/>
          </w:tcPr>
          <w:p w14:paraId="1C0DC902">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2"/>
                <w:sz w:val="24"/>
                <w:szCs w:val="24"/>
              </w:rPr>
              <w:t>5/5/5</w:t>
            </w:r>
          </w:p>
        </w:tc>
        <w:tc>
          <w:tcPr>
            <w:tcW w:w="769" w:type="dxa"/>
            <w:tcBorders>
              <w:tl2br w:val="nil"/>
              <w:tr2bl w:val="nil"/>
            </w:tcBorders>
            <w:vAlign w:val="center"/>
          </w:tcPr>
          <w:p w14:paraId="2F4D4CF1">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position w:val="1"/>
                <w:sz w:val="24"/>
                <w:szCs w:val="24"/>
              </w:rPr>
              <w:t>1350kg</w:t>
            </w:r>
          </w:p>
        </w:tc>
        <w:tc>
          <w:tcPr>
            <w:tcW w:w="1060" w:type="dxa"/>
            <w:tcBorders>
              <w:tl2br w:val="nil"/>
              <w:tr2bl w:val="nil"/>
            </w:tcBorders>
            <w:vAlign w:val="center"/>
          </w:tcPr>
          <w:p w14:paraId="1E1B777D">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1m/s</w:t>
            </w:r>
          </w:p>
        </w:tc>
      </w:tr>
      <w:tr w14:paraId="0FBF601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85" w:hRule="atLeast"/>
          <w:jc w:val="center"/>
        </w:trPr>
        <w:tc>
          <w:tcPr>
            <w:tcW w:w="512" w:type="dxa"/>
            <w:tcBorders>
              <w:tl2br w:val="nil"/>
              <w:tr2bl w:val="nil"/>
            </w:tcBorders>
            <w:vAlign w:val="center"/>
          </w:tcPr>
          <w:p w14:paraId="68152572">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6"/>
                <w:sz w:val="24"/>
                <w:szCs w:val="24"/>
                <w:lang w:val="en-US" w:eastAsia="zh-CN"/>
              </w:rPr>
            </w:pPr>
            <w:r>
              <w:rPr>
                <w:rFonts w:hint="eastAsia" w:ascii="方正仿宋_GB2312" w:hAnsi="方正仿宋_GB2312" w:eastAsia="方正仿宋_GB2312" w:cs="方正仿宋_GB2312"/>
                <w:color w:val="auto"/>
                <w:spacing w:val="6"/>
                <w:sz w:val="24"/>
                <w:szCs w:val="24"/>
                <w:lang w:val="en-US" w:eastAsia="zh-CN"/>
              </w:rPr>
              <w:t>4</w:t>
            </w:r>
          </w:p>
        </w:tc>
        <w:tc>
          <w:tcPr>
            <w:tcW w:w="1212" w:type="dxa"/>
            <w:tcBorders>
              <w:tl2br w:val="nil"/>
              <w:tr2bl w:val="nil"/>
            </w:tcBorders>
            <w:vAlign w:val="center"/>
          </w:tcPr>
          <w:p w14:paraId="0AD330C5">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6"/>
                <w:sz w:val="24"/>
                <w:szCs w:val="24"/>
              </w:rPr>
              <w:t>奥的斯电</w:t>
            </w:r>
            <w:r>
              <w:rPr>
                <w:rFonts w:hint="eastAsia" w:ascii="方正仿宋_GB2312" w:hAnsi="方正仿宋_GB2312" w:eastAsia="方正仿宋_GB2312" w:cs="方正仿宋_GB2312"/>
                <w:color w:val="auto"/>
                <w:spacing w:val="-2"/>
                <w:sz w:val="24"/>
                <w:szCs w:val="24"/>
              </w:rPr>
              <w:t>梯（中国）</w:t>
            </w:r>
            <w:r>
              <w:rPr>
                <w:rFonts w:hint="eastAsia" w:ascii="方正仿宋_GB2312" w:hAnsi="方正仿宋_GB2312" w:eastAsia="方正仿宋_GB2312" w:cs="方正仿宋_GB2312"/>
                <w:color w:val="auto"/>
                <w:spacing w:val="16"/>
                <w:sz w:val="24"/>
                <w:szCs w:val="24"/>
              </w:rPr>
              <w:t>有限公司</w:t>
            </w:r>
          </w:p>
        </w:tc>
        <w:tc>
          <w:tcPr>
            <w:tcW w:w="1356" w:type="dxa"/>
            <w:tcBorders>
              <w:tl2br w:val="nil"/>
              <w:tr2bl w:val="nil"/>
            </w:tcBorders>
            <w:vAlign w:val="center"/>
          </w:tcPr>
          <w:p w14:paraId="3354DA8E">
            <w:pPr>
              <w:pStyle w:val="415"/>
              <w:snapToGrid w:val="0"/>
              <w:spacing w:before="64"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sz w:val="24"/>
                <w:szCs w:val="24"/>
              </w:rPr>
              <w:t>曳引驱</w:t>
            </w:r>
            <w:r>
              <w:rPr>
                <w:rFonts w:hint="eastAsia" w:ascii="方正仿宋_GB2312" w:hAnsi="方正仿宋_GB2312" w:eastAsia="方正仿宋_GB2312" w:cs="方正仿宋_GB2312"/>
                <w:color w:val="auto"/>
                <w:spacing w:val="7"/>
                <w:sz w:val="24"/>
                <w:szCs w:val="24"/>
              </w:rPr>
              <w:t>动乘客</w:t>
            </w:r>
            <w:r>
              <w:rPr>
                <w:rFonts w:hint="eastAsia" w:ascii="方正仿宋_GB2312" w:hAnsi="方正仿宋_GB2312" w:eastAsia="方正仿宋_GB2312" w:cs="方正仿宋_GB2312"/>
                <w:color w:val="auto"/>
                <w:spacing w:val="-7"/>
                <w:sz w:val="24"/>
                <w:szCs w:val="24"/>
              </w:rPr>
              <w:t>电梯</w:t>
            </w:r>
            <w:r>
              <w:rPr>
                <w:rFonts w:hint="eastAsia" w:ascii="方正仿宋_GB2312" w:hAnsi="方正仿宋_GB2312" w:eastAsia="方正仿宋_GB2312" w:cs="方正仿宋_GB2312"/>
                <w:color w:val="auto"/>
                <w:spacing w:val="4"/>
                <w:sz w:val="24"/>
                <w:szCs w:val="24"/>
              </w:rPr>
              <w:t>（有机</w:t>
            </w:r>
            <w:r>
              <w:rPr>
                <w:rFonts w:hint="eastAsia" w:ascii="方正仿宋_GB2312" w:hAnsi="方正仿宋_GB2312" w:eastAsia="方正仿宋_GB2312" w:cs="方正仿宋_GB2312"/>
                <w:color w:val="auto"/>
                <w:sz w:val="24"/>
                <w:szCs w:val="24"/>
              </w:rPr>
              <w:t>房）</w:t>
            </w:r>
          </w:p>
        </w:tc>
        <w:tc>
          <w:tcPr>
            <w:tcW w:w="997" w:type="dxa"/>
            <w:tcBorders>
              <w:tl2br w:val="nil"/>
              <w:tr2bl w:val="nil"/>
            </w:tcBorders>
            <w:vAlign w:val="center"/>
          </w:tcPr>
          <w:p w14:paraId="1345F9E6">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5"/>
                <w:sz w:val="24"/>
                <w:szCs w:val="24"/>
              </w:rPr>
              <w:t>教学楼</w:t>
            </w:r>
            <w:r>
              <w:rPr>
                <w:rFonts w:hint="eastAsia" w:ascii="方正仿宋_GB2312" w:hAnsi="方正仿宋_GB2312" w:eastAsia="方正仿宋_GB2312" w:cs="方正仿宋_GB2312"/>
                <w:color w:val="auto"/>
                <w:spacing w:val="1"/>
                <w:sz w:val="24"/>
                <w:szCs w:val="24"/>
              </w:rPr>
              <w:t>4#</w:t>
            </w:r>
          </w:p>
        </w:tc>
        <w:tc>
          <w:tcPr>
            <w:tcW w:w="1090" w:type="dxa"/>
            <w:tcBorders>
              <w:tl2br w:val="nil"/>
              <w:tr2bl w:val="nil"/>
            </w:tcBorders>
            <w:vAlign w:val="center"/>
          </w:tcPr>
          <w:p w14:paraId="42CD4485">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OTIS</w:t>
            </w:r>
            <w:r>
              <w:rPr>
                <w:rFonts w:hint="eastAsia" w:ascii="方正仿宋_GB2312" w:hAnsi="方正仿宋_GB2312" w:eastAsia="方正仿宋_GB2312" w:cs="方正仿宋_GB2312"/>
                <w:color w:val="auto"/>
                <w:spacing w:val="18"/>
                <w:sz w:val="24"/>
                <w:szCs w:val="24"/>
              </w:rPr>
              <w:t>_</w:t>
            </w:r>
            <w:r>
              <w:rPr>
                <w:rFonts w:hint="eastAsia" w:ascii="方正仿宋_GB2312" w:hAnsi="方正仿宋_GB2312" w:eastAsia="方正仿宋_GB2312" w:cs="方正仿宋_GB2312"/>
                <w:color w:val="auto"/>
                <w:spacing w:val="2"/>
                <w:sz w:val="24"/>
                <w:szCs w:val="24"/>
              </w:rPr>
              <w:t>SKY</w:t>
            </w:r>
          </w:p>
        </w:tc>
        <w:tc>
          <w:tcPr>
            <w:tcW w:w="1054" w:type="dxa"/>
            <w:tcBorders>
              <w:tl2br w:val="nil"/>
              <w:tr2bl w:val="nil"/>
            </w:tcBorders>
            <w:vAlign w:val="center"/>
          </w:tcPr>
          <w:p w14:paraId="7C6E4C46">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2010</w:t>
            </w:r>
            <w:r>
              <w:rPr>
                <w:rFonts w:hint="eastAsia" w:ascii="方正仿宋_GB2312" w:hAnsi="方正仿宋_GB2312" w:eastAsia="方正仿宋_GB2312" w:cs="方正仿宋_GB2312"/>
                <w:color w:val="auto"/>
                <w:spacing w:val="-35"/>
                <w:sz w:val="24"/>
                <w:szCs w:val="24"/>
              </w:rPr>
              <w:t xml:space="preserve"> </w:t>
            </w:r>
            <w:r>
              <w:rPr>
                <w:rFonts w:hint="eastAsia" w:ascii="方正仿宋_GB2312" w:hAnsi="方正仿宋_GB2312" w:eastAsia="方正仿宋_GB2312" w:cs="方正仿宋_GB2312"/>
                <w:color w:val="auto"/>
                <w:spacing w:val="1"/>
                <w:sz w:val="24"/>
                <w:szCs w:val="24"/>
              </w:rPr>
              <w:t>年</w:t>
            </w:r>
            <w:r>
              <w:rPr>
                <w:rFonts w:hint="eastAsia" w:ascii="方正仿宋_GB2312" w:hAnsi="方正仿宋_GB2312" w:eastAsia="方正仿宋_GB2312" w:cs="方正仿宋_GB2312"/>
                <w:color w:val="auto"/>
                <w:spacing w:val="-35"/>
                <w:sz w:val="24"/>
                <w:szCs w:val="24"/>
                <w:lang w:val="en-US" w:eastAsia="zh-CN"/>
              </w:rPr>
              <w:t>7</w:t>
            </w:r>
            <w:r>
              <w:rPr>
                <w:rFonts w:hint="eastAsia" w:ascii="方正仿宋_GB2312" w:hAnsi="方正仿宋_GB2312" w:eastAsia="方正仿宋_GB2312" w:cs="方正仿宋_GB2312"/>
                <w:color w:val="auto"/>
                <w:spacing w:val="-2"/>
                <w:sz w:val="24"/>
                <w:szCs w:val="24"/>
              </w:rPr>
              <w:t>月</w:t>
            </w:r>
          </w:p>
        </w:tc>
        <w:tc>
          <w:tcPr>
            <w:tcW w:w="926" w:type="dxa"/>
            <w:tcBorders>
              <w:tl2br w:val="nil"/>
              <w:tr2bl w:val="nil"/>
            </w:tcBorders>
            <w:vAlign w:val="center"/>
          </w:tcPr>
          <w:p w14:paraId="1FB2D03A">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3"/>
                <w:sz w:val="24"/>
                <w:szCs w:val="24"/>
              </w:rPr>
              <w:t>4/4/4</w:t>
            </w:r>
          </w:p>
        </w:tc>
        <w:tc>
          <w:tcPr>
            <w:tcW w:w="769" w:type="dxa"/>
            <w:tcBorders>
              <w:tl2br w:val="nil"/>
              <w:tr2bl w:val="nil"/>
            </w:tcBorders>
            <w:vAlign w:val="center"/>
          </w:tcPr>
          <w:p w14:paraId="4E3046A3">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position w:val="1"/>
                <w:sz w:val="24"/>
                <w:szCs w:val="24"/>
              </w:rPr>
              <w:t>1350kg</w:t>
            </w:r>
          </w:p>
        </w:tc>
        <w:tc>
          <w:tcPr>
            <w:tcW w:w="1060" w:type="dxa"/>
            <w:tcBorders>
              <w:tl2br w:val="nil"/>
              <w:tr2bl w:val="nil"/>
            </w:tcBorders>
            <w:vAlign w:val="center"/>
          </w:tcPr>
          <w:p w14:paraId="72855059">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pacing w:val="-1"/>
                <w:sz w:val="24"/>
                <w:szCs w:val="24"/>
              </w:rPr>
              <w:t>1m/s</w:t>
            </w:r>
          </w:p>
        </w:tc>
      </w:tr>
      <w:tr w14:paraId="241A18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85" w:hRule="atLeast"/>
          <w:jc w:val="center"/>
        </w:trPr>
        <w:tc>
          <w:tcPr>
            <w:tcW w:w="512" w:type="dxa"/>
            <w:tcBorders>
              <w:tl2br w:val="nil"/>
              <w:tr2bl w:val="nil"/>
            </w:tcBorders>
            <w:vAlign w:val="center"/>
          </w:tcPr>
          <w:p w14:paraId="69513ED3">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6"/>
                <w:sz w:val="24"/>
                <w:szCs w:val="24"/>
                <w:lang w:val="en-US" w:eastAsia="zh-CN"/>
              </w:rPr>
            </w:pPr>
            <w:r>
              <w:rPr>
                <w:rFonts w:hint="eastAsia" w:ascii="方正仿宋_GB2312" w:hAnsi="方正仿宋_GB2312" w:eastAsia="方正仿宋_GB2312" w:cs="方正仿宋_GB2312"/>
                <w:color w:val="auto"/>
                <w:spacing w:val="6"/>
                <w:sz w:val="24"/>
                <w:szCs w:val="24"/>
                <w:lang w:val="en-US" w:eastAsia="zh-CN"/>
              </w:rPr>
              <w:t>5</w:t>
            </w:r>
          </w:p>
        </w:tc>
        <w:tc>
          <w:tcPr>
            <w:tcW w:w="1212" w:type="dxa"/>
            <w:tcBorders>
              <w:tl2br w:val="nil"/>
              <w:tr2bl w:val="nil"/>
            </w:tcBorders>
            <w:vAlign w:val="center"/>
          </w:tcPr>
          <w:p w14:paraId="7D4F6E79">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6"/>
                <w:sz w:val="24"/>
                <w:szCs w:val="24"/>
              </w:rPr>
            </w:pPr>
            <w:r>
              <w:rPr>
                <w:rFonts w:hint="eastAsia" w:ascii="方正仿宋_GB2312" w:hAnsi="方正仿宋_GB2312" w:eastAsia="方正仿宋_GB2312" w:cs="方正仿宋_GB2312"/>
                <w:color w:val="auto"/>
                <w:spacing w:val="6"/>
                <w:sz w:val="24"/>
                <w:szCs w:val="24"/>
              </w:rPr>
              <w:t>三洋电梯(珠海)有限公司</w:t>
            </w:r>
          </w:p>
        </w:tc>
        <w:tc>
          <w:tcPr>
            <w:tcW w:w="1356" w:type="dxa"/>
            <w:tcBorders>
              <w:tl2br w:val="nil"/>
              <w:tr2bl w:val="nil"/>
            </w:tcBorders>
            <w:vAlign w:val="center"/>
          </w:tcPr>
          <w:p w14:paraId="7EC612E0">
            <w:pPr>
              <w:pStyle w:val="415"/>
              <w:snapToGrid w:val="0"/>
              <w:spacing w:before="64" w:line="240" w:lineRule="auto"/>
              <w:ind w:left="0" w:leftChars="0" w:right="0" w:rightChars="0" w:firstLine="0" w:firstLineChars="0"/>
              <w:jc w:val="center"/>
              <w:rPr>
                <w:rFonts w:hint="eastAsia" w:ascii="方正仿宋_GB2312" w:hAnsi="方正仿宋_GB2312" w:eastAsia="方正仿宋_GB2312" w:cs="方正仿宋_GB2312"/>
                <w:color w:val="auto"/>
                <w:spacing w:val="5"/>
                <w:sz w:val="24"/>
                <w:szCs w:val="24"/>
              </w:rPr>
            </w:pPr>
            <w:r>
              <w:rPr>
                <w:rFonts w:hint="eastAsia" w:ascii="方正仿宋_GB2312" w:hAnsi="方正仿宋_GB2312" w:eastAsia="方正仿宋_GB2312" w:cs="方正仿宋_GB2312"/>
                <w:color w:val="auto"/>
                <w:spacing w:val="5"/>
                <w:sz w:val="24"/>
                <w:szCs w:val="24"/>
              </w:rPr>
              <w:t>曳引驱</w:t>
            </w:r>
            <w:r>
              <w:rPr>
                <w:rFonts w:hint="eastAsia" w:ascii="方正仿宋_GB2312" w:hAnsi="方正仿宋_GB2312" w:eastAsia="方正仿宋_GB2312" w:cs="方正仿宋_GB2312"/>
                <w:color w:val="auto"/>
                <w:spacing w:val="7"/>
                <w:sz w:val="24"/>
                <w:szCs w:val="24"/>
              </w:rPr>
              <w:t>动乘客</w:t>
            </w:r>
            <w:r>
              <w:rPr>
                <w:rFonts w:hint="eastAsia" w:ascii="方正仿宋_GB2312" w:hAnsi="方正仿宋_GB2312" w:eastAsia="方正仿宋_GB2312" w:cs="方正仿宋_GB2312"/>
                <w:color w:val="auto"/>
                <w:spacing w:val="-7"/>
                <w:sz w:val="24"/>
                <w:szCs w:val="24"/>
              </w:rPr>
              <w:t>电梯</w:t>
            </w:r>
            <w:r>
              <w:rPr>
                <w:rFonts w:hint="eastAsia" w:ascii="方正仿宋_GB2312" w:hAnsi="方正仿宋_GB2312" w:eastAsia="方正仿宋_GB2312" w:cs="方正仿宋_GB2312"/>
                <w:color w:val="auto"/>
                <w:spacing w:val="4"/>
                <w:sz w:val="24"/>
                <w:szCs w:val="24"/>
              </w:rPr>
              <w:t>（有机</w:t>
            </w:r>
            <w:r>
              <w:rPr>
                <w:rFonts w:hint="eastAsia" w:ascii="方正仿宋_GB2312" w:hAnsi="方正仿宋_GB2312" w:eastAsia="方正仿宋_GB2312" w:cs="方正仿宋_GB2312"/>
                <w:color w:val="auto"/>
                <w:sz w:val="24"/>
                <w:szCs w:val="24"/>
              </w:rPr>
              <w:t>房）</w:t>
            </w:r>
          </w:p>
        </w:tc>
        <w:tc>
          <w:tcPr>
            <w:tcW w:w="997" w:type="dxa"/>
            <w:tcBorders>
              <w:tl2br w:val="nil"/>
              <w:tr2bl w:val="nil"/>
            </w:tcBorders>
            <w:vAlign w:val="center"/>
          </w:tcPr>
          <w:p w14:paraId="66A859AC">
            <w:pPr>
              <w:pStyle w:val="415"/>
              <w:snapToGrid w:val="0"/>
              <w:spacing w:before="62" w:line="240" w:lineRule="auto"/>
              <w:ind w:left="0" w:leftChars="0" w:right="0" w:rightChars="0" w:firstLine="0" w:firstLineChars="0"/>
              <w:jc w:val="center"/>
              <w:rPr>
                <w:rFonts w:hint="default" w:ascii="方正仿宋_GB2312" w:hAnsi="方正仿宋_GB2312" w:eastAsia="方正仿宋_GB2312" w:cs="方正仿宋_GB2312"/>
                <w:color w:val="auto"/>
                <w:spacing w:val="5"/>
                <w:sz w:val="24"/>
                <w:szCs w:val="24"/>
                <w:lang w:val="en-US" w:eastAsia="zh-CN"/>
              </w:rPr>
            </w:pPr>
            <w:r>
              <w:rPr>
                <w:rFonts w:hint="eastAsia" w:ascii="方正仿宋_GB2312" w:hAnsi="方正仿宋_GB2312" w:eastAsia="方正仿宋_GB2312" w:cs="方正仿宋_GB2312"/>
                <w:color w:val="auto"/>
                <w:spacing w:val="5"/>
                <w:sz w:val="24"/>
                <w:szCs w:val="24"/>
                <w:lang w:val="en-US" w:eastAsia="zh-CN"/>
              </w:rPr>
              <w:t>湖北路42号校区</w:t>
            </w:r>
          </w:p>
        </w:tc>
        <w:tc>
          <w:tcPr>
            <w:tcW w:w="1090" w:type="dxa"/>
            <w:tcBorders>
              <w:tl2br w:val="nil"/>
              <w:tr2bl w:val="nil"/>
            </w:tcBorders>
            <w:vAlign w:val="center"/>
          </w:tcPr>
          <w:p w14:paraId="626A960F">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TKJ1000/1.0-JxW</w:t>
            </w:r>
          </w:p>
        </w:tc>
        <w:tc>
          <w:tcPr>
            <w:tcW w:w="1054" w:type="dxa"/>
            <w:tcBorders>
              <w:tl2br w:val="nil"/>
              <w:tr2bl w:val="nil"/>
            </w:tcBorders>
            <w:vAlign w:val="center"/>
          </w:tcPr>
          <w:p w14:paraId="3D8B14FF">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pacing w:val="1"/>
                <w:sz w:val="24"/>
                <w:szCs w:val="24"/>
                <w:lang w:val="en-US" w:eastAsia="zh-CN"/>
              </w:rPr>
            </w:pPr>
            <w:r>
              <w:rPr>
                <w:rFonts w:hint="eastAsia" w:ascii="方正仿宋_GB2312" w:hAnsi="方正仿宋_GB2312" w:eastAsia="方正仿宋_GB2312" w:cs="方正仿宋_GB2312"/>
                <w:color w:val="auto"/>
                <w:spacing w:val="1"/>
                <w:sz w:val="24"/>
                <w:szCs w:val="24"/>
                <w:lang w:val="en-US" w:eastAsia="zh-CN"/>
              </w:rPr>
              <w:t>2009年</w:t>
            </w:r>
          </w:p>
        </w:tc>
        <w:tc>
          <w:tcPr>
            <w:tcW w:w="926" w:type="dxa"/>
            <w:tcBorders>
              <w:tl2br w:val="nil"/>
              <w:tr2bl w:val="nil"/>
            </w:tcBorders>
            <w:vAlign w:val="center"/>
          </w:tcPr>
          <w:p w14:paraId="0B3DB1CF">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pacing w:val="3"/>
                <w:sz w:val="24"/>
                <w:szCs w:val="24"/>
                <w:lang w:val="en-US" w:eastAsia="zh-CN"/>
              </w:rPr>
            </w:pPr>
            <w:r>
              <w:rPr>
                <w:rFonts w:hint="eastAsia" w:ascii="方正仿宋_GB2312" w:hAnsi="方正仿宋_GB2312" w:eastAsia="方正仿宋_GB2312" w:cs="方正仿宋_GB2312"/>
                <w:color w:val="auto"/>
                <w:spacing w:val="3"/>
                <w:sz w:val="24"/>
                <w:szCs w:val="24"/>
                <w:lang w:val="en-US" w:eastAsia="zh-CN"/>
              </w:rPr>
              <w:t>6/6/6</w:t>
            </w:r>
          </w:p>
        </w:tc>
        <w:tc>
          <w:tcPr>
            <w:tcW w:w="769" w:type="dxa"/>
            <w:tcBorders>
              <w:tl2br w:val="nil"/>
              <w:tr2bl w:val="nil"/>
            </w:tcBorders>
            <w:vAlign w:val="center"/>
          </w:tcPr>
          <w:p w14:paraId="55DB96DA">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position w:val="1"/>
                <w:sz w:val="24"/>
                <w:szCs w:val="24"/>
                <w:lang w:val="en-US" w:eastAsia="zh-CN"/>
              </w:rPr>
            </w:pPr>
            <w:r>
              <w:rPr>
                <w:rFonts w:hint="eastAsia" w:ascii="方正仿宋_GB2312" w:hAnsi="方正仿宋_GB2312" w:eastAsia="方正仿宋_GB2312" w:cs="方正仿宋_GB2312"/>
                <w:color w:val="auto"/>
                <w:position w:val="1"/>
                <w:sz w:val="24"/>
                <w:szCs w:val="24"/>
                <w:lang w:val="en-US" w:eastAsia="zh-CN"/>
              </w:rPr>
              <w:t>1000kg</w:t>
            </w:r>
          </w:p>
        </w:tc>
        <w:tc>
          <w:tcPr>
            <w:tcW w:w="1060" w:type="dxa"/>
            <w:tcBorders>
              <w:tl2br w:val="nil"/>
              <w:tr2bl w:val="nil"/>
            </w:tcBorders>
            <w:vAlign w:val="center"/>
          </w:tcPr>
          <w:p w14:paraId="7C13A5BD">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pacing w:val="-1"/>
                <w:sz w:val="24"/>
                <w:szCs w:val="24"/>
              </w:rPr>
            </w:pPr>
            <w:r>
              <w:rPr>
                <w:rFonts w:hint="eastAsia" w:ascii="方正仿宋_GB2312" w:hAnsi="方正仿宋_GB2312" w:eastAsia="方正仿宋_GB2312" w:cs="方正仿宋_GB2312"/>
                <w:color w:val="auto"/>
                <w:spacing w:val="-1"/>
                <w:sz w:val="24"/>
                <w:szCs w:val="24"/>
              </w:rPr>
              <w:t>1m/s</w:t>
            </w:r>
          </w:p>
        </w:tc>
      </w:tr>
      <w:tr w14:paraId="77AA386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255" w:hRule="atLeast"/>
          <w:jc w:val="center"/>
        </w:trPr>
        <w:tc>
          <w:tcPr>
            <w:tcW w:w="512" w:type="dxa"/>
            <w:tcBorders>
              <w:tl2br w:val="nil"/>
              <w:tr2bl w:val="nil"/>
            </w:tcBorders>
            <w:vAlign w:val="center"/>
          </w:tcPr>
          <w:p w14:paraId="2F60315A">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6"/>
                <w:sz w:val="24"/>
                <w:szCs w:val="24"/>
                <w:lang w:val="en-US" w:eastAsia="zh-CN"/>
              </w:rPr>
            </w:pPr>
            <w:r>
              <w:rPr>
                <w:rFonts w:hint="eastAsia" w:ascii="方正仿宋_GB2312" w:hAnsi="方正仿宋_GB2312" w:eastAsia="方正仿宋_GB2312" w:cs="方正仿宋_GB2312"/>
                <w:color w:val="auto"/>
                <w:spacing w:val="6"/>
                <w:sz w:val="24"/>
                <w:szCs w:val="24"/>
                <w:lang w:val="en-US" w:eastAsia="zh-CN"/>
              </w:rPr>
              <w:t>6</w:t>
            </w:r>
          </w:p>
        </w:tc>
        <w:tc>
          <w:tcPr>
            <w:tcW w:w="1212" w:type="dxa"/>
            <w:tcBorders>
              <w:tl2br w:val="nil"/>
              <w:tr2bl w:val="nil"/>
            </w:tcBorders>
            <w:vAlign w:val="center"/>
          </w:tcPr>
          <w:p w14:paraId="687F3602">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6"/>
                <w:sz w:val="24"/>
                <w:szCs w:val="24"/>
              </w:rPr>
            </w:pPr>
            <w:r>
              <w:rPr>
                <w:rFonts w:hint="eastAsia" w:ascii="方正仿宋_GB2312" w:hAnsi="方正仿宋_GB2312" w:eastAsia="方正仿宋_GB2312" w:cs="方正仿宋_GB2312"/>
                <w:color w:val="auto"/>
                <w:spacing w:val="6"/>
                <w:sz w:val="24"/>
                <w:szCs w:val="24"/>
              </w:rPr>
              <w:t>奥的斯电</w:t>
            </w:r>
            <w:r>
              <w:rPr>
                <w:rFonts w:hint="eastAsia" w:ascii="方正仿宋_GB2312" w:hAnsi="方正仿宋_GB2312" w:eastAsia="方正仿宋_GB2312" w:cs="方正仿宋_GB2312"/>
                <w:color w:val="auto"/>
                <w:spacing w:val="-2"/>
                <w:sz w:val="24"/>
                <w:szCs w:val="24"/>
              </w:rPr>
              <w:t>梯（中国）</w:t>
            </w:r>
            <w:r>
              <w:rPr>
                <w:rFonts w:hint="eastAsia" w:ascii="方正仿宋_GB2312" w:hAnsi="方正仿宋_GB2312" w:eastAsia="方正仿宋_GB2312" w:cs="方正仿宋_GB2312"/>
                <w:color w:val="auto"/>
                <w:spacing w:val="16"/>
                <w:sz w:val="24"/>
                <w:szCs w:val="24"/>
              </w:rPr>
              <w:t>有限公司</w:t>
            </w:r>
          </w:p>
        </w:tc>
        <w:tc>
          <w:tcPr>
            <w:tcW w:w="1356" w:type="dxa"/>
            <w:tcBorders>
              <w:tl2br w:val="nil"/>
              <w:tr2bl w:val="nil"/>
            </w:tcBorders>
            <w:vAlign w:val="center"/>
          </w:tcPr>
          <w:p w14:paraId="322C6790">
            <w:pPr>
              <w:pStyle w:val="415"/>
              <w:snapToGrid w:val="0"/>
              <w:spacing w:before="64" w:line="240" w:lineRule="auto"/>
              <w:ind w:left="0" w:leftChars="0" w:right="0" w:rightChars="0" w:firstLine="0" w:firstLineChars="0"/>
              <w:jc w:val="center"/>
              <w:rPr>
                <w:rFonts w:hint="eastAsia" w:ascii="方正仿宋_GB2312" w:hAnsi="方正仿宋_GB2312" w:eastAsia="方正仿宋_GB2312" w:cs="方正仿宋_GB2312"/>
                <w:color w:val="auto"/>
                <w:spacing w:val="5"/>
                <w:sz w:val="24"/>
                <w:szCs w:val="24"/>
              </w:rPr>
            </w:pPr>
            <w:r>
              <w:rPr>
                <w:rFonts w:hint="eastAsia" w:ascii="方正仿宋_GB2312" w:hAnsi="方正仿宋_GB2312" w:eastAsia="方正仿宋_GB2312" w:cs="方正仿宋_GB2312"/>
                <w:color w:val="auto"/>
                <w:spacing w:val="5"/>
                <w:sz w:val="24"/>
                <w:szCs w:val="24"/>
              </w:rPr>
              <w:t>曳引驱</w:t>
            </w:r>
            <w:r>
              <w:rPr>
                <w:rFonts w:hint="eastAsia" w:ascii="方正仿宋_GB2312" w:hAnsi="方正仿宋_GB2312" w:eastAsia="方正仿宋_GB2312" w:cs="方正仿宋_GB2312"/>
                <w:color w:val="auto"/>
                <w:spacing w:val="7"/>
                <w:sz w:val="24"/>
                <w:szCs w:val="24"/>
              </w:rPr>
              <w:t>动乘客</w:t>
            </w:r>
            <w:r>
              <w:rPr>
                <w:rFonts w:hint="eastAsia" w:ascii="方正仿宋_GB2312" w:hAnsi="方正仿宋_GB2312" w:eastAsia="方正仿宋_GB2312" w:cs="方正仿宋_GB2312"/>
                <w:color w:val="auto"/>
                <w:spacing w:val="-7"/>
                <w:sz w:val="24"/>
                <w:szCs w:val="24"/>
              </w:rPr>
              <w:t>电梯</w:t>
            </w:r>
            <w:r>
              <w:rPr>
                <w:rFonts w:hint="eastAsia" w:ascii="方正仿宋_GB2312" w:hAnsi="方正仿宋_GB2312" w:eastAsia="方正仿宋_GB2312" w:cs="方正仿宋_GB2312"/>
                <w:color w:val="auto"/>
                <w:spacing w:val="4"/>
                <w:sz w:val="24"/>
                <w:szCs w:val="24"/>
              </w:rPr>
              <w:t>（</w:t>
            </w:r>
            <w:r>
              <w:rPr>
                <w:rFonts w:hint="eastAsia" w:ascii="方正仿宋_GB2312" w:hAnsi="方正仿宋_GB2312" w:eastAsia="方正仿宋_GB2312" w:cs="方正仿宋_GB2312"/>
                <w:color w:val="auto"/>
                <w:spacing w:val="4"/>
                <w:sz w:val="24"/>
                <w:szCs w:val="24"/>
                <w:lang w:val="en-US" w:eastAsia="zh-CN"/>
              </w:rPr>
              <w:t>无</w:t>
            </w:r>
            <w:r>
              <w:rPr>
                <w:rFonts w:hint="eastAsia" w:ascii="方正仿宋_GB2312" w:hAnsi="方正仿宋_GB2312" w:eastAsia="方正仿宋_GB2312" w:cs="方正仿宋_GB2312"/>
                <w:color w:val="auto"/>
                <w:spacing w:val="4"/>
                <w:sz w:val="24"/>
                <w:szCs w:val="24"/>
              </w:rPr>
              <w:t>机</w:t>
            </w:r>
            <w:r>
              <w:rPr>
                <w:rFonts w:hint="eastAsia" w:ascii="方正仿宋_GB2312" w:hAnsi="方正仿宋_GB2312" w:eastAsia="方正仿宋_GB2312" w:cs="方正仿宋_GB2312"/>
                <w:color w:val="auto"/>
                <w:sz w:val="24"/>
                <w:szCs w:val="24"/>
              </w:rPr>
              <w:t>房）</w:t>
            </w:r>
          </w:p>
        </w:tc>
        <w:tc>
          <w:tcPr>
            <w:tcW w:w="997" w:type="dxa"/>
            <w:tcBorders>
              <w:tl2br w:val="nil"/>
              <w:tr2bl w:val="nil"/>
            </w:tcBorders>
            <w:vAlign w:val="center"/>
          </w:tcPr>
          <w:p w14:paraId="3A3E4236">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pacing w:val="5"/>
                <w:sz w:val="24"/>
                <w:szCs w:val="24"/>
                <w:lang w:val="en-US" w:eastAsia="zh-CN"/>
              </w:rPr>
            </w:pPr>
            <w:r>
              <w:rPr>
                <w:rFonts w:hint="eastAsia" w:ascii="方正仿宋_GB2312" w:hAnsi="方正仿宋_GB2312" w:eastAsia="方正仿宋_GB2312" w:cs="方正仿宋_GB2312"/>
                <w:color w:val="auto"/>
                <w:spacing w:val="5"/>
                <w:sz w:val="24"/>
                <w:szCs w:val="24"/>
                <w:lang w:val="en-US" w:eastAsia="zh-CN"/>
              </w:rPr>
              <w:t>学员餐厅</w:t>
            </w:r>
          </w:p>
        </w:tc>
        <w:tc>
          <w:tcPr>
            <w:tcW w:w="1090" w:type="dxa"/>
            <w:tcBorders>
              <w:tl2br w:val="nil"/>
              <w:tr2bl w:val="nil"/>
            </w:tcBorders>
            <w:vAlign w:val="center"/>
          </w:tcPr>
          <w:p w14:paraId="096F1D20">
            <w:pPr>
              <w:pStyle w:val="415"/>
              <w:snapToGrid w:val="0"/>
              <w:spacing w:before="62" w:line="240" w:lineRule="auto"/>
              <w:ind w:left="0" w:leftChars="0" w:right="0" w:rightChars="0" w:firstLine="0" w:firstLineChars="0"/>
              <w:jc w:val="center"/>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w:t>
            </w:r>
          </w:p>
        </w:tc>
        <w:tc>
          <w:tcPr>
            <w:tcW w:w="1054" w:type="dxa"/>
            <w:tcBorders>
              <w:tl2br w:val="nil"/>
              <w:tr2bl w:val="nil"/>
            </w:tcBorders>
            <w:vAlign w:val="center"/>
          </w:tcPr>
          <w:p w14:paraId="00AD2B4F">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pacing w:val="1"/>
                <w:sz w:val="24"/>
                <w:szCs w:val="24"/>
                <w:lang w:val="en-US" w:eastAsia="zh-CN"/>
              </w:rPr>
            </w:pPr>
            <w:r>
              <w:rPr>
                <w:rFonts w:hint="eastAsia" w:ascii="方正仿宋_GB2312" w:hAnsi="方正仿宋_GB2312" w:eastAsia="方正仿宋_GB2312" w:cs="方正仿宋_GB2312"/>
                <w:color w:val="auto"/>
                <w:spacing w:val="1"/>
                <w:sz w:val="24"/>
                <w:szCs w:val="24"/>
                <w:lang w:val="en-US" w:eastAsia="zh-CN"/>
              </w:rPr>
              <w:t>2007年3月</w:t>
            </w:r>
          </w:p>
        </w:tc>
        <w:tc>
          <w:tcPr>
            <w:tcW w:w="926" w:type="dxa"/>
            <w:tcBorders>
              <w:tl2br w:val="nil"/>
              <w:tr2bl w:val="nil"/>
            </w:tcBorders>
            <w:vAlign w:val="center"/>
          </w:tcPr>
          <w:p w14:paraId="15801A5A">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pacing w:val="3"/>
                <w:sz w:val="24"/>
                <w:szCs w:val="24"/>
                <w:lang w:val="en-US" w:eastAsia="zh-CN"/>
              </w:rPr>
            </w:pPr>
            <w:r>
              <w:rPr>
                <w:rFonts w:hint="eastAsia" w:ascii="方正仿宋_GB2312" w:hAnsi="方正仿宋_GB2312" w:eastAsia="方正仿宋_GB2312" w:cs="方正仿宋_GB2312"/>
                <w:color w:val="auto"/>
                <w:spacing w:val="3"/>
                <w:sz w:val="24"/>
                <w:szCs w:val="24"/>
                <w:lang w:val="en-US" w:eastAsia="zh-CN"/>
              </w:rPr>
              <w:t>3/3/3</w:t>
            </w:r>
          </w:p>
        </w:tc>
        <w:tc>
          <w:tcPr>
            <w:tcW w:w="769" w:type="dxa"/>
            <w:tcBorders>
              <w:tl2br w:val="nil"/>
              <w:tr2bl w:val="nil"/>
            </w:tcBorders>
            <w:vAlign w:val="center"/>
          </w:tcPr>
          <w:p w14:paraId="1A197B07">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position w:val="1"/>
                <w:sz w:val="24"/>
                <w:szCs w:val="24"/>
                <w:lang w:val="en-US" w:eastAsia="zh-CN"/>
              </w:rPr>
            </w:pPr>
            <w:r>
              <w:rPr>
                <w:rFonts w:hint="eastAsia" w:ascii="方正仿宋_GB2312" w:hAnsi="方正仿宋_GB2312" w:eastAsia="方正仿宋_GB2312" w:cs="方正仿宋_GB2312"/>
                <w:color w:val="auto"/>
                <w:position w:val="1"/>
                <w:sz w:val="24"/>
                <w:szCs w:val="24"/>
                <w:lang w:val="en-US" w:eastAsia="zh-CN"/>
              </w:rPr>
              <w:t>630kg</w:t>
            </w:r>
          </w:p>
        </w:tc>
        <w:tc>
          <w:tcPr>
            <w:tcW w:w="1060" w:type="dxa"/>
            <w:tcBorders>
              <w:tl2br w:val="nil"/>
              <w:tr2bl w:val="nil"/>
            </w:tcBorders>
            <w:vAlign w:val="center"/>
          </w:tcPr>
          <w:p w14:paraId="3496EF9D">
            <w:pPr>
              <w:pStyle w:val="415"/>
              <w:snapToGrid w:val="0"/>
              <w:spacing w:before="61" w:line="240" w:lineRule="auto"/>
              <w:ind w:left="0" w:leftChars="0" w:right="0" w:rightChars="0" w:firstLine="0" w:firstLineChars="0"/>
              <w:jc w:val="center"/>
              <w:rPr>
                <w:rFonts w:hint="eastAsia" w:ascii="方正仿宋_GB2312" w:hAnsi="方正仿宋_GB2312" w:eastAsia="方正仿宋_GB2312" w:cs="方正仿宋_GB2312"/>
                <w:color w:val="auto"/>
                <w:spacing w:val="-1"/>
                <w:sz w:val="24"/>
                <w:szCs w:val="24"/>
              </w:rPr>
            </w:pPr>
            <w:r>
              <w:rPr>
                <w:rFonts w:hint="eastAsia" w:ascii="方正仿宋_GB2312" w:hAnsi="方正仿宋_GB2312" w:eastAsia="方正仿宋_GB2312" w:cs="方正仿宋_GB2312"/>
                <w:color w:val="auto"/>
                <w:spacing w:val="-1"/>
                <w:sz w:val="24"/>
                <w:szCs w:val="24"/>
              </w:rPr>
              <w:t>1m/s</w:t>
            </w:r>
          </w:p>
        </w:tc>
      </w:tr>
    </w:tbl>
    <w:p w14:paraId="7A7552CA">
      <w:pPr>
        <w:pStyle w:val="23"/>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napToGrid w:val="0"/>
          <w:color w:val="auto"/>
          <w:spacing w:val="-2"/>
          <w:kern w:val="0"/>
          <w:sz w:val="24"/>
          <w:szCs w:val="24"/>
          <w:lang w:val="en-US" w:eastAsia="en-US" w:bidi="ar-SA"/>
        </w:rPr>
      </w:pPr>
    </w:p>
    <w:p w14:paraId="1DE09DB6">
      <w:pPr>
        <w:numPr>
          <w:ilvl w:val="0"/>
          <w:numId w:val="0"/>
        </w:numPr>
        <w:spacing w:before="306" w:line="221" w:lineRule="auto"/>
        <w:outlineLvl w:val="1"/>
        <w:rPr>
          <w:rFonts w:hint="default" w:ascii="宋体" w:hAnsi="宋体" w:eastAsia="宋体" w:cs="宋体"/>
          <w:b w:val="0"/>
          <w:bCs w:val="0"/>
          <w:color w:val="auto"/>
          <w:spacing w:val="-8"/>
          <w:sz w:val="28"/>
          <w:szCs w:val="28"/>
          <w:lang w:val="en-US" w:eastAsia="zh-CN"/>
        </w:rPr>
      </w:pPr>
      <w:r>
        <w:rPr>
          <w:rFonts w:hint="eastAsia" w:ascii="方正仿宋_GB2312" w:hAnsi="方正仿宋_GB2312" w:eastAsia="方正仿宋_GB2312" w:cs="方正仿宋_GB2312"/>
          <w:b/>
          <w:bCs/>
          <w:color w:val="auto"/>
          <w:spacing w:val="-8"/>
          <w:sz w:val="28"/>
          <w:szCs w:val="28"/>
          <w:lang w:val="en-US" w:eastAsia="zh-CN"/>
        </w:rPr>
        <w:t>2、</w:t>
      </w:r>
      <w:r>
        <w:rPr>
          <w:rFonts w:hint="eastAsia" w:ascii="方正仿宋_GB2312" w:hAnsi="方正仿宋_GB2312" w:eastAsia="方正仿宋_GB2312" w:cs="方正仿宋_GB2312"/>
          <w:b/>
          <w:bCs/>
          <w:color w:val="auto"/>
          <w:spacing w:val="-4"/>
          <w:sz w:val="28"/>
          <w:szCs w:val="28"/>
          <w:lang w:val="en-US" w:eastAsia="zh-CN"/>
        </w:rPr>
        <w:t>省委党校教学楼</w:t>
      </w:r>
      <w:r>
        <w:rPr>
          <w:rFonts w:hint="eastAsia" w:ascii="方正仿宋_GB2312" w:hAnsi="方正仿宋_GB2312" w:eastAsia="方正仿宋_GB2312" w:cs="方正仿宋_GB2312"/>
          <w:b/>
          <w:bCs/>
          <w:color w:val="auto"/>
          <w:spacing w:val="-8"/>
          <w:sz w:val="28"/>
          <w:szCs w:val="28"/>
          <w:lang w:val="en-US" w:eastAsia="zh-CN"/>
        </w:rPr>
        <w:t>拟更换的电梯设备基本参数</w:t>
      </w:r>
    </w:p>
    <w:tbl>
      <w:tblPr>
        <w:tblStyle w:val="69"/>
        <w:tblW w:w="92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80"/>
        <w:gridCol w:w="1210"/>
        <w:gridCol w:w="1470"/>
        <w:gridCol w:w="1134"/>
        <w:gridCol w:w="831"/>
        <w:gridCol w:w="955"/>
        <w:gridCol w:w="935"/>
        <w:gridCol w:w="1065"/>
      </w:tblGrid>
      <w:tr w14:paraId="6DFCA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6" w:hRule="atLeast"/>
          <w:tblHeader/>
          <w:jc w:val="center"/>
        </w:trPr>
        <w:tc>
          <w:tcPr>
            <w:tcW w:w="1680" w:type="dxa"/>
            <w:vAlign w:val="center"/>
          </w:tcPr>
          <w:p w14:paraId="13D6DE03">
            <w:pPr>
              <w:keepNext w:val="0"/>
              <w:keepLines w:val="0"/>
              <w:pageBreakBefore w:val="0"/>
              <w:widowControl w:val="0"/>
              <w:kinsoku/>
              <w:wordWrap/>
              <w:overflowPunct/>
              <w:topLinePunct w:val="0"/>
              <w:autoSpaceDE/>
              <w:autoSpaceDN/>
              <w:bidi w:val="0"/>
              <w:adjustRightInd/>
              <w:snapToGrid w:val="0"/>
              <w:spacing w:before="103" w:line="240" w:lineRule="auto"/>
              <w:ind w:left="0" w:leftChars="0" w:right="0" w:rightChars="0" w:firstLine="0" w:firstLineChars="0"/>
              <w:jc w:val="center"/>
              <w:textAlignment w:val="auto"/>
              <w:rPr>
                <w:rFonts w:hint="eastAsia" w:ascii="方正仿宋_GB2312" w:hAnsi="方正仿宋_GB2312" w:eastAsia="方正仿宋_GB2312" w:cs="方正仿宋_GB2312"/>
                <w:b/>
                <w:bCs/>
                <w:color w:val="auto"/>
                <w:spacing w:val="-16"/>
                <w:w w:val="95"/>
                <w:sz w:val="24"/>
                <w:szCs w:val="24"/>
                <w:lang w:val="en-US" w:eastAsia="zh-CN"/>
              </w:rPr>
            </w:pPr>
            <w:r>
              <w:rPr>
                <w:rFonts w:hint="eastAsia" w:ascii="方正仿宋_GB2312" w:hAnsi="方正仿宋_GB2312" w:eastAsia="方正仿宋_GB2312" w:cs="方正仿宋_GB2312"/>
                <w:b/>
                <w:bCs/>
                <w:color w:val="auto"/>
                <w:spacing w:val="-16"/>
                <w:w w:val="95"/>
                <w:sz w:val="24"/>
                <w:szCs w:val="24"/>
                <w:lang w:val="en-US" w:eastAsia="zh-CN"/>
              </w:rPr>
              <w:t>电梯类型及位置</w:t>
            </w:r>
          </w:p>
        </w:tc>
        <w:tc>
          <w:tcPr>
            <w:tcW w:w="1210" w:type="dxa"/>
            <w:vAlign w:val="center"/>
          </w:tcPr>
          <w:p w14:paraId="34071842">
            <w:pPr>
              <w:keepNext w:val="0"/>
              <w:keepLines w:val="0"/>
              <w:pageBreakBefore w:val="0"/>
              <w:widowControl w:val="0"/>
              <w:kinsoku/>
              <w:wordWrap/>
              <w:overflowPunct/>
              <w:topLinePunct w:val="0"/>
              <w:autoSpaceDE/>
              <w:autoSpaceDN/>
              <w:bidi w:val="0"/>
              <w:adjustRightInd/>
              <w:snapToGrid w:val="0"/>
              <w:spacing w:before="103" w:line="240" w:lineRule="auto"/>
              <w:ind w:left="0" w:leftChars="0" w:right="0" w:rightChars="0" w:firstLine="0" w:firstLineChars="0"/>
              <w:jc w:val="center"/>
              <w:textAlignment w:val="auto"/>
              <w:rPr>
                <w:rFonts w:hint="eastAsia" w:ascii="方正仿宋_GB2312" w:hAnsi="方正仿宋_GB2312" w:eastAsia="方正仿宋_GB2312" w:cs="方正仿宋_GB2312"/>
                <w:b/>
                <w:bCs/>
                <w:color w:val="auto"/>
                <w:sz w:val="24"/>
                <w:szCs w:val="24"/>
                <w:lang w:val="en-US"/>
              </w:rPr>
            </w:pPr>
            <w:r>
              <w:rPr>
                <w:rFonts w:hint="eastAsia" w:ascii="方正仿宋_GB2312" w:hAnsi="方正仿宋_GB2312" w:eastAsia="方正仿宋_GB2312" w:cs="方正仿宋_GB2312"/>
                <w:b/>
                <w:bCs/>
                <w:color w:val="auto"/>
                <w:spacing w:val="-2"/>
                <w:sz w:val="24"/>
                <w:szCs w:val="24"/>
                <w:lang w:val="en-US" w:eastAsia="zh-CN"/>
              </w:rPr>
              <w:t>层门尺寸</w:t>
            </w:r>
            <w:r>
              <w:rPr>
                <w:b/>
                <w:bCs/>
                <w:spacing w:val="-16"/>
                <w:sz w:val="24"/>
                <w:szCs w:val="24"/>
              </w:rPr>
              <w:t>(mm）</w:t>
            </w:r>
          </w:p>
        </w:tc>
        <w:tc>
          <w:tcPr>
            <w:tcW w:w="1470" w:type="dxa"/>
            <w:vAlign w:val="center"/>
          </w:tcPr>
          <w:p w14:paraId="3CE28FDE">
            <w:pPr>
              <w:keepNext w:val="0"/>
              <w:keepLines w:val="0"/>
              <w:pageBreakBefore w:val="0"/>
              <w:widowControl w:val="0"/>
              <w:kinsoku/>
              <w:wordWrap/>
              <w:overflowPunct/>
              <w:topLinePunct w:val="0"/>
              <w:autoSpaceDE/>
              <w:autoSpaceDN/>
              <w:bidi w:val="0"/>
              <w:adjustRightInd/>
              <w:snapToGrid w:val="0"/>
              <w:spacing w:before="310" w:line="240" w:lineRule="auto"/>
              <w:ind w:left="0" w:leftChars="0" w:right="0" w:rightChars="0" w:firstLine="0" w:firstLineChars="0"/>
              <w:jc w:val="center"/>
              <w:textAlignment w:val="auto"/>
              <w:rPr>
                <w:rFonts w:hint="eastAsia" w:ascii="方正仿宋_GB2312" w:hAnsi="方正仿宋_GB2312" w:eastAsia="方正仿宋_GB2312" w:cs="方正仿宋_GB2312"/>
                <w:b/>
                <w:bCs/>
                <w:color w:val="auto"/>
                <w:sz w:val="24"/>
                <w:szCs w:val="24"/>
                <w:lang w:val="en-US" w:eastAsia="zh-CN"/>
              </w:rPr>
            </w:pPr>
            <w:r>
              <w:rPr>
                <w:rFonts w:hint="eastAsia" w:ascii="方正仿宋_GB2312" w:hAnsi="方正仿宋_GB2312" w:eastAsia="方正仿宋_GB2312" w:cs="方正仿宋_GB2312"/>
                <w:b/>
                <w:bCs/>
                <w:color w:val="auto"/>
                <w:sz w:val="24"/>
                <w:szCs w:val="24"/>
                <w:lang w:val="en-US" w:eastAsia="zh-CN"/>
              </w:rPr>
              <w:t>层高</w:t>
            </w:r>
          </w:p>
        </w:tc>
        <w:tc>
          <w:tcPr>
            <w:tcW w:w="1134" w:type="dxa"/>
            <w:vAlign w:val="center"/>
          </w:tcPr>
          <w:p w14:paraId="6AFEFD3A">
            <w:pPr>
              <w:keepNext w:val="0"/>
              <w:keepLines w:val="0"/>
              <w:pageBreakBefore w:val="0"/>
              <w:widowControl w:val="0"/>
              <w:kinsoku/>
              <w:wordWrap/>
              <w:overflowPunct/>
              <w:topLinePunct w:val="0"/>
              <w:autoSpaceDE/>
              <w:autoSpaceDN/>
              <w:bidi w:val="0"/>
              <w:adjustRightInd/>
              <w:snapToGrid w:val="0"/>
              <w:spacing w:before="315" w:line="240" w:lineRule="auto"/>
              <w:ind w:left="0" w:leftChars="0" w:right="0" w:rightChars="0" w:firstLine="0" w:firstLineChars="0"/>
              <w:jc w:val="center"/>
              <w:textAlignment w:val="auto"/>
              <w:rPr>
                <w:rFonts w:hint="eastAsia" w:ascii="方正仿宋_GB2312" w:hAnsi="方正仿宋_GB2312" w:eastAsia="方正仿宋_GB2312" w:cs="方正仿宋_GB2312"/>
                <w:b/>
                <w:bCs/>
                <w:color w:val="auto"/>
                <w:sz w:val="24"/>
                <w:szCs w:val="24"/>
                <w:lang w:val="en-US" w:eastAsia="zh-CN"/>
              </w:rPr>
            </w:pPr>
            <w:r>
              <w:rPr>
                <w:rFonts w:hint="eastAsia" w:ascii="方正仿宋_GB2312" w:hAnsi="方正仿宋_GB2312" w:eastAsia="方正仿宋_GB2312" w:cs="方正仿宋_GB2312"/>
                <w:b/>
                <w:bCs/>
                <w:color w:val="auto"/>
                <w:spacing w:val="-3"/>
                <w:sz w:val="24"/>
                <w:szCs w:val="24"/>
                <w:lang w:val="en-US" w:eastAsia="zh-CN"/>
              </w:rPr>
              <w:t>井道尺寸</w:t>
            </w:r>
            <w:r>
              <w:rPr>
                <w:b/>
                <w:bCs/>
                <w:spacing w:val="-16"/>
                <w:sz w:val="24"/>
                <w:szCs w:val="24"/>
              </w:rPr>
              <w:t>(mm）</w:t>
            </w:r>
          </w:p>
        </w:tc>
        <w:tc>
          <w:tcPr>
            <w:tcW w:w="831" w:type="dxa"/>
            <w:vAlign w:val="center"/>
          </w:tcPr>
          <w:p w14:paraId="78E40EA7">
            <w:pPr>
              <w:keepNext w:val="0"/>
              <w:keepLines w:val="0"/>
              <w:pageBreakBefore w:val="0"/>
              <w:widowControl w:val="0"/>
              <w:kinsoku/>
              <w:wordWrap/>
              <w:overflowPunct/>
              <w:topLinePunct w:val="0"/>
              <w:autoSpaceDE/>
              <w:autoSpaceDN/>
              <w:bidi w:val="0"/>
              <w:adjustRightInd/>
              <w:snapToGrid w:val="0"/>
              <w:spacing w:before="103" w:line="240" w:lineRule="auto"/>
              <w:ind w:left="0" w:leftChars="0" w:right="0" w:rightChars="0" w:firstLine="0" w:firstLineChars="0"/>
              <w:jc w:val="center"/>
              <w:textAlignment w:val="auto"/>
              <w:rPr>
                <w:rFonts w:hint="eastAsia" w:ascii="方正仿宋_GB2312" w:hAnsi="方正仿宋_GB2312" w:eastAsia="方正仿宋_GB2312" w:cs="方正仿宋_GB2312"/>
                <w:b/>
                <w:bCs/>
                <w:color w:val="auto"/>
                <w:sz w:val="24"/>
                <w:szCs w:val="24"/>
                <w:lang w:val="en-US" w:eastAsia="zh-CN"/>
              </w:rPr>
            </w:pPr>
            <w:r>
              <w:rPr>
                <w:rFonts w:hint="eastAsia" w:ascii="方正仿宋_GB2312" w:hAnsi="方正仿宋_GB2312" w:eastAsia="方正仿宋_GB2312" w:cs="方正仿宋_GB2312"/>
                <w:b/>
                <w:bCs/>
                <w:color w:val="auto"/>
                <w:spacing w:val="-1"/>
                <w:sz w:val="24"/>
                <w:szCs w:val="24"/>
                <w:lang w:val="en-US" w:eastAsia="zh-CN"/>
              </w:rPr>
              <w:t>基坑深度</w:t>
            </w:r>
          </w:p>
        </w:tc>
        <w:tc>
          <w:tcPr>
            <w:tcW w:w="955" w:type="dxa"/>
            <w:vAlign w:val="center"/>
          </w:tcPr>
          <w:p w14:paraId="1EA0E126">
            <w:pPr>
              <w:keepNext w:val="0"/>
              <w:keepLines w:val="0"/>
              <w:pageBreakBefore w:val="0"/>
              <w:widowControl w:val="0"/>
              <w:kinsoku/>
              <w:wordWrap/>
              <w:overflowPunct/>
              <w:topLinePunct w:val="0"/>
              <w:autoSpaceDE/>
              <w:autoSpaceDN/>
              <w:bidi w:val="0"/>
              <w:adjustRightInd/>
              <w:snapToGrid w:val="0"/>
              <w:spacing w:before="103" w:line="240" w:lineRule="auto"/>
              <w:ind w:left="0" w:leftChars="0" w:right="0" w:rightChars="0" w:firstLine="0" w:firstLineChars="0"/>
              <w:jc w:val="center"/>
              <w:textAlignment w:val="auto"/>
              <w:rPr>
                <w:rFonts w:hint="eastAsia" w:ascii="方正仿宋_GB2312" w:hAnsi="方正仿宋_GB2312" w:eastAsia="方正仿宋_GB2312" w:cs="方正仿宋_GB2312"/>
                <w:b/>
                <w:bCs/>
                <w:color w:val="auto"/>
                <w:spacing w:val="-1"/>
                <w:sz w:val="24"/>
                <w:szCs w:val="24"/>
                <w:lang w:val="en-US" w:eastAsia="zh-CN"/>
              </w:rPr>
            </w:pPr>
            <w:r>
              <w:rPr>
                <w:rFonts w:hint="eastAsia" w:ascii="方正仿宋_GB2312" w:hAnsi="方正仿宋_GB2312" w:eastAsia="方正仿宋_GB2312" w:cs="方正仿宋_GB2312"/>
                <w:b/>
                <w:bCs/>
                <w:color w:val="auto"/>
                <w:spacing w:val="-1"/>
                <w:sz w:val="24"/>
                <w:szCs w:val="24"/>
              </w:rPr>
              <w:t>层/站/</w:t>
            </w:r>
            <w:r>
              <w:rPr>
                <w:rFonts w:hint="eastAsia" w:ascii="方正仿宋_GB2312" w:hAnsi="方正仿宋_GB2312" w:eastAsia="方正仿宋_GB2312" w:cs="方正仿宋_GB2312"/>
                <w:b/>
                <w:bCs/>
                <w:color w:val="auto"/>
                <w:sz w:val="24"/>
                <w:szCs w:val="24"/>
              </w:rPr>
              <w:t>门</w:t>
            </w:r>
          </w:p>
        </w:tc>
        <w:tc>
          <w:tcPr>
            <w:tcW w:w="935" w:type="dxa"/>
            <w:vAlign w:val="center"/>
          </w:tcPr>
          <w:p w14:paraId="7FE7815F">
            <w:pPr>
              <w:keepNext w:val="0"/>
              <w:keepLines w:val="0"/>
              <w:pageBreakBefore w:val="0"/>
              <w:widowControl w:val="0"/>
              <w:kinsoku/>
              <w:wordWrap/>
              <w:overflowPunct/>
              <w:topLinePunct w:val="0"/>
              <w:autoSpaceDE/>
              <w:autoSpaceDN/>
              <w:bidi w:val="0"/>
              <w:adjustRightInd/>
              <w:snapToGrid w:val="0"/>
              <w:spacing w:before="103" w:line="240" w:lineRule="auto"/>
              <w:ind w:left="0" w:leftChars="0" w:right="0" w:rightChars="0" w:firstLine="0" w:firstLineChars="0"/>
              <w:jc w:val="center"/>
              <w:textAlignment w:val="auto"/>
              <w:rPr>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pacing w:val="-3"/>
                <w:sz w:val="24"/>
                <w:szCs w:val="24"/>
              </w:rPr>
              <w:t>载重</w:t>
            </w:r>
            <w:r>
              <w:rPr>
                <w:b/>
                <w:bCs/>
                <w:spacing w:val="-17"/>
                <w:sz w:val="24"/>
                <w:szCs w:val="24"/>
              </w:rPr>
              <w:t>(kg)</w:t>
            </w:r>
          </w:p>
        </w:tc>
        <w:tc>
          <w:tcPr>
            <w:tcW w:w="1065" w:type="dxa"/>
            <w:vAlign w:val="center"/>
          </w:tcPr>
          <w:p w14:paraId="26D38C2B">
            <w:pPr>
              <w:keepNext w:val="0"/>
              <w:keepLines w:val="0"/>
              <w:pageBreakBefore w:val="0"/>
              <w:widowControl w:val="0"/>
              <w:kinsoku/>
              <w:wordWrap/>
              <w:overflowPunct/>
              <w:topLinePunct w:val="0"/>
              <w:autoSpaceDE/>
              <w:autoSpaceDN/>
              <w:bidi w:val="0"/>
              <w:adjustRightInd/>
              <w:snapToGrid w:val="0"/>
              <w:spacing w:before="208" w:line="240" w:lineRule="auto"/>
              <w:ind w:left="0" w:leftChars="0" w:right="0" w:rightChars="0" w:firstLine="0" w:firstLineChars="0"/>
              <w:jc w:val="center"/>
              <w:textAlignment w:val="auto"/>
              <w:rPr>
                <w:rFonts w:hint="eastAsia" w:ascii="方正仿宋_GB2312" w:hAnsi="方正仿宋_GB2312" w:eastAsia="方正仿宋_GB2312" w:cs="方正仿宋_GB2312"/>
                <w:b/>
                <w:bCs/>
                <w:color w:val="auto"/>
                <w:sz w:val="24"/>
                <w:szCs w:val="24"/>
              </w:rPr>
            </w:pPr>
            <w:r>
              <w:rPr>
                <w:rFonts w:hint="eastAsia" w:ascii="方正仿宋_GB2312" w:hAnsi="方正仿宋_GB2312" w:eastAsia="方正仿宋_GB2312" w:cs="方正仿宋_GB2312"/>
                <w:b/>
                <w:bCs/>
                <w:color w:val="auto"/>
                <w:spacing w:val="-3"/>
                <w:sz w:val="24"/>
                <w:szCs w:val="24"/>
                <w:lang w:val="en-US" w:eastAsia="zh-CN"/>
              </w:rPr>
              <w:t>运行</w:t>
            </w:r>
            <w:r>
              <w:rPr>
                <w:rFonts w:hint="eastAsia" w:ascii="方正仿宋_GB2312" w:hAnsi="方正仿宋_GB2312" w:eastAsia="方正仿宋_GB2312" w:cs="方正仿宋_GB2312"/>
                <w:b/>
                <w:bCs/>
                <w:color w:val="auto"/>
                <w:spacing w:val="-3"/>
                <w:sz w:val="24"/>
                <w:szCs w:val="24"/>
              </w:rPr>
              <w:t>速度</w:t>
            </w:r>
          </w:p>
        </w:tc>
      </w:tr>
      <w:tr w14:paraId="4BB39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0" w:hRule="atLeast"/>
          <w:tblHeader/>
          <w:jc w:val="center"/>
        </w:trPr>
        <w:tc>
          <w:tcPr>
            <w:tcW w:w="1680" w:type="dxa"/>
            <w:vAlign w:val="top"/>
          </w:tcPr>
          <w:p w14:paraId="28A2955C">
            <w:pPr>
              <w:pStyle w:val="415"/>
              <w:keepNext w:val="0"/>
              <w:keepLines w:val="0"/>
              <w:pageBreakBefore w:val="0"/>
              <w:widowControl w:val="0"/>
              <w:kinsoku/>
              <w:wordWrap/>
              <w:overflowPunct/>
              <w:topLinePunct w:val="0"/>
              <w:autoSpaceDE/>
              <w:autoSpaceDN/>
              <w:bidi w:val="0"/>
              <w:adjustRightInd/>
              <w:spacing w:before="286" w:line="240" w:lineRule="auto"/>
              <w:ind w:left="91" w:leftChars="0" w:right="74" w:rightChars="0" w:firstLine="94" w:firstLineChars="0"/>
              <w:jc w:val="both"/>
              <w:textAlignment w:val="auto"/>
              <w:rPr>
                <w:rFonts w:hint="eastAsia" w:ascii="方正仿宋_GB2312" w:hAnsi="方正仿宋_GB2312" w:eastAsia="方正仿宋_GB2312" w:cs="方正仿宋_GB2312"/>
                <w:b/>
                <w:bCs/>
                <w:color w:val="auto"/>
                <w:spacing w:val="-16"/>
                <w:w w:val="95"/>
                <w:sz w:val="24"/>
                <w:szCs w:val="24"/>
                <w:lang w:val="en-US" w:eastAsia="zh-CN"/>
              </w:rPr>
            </w:pPr>
            <w:r>
              <w:rPr>
                <w:rFonts w:hint="eastAsia" w:ascii="方正仿宋_GB2312" w:hAnsi="方正仿宋_GB2312" w:eastAsia="方正仿宋_GB2312" w:cs="方正仿宋_GB2312"/>
                <w:spacing w:val="12"/>
                <w:sz w:val="24"/>
                <w:szCs w:val="24"/>
              </w:rPr>
              <w:t>教学楼1#电梯曳引驱动乘客电</w:t>
            </w:r>
            <w:r>
              <w:rPr>
                <w:rFonts w:hint="eastAsia" w:ascii="方正仿宋_GB2312" w:hAnsi="方正仿宋_GB2312" w:eastAsia="方正仿宋_GB2312" w:cs="方正仿宋_GB2312"/>
                <w:spacing w:val="26"/>
                <w:sz w:val="24"/>
                <w:szCs w:val="24"/>
              </w:rPr>
              <w:t>梯（有机房）</w:t>
            </w:r>
          </w:p>
        </w:tc>
        <w:tc>
          <w:tcPr>
            <w:tcW w:w="1210" w:type="dxa"/>
            <w:vAlign w:val="top"/>
          </w:tcPr>
          <w:p w14:paraId="7860F909">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47365E59">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5D2E09F2">
            <w:pPr>
              <w:pStyle w:val="415"/>
              <w:keepNext w:val="0"/>
              <w:keepLines w:val="0"/>
              <w:pageBreakBefore w:val="0"/>
              <w:widowControl w:val="0"/>
              <w:kinsoku/>
              <w:wordWrap/>
              <w:overflowPunct/>
              <w:topLinePunct w:val="0"/>
              <w:autoSpaceDE/>
              <w:autoSpaceDN/>
              <w:bidi w:val="0"/>
              <w:adjustRightInd/>
              <w:spacing w:before="65" w:line="240" w:lineRule="auto"/>
              <w:ind w:left="49" w:leftChars="0"/>
              <w:textAlignment w:val="auto"/>
              <w:rPr>
                <w:rFonts w:hint="eastAsia" w:ascii="方正仿宋_GB2312" w:hAnsi="方正仿宋_GB2312" w:eastAsia="方正仿宋_GB2312" w:cs="方正仿宋_GB2312"/>
                <w:b/>
                <w:bCs/>
                <w:color w:val="auto"/>
                <w:spacing w:val="-2"/>
                <w:sz w:val="24"/>
                <w:szCs w:val="24"/>
                <w:lang w:val="en-US" w:eastAsia="zh-CN"/>
              </w:rPr>
            </w:pPr>
            <w:r>
              <w:rPr>
                <w:rFonts w:hint="eastAsia" w:ascii="方正仿宋_GB2312" w:hAnsi="方正仿宋_GB2312" w:eastAsia="方正仿宋_GB2312" w:cs="方正仿宋_GB2312"/>
                <w:spacing w:val="6"/>
                <w:position w:val="1"/>
                <w:sz w:val="24"/>
                <w:szCs w:val="24"/>
              </w:rPr>
              <w:t>1030*2110</w:t>
            </w:r>
          </w:p>
        </w:tc>
        <w:tc>
          <w:tcPr>
            <w:tcW w:w="1470" w:type="dxa"/>
            <w:vAlign w:val="top"/>
          </w:tcPr>
          <w:p w14:paraId="051B22F1">
            <w:pPr>
              <w:pStyle w:val="415"/>
              <w:keepNext w:val="0"/>
              <w:keepLines w:val="0"/>
              <w:pageBreakBefore w:val="0"/>
              <w:widowControl w:val="0"/>
              <w:kinsoku/>
              <w:wordWrap/>
              <w:overflowPunct/>
              <w:topLinePunct w:val="0"/>
              <w:autoSpaceDE/>
              <w:autoSpaceDN/>
              <w:bidi w:val="0"/>
              <w:adjustRightInd/>
              <w:spacing w:before="89" w:line="240" w:lineRule="auto"/>
              <w:ind w:left="22"/>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1层：4.8m</w:t>
            </w:r>
          </w:p>
          <w:p w14:paraId="35F3AD0F">
            <w:pPr>
              <w:pStyle w:val="415"/>
              <w:keepNext w:val="0"/>
              <w:keepLines w:val="0"/>
              <w:pageBreakBefore w:val="0"/>
              <w:widowControl w:val="0"/>
              <w:kinsoku/>
              <w:wordWrap/>
              <w:overflowPunct/>
              <w:topLinePunct w:val="0"/>
              <w:autoSpaceDE/>
              <w:autoSpaceDN/>
              <w:bidi w:val="0"/>
              <w:adjustRightInd/>
              <w:spacing w:before="86" w:line="240" w:lineRule="auto"/>
              <w:ind w:left="9"/>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8"/>
                <w:sz w:val="24"/>
                <w:szCs w:val="24"/>
              </w:rPr>
              <w:t>2层：4.8m</w:t>
            </w:r>
          </w:p>
          <w:p w14:paraId="072DE712">
            <w:pPr>
              <w:pStyle w:val="415"/>
              <w:keepNext w:val="0"/>
              <w:keepLines w:val="0"/>
              <w:pageBreakBefore w:val="0"/>
              <w:widowControl w:val="0"/>
              <w:kinsoku/>
              <w:wordWrap/>
              <w:overflowPunct/>
              <w:topLinePunct w:val="0"/>
              <w:autoSpaceDE/>
              <w:autoSpaceDN/>
              <w:bidi w:val="0"/>
              <w:adjustRightInd/>
              <w:spacing w:before="86" w:line="240" w:lineRule="auto"/>
              <w:ind w:left="10"/>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8"/>
                <w:sz w:val="24"/>
                <w:szCs w:val="24"/>
              </w:rPr>
              <w:t>3层：4.8m</w:t>
            </w:r>
          </w:p>
          <w:p w14:paraId="1A1CFA14">
            <w:pPr>
              <w:pStyle w:val="415"/>
              <w:keepNext w:val="0"/>
              <w:keepLines w:val="0"/>
              <w:pageBreakBefore w:val="0"/>
              <w:widowControl w:val="0"/>
              <w:kinsoku/>
              <w:wordWrap/>
              <w:overflowPunct/>
              <w:topLinePunct w:val="0"/>
              <w:autoSpaceDE/>
              <w:autoSpaceDN/>
              <w:bidi w:val="0"/>
              <w:adjustRightInd/>
              <w:spacing w:before="89" w:line="240" w:lineRule="auto"/>
              <w:ind w:left="5" w:leftChars="0"/>
              <w:textAlignment w:val="auto"/>
              <w:rPr>
                <w:rFonts w:hint="eastAsia" w:ascii="方正仿宋_GB2312" w:hAnsi="方正仿宋_GB2312" w:eastAsia="方正仿宋_GB2312" w:cs="方正仿宋_GB2312"/>
                <w:b/>
                <w:bCs/>
                <w:color w:val="auto"/>
                <w:sz w:val="24"/>
                <w:szCs w:val="24"/>
                <w:lang w:val="en-US" w:eastAsia="zh-CN"/>
              </w:rPr>
            </w:pPr>
            <w:r>
              <w:rPr>
                <w:rFonts w:hint="eastAsia" w:ascii="方正仿宋_GB2312" w:hAnsi="方正仿宋_GB2312" w:eastAsia="方正仿宋_GB2312" w:cs="方正仿宋_GB2312"/>
                <w:spacing w:val="9"/>
                <w:sz w:val="24"/>
                <w:szCs w:val="24"/>
              </w:rPr>
              <w:t>4层：4.8m</w:t>
            </w:r>
          </w:p>
        </w:tc>
        <w:tc>
          <w:tcPr>
            <w:tcW w:w="1134" w:type="dxa"/>
            <w:vAlign w:val="center"/>
          </w:tcPr>
          <w:p w14:paraId="52B795F6">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3"/>
                <w:sz w:val="24"/>
                <w:szCs w:val="24"/>
                <w:lang w:val="en-US" w:eastAsia="zh-CN"/>
              </w:rPr>
            </w:pPr>
            <w:r>
              <w:rPr>
                <w:rFonts w:hint="eastAsia" w:ascii="方正仿宋_GB2312" w:hAnsi="方正仿宋_GB2312" w:eastAsia="方正仿宋_GB2312" w:cs="方正仿宋_GB2312"/>
                <w:spacing w:val="3"/>
                <w:position w:val="1"/>
                <w:sz w:val="24"/>
                <w:szCs w:val="24"/>
              </w:rPr>
              <w:t>2500*2500</w:t>
            </w:r>
          </w:p>
        </w:tc>
        <w:tc>
          <w:tcPr>
            <w:tcW w:w="831" w:type="dxa"/>
            <w:vAlign w:val="top"/>
          </w:tcPr>
          <w:p w14:paraId="28F66CA9">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方正仿宋_GB2312" w:hAnsi="方正仿宋_GB2312" w:eastAsia="方正仿宋_GB2312" w:cs="方正仿宋_GB2312"/>
                <w:sz w:val="24"/>
                <w:szCs w:val="24"/>
              </w:rPr>
            </w:pPr>
          </w:p>
          <w:p w14:paraId="6DE1F60E">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2"/>
                <w:sz w:val="24"/>
                <w:szCs w:val="24"/>
                <w:lang w:val="en-US" w:eastAsia="zh-CN"/>
              </w:rPr>
            </w:pPr>
            <w:r>
              <w:rPr>
                <w:rFonts w:hint="eastAsia" w:ascii="方正仿宋_GB2312" w:hAnsi="方正仿宋_GB2312" w:eastAsia="方正仿宋_GB2312" w:cs="方正仿宋_GB2312"/>
                <w:position w:val="1"/>
                <w:sz w:val="24"/>
                <w:szCs w:val="24"/>
              </w:rPr>
              <w:t>1.6m</w:t>
            </w:r>
          </w:p>
        </w:tc>
        <w:tc>
          <w:tcPr>
            <w:tcW w:w="955" w:type="dxa"/>
            <w:vAlign w:val="top"/>
          </w:tcPr>
          <w:p w14:paraId="5AB81631">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1C46B727">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4EA5CC6D">
            <w:pPr>
              <w:pStyle w:val="415"/>
              <w:keepNext w:val="0"/>
              <w:keepLines w:val="0"/>
              <w:pageBreakBefore w:val="0"/>
              <w:widowControl w:val="0"/>
              <w:kinsoku/>
              <w:wordWrap/>
              <w:overflowPunct/>
              <w:topLinePunct w:val="0"/>
              <w:autoSpaceDE/>
              <w:autoSpaceDN/>
              <w:bidi w:val="0"/>
              <w:adjustRightInd/>
              <w:spacing w:before="65" w:line="240" w:lineRule="auto"/>
              <w:ind w:left="255" w:leftChars="0"/>
              <w:textAlignment w:val="auto"/>
              <w:rPr>
                <w:rFonts w:hint="eastAsia" w:ascii="方正仿宋_GB2312" w:hAnsi="方正仿宋_GB2312" w:eastAsia="方正仿宋_GB2312" w:cs="方正仿宋_GB2312"/>
                <w:b/>
                <w:bCs/>
                <w:color w:val="auto"/>
                <w:spacing w:val="-1"/>
                <w:sz w:val="24"/>
                <w:szCs w:val="24"/>
                <w:lang w:val="en-US" w:eastAsia="zh-CN"/>
              </w:rPr>
            </w:pPr>
            <w:r>
              <w:rPr>
                <w:rFonts w:hint="eastAsia" w:ascii="方正仿宋_GB2312" w:hAnsi="方正仿宋_GB2312" w:eastAsia="方正仿宋_GB2312" w:cs="方正仿宋_GB2312"/>
                <w:spacing w:val="5"/>
                <w:sz w:val="24"/>
                <w:szCs w:val="24"/>
              </w:rPr>
              <w:t>4/4/4</w:t>
            </w:r>
          </w:p>
        </w:tc>
        <w:tc>
          <w:tcPr>
            <w:tcW w:w="935" w:type="dxa"/>
            <w:vAlign w:val="top"/>
          </w:tcPr>
          <w:p w14:paraId="49155764">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72A5F431">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5EA5D231">
            <w:pPr>
              <w:pStyle w:val="415"/>
              <w:keepNext w:val="0"/>
              <w:keepLines w:val="0"/>
              <w:pageBreakBefore w:val="0"/>
              <w:widowControl w:val="0"/>
              <w:kinsoku/>
              <w:wordWrap/>
              <w:overflowPunct/>
              <w:topLinePunct w:val="0"/>
              <w:autoSpaceDE/>
              <w:autoSpaceDN/>
              <w:bidi w:val="0"/>
              <w:adjustRightInd/>
              <w:spacing w:before="65" w:line="240" w:lineRule="auto"/>
              <w:ind w:left="197" w:leftChars="0"/>
              <w:textAlignment w:val="auto"/>
              <w:rPr>
                <w:rFonts w:hint="eastAsia" w:ascii="方正仿宋_GB2312" w:hAnsi="方正仿宋_GB2312" w:eastAsia="方正仿宋_GB2312" w:cs="方正仿宋_GB2312"/>
                <w:b/>
                <w:bCs/>
                <w:color w:val="auto"/>
                <w:spacing w:val="-1"/>
                <w:sz w:val="24"/>
                <w:szCs w:val="24"/>
              </w:rPr>
            </w:pPr>
            <w:r>
              <w:rPr>
                <w:rFonts w:hint="eastAsia" w:ascii="方正仿宋_GB2312" w:hAnsi="方正仿宋_GB2312" w:eastAsia="方正仿宋_GB2312" w:cs="方正仿宋_GB2312"/>
                <w:spacing w:val="1"/>
                <w:sz w:val="24"/>
                <w:szCs w:val="24"/>
              </w:rPr>
              <w:t>1350</w:t>
            </w:r>
            <w:r>
              <w:rPr>
                <w:rFonts w:hint="eastAsia" w:ascii="方正仿宋_GB2312" w:hAnsi="方正仿宋_GB2312" w:eastAsia="方正仿宋_GB2312" w:cs="方正仿宋_GB2312"/>
                <w:sz w:val="24"/>
                <w:szCs w:val="24"/>
              </w:rPr>
              <w:t>kg</w:t>
            </w:r>
          </w:p>
        </w:tc>
        <w:tc>
          <w:tcPr>
            <w:tcW w:w="1065" w:type="dxa"/>
            <w:vAlign w:val="center"/>
          </w:tcPr>
          <w:p w14:paraId="05423233">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方正仿宋_GB2312" w:hAnsi="方正仿宋_GB2312" w:eastAsia="方正仿宋_GB2312" w:cs="方正仿宋_GB2312"/>
                <w:sz w:val="24"/>
                <w:szCs w:val="24"/>
              </w:rPr>
            </w:pPr>
          </w:p>
          <w:p w14:paraId="45C2BFF7">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3"/>
                <w:sz w:val="24"/>
                <w:szCs w:val="24"/>
              </w:rPr>
            </w:pPr>
            <w:r>
              <w:rPr>
                <w:rFonts w:hint="eastAsia" w:ascii="方正仿宋_GB2312" w:hAnsi="方正仿宋_GB2312" w:eastAsia="方正仿宋_GB2312" w:cs="方正仿宋_GB2312"/>
                <w:spacing w:val="-2"/>
                <w:sz w:val="24"/>
                <w:szCs w:val="24"/>
              </w:rPr>
              <w:t>1m/s</w:t>
            </w:r>
          </w:p>
        </w:tc>
      </w:tr>
      <w:tr w14:paraId="21738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9" w:hRule="atLeast"/>
          <w:tblHeader/>
          <w:jc w:val="center"/>
        </w:trPr>
        <w:tc>
          <w:tcPr>
            <w:tcW w:w="1680" w:type="dxa"/>
            <w:vAlign w:val="top"/>
          </w:tcPr>
          <w:p w14:paraId="205EA9E7">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4A37068B">
            <w:pPr>
              <w:pStyle w:val="415"/>
              <w:keepNext w:val="0"/>
              <w:keepLines w:val="0"/>
              <w:pageBreakBefore w:val="0"/>
              <w:widowControl w:val="0"/>
              <w:kinsoku/>
              <w:wordWrap/>
              <w:overflowPunct/>
              <w:topLinePunct w:val="0"/>
              <w:autoSpaceDE/>
              <w:autoSpaceDN/>
              <w:bidi w:val="0"/>
              <w:adjustRightInd/>
              <w:spacing w:before="65" w:line="240" w:lineRule="auto"/>
              <w:ind w:left="91" w:leftChars="0" w:right="74" w:rightChars="0" w:firstLine="94" w:firstLineChars="0"/>
              <w:jc w:val="both"/>
              <w:textAlignment w:val="auto"/>
              <w:rPr>
                <w:rFonts w:hint="eastAsia" w:ascii="方正仿宋_GB2312" w:hAnsi="方正仿宋_GB2312" w:eastAsia="方正仿宋_GB2312" w:cs="方正仿宋_GB2312"/>
                <w:b/>
                <w:bCs/>
                <w:color w:val="auto"/>
                <w:spacing w:val="-16"/>
                <w:w w:val="95"/>
                <w:sz w:val="24"/>
                <w:szCs w:val="24"/>
                <w:lang w:val="en-US" w:eastAsia="zh-CN"/>
              </w:rPr>
            </w:pPr>
            <w:r>
              <w:rPr>
                <w:rFonts w:hint="eastAsia" w:ascii="方正仿宋_GB2312" w:hAnsi="方正仿宋_GB2312" w:eastAsia="方正仿宋_GB2312" w:cs="方正仿宋_GB2312"/>
                <w:spacing w:val="12"/>
                <w:sz w:val="24"/>
                <w:szCs w:val="24"/>
              </w:rPr>
              <w:t>教学楼2#电梯曳引驱动乘客电</w:t>
            </w:r>
            <w:r>
              <w:rPr>
                <w:rFonts w:hint="eastAsia" w:ascii="方正仿宋_GB2312" w:hAnsi="方正仿宋_GB2312" w:eastAsia="方正仿宋_GB2312" w:cs="方正仿宋_GB2312"/>
                <w:spacing w:val="26"/>
                <w:sz w:val="24"/>
                <w:szCs w:val="24"/>
              </w:rPr>
              <w:t>梯（有机房）</w:t>
            </w:r>
          </w:p>
        </w:tc>
        <w:tc>
          <w:tcPr>
            <w:tcW w:w="1210" w:type="dxa"/>
            <w:vAlign w:val="top"/>
          </w:tcPr>
          <w:p w14:paraId="195E0B74">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51BE1DC0">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26EFC295">
            <w:pPr>
              <w:pStyle w:val="415"/>
              <w:keepNext w:val="0"/>
              <w:keepLines w:val="0"/>
              <w:pageBreakBefore w:val="0"/>
              <w:widowControl w:val="0"/>
              <w:kinsoku/>
              <w:wordWrap/>
              <w:overflowPunct/>
              <w:topLinePunct w:val="0"/>
              <w:autoSpaceDE/>
              <w:autoSpaceDN/>
              <w:bidi w:val="0"/>
              <w:adjustRightInd/>
              <w:spacing w:before="65" w:line="240" w:lineRule="auto"/>
              <w:ind w:left="49" w:leftChars="0"/>
              <w:textAlignment w:val="auto"/>
              <w:rPr>
                <w:rFonts w:hint="eastAsia" w:ascii="方正仿宋_GB2312" w:hAnsi="方正仿宋_GB2312" w:eastAsia="方正仿宋_GB2312" w:cs="方正仿宋_GB2312"/>
                <w:b/>
                <w:bCs/>
                <w:color w:val="auto"/>
                <w:spacing w:val="-2"/>
                <w:sz w:val="24"/>
                <w:szCs w:val="24"/>
                <w:lang w:val="en-US" w:eastAsia="zh-CN"/>
              </w:rPr>
            </w:pPr>
            <w:r>
              <w:rPr>
                <w:rFonts w:hint="eastAsia" w:ascii="方正仿宋_GB2312" w:hAnsi="方正仿宋_GB2312" w:eastAsia="方正仿宋_GB2312" w:cs="方正仿宋_GB2312"/>
                <w:spacing w:val="6"/>
                <w:position w:val="1"/>
                <w:sz w:val="24"/>
                <w:szCs w:val="24"/>
              </w:rPr>
              <w:t>1030*2110</w:t>
            </w:r>
          </w:p>
        </w:tc>
        <w:tc>
          <w:tcPr>
            <w:tcW w:w="1470" w:type="dxa"/>
            <w:vAlign w:val="top"/>
          </w:tcPr>
          <w:p w14:paraId="7B2BECA5">
            <w:pPr>
              <w:pStyle w:val="415"/>
              <w:keepNext w:val="0"/>
              <w:keepLines w:val="0"/>
              <w:pageBreakBefore w:val="0"/>
              <w:widowControl w:val="0"/>
              <w:kinsoku/>
              <w:wordWrap/>
              <w:overflowPunct/>
              <w:topLinePunct w:val="0"/>
              <w:autoSpaceDE/>
              <w:autoSpaceDN/>
              <w:bidi w:val="0"/>
              <w:adjustRightInd/>
              <w:spacing w:before="92" w:line="240" w:lineRule="auto"/>
              <w:ind w:left="4"/>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9"/>
                <w:sz w:val="24"/>
                <w:szCs w:val="24"/>
              </w:rPr>
              <w:t>-1层：3.6m</w:t>
            </w:r>
          </w:p>
          <w:p w14:paraId="26100543">
            <w:pPr>
              <w:pStyle w:val="415"/>
              <w:keepNext w:val="0"/>
              <w:keepLines w:val="0"/>
              <w:pageBreakBefore w:val="0"/>
              <w:widowControl w:val="0"/>
              <w:kinsoku/>
              <w:wordWrap/>
              <w:overflowPunct/>
              <w:topLinePunct w:val="0"/>
              <w:autoSpaceDE/>
              <w:autoSpaceDN/>
              <w:bidi w:val="0"/>
              <w:adjustRightInd/>
              <w:spacing w:before="86" w:line="240" w:lineRule="auto"/>
              <w:ind w:left="22"/>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1层：4.8m</w:t>
            </w:r>
          </w:p>
          <w:p w14:paraId="596C7D63">
            <w:pPr>
              <w:pStyle w:val="415"/>
              <w:keepNext w:val="0"/>
              <w:keepLines w:val="0"/>
              <w:pageBreakBefore w:val="0"/>
              <w:widowControl w:val="0"/>
              <w:kinsoku/>
              <w:wordWrap/>
              <w:overflowPunct/>
              <w:topLinePunct w:val="0"/>
              <w:autoSpaceDE/>
              <w:autoSpaceDN/>
              <w:bidi w:val="0"/>
              <w:adjustRightInd/>
              <w:spacing w:before="86" w:line="240" w:lineRule="auto"/>
              <w:ind w:left="9"/>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8"/>
                <w:sz w:val="24"/>
                <w:szCs w:val="24"/>
              </w:rPr>
              <w:t>2层：4.8m</w:t>
            </w:r>
          </w:p>
          <w:p w14:paraId="657F70E7">
            <w:pPr>
              <w:pStyle w:val="415"/>
              <w:keepNext w:val="0"/>
              <w:keepLines w:val="0"/>
              <w:pageBreakBefore w:val="0"/>
              <w:widowControl w:val="0"/>
              <w:kinsoku/>
              <w:wordWrap/>
              <w:overflowPunct/>
              <w:topLinePunct w:val="0"/>
              <w:autoSpaceDE/>
              <w:autoSpaceDN/>
              <w:bidi w:val="0"/>
              <w:adjustRightInd/>
              <w:spacing w:before="89" w:line="240" w:lineRule="auto"/>
              <w:ind w:left="10"/>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8"/>
                <w:sz w:val="24"/>
                <w:szCs w:val="24"/>
              </w:rPr>
              <w:t>3层：4.8m</w:t>
            </w:r>
          </w:p>
          <w:p w14:paraId="7E423014">
            <w:pPr>
              <w:pStyle w:val="415"/>
              <w:keepNext w:val="0"/>
              <w:keepLines w:val="0"/>
              <w:pageBreakBefore w:val="0"/>
              <w:widowControl w:val="0"/>
              <w:kinsoku/>
              <w:wordWrap/>
              <w:overflowPunct/>
              <w:topLinePunct w:val="0"/>
              <w:autoSpaceDE/>
              <w:autoSpaceDN/>
              <w:bidi w:val="0"/>
              <w:adjustRightInd/>
              <w:spacing w:before="87" w:line="240" w:lineRule="auto"/>
              <w:ind w:left="5" w:leftChars="0"/>
              <w:textAlignment w:val="auto"/>
              <w:rPr>
                <w:rFonts w:hint="eastAsia" w:ascii="方正仿宋_GB2312" w:hAnsi="方正仿宋_GB2312" w:eastAsia="方正仿宋_GB2312" w:cs="方正仿宋_GB2312"/>
                <w:b/>
                <w:bCs/>
                <w:color w:val="auto"/>
                <w:sz w:val="24"/>
                <w:szCs w:val="24"/>
                <w:lang w:val="en-US" w:eastAsia="zh-CN"/>
              </w:rPr>
            </w:pPr>
            <w:r>
              <w:rPr>
                <w:rFonts w:hint="eastAsia" w:ascii="方正仿宋_GB2312" w:hAnsi="方正仿宋_GB2312" w:eastAsia="方正仿宋_GB2312" w:cs="方正仿宋_GB2312"/>
                <w:spacing w:val="9"/>
                <w:sz w:val="24"/>
                <w:szCs w:val="24"/>
              </w:rPr>
              <w:t>4层：4.8m</w:t>
            </w:r>
          </w:p>
        </w:tc>
        <w:tc>
          <w:tcPr>
            <w:tcW w:w="1134" w:type="dxa"/>
            <w:vAlign w:val="center"/>
          </w:tcPr>
          <w:p w14:paraId="3952FEAF">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3"/>
                <w:sz w:val="24"/>
                <w:szCs w:val="24"/>
                <w:lang w:val="en-US" w:eastAsia="zh-CN"/>
              </w:rPr>
            </w:pPr>
            <w:r>
              <w:rPr>
                <w:rFonts w:hint="eastAsia" w:ascii="方正仿宋_GB2312" w:hAnsi="方正仿宋_GB2312" w:eastAsia="方正仿宋_GB2312" w:cs="方正仿宋_GB2312"/>
                <w:spacing w:val="3"/>
                <w:position w:val="1"/>
                <w:sz w:val="24"/>
                <w:szCs w:val="24"/>
              </w:rPr>
              <w:t>2500*2500</w:t>
            </w:r>
          </w:p>
        </w:tc>
        <w:tc>
          <w:tcPr>
            <w:tcW w:w="831" w:type="dxa"/>
            <w:vAlign w:val="top"/>
          </w:tcPr>
          <w:p w14:paraId="113C6FE1">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方正仿宋_GB2312" w:hAnsi="方正仿宋_GB2312" w:eastAsia="方正仿宋_GB2312" w:cs="方正仿宋_GB2312"/>
                <w:sz w:val="24"/>
                <w:szCs w:val="24"/>
              </w:rPr>
            </w:pPr>
          </w:p>
          <w:p w14:paraId="0E47EB45">
            <w:pPr>
              <w:keepNext w:val="0"/>
              <w:keepLines w:val="0"/>
              <w:pageBreakBefore w:val="0"/>
              <w:widowControl w:val="0"/>
              <w:kinsoku/>
              <w:wordWrap/>
              <w:overflowPunct/>
              <w:topLinePunct w:val="0"/>
              <w:autoSpaceDE/>
              <w:autoSpaceDN/>
              <w:bidi w:val="0"/>
              <w:adjustRightInd/>
              <w:spacing w:before="57" w:line="240" w:lineRule="auto"/>
              <w:jc w:val="center"/>
              <w:textAlignment w:val="auto"/>
              <w:rPr>
                <w:rFonts w:hint="eastAsia" w:ascii="方正仿宋_GB2312" w:hAnsi="方正仿宋_GB2312" w:eastAsia="方正仿宋_GB2312" w:cs="方正仿宋_GB2312"/>
                <w:b/>
                <w:bCs/>
                <w:color w:val="auto"/>
                <w:spacing w:val="-2"/>
                <w:sz w:val="24"/>
                <w:szCs w:val="24"/>
                <w:lang w:val="en-US" w:eastAsia="zh-CN"/>
              </w:rPr>
            </w:pPr>
            <w:r>
              <w:rPr>
                <w:rFonts w:hint="eastAsia" w:ascii="方正仿宋_GB2312" w:hAnsi="方正仿宋_GB2312" w:eastAsia="方正仿宋_GB2312" w:cs="方正仿宋_GB2312"/>
                <w:spacing w:val="2"/>
                <w:position w:val="1"/>
                <w:sz w:val="24"/>
                <w:szCs w:val="24"/>
              </w:rPr>
              <w:t>1.6m</w:t>
            </w:r>
          </w:p>
        </w:tc>
        <w:tc>
          <w:tcPr>
            <w:tcW w:w="955" w:type="dxa"/>
            <w:vAlign w:val="top"/>
          </w:tcPr>
          <w:p w14:paraId="7DEBC862">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2DD40AFB">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3C932E24">
            <w:pPr>
              <w:pStyle w:val="415"/>
              <w:keepNext w:val="0"/>
              <w:keepLines w:val="0"/>
              <w:pageBreakBefore w:val="0"/>
              <w:widowControl w:val="0"/>
              <w:kinsoku/>
              <w:wordWrap/>
              <w:overflowPunct/>
              <w:topLinePunct w:val="0"/>
              <w:autoSpaceDE/>
              <w:autoSpaceDN/>
              <w:bidi w:val="0"/>
              <w:adjustRightInd/>
              <w:spacing w:before="65" w:line="240" w:lineRule="auto"/>
              <w:ind w:left="260" w:leftChars="0"/>
              <w:textAlignment w:val="auto"/>
              <w:rPr>
                <w:rFonts w:hint="eastAsia" w:ascii="方正仿宋_GB2312" w:hAnsi="方正仿宋_GB2312" w:eastAsia="方正仿宋_GB2312" w:cs="方正仿宋_GB2312"/>
                <w:b/>
                <w:bCs/>
                <w:color w:val="auto"/>
                <w:spacing w:val="-1"/>
                <w:sz w:val="24"/>
                <w:szCs w:val="24"/>
                <w:lang w:val="en-US" w:eastAsia="zh-CN"/>
              </w:rPr>
            </w:pPr>
            <w:r>
              <w:rPr>
                <w:rFonts w:hint="eastAsia" w:ascii="方正仿宋_GB2312" w:hAnsi="方正仿宋_GB2312" w:eastAsia="方正仿宋_GB2312" w:cs="方正仿宋_GB2312"/>
                <w:spacing w:val="3"/>
                <w:sz w:val="24"/>
                <w:szCs w:val="24"/>
              </w:rPr>
              <w:t>5/5/5</w:t>
            </w:r>
          </w:p>
        </w:tc>
        <w:tc>
          <w:tcPr>
            <w:tcW w:w="935" w:type="dxa"/>
            <w:vAlign w:val="top"/>
          </w:tcPr>
          <w:p w14:paraId="4A319410">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2559726E">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6A9C582E">
            <w:pPr>
              <w:pStyle w:val="415"/>
              <w:keepNext w:val="0"/>
              <w:keepLines w:val="0"/>
              <w:pageBreakBefore w:val="0"/>
              <w:widowControl w:val="0"/>
              <w:kinsoku/>
              <w:wordWrap/>
              <w:overflowPunct/>
              <w:topLinePunct w:val="0"/>
              <w:autoSpaceDE/>
              <w:autoSpaceDN/>
              <w:bidi w:val="0"/>
              <w:adjustRightInd/>
              <w:spacing w:before="65" w:line="240" w:lineRule="auto"/>
              <w:ind w:left="197" w:leftChars="0"/>
              <w:textAlignment w:val="auto"/>
              <w:rPr>
                <w:rFonts w:hint="eastAsia" w:ascii="方正仿宋_GB2312" w:hAnsi="方正仿宋_GB2312" w:eastAsia="方正仿宋_GB2312" w:cs="方正仿宋_GB2312"/>
                <w:b/>
                <w:bCs/>
                <w:color w:val="auto"/>
                <w:spacing w:val="-1"/>
                <w:sz w:val="24"/>
                <w:szCs w:val="24"/>
              </w:rPr>
            </w:pPr>
            <w:r>
              <w:rPr>
                <w:rFonts w:hint="eastAsia" w:ascii="方正仿宋_GB2312" w:hAnsi="方正仿宋_GB2312" w:eastAsia="方正仿宋_GB2312" w:cs="方正仿宋_GB2312"/>
                <w:spacing w:val="1"/>
                <w:sz w:val="24"/>
                <w:szCs w:val="24"/>
              </w:rPr>
              <w:t>1350</w:t>
            </w:r>
            <w:r>
              <w:rPr>
                <w:rFonts w:hint="eastAsia" w:ascii="方正仿宋_GB2312" w:hAnsi="方正仿宋_GB2312" w:eastAsia="方正仿宋_GB2312" w:cs="方正仿宋_GB2312"/>
                <w:sz w:val="24"/>
                <w:szCs w:val="24"/>
              </w:rPr>
              <w:t>kg</w:t>
            </w:r>
          </w:p>
        </w:tc>
        <w:tc>
          <w:tcPr>
            <w:tcW w:w="1065" w:type="dxa"/>
            <w:vAlign w:val="center"/>
          </w:tcPr>
          <w:p w14:paraId="24868319">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3"/>
                <w:sz w:val="24"/>
                <w:szCs w:val="24"/>
              </w:rPr>
            </w:pPr>
            <w:r>
              <w:rPr>
                <w:rFonts w:hint="eastAsia" w:ascii="方正仿宋_GB2312" w:hAnsi="方正仿宋_GB2312" w:eastAsia="方正仿宋_GB2312" w:cs="方正仿宋_GB2312"/>
                <w:spacing w:val="-2"/>
                <w:sz w:val="24"/>
                <w:szCs w:val="24"/>
              </w:rPr>
              <w:t>1m/s</w:t>
            </w:r>
          </w:p>
        </w:tc>
      </w:tr>
      <w:tr w14:paraId="5E024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8" w:hRule="atLeast"/>
          <w:tblHeader/>
          <w:jc w:val="center"/>
        </w:trPr>
        <w:tc>
          <w:tcPr>
            <w:tcW w:w="1680" w:type="dxa"/>
            <w:vAlign w:val="top"/>
          </w:tcPr>
          <w:p w14:paraId="5EAF8070">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3DA23794">
            <w:pPr>
              <w:pStyle w:val="415"/>
              <w:keepNext w:val="0"/>
              <w:keepLines w:val="0"/>
              <w:pageBreakBefore w:val="0"/>
              <w:widowControl w:val="0"/>
              <w:kinsoku/>
              <w:wordWrap/>
              <w:overflowPunct/>
              <w:topLinePunct w:val="0"/>
              <w:autoSpaceDE/>
              <w:autoSpaceDN/>
              <w:bidi w:val="0"/>
              <w:adjustRightInd/>
              <w:spacing w:before="65" w:line="240" w:lineRule="auto"/>
              <w:ind w:left="91" w:leftChars="0" w:right="74" w:rightChars="0" w:firstLine="94" w:firstLineChars="0"/>
              <w:jc w:val="both"/>
              <w:textAlignment w:val="auto"/>
              <w:rPr>
                <w:rFonts w:hint="eastAsia" w:ascii="方正仿宋_GB2312" w:hAnsi="方正仿宋_GB2312" w:eastAsia="方正仿宋_GB2312" w:cs="方正仿宋_GB2312"/>
                <w:b/>
                <w:bCs/>
                <w:color w:val="auto"/>
                <w:spacing w:val="-16"/>
                <w:w w:val="95"/>
                <w:sz w:val="24"/>
                <w:szCs w:val="24"/>
                <w:lang w:val="en-US" w:eastAsia="zh-CN"/>
              </w:rPr>
            </w:pPr>
            <w:r>
              <w:rPr>
                <w:rFonts w:hint="eastAsia" w:ascii="方正仿宋_GB2312" w:hAnsi="方正仿宋_GB2312" w:eastAsia="方正仿宋_GB2312" w:cs="方正仿宋_GB2312"/>
                <w:spacing w:val="12"/>
                <w:sz w:val="24"/>
                <w:szCs w:val="24"/>
              </w:rPr>
              <w:t>教学楼3#电梯曳引驱动乘客电</w:t>
            </w:r>
            <w:r>
              <w:rPr>
                <w:rFonts w:hint="eastAsia" w:ascii="方正仿宋_GB2312" w:hAnsi="方正仿宋_GB2312" w:eastAsia="方正仿宋_GB2312" w:cs="方正仿宋_GB2312"/>
                <w:spacing w:val="26"/>
                <w:sz w:val="24"/>
                <w:szCs w:val="24"/>
              </w:rPr>
              <w:t>梯（有机房）</w:t>
            </w:r>
          </w:p>
        </w:tc>
        <w:tc>
          <w:tcPr>
            <w:tcW w:w="1210" w:type="dxa"/>
            <w:vAlign w:val="top"/>
          </w:tcPr>
          <w:p w14:paraId="5BCFCA01">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2DAEF65C">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2CA2A712">
            <w:pPr>
              <w:pStyle w:val="415"/>
              <w:keepNext w:val="0"/>
              <w:keepLines w:val="0"/>
              <w:pageBreakBefore w:val="0"/>
              <w:widowControl w:val="0"/>
              <w:kinsoku/>
              <w:wordWrap/>
              <w:overflowPunct/>
              <w:topLinePunct w:val="0"/>
              <w:autoSpaceDE/>
              <w:autoSpaceDN/>
              <w:bidi w:val="0"/>
              <w:adjustRightInd/>
              <w:spacing w:before="65" w:line="240" w:lineRule="auto"/>
              <w:ind w:left="49" w:leftChars="0"/>
              <w:textAlignment w:val="auto"/>
              <w:rPr>
                <w:rFonts w:hint="eastAsia" w:ascii="方正仿宋_GB2312" w:hAnsi="方正仿宋_GB2312" w:eastAsia="方正仿宋_GB2312" w:cs="方正仿宋_GB2312"/>
                <w:b/>
                <w:bCs/>
                <w:color w:val="auto"/>
                <w:spacing w:val="-2"/>
                <w:sz w:val="24"/>
                <w:szCs w:val="24"/>
                <w:lang w:val="en-US" w:eastAsia="zh-CN"/>
              </w:rPr>
            </w:pPr>
            <w:r>
              <w:rPr>
                <w:rFonts w:hint="eastAsia" w:ascii="方正仿宋_GB2312" w:hAnsi="方正仿宋_GB2312" w:eastAsia="方正仿宋_GB2312" w:cs="方正仿宋_GB2312"/>
                <w:spacing w:val="6"/>
                <w:position w:val="1"/>
                <w:sz w:val="24"/>
                <w:szCs w:val="24"/>
              </w:rPr>
              <w:t>1030*2110</w:t>
            </w:r>
          </w:p>
        </w:tc>
        <w:tc>
          <w:tcPr>
            <w:tcW w:w="1470" w:type="dxa"/>
            <w:vAlign w:val="top"/>
          </w:tcPr>
          <w:p w14:paraId="2DCF7694">
            <w:pPr>
              <w:pStyle w:val="415"/>
              <w:keepNext w:val="0"/>
              <w:keepLines w:val="0"/>
              <w:pageBreakBefore w:val="0"/>
              <w:widowControl w:val="0"/>
              <w:kinsoku/>
              <w:wordWrap/>
              <w:overflowPunct/>
              <w:topLinePunct w:val="0"/>
              <w:autoSpaceDE/>
              <w:autoSpaceDN/>
              <w:bidi w:val="0"/>
              <w:adjustRightInd/>
              <w:spacing w:before="92" w:line="240" w:lineRule="auto"/>
              <w:ind w:left="4"/>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9"/>
                <w:sz w:val="24"/>
                <w:szCs w:val="24"/>
              </w:rPr>
              <w:t>-1层：3.6m</w:t>
            </w:r>
          </w:p>
          <w:p w14:paraId="26E39826">
            <w:pPr>
              <w:pStyle w:val="415"/>
              <w:keepNext w:val="0"/>
              <w:keepLines w:val="0"/>
              <w:pageBreakBefore w:val="0"/>
              <w:widowControl w:val="0"/>
              <w:kinsoku/>
              <w:wordWrap/>
              <w:overflowPunct/>
              <w:topLinePunct w:val="0"/>
              <w:autoSpaceDE/>
              <w:autoSpaceDN/>
              <w:bidi w:val="0"/>
              <w:adjustRightInd/>
              <w:spacing w:before="86" w:line="240" w:lineRule="auto"/>
              <w:ind w:left="22"/>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1层：4.8m</w:t>
            </w:r>
          </w:p>
          <w:p w14:paraId="30BCECA6">
            <w:pPr>
              <w:pStyle w:val="415"/>
              <w:keepNext w:val="0"/>
              <w:keepLines w:val="0"/>
              <w:pageBreakBefore w:val="0"/>
              <w:widowControl w:val="0"/>
              <w:kinsoku/>
              <w:wordWrap/>
              <w:overflowPunct/>
              <w:topLinePunct w:val="0"/>
              <w:autoSpaceDE/>
              <w:autoSpaceDN/>
              <w:bidi w:val="0"/>
              <w:adjustRightInd/>
              <w:spacing w:before="86" w:line="240" w:lineRule="auto"/>
              <w:ind w:left="9"/>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8"/>
                <w:sz w:val="24"/>
                <w:szCs w:val="24"/>
              </w:rPr>
              <w:t>2层：4.8m</w:t>
            </w:r>
          </w:p>
          <w:p w14:paraId="2443E108">
            <w:pPr>
              <w:pStyle w:val="415"/>
              <w:keepNext w:val="0"/>
              <w:keepLines w:val="0"/>
              <w:pageBreakBefore w:val="0"/>
              <w:widowControl w:val="0"/>
              <w:kinsoku/>
              <w:wordWrap/>
              <w:overflowPunct/>
              <w:topLinePunct w:val="0"/>
              <w:autoSpaceDE/>
              <w:autoSpaceDN/>
              <w:bidi w:val="0"/>
              <w:adjustRightInd/>
              <w:spacing w:before="88" w:line="240" w:lineRule="auto"/>
              <w:ind w:left="10"/>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8"/>
                <w:sz w:val="24"/>
                <w:szCs w:val="24"/>
              </w:rPr>
              <w:t>3层：4.8m</w:t>
            </w:r>
          </w:p>
          <w:p w14:paraId="4E8DB3E4">
            <w:pPr>
              <w:pStyle w:val="415"/>
              <w:keepNext w:val="0"/>
              <w:keepLines w:val="0"/>
              <w:pageBreakBefore w:val="0"/>
              <w:widowControl w:val="0"/>
              <w:kinsoku/>
              <w:wordWrap/>
              <w:overflowPunct/>
              <w:topLinePunct w:val="0"/>
              <w:autoSpaceDE/>
              <w:autoSpaceDN/>
              <w:bidi w:val="0"/>
              <w:adjustRightInd/>
              <w:spacing w:before="87" w:line="240" w:lineRule="auto"/>
              <w:ind w:left="5" w:leftChars="0"/>
              <w:textAlignment w:val="auto"/>
              <w:rPr>
                <w:rFonts w:hint="eastAsia" w:ascii="方正仿宋_GB2312" w:hAnsi="方正仿宋_GB2312" w:eastAsia="方正仿宋_GB2312" w:cs="方正仿宋_GB2312"/>
                <w:b/>
                <w:bCs/>
                <w:color w:val="auto"/>
                <w:sz w:val="24"/>
                <w:szCs w:val="24"/>
                <w:lang w:val="en-US" w:eastAsia="zh-CN"/>
              </w:rPr>
            </w:pPr>
            <w:r>
              <w:rPr>
                <w:rFonts w:hint="eastAsia" w:ascii="方正仿宋_GB2312" w:hAnsi="方正仿宋_GB2312" w:eastAsia="方正仿宋_GB2312" w:cs="方正仿宋_GB2312"/>
                <w:spacing w:val="9"/>
                <w:sz w:val="24"/>
                <w:szCs w:val="24"/>
              </w:rPr>
              <w:t>4层：4.8m</w:t>
            </w:r>
          </w:p>
        </w:tc>
        <w:tc>
          <w:tcPr>
            <w:tcW w:w="1134" w:type="dxa"/>
            <w:vAlign w:val="center"/>
          </w:tcPr>
          <w:p w14:paraId="58FD3677">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3"/>
                <w:sz w:val="24"/>
                <w:szCs w:val="24"/>
                <w:lang w:val="en-US" w:eastAsia="zh-CN"/>
              </w:rPr>
            </w:pPr>
            <w:r>
              <w:rPr>
                <w:rFonts w:hint="eastAsia" w:ascii="方正仿宋_GB2312" w:hAnsi="方正仿宋_GB2312" w:eastAsia="方正仿宋_GB2312" w:cs="方正仿宋_GB2312"/>
                <w:spacing w:val="3"/>
                <w:position w:val="1"/>
                <w:sz w:val="24"/>
                <w:szCs w:val="24"/>
              </w:rPr>
              <w:t>2500*2500</w:t>
            </w:r>
          </w:p>
        </w:tc>
        <w:tc>
          <w:tcPr>
            <w:tcW w:w="831" w:type="dxa"/>
            <w:vAlign w:val="top"/>
          </w:tcPr>
          <w:p w14:paraId="0F5149C0">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方正仿宋_GB2312" w:hAnsi="方正仿宋_GB2312" w:eastAsia="方正仿宋_GB2312" w:cs="方正仿宋_GB2312"/>
                <w:sz w:val="24"/>
                <w:szCs w:val="24"/>
              </w:rPr>
            </w:pPr>
          </w:p>
          <w:p w14:paraId="67EB7A08">
            <w:pPr>
              <w:keepNext w:val="0"/>
              <w:keepLines w:val="0"/>
              <w:pageBreakBefore w:val="0"/>
              <w:widowControl w:val="0"/>
              <w:kinsoku/>
              <w:wordWrap/>
              <w:overflowPunct/>
              <w:topLinePunct w:val="0"/>
              <w:autoSpaceDE/>
              <w:autoSpaceDN/>
              <w:bidi w:val="0"/>
              <w:adjustRightInd/>
              <w:spacing w:before="57" w:line="240" w:lineRule="auto"/>
              <w:jc w:val="center"/>
              <w:textAlignment w:val="auto"/>
              <w:rPr>
                <w:rFonts w:hint="eastAsia" w:ascii="方正仿宋_GB2312" w:hAnsi="方正仿宋_GB2312" w:eastAsia="方正仿宋_GB2312" w:cs="方正仿宋_GB2312"/>
                <w:b/>
                <w:bCs/>
                <w:color w:val="auto"/>
                <w:spacing w:val="-2"/>
                <w:sz w:val="24"/>
                <w:szCs w:val="24"/>
                <w:lang w:val="en-US" w:eastAsia="zh-CN"/>
              </w:rPr>
            </w:pPr>
            <w:r>
              <w:rPr>
                <w:rFonts w:hint="eastAsia" w:ascii="方正仿宋_GB2312" w:hAnsi="方正仿宋_GB2312" w:eastAsia="方正仿宋_GB2312" w:cs="方正仿宋_GB2312"/>
                <w:spacing w:val="2"/>
                <w:position w:val="1"/>
                <w:sz w:val="24"/>
                <w:szCs w:val="24"/>
              </w:rPr>
              <w:t>1.6m</w:t>
            </w:r>
          </w:p>
        </w:tc>
        <w:tc>
          <w:tcPr>
            <w:tcW w:w="955" w:type="dxa"/>
            <w:vAlign w:val="top"/>
          </w:tcPr>
          <w:p w14:paraId="24B05CC5">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1B5E1560">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2203E941">
            <w:pPr>
              <w:pStyle w:val="415"/>
              <w:keepNext w:val="0"/>
              <w:keepLines w:val="0"/>
              <w:pageBreakBefore w:val="0"/>
              <w:widowControl w:val="0"/>
              <w:kinsoku/>
              <w:wordWrap/>
              <w:overflowPunct/>
              <w:topLinePunct w:val="0"/>
              <w:autoSpaceDE/>
              <w:autoSpaceDN/>
              <w:bidi w:val="0"/>
              <w:adjustRightInd/>
              <w:spacing w:before="65" w:line="240" w:lineRule="auto"/>
              <w:ind w:left="260" w:leftChars="0"/>
              <w:textAlignment w:val="auto"/>
              <w:rPr>
                <w:rFonts w:hint="eastAsia" w:ascii="方正仿宋_GB2312" w:hAnsi="方正仿宋_GB2312" w:eastAsia="方正仿宋_GB2312" w:cs="方正仿宋_GB2312"/>
                <w:b/>
                <w:bCs/>
                <w:color w:val="auto"/>
                <w:spacing w:val="-1"/>
                <w:sz w:val="24"/>
                <w:szCs w:val="24"/>
                <w:lang w:val="en-US" w:eastAsia="zh-CN"/>
              </w:rPr>
            </w:pPr>
            <w:r>
              <w:rPr>
                <w:rFonts w:hint="eastAsia" w:ascii="方正仿宋_GB2312" w:hAnsi="方正仿宋_GB2312" w:eastAsia="方正仿宋_GB2312" w:cs="方正仿宋_GB2312"/>
                <w:spacing w:val="3"/>
                <w:sz w:val="24"/>
                <w:szCs w:val="24"/>
              </w:rPr>
              <w:t>5/5/5</w:t>
            </w:r>
          </w:p>
        </w:tc>
        <w:tc>
          <w:tcPr>
            <w:tcW w:w="935" w:type="dxa"/>
            <w:vAlign w:val="top"/>
          </w:tcPr>
          <w:p w14:paraId="25B3370A">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3F60D5D9">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1B483F80">
            <w:pPr>
              <w:pStyle w:val="415"/>
              <w:keepNext w:val="0"/>
              <w:keepLines w:val="0"/>
              <w:pageBreakBefore w:val="0"/>
              <w:widowControl w:val="0"/>
              <w:kinsoku/>
              <w:wordWrap/>
              <w:overflowPunct/>
              <w:topLinePunct w:val="0"/>
              <w:autoSpaceDE/>
              <w:autoSpaceDN/>
              <w:bidi w:val="0"/>
              <w:adjustRightInd/>
              <w:spacing w:before="65" w:line="240" w:lineRule="auto"/>
              <w:ind w:left="197" w:leftChars="0"/>
              <w:textAlignment w:val="auto"/>
              <w:rPr>
                <w:rFonts w:hint="eastAsia" w:ascii="方正仿宋_GB2312" w:hAnsi="方正仿宋_GB2312" w:eastAsia="方正仿宋_GB2312" w:cs="方正仿宋_GB2312"/>
                <w:b/>
                <w:bCs/>
                <w:color w:val="auto"/>
                <w:spacing w:val="-1"/>
                <w:sz w:val="24"/>
                <w:szCs w:val="24"/>
              </w:rPr>
            </w:pPr>
            <w:r>
              <w:rPr>
                <w:rFonts w:hint="eastAsia" w:ascii="方正仿宋_GB2312" w:hAnsi="方正仿宋_GB2312" w:eastAsia="方正仿宋_GB2312" w:cs="方正仿宋_GB2312"/>
                <w:spacing w:val="1"/>
                <w:sz w:val="24"/>
                <w:szCs w:val="24"/>
              </w:rPr>
              <w:t>1350</w:t>
            </w:r>
            <w:r>
              <w:rPr>
                <w:rFonts w:hint="eastAsia" w:ascii="方正仿宋_GB2312" w:hAnsi="方正仿宋_GB2312" w:eastAsia="方正仿宋_GB2312" w:cs="方正仿宋_GB2312"/>
                <w:sz w:val="24"/>
                <w:szCs w:val="24"/>
              </w:rPr>
              <w:t>kg</w:t>
            </w:r>
          </w:p>
        </w:tc>
        <w:tc>
          <w:tcPr>
            <w:tcW w:w="1065" w:type="dxa"/>
            <w:vAlign w:val="center"/>
          </w:tcPr>
          <w:p w14:paraId="7C254483">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3"/>
                <w:sz w:val="24"/>
                <w:szCs w:val="24"/>
              </w:rPr>
            </w:pPr>
            <w:r>
              <w:rPr>
                <w:rFonts w:hint="eastAsia" w:ascii="方正仿宋_GB2312" w:hAnsi="方正仿宋_GB2312" w:eastAsia="方正仿宋_GB2312" w:cs="方正仿宋_GB2312"/>
                <w:spacing w:val="-2"/>
                <w:sz w:val="24"/>
                <w:szCs w:val="24"/>
              </w:rPr>
              <w:t>1m/s</w:t>
            </w:r>
          </w:p>
        </w:tc>
      </w:tr>
      <w:tr w14:paraId="39EE6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9" w:hRule="atLeast"/>
          <w:tblHeader/>
          <w:jc w:val="center"/>
        </w:trPr>
        <w:tc>
          <w:tcPr>
            <w:tcW w:w="1680" w:type="dxa"/>
            <w:vAlign w:val="top"/>
          </w:tcPr>
          <w:p w14:paraId="0A1AE79F">
            <w:pPr>
              <w:pStyle w:val="415"/>
              <w:keepNext w:val="0"/>
              <w:keepLines w:val="0"/>
              <w:pageBreakBefore w:val="0"/>
              <w:widowControl w:val="0"/>
              <w:kinsoku/>
              <w:wordWrap/>
              <w:overflowPunct/>
              <w:topLinePunct w:val="0"/>
              <w:autoSpaceDE/>
              <w:autoSpaceDN/>
              <w:bidi w:val="0"/>
              <w:adjustRightInd/>
              <w:spacing w:before="290" w:line="240" w:lineRule="auto"/>
              <w:ind w:left="91" w:leftChars="0" w:right="74" w:rightChars="0" w:firstLine="94" w:firstLineChars="0"/>
              <w:jc w:val="both"/>
              <w:textAlignment w:val="auto"/>
              <w:rPr>
                <w:rFonts w:hint="eastAsia" w:ascii="方正仿宋_GB2312" w:hAnsi="方正仿宋_GB2312" w:eastAsia="方正仿宋_GB2312" w:cs="方正仿宋_GB2312"/>
                <w:b/>
                <w:bCs/>
                <w:color w:val="auto"/>
                <w:spacing w:val="-16"/>
                <w:w w:val="95"/>
                <w:sz w:val="24"/>
                <w:szCs w:val="24"/>
                <w:lang w:val="en-US" w:eastAsia="zh-CN"/>
              </w:rPr>
            </w:pPr>
            <w:r>
              <w:rPr>
                <w:rFonts w:hint="eastAsia" w:ascii="方正仿宋_GB2312" w:hAnsi="方正仿宋_GB2312" w:eastAsia="方正仿宋_GB2312" w:cs="方正仿宋_GB2312"/>
                <w:spacing w:val="12"/>
                <w:sz w:val="24"/>
                <w:szCs w:val="24"/>
              </w:rPr>
              <w:t>教学楼4#电梯曳引驱动乘客电</w:t>
            </w:r>
            <w:r>
              <w:rPr>
                <w:rFonts w:hint="eastAsia" w:ascii="方正仿宋_GB2312" w:hAnsi="方正仿宋_GB2312" w:eastAsia="方正仿宋_GB2312" w:cs="方正仿宋_GB2312"/>
                <w:spacing w:val="26"/>
                <w:sz w:val="24"/>
                <w:szCs w:val="24"/>
              </w:rPr>
              <w:t>梯（有机房）</w:t>
            </w:r>
          </w:p>
        </w:tc>
        <w:tc>
          <w:tcPr>
            <w:tcW w:w="1210" w:type="dxa"/>
            <w:vAlign w:val="top"/>
          </w:tcPr>
          <w:p w14:paraId="39087E33">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384DB8BB">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64F9CE1D">
            <w:pPr>
              <w:pStyle w:val="415"/>
              <w:keepNext w:val="0"/>
              <w:keepLines w:val="0"/>
              <w:pageBreakBefore w:val="0"/>
              <w:widowControl w:val="0"/>
              <w:kinsoku/>
              <w:wordWrap/>
              <w:overflowPunct/>
              <w:topLinePunct w:val="0"/>
              <w:autoSpaceDE/>
              <w:autoSpaceDN/>
              <w:bidi w:val="0"/>
              <w:adjustRightInd/>
              <w:spacing w:before="65" w:line="240" w:lineRule="auto"/>
              <w:ind w:left="49" w:leftChars="0"/>
              <w:textAlignment w:val="auto"/>
              <w:rPr>
                <w:rFonts w:hint="eastAsia" w:ascii="方正仿宋_GB2312" w:hAnsi="方正仿宋_GB2312" w:eastAsia="方正仿宋_GB2312" w:cs="方正仿宋_GB2312"/>
                <w:b/>
                <w:bCs/>
                <w:color w:val="auto"/>
                <w:spacing w:val="-2"/>
                <w:sz w:val="24"/>
                <w:szCs w:val="24"/>
                <w:lang w:val="en-US" w:eastAsia="zh-CN"/>
              </w:rPr>
            </w:pPr>
            <w:r>
              <w:rPr>
                <w:rFonts w:hint="eastAsia" w:ascii="方正仿宋_GB2312" w:hAnsi="方正仿宋_GB2312" w:eastAsia="方正仿宋_GB2312" w:cs="方正仿宋_GB2312"/>
                <w:spacing w:val="6"/>
                <w:position w:val="1"/>
                <w:sz w:val="24"/>
                <w:szCs w:val="24"/>
              </w:rPr>
              <w:t>1030*2110</w:t>
            </w:r>
          </w:p>
        </w:tc>
        <w:tc>
          <w:tcPr>
            <w:tcW w:w="1470" w:type="dxa"/>
            <w:vAlign w:val="top"/>
          </w:tcPr>
          <w:p w14:paraId="7351DAD5">
            <w:pPr>
              <w:pStyle w:val="415"/>
              <w:keepNext w:val="0"/>
              <w:keepLines w:val="0"/>
              <w:pageBreakBefore w:val="0"/>
              <w:widowControl w:val="0"/>
              <w:kinsoku/>
              <w:wordWrap/>
              <w:overflowPunct/>
              <w:topLinePunct w:val="0"/>
              <w:autoSpaceDE/>
              <w:autoSpaceDN/>
              <w:bidi w:val="0"/>
              <w:adjustRightInd/>
              <w:spacing w:before="93" w:line="240" w:lineRule="auto"/>
              <w:ind w:left="22"/>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
                <w:sz w:val="24"/>
                <w:szCs w:val="24"/>
              </w:rPr>
              <w:t>1层：4.8m</w:t>
            </w:r>
          </w:p>
          <w:p w14:paraId="4C9FD561">
            <w:pPr>
              <w:pStyle w:val="415"/>
              <w:keepNext w:val="0"/>
              <w:keepLines w:val="0"/>
              <w:pageBreakBefore w:val="0"/>
              <w:widowControl w:val="0"/>
              <w:kinsoku/>
              <w:wordWrap/>
              <w:overflowPunct/>
              <w:topLinePunct w:val="0"/>
              <w:autoSpaceDE/>
              <w:autoSpaceDN/>
              <w:bidi w:val="0"/>
              <w:adjustRightInd/>
              <w:spacing w:before="86" w:line="240" w:lineRule="auto"/>
              <w:ind w:left="9"/>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8"/>
                <w:sz w:val="24"/>
                <w:szCs w:val="24"/>
              </w:rPr>
              <w:t>2层：4.8m</w:t>
            </w:r>
          </w:p>
          <w:p w14:paraId="420458FA">
            <w:pPr>
              <w:pStyle w:val="415"/>
              <w:keepNext w:val="0"/>
              <w:keepLines w:val="0"/>
              <w:pageBreakBefore w:val="0"/>
              <w:widowControl w:val="0"/>
              <w:kinsoku/>
              <w:wordWrap/>
              <w:overflowPunct/>
              <w:topLinePunct w:val="0"/>
              <w:autoSpaceDE/>
              <w:autoSpaceDN/>
              <w:bidi w:val="0"/>
              <w:adjustRightInd/>
              <w:spacing w:before="86" w:line="240" w:lineRule="auto"/>
              <w:ind w:left="10"/>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8"/>
                <w:sz w:val="24"/>
                <w:szCs w:val="24"/>
              </w:rPr>
              <w:t>3层：4.8m</w:t>
            </w:r>
          </w:p>
          <w:p w14:paraId="067D9134">
            <w:pPr>
              <w:pStyle w:val="415"/>
              <w:keepNext w:val="0"/>
              <w:keepLines w:val="0"/>
              <w:pageBreakBefore w:val="0"/>
              <w:widowControl w:val="0"/>
              <w:kinsoku/>
              <w:wordWrap/>
              <w:overflowPunct/>
              <w:topLinePunct w:val="0"/>
              <w:autoSpaceDE/>
              <w:autoSpaceDN/>
              <w:bidi w:val="0"/>
              <w:adjustRightInd/>
              <w:spacing w:before="89" w:line="240" w:lineRule="auto"/>
              <w:ind w:left="5" w:leftChars="0"/>
              <w:textAlignment w:val="auto"/>
              <w:rPr>
                <w:rFonts w:hint="eastAsia" w:ascii="方正仿宋_GB2312" w:hAnsi="方正仿宋_GB2312" w:eastAsia="方正仿宋_GB2312" w:cs="方正仿宋_GB2312"/>
                <w:b/>
                <w:bCs/>
                <w:color w:val="auto"/>
                <w:sz w:val="24"/>
                <w:szCs w:val="24"/>
                <w:lang w:val="en-US" w:eastAsia="zh-CN"/>
              </w:rPr>
            </w:pPr>
            <w:r>
              <w:rPr>
                <w:rFonts w:hint="eastAsia" w:ascii="方正仿宋_GB2312" w:hAnsi="方正仿宋_GB2312" w:eastAsia="方正仿宋_GB2312" w:cs="方正仿宋_GB2312"/>
                <w:spacing w:val="9"/>
                <w:sz w:val="24"/>
                <w:szCs w:val="24"/>
              </w:rPr>
              <w:t>4层：4.8m</w:t>
            </w:r>
          </w:p>
        </w:tc>
        <w:tc>
          <w:tcPr>
            <w:tcW w:w="1134" w:type="dxa"/>
            <w:vAlign w:val="center"/>
          </w:tcPr>
          <w:p w14:paraId="635F9C0F">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3"/>
                <w:sz w:val="24"/>
                <w:szCs w:val="24"/>
                <w:lang w:val="en-US" w:eastAsia="zh-CN"/>
              </w:rPr>
            </w:pPr>
            <w:r>
              <w:rPr>
                <w:rFonts w:hint="eastAsia" w:ascii="方正仿宋_GB2312" w:hAnsi="方正仿宋_GB2312" w:eastAsia="方正仿宋_GB2312" w:cs="方正仿宋_GB2312"/>
                <w:spacing w:val="3"/>
                <w:position w:val="1"/>
                <w:sz w:val="24"/>
                <w:szCs w:val="24"/>
              </w:rPr>
              <w:t>2500*2500</w:t>
            </w:r>
          </w:p>
        </w:tc>
        <w:tc>
          <w:tcPr>
            <w:tcW w:w="831" w:type="dxa"/>
            <w:vAlign w:val="top"/>
          </w:tcPr>
          <w:p w14:paraId="1FA1553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方正仿宋_GB2312" w:hAnsi="方正仿宋_GB2312" w:eastAsia="方正仿宋_GB2312" w:cs="方正仿宋_GB2312"/>
                <w:sz w:val="24"/>
                <w:szCs w:val="24"/>
              </w:rPr>
            </w:pPr>
          </w:p>
          <w:p w14:paraId="6585DAA8">
            <w:pPr>
              <w:keepNext w:val="0"/>
              <w:keepLines w:val="0"/>
              <w:pageBreakBefore w:val="0"/>
              <w:widowControl w:val="0"/>
              <w:kinsoku/>
              <w:wordWrap/>
              <w:overflowPunct/>
              <w:topLinePunct w:val="0"/>
              <w:autoSpaceDE/>
              <w:autoSpaceDN/>
              <w:bidi w:val="0"/>
              <w:adjustRightInd/>
              <w:spacing w:before="57" w:line="240" w:lineRule="auto"/>
              <w:jc w:val="center"/>
              <w:textAlignment w:val="auto"/>
              <w:rPr>
                <w:rFonts w:hint="eastAsia" w:ascii="方正仿宋_GB2312" w:hAnsi="方正仿宋_GB2312" w:eastAsia="方正仿宋_GB2312" w:cs="方正仿宋_GB2312"/>
                <w:b/>
                <w:bCs/>
                <w:color w:val="auto"/>
                <w:spacing w:val="-2"/>
                <w:sz w:val="24"/>
                <w:szCs w:val="24"/>
                <w:lang w:val="en-US" w:eastAsia="zh-CN"/>
              </w:rPr>
            </w:pPr>
            <w:r>
              <w:rPr>
                <w:rFonts w:hint="eastAsia" w:ascii="方正仿宋_GB2312" w:hAnsi="方正仿宋_GB2312" w:eastAsia="方正仿宋_GB2312" w:cs="方正仿宋_GB2312"/>
                <w:spacing w:val="2"/>
                <w:position w:val="1"/>
                <w:sz w:val="24"/>
                <w:szCs w:val="24"/>
              </w:rPr>
              <w:t>1.6m</w:t>
            </w:r>
          </w:p>
        </w:tc>
        <w:tc>
          <w:tcPr>
            <w:tcW w:w="955" w:type="dxa"/>
            <w:vAlign w:val="top"/>
          </w:tcPr>
          <w:p w14:paraId="3C445568">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0DDB139C">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4959614C">
            <w:pPr>
              <w:pStyle w:val="415"/>
              <w:keepNext w:val="0"/>
              <w:keepLines w:val="0"/>
              <w:pageBreakBefore w:val="0"/>
              <w:widowControl w:val="0"/>
              <w:kinsoku/>
              <w:wordWrap/>
              <w:overflowPunct/>
              <w:topLinePunct w:val="0"/>
              <w:autoSpaceDE/>
              <w:autoSpaceDN/>
              <w:bidi w:val="0"/>
              <w:adjustRightInd/>
              <w:spacing w:before="65" w:line="240" w:lineRule="auto"/>
              <w:ind w:left="255" w:leftChars="0"/>
              <w:textAlignment w:val="auto"/>
              <w:rPr>
                <w:rFonts w:hint="eastAsia" w:ascii="方正仿宋_GB2312" w:hAnsi="方正仿宋_GB2312" w:eastAsia="方正仿宋_GB2312" w:cs="方正仿宋_GB2312"/>
                <w:b/>
                <w:bCs/>
                <w:color w:val="auto"/>
                <w:spacing w:val="-1"/>
                <w:sz w:val="24"/>
                <w:szCs w:val="24"/>
                <w:lang w:val="en-US" w:eastAsia="zh-CN"/>
              </w:rPr>
            </w:pPr>
            <w:r>
              <w:rPr>
                <w:rFonts w:hint="eastAsia" w:ascii="方正仿宋_GB2312" w:hAnsi="方正仿宋_GB2312" w:eastAsia="方正仿宋_GB2312" w:cs="方正仿宋_GB2312"/>
                <w:spacing w:val="5"/>
                <w:sz w:val="24"/>
                <w:szCs w:val="24"/>
              </w:rPr>
              <w:t>4/4/4</w:t>
            </w:r>
          </w:p>
        </w:tc>
        <w:tc>
          <w:tcPr>
            <w:tcW w:w="935" w:type="dxa"/>
            <w:vAlign w:val="top"/>
          </w:tcPr>
          <w:p w14:paraId="100CFC50">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5C987907">
            <w:pPr>
              <w:keepNext w:val="0"/>
              <w:keepLines w:val="0"/>
              <w:pageBreakBefore w:val="0"/>
              <w:widowControl w:val="0"/>
              <w:kinsoku/>
              <w:wordWrap/>
              <w:overflowPunct/>
              <w:topLinePunct w:val="0"/>
              <w:autoSpaceDE/>
              <w:autoSpaceDN/>
              <w:bidi w:val="0"/>
              <w:adjustRightInd/>
              <w:spacing w:line="240" w:lineRule="auto"/>
              <w:textAlignment w:val="auto"/>
              <w:rPr>
                <w:rFonts w:hint="eastAsia" w:ascii="方正仿宋_GB2312" w:hAnsi="方正仿宋_GB2312" w:eastAsia="方正仿宋_GB2312" w:cs="方正仿宋_GB2312"/>
                <w:sz w:val="24"/>
                <w:szCs w:val="24"/>
              </w:rPr>
            </w:pPr>
          </w:p>
          <w:p w14:paraId="5A747160">
            <w:pPr>
              <w:pStyle w:val="415"/>
              <w:keepNext w:val="0"/>
              <w:keepLines w:val="0"/>
              <w:pageBreakBefore w:val="0"/>
              <w:widowControl w:val="0"/>
              <w:kinsoku/>
              <w:wordWrap/>
              <w:overflowPunct/>
              <w:topLinePunct w:val="0"/>
              <w:autoSpaceDE/>
              <w:autoSpaceDN/>
              <w:bidi w:val="0"/>
              <w:adjustRightInd/>
              <w:spacing w:before="65" w:line="240" w:lineRule="auto"/>
              <w:ind w:left="197" w:leftChars="0"/>
              <w:textAlignment w:val="auto"/>
              <w:rPr>
                <w:rFonts w:hint="eastAsia" w:ascii="方正仿宋_GB2312" w:hAnsi="方正仿宋_GB2312" w:eastAsia="方正仿宋_GB2312" w:cs="方正仿宋_GB2312"/>
                <w:b/>
                <w:bCs/>
                <w:color w:val="auto"/>
                <w:spacing w:val="-1"/>
                <w:sz w:val="24"/>
                <w:szCs w:val="24"/>
              </w:rPr>
            </w:pPr>
            <w:r>
              <w:rPr>
                <w:rFonts w:hint="eastAsia" w:ascii="方正仿宋_GB2312" w:hAnsi="方正仿宋_GB2312" w:eastAsia="方正仿宋_GB2312" w:cs="方正仿宋_GB2312"/>
                <w:spacing w:val="1"/>
                <w:sz w:val="24"/>
                <w:szCs w:val="24"/>
              </w:rPr>
              <w:t>1350</w:t>
            </w:r>
            <w:r>
              <w:rPr>
                <w:rFonts w:hint="eastAsia" w:ascii="方正仿宋_GB2312" w:hAnsi="方正仿宋_GB2312" w:eastAsia="方正仿宋_GB2312" w:cs="方正仿宋_GB2312"/>
                <w:sz w:val="24"/>
                <w:szCs w:val="24"/>
              </w:rPr>
              <w:t>kg</w:t>
            </w:r>
          </w:p>
        </w:tc>
        <w:tc>
          <w:tcPr>
            <w:tcW w:w="1065" w:type="dxa"/>
            <w:vAlign w:val="center"/>
          </w:tcPr>
          <w:p w14:paraId="45165703">
            <w:pPr>
              <w:pStyle w:val="415"/>
              <w:keepNext w:val="0"/>
              <w:keepLines w:val="0"/>
              <w:pageBreakBefore w:val="0"/>
              <w:widowControl w:val="0"/>
              <w:kinsoku/>
              <w:wordWrap/>
              <w:overflowPunct/>
              <w:topLinePunct w:val="0"/>
              <w:autoSpaceDE/>
              <w:autoSpaceDN/>
              <w:bidi w:val="0"/>
              <w:adjustRightInd/>
              <w:spacing w:before="65" w:line="240" w:lineRule="auto"/>
              <w:jc w:val="center"/>
              <w:textAlignment w:val="auto"/>
              <w:rPr>
                <w:rFonts w:hint="eastAsia" w:ascii="方正仿宋_GB2312" w:hAnsi="方正仿宋_GB2312" w:eastAsia="方正仿宋_GB2312" w:cs="方正仿宋_GB2312"/>
                <w:b/>
                <w:bCs/>
                <w:color w:val="auto"/>
                <w:spacing w:val="-3"/>
                <w:sz w:val="24"/>
                <w:szCs w:val="24"/>
              </w:rPr>
            </w:pPr>
            <w:r>
              <w:rPr>
                <w:rFonts w:hint="eastAsia" w:ascii="方正仿宋_GB2312" w:hAnsi="方正仿宋_GB2312" w:eastAsia="方正仿宋_GB2312" w:cs="方正仿宋_GB2312"/>
                <w:spacing w:val="-2"/>
                <w:sz w:val="24"/>
                <w:szCs w:val="24"/>
              </w:rPr>
              <w:t>1m/s</w:t>
            </w:r>
          </w:p>
        </w:tc>
      </w:tr>
      <w:tr w14:paraId="16F9D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2" w:hRule="atLeast"/>
          <w:jc w:val="center"/>
        </w:trPr>
        <w:tc>
          <w:tcPr>
            <w:tcW w:w="1680" w:type="dxa"/>
            <w:vAlign w:val="top"/>
          </w:tcPr>
          <w:p w14:paraId="67106B8C">
            <w:pPr>
              <w:pStyle w:val="415"/>
              <w:keepNext w:val="0"/>
              <w:keepLines w:val="0"/>
              <w:pageBreakBefore w:val="0"/>
              <w:widowControl w:val="0"/>
              <w:kinsoku/>
              <w:wordWrap/>
              <w:overflowPunct/>
              <w:topLinePunct w:val="0"/>
              <w:autoSpaceDE/>
              <w:autoSpaceDN/>
              <w:bidi w:val="0"/>
              <w:adjustRightInd/>
              <w:spacing w:before="155" w:line="240" w:lineRule="auto"/>
              <w:ind w:left="83" w:leftChars="0" w:right="82" w:rightChars="0" w:hanging="1" w:firstLineChars="0"/>
              <w:jc w:val="both"/>
              <w:textAlignment w:val="auto"/>
              <w:rPr>
                <w:rFonts w:hint="eastAsia" w:ascii="方正仿宋_GB2312" w:hAnsi="方正仿宋_GB2312" w:eastAsia="方正仿宋_GB2312" w:cs="方正仿宋_GB2312"/>
                <w:color w:val="auto"/>
                <w:spacing w:val="6"/>
                <w:sz w:val="24"/>
                <w:szCs w:val="24"/>
                <w:lang w:eastAsia="zh-CN"/>
              </w:rPr>
            </w:pPr>
            <w:r>
              <w:rPr>
                <w:rFonts w:hint="eastAsia" w:ascii="方正仿宋_GB2312" w:hAnsi="方正仿宋_GB2312" w:eastAsia="方正仿宋_GB2312" w:cs="方正仿宋_GB2312"/>
                <w:spacing w:val="12"/>
                <w:sz w:val="24"/>
                <w:szCs w:val="24"/>
              </w:rPr>
              <w:t>励学大厦学员餐</w:t>
            </w:r>
            <w:r>
              <w:rPr>
                <w:rFonts w:hint="eastAsia" w:ascii="方正仿宋_GB2312" w:hAnsi="方正仿宋_GB2312" w:eastAsia="方正仿宋_GB2312" w:cs="方正仿宋_GB2312"/>
                <w:spacing w:val="13"/>
                <w:sz w:val="24"/>
                <w:szCs w:val="24"/>
              </w:rPr>
              <w:t>厅曳引驱动乘客</w:t>
            </w:r>
            <w:r>
              <w:rPr>
                <w:rFonts w:hint="eastAsia" w:ascii="方正仿宋_GB2312" w:hAnsi="方正仿宋_GB2312" w:eastAsia="方正仿宋_GB2312" w:cs="方正仿宋_GB2312"/>
                <w:spacing w:val="9"/>
                <w:sz w:val="24"/>
                <w:szCs w:val="24"/>
              </w:rPr>
              <w:t>电梯（无机房）</w:t>
            </w:r>
          </w:p>
        </w:tc>
        <w:tc>
          <w:tcPr>
            <w:tcW w:w="1210" w:type="dxa"/>
            <w:vAlign w:val="center"/>
          </w:tcPr>
          <w:p w14:paraId="5FE0E3F3">
            <w:pPr>
              <w:pStyle w:val="415"/>
              <w:keepNext w:val="0"/>
              <w:keepLines w:val="0"/>
              <w:pageBreakBefore w:val="0"/>
              <w:widowControl w:val="0"/>
              <w:kinsoku/>
              <w:wordWrap/>
              <w:overflowPunct/>
              <w:topLinePunct w:val="0"/>
              <w:autoSpaceDE/>
              <w:autoSpaceDN/>
              <w:bidi w:val="0"/>
              <w:adjustRightInd/>
              <w:snapToGrid w:val="0"/>
              <w:spacing w:before="64"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spacing w:val="5"/>
                <w:sz w:val="24"/>
                <w:szCs w:val="24"/>
                <w:lang w:val="en-US" w:eastAsia="zh-CN"/>
              </w:rPr>
            </w:pPr>
            <w:r>
              <w:rPr>
                <w:rFonts w:hint="eastAsia" w:ascii="方正仿宋_GB2312" w:hAnsi="方正仿宋_GB2312" w:eastAsia="方正仿宋_GB2312" w:cs="方正仿宋_GB2312"/>
                <w:color w:val="auto"/>
                <w:spacing w:val="5"/>
                <w:sz w:val="24"/>
                <w:szCs w:val="24"/>
                <w:lang w:val="en-US" w:eastAsia="zh-CN"/>
              </w:rPr>
              <w:t>800*2100mm</w:t>
            </w:r>
          </w:p>
        </w:tc>
        <w:tc>
          <w:tcPr>
            <w:tcW w:w="1470" w:type="dxa"/>
            <w:vAlign w:val="center"/>
          </w:tcPr>
          <w:p w14:paraId="455629D0">
            <w:pPr>
              <w:pStyle w:val="415"/>
              <w:keepNext w:val="0"/>
              <w:keepLines w:val="0"/>
              <w:pageBreakBefore w:val="0"/>
              <w:widowControl w:val="0"/>
              <w:kinsoku/>
              <w:wordWrap/>
              <w:overflowPunct/>
              <w:topLinePunct w:val="0"/>
              <w:autoSpaceDE/>
              <w:autoSpaceDN/>
              <w:bidi w:val="0"/>
              <w:adjustRightInd/>
              <w:snapToGrid w:val="0"/>
              <w:spacing w:before="62"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spacing w:val="5"/>
                <w:sz w:val="24"/>
                <w:szCs w:val="24"/>
                <w:lang w:val="en-US" w:eastAsia="zh-CN"/>
              </w:rPr>
            </w:pPr>
            <w:r>
              <w:rPr>
                <w:rFonts w:hint="eastAsia" w:ascii="方正仿宋_GB2312" w:hAnsi="方正仿宋_GB2312" w:eastAsia="方正仿宋_GB2312" w:cs="方正仿宋_GB2312"/>
                <w:color w:val="auto"/>
                <w:spacing w:val="5"/>
                <w:sz w:val="24"/>
                <w:szCs w:val="24"/>
                <w:lang w:val="en-US" w:eastAsia="zh-CN"/>
              </w:rPr>
              <w:t>一层：6.3m</w:t>
            </w:r>
          </w:p>
          <w:p w14:paraId="2DCB361C">
            <w:pPr>
              <w:pStyle w:val="415"/>
              <w:keepNext w:val="0"/>
              <w:keepLines w:val="0"/>
              <w:pageBreakBefore w:val="0"/>
              <w:widowControl w:val="0"/>
              <w:kinsoku/>
              <w:wordWrap/>
              <w:overflowPunct/>
              <w:topLinePunct w:val="0"/>
              <w:autoSpaceDE/>
              <w:autoSpaceDN/>
              <w:bidi w:val="0"/>
              <w:adjustRightInd/>
              <w:snapToGrid w:val="0"/>
              <w:spacing w:before="62"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spacing w:val="5"/>
                <w:sz w:val="24"/>
                <w:szCs w:val="24"/>
                <w:lang w:val="en-US" w:eastAsia="zh-CN"/>
              </w:rPr>
            </w:pPr>
            <w:r>
              <w:rPr>
                <w:rFonts w:hint="eastAsia" w:ascii="方正仿宋_GB2312" w:hAnsi="方正仿宋_GB2312" w:eastAsia="方正仿宋_GB2312" w:cs="方正仿宋_GB2312"/>
                <w:color w:val="auto"/>
                <w:spacing w:val="5"/>
                <w:sz w:val="24"/>
                <w:szCs w:val="24"/>
                <w:lang w:val="en-US" w:eastAsia="zh-CN"/>
              </w:rPr>
              <w:t>二层：4.95m</w:t>
            </w:r>
          </w:p>
          <w:p w14:paraId="09DEE82D">
            <w:pPr>
              <w:pStyle w:val="415"/>
              <w:keepNext w:val="0"/>
              <w:keepLines w:val="0"/>
              <w:pageBreakBefore w:val="0"/>
              <w:widowControl w:val="0"/>
              <w:kinsoku/>
              <w:wordWrap/>
              <w:overflowPunct/>
              <w:topLinePunct w:val="0"/>
              <w:autoSpaceDE/>
              <w:autoSpaceDN/>
              <w:bidi w:val="0"/>
              <w:adjustRightInd/>
              <w:snapToGrid w:val="0"/>
              <w:spacing w:before="62"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spacing w:val="5"/>
                <w:sz w:val="24"/>
                <w:szCs w:val="24"/>
                <w:lang w:val="en-US" w:eastAsia="zh-CN"/>
              </w:rPr>
            </w:pPr>
            <w:r>
              <w:rPr>
                <w:rFonts w:hint="eastAsia" w:ascii="方正仿宋_GB2312" w:hAnsi="方正仿宋_GB2312" w:eastAsia="方正仿宋_GB2312" w:cs="方正仿宋_GB2312"/>
                <w:color w:val="auto"/>
                <w:spacing w:val="5"/>
                <w:sz w:val="24"/>
                <w:szCs w:val="24"/>
                <w:lang w:val="en-US" w:eastAsia="zh-CN"/>
              </w:rPr>
              <w:t>三层：4.7m</w:t>
            </w:r>
          </w:p>
        </w:tc>
        <w:tc>
          <w:tcPr>
            <w:tcW w:w="1134" w:type="dxa"/>
            <w:vAlign w:val="center"/>
          </w:tcPr>
          <w:p w14:paraId="18AD2085">
            <w:pPr>
              <w:pStyle w:val="415"/>
              <w:keepNext w:val="0"/>
              <w:keepLines w:val="0"/>
              <w:pageBreakBefore w:val="0"/>
              <w:widowControl w:val="0"/>
              <w:kinsoku/>
              <w:wordWrap/>
              <w:overflowPunct/>
              <w:topLinePunct w:val="0"/>
              <w:autoSpaceDE/>
              <w:autoSpaceDN/>
              <w:bidi w:val="0"/>
              <w:adjustRightInd/>
              <w:snapToGrid w:val="0"/>
              <w:spacing w:before="62"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1800mm</w:t>
            </w:r>
          </w:p>
        </w:tc>
        <w:tc>
          <w:tcPr>
            <w:tcW w:w="831" w:type="dxa"/>
            <w:vAlign w:val="center"/>
          </w:tcPr>
          <w:p w14:paraId="579E1327">
            <w:pPr>
              <w:pStyle w:val="415"/>
              <w:keepNext w:val="0"/>
              <w:keepLines w:val="0"/>
              <w:pageBreakBefore w:val="0"/>
              <w:widowControl w:val="0"/>
              <w:kinsoku/>
              <w:wordWrap/>
              <w:overflowPunct/>
              <w:topLinePunct w:val="0"/>
              <w:autoSpaceDE/>
              <w:autoSpaceDN/>
              <w:bidi w:val="0"/>
              <w:adjustRightInd/>
              <w:snapToGrid w:val="0"/>
              <w:spacing w:before="61"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spacing w:val="1"/>
                <w:sz w:val="24"/>
                <w:szCs w:val="24"/>
                <w:lang w:val="en-US" w:eastAsia="zh-CN"/>
              </w:rPr>
            </w:pPr>
            <w:r>
              <w:rPr>
                <w:rFonts w:hint="eastAsia" w:ascii="方正仿宋_GB2312" w:hAnsi="方正仿宋_GB2312" w:eastAsia="方正仿宋_GB2312" w:cs="方正仿宋_GB2312"/>
                <w:color w:val="auto"/>
                <w:spacing w:val="1"/>
                <w:sz w:val="24"/>
                <w:szCs w:val="24"/>
                <w:lang w:val="en-US" w:eastAsia="zh-CN"/>
              </w:rPr>
              <w:t>1990mm</w:t>
            </w:r>
          </w:p>
        </w:tc>
        <w:tc>
          <w:tcPr>
            <w:tcW w:w="955" w:type="dxa"/>
            <w:vAlign w:val="center"/>
          </w:tcPr>
          <w:p w14:paraId="0E4A90D1">
            <w:pPr>
              <w:pStyle w:val="415"/>
              <w:keepNext w:val="0"/>
              <w:keepLines w:val="0"/>
              <w:pageBreakBefore w:val="0"/>
              <w:widowControl w:val="0"/>
              <w:kinsoku/>
              <w:wordWrap/>
              <w:overflowPunct/>
              <w:topLinePunct w:val="0"/>
              <w:autoSpaceDE/>
              <w:autoSpaceDN/>
              <w:bidi w:val="0"/>
              <w:adjustRightInd/>
              <w:snapToGrid w:val="0"/>
              <w:spacing w:before="61"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spacing w:val="3"/>
                <w:sz w:val="24"/>
                <w:szCs w:val="24"/>
                <w:lang w:val="en-US" w:eastAsia="zh-CN"/>
              </w:rPr>
            </w:pPr>
            <w:r>
              <w:rPr>
                <w:rFonts w:hint="eastAsia" w:ascii="方正仿宋_GB2312" w:hAnsi="方正仿宋_GB2312" w:eastAsia="方正仿宋_GB2312" w:cs="方正仿宋_GB2312"/>
                <w:color w:val="auto"/>
                <w:spacing w:val="3"/>
                <w:sz w:val="24"/>
                <w:szCs w:val="24"/>
                <w:lang w:val="en-US" w:eastAsia="zh-CN"/>
              </w:rPr>
              <w:t>1.65m</w:t>
            </w:r>
          </w:p>
        </w:tc>
        <w:tc>
          <w:tcPr>
            <w:tcW w:w="935" w:type="dxa"/>
            <w:vAlign w:val="center"/>
          </w:tcPr>
          <w:p w14:paraId="0C216C75">
            <w:pPr>
              <w:pStyle w:val="415"/>
              <w:keepNext w:val="0"/>
              <w:keepLines w:val="0"/>
              <w:pageBreakBefore w:val="0"/>
              <w:widowControl w:val="0"/>
              <w:kinsoku/>
              <w:wordWrap/>
              <w:overflowPunct/>
              <w:topLinePunct w:val="0"/>
              <w:autoSpaceDE/>
              <w:autoSpaceDN/>
              <w:bidi w:val="0"/>
              <w:adjustRightInd/>
              <w:snapToGrid w:val="0"/>
              <w:spacing w:before="61"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spacing w:val="3"/>
                <w:sz w:val="24"/>
                <w:szCs w:val="24"/>
                <w:lang w:val="en-US" w:eastAsia="zh-CN"/>
              </w:rPr>
            </w:pPr>
            <w:r>
              <w:rPr>
                <w:rFonts w:hint="eastAsia" w:ascii="方正仿宋_GB2312" w:hAnsi="方正仿宋_GB2312" w:eastAsia="方正仿宋_GB2312" w:cs="方正仿宋_GB2312"/>
                <w:color w:val="auto"/>
                <w:spacing w:val="3"/>
                <w:sz w:val="24"/>
                <w:szCs w:val="24"/>
                <w:lang w:val="en-US" w:eastAsia="zh-CN"/>
              </w:rPr>
              <w:t>3/3/3</w:t>
            </w:r>
          </w:p>
        </w:tc>
        <w:tc>
          <w:tcPr>
            <w:tcW w:w="1065" w:type="dxa"/>
            <w:vAlign w:val="center"/>
          </w:tcPr>
          <w:p w14:paraId="064560C0">
            <w:pPr>
              <w:pStyle w:val="415"/>
              <w:keepNext w:val="0"/>
              <w:keepLines w:val="0"/>
              <w:pageBreakBefore w:val="0"/>
              <w:widowControl w:val="0"/>
              <w:kinsoku/>
              <w:wordWrap/>
              <w:overflowPunct/>
              <w:topLinePunct w:val="0"/>
              <w:autoSpaceDE/>
              <w:autoSpaceDN/>
              <w:bidi w:val="0"/>
              <w:adjustRightInd/>
              <w:snapToGrid w:val="0"/>
              <w:spacing w:before="61" w:line="240" w:lineRule="auto"/>
              <w:ind w:left="0" w:leftChars="0" w:right="0" w:rightChars="0" w:firstLine="0" w:firstLineChars="0"/>
              <w:jc w:val="center"/>
              <w:textAlignment w:val="auto"/>
              <w:rPr>
                <w:rFonts w:hint="eastAsia" w:ascii="方正仿宋_GB2312" w:hAnsi="方正仿宋_GB2312" w:eastAsia="方正仿宋_GB2312" w:cs="方正仿宋_GB2312"/>
                <w:color w:val="auto"/>
                <w:position w:val="1"/>
                <w:sz w:val="24"/>
                <w:szCs w:val="24"/>
                <w:lang w:val="en-US" w:eastAsia="zh-CN"/>
              </w:rPr>
            </w:pPr>
            <w:r>
              <w:rPr>
                <w:rFonts w:hint="eastAsia" w:ascii="方正仿宋_GB2312" w:hAnsi="方正仿宋_GB2312" w:eastAsia="方正仿宋_GB2312" w:cs="方正仿宋_GB2312"/>
                <w:color w:val="auto"/>
                <w:position w:val="1"/>
                <w:sz w:val="24"/>
                <w:szCs w:val="24"/>
                <w:lang w:val="en-US" w:eastAsia="zh-CN"/>
              </w:rPr>
              <w:t>630kg</w:t>
            </w:r>
          </w:p>
        </w:tc>
      </w:tr>
    </w:tbl>
    <w:p w14:paraId="08DE531F">
      <w:pPr>
        <w:spacing w:line="360" w:lineRule="auto"/>
        <w:rPr>
          <w:rFonts w:hint="default" w:ascii="华文仿宋" w:hAnsi="华文仿宋" w:eastAsia="华文仿宋" w:cs="华文仿宋"/>
          <w:color w:val="auto"/>
          <w:sz w:val="28"/>
          <w:szCs w:val="28"/>
          <w:highlight w:val="none"/>
          <w:lang w:val="en-US"/>
        </w:rPr>
      </w:pPr>
      <w:r>
        <w:rPr>
          <w:rFonts w:hint="eastAsia" w:ascii="华文仿宋" w:hAnsi="华文仿宋" w:eastAsia="华文仿宋" w:cs="华文仿宋"/>
          <w:b/>
          <w:bCs/>
          <w:color w:val="auto"/>
          <w:sz w:val="30"/>
          <w:szCs w:val="30"/>
          <w:highlight w:val="none"/>
          <w:lang w:val="en-US" w:eastAsia="zh-CN"/>
        </w:rPr>
        <w:t>3.</w:t>
      </w:r>
      <w:r>
        <w:rPr>
          <w:rFonts w:hint="eastAsia" w:ascii="华文仿宋" w:hAnsi="华文仿宋" w:eastAsia="华文仿宋" w:cs="华文仿宋"/>
          <w:b/>
          <w:bCs/>
          <w:color w:val="auto"/>
          <w:sz w:val="28"/>
          <w:szCs w:val="28"/>
          <w:highlight w:val="none"/>
          <w:lang w:val="en-US" w:eastAsia="zh-CN"/>
        </w:rPr>
        <w:t>湖北路42号校区</w:t>
      </w:r>
      <w:r>
        <w:rPr>
          <w:rFonts w:hint="eastAsia" w:ascii="华文仿宋" w:hAnsi="华文仿宋" w:eastAsia="华文仿宋" w:cs="华文仿宋"/>
          <w:color w:val="auto"/>
          <w:sz w:val="28"/>
          <w:szCs w:val="28"/>
          <w:highlight w:val="none"/>
          <w:lang w:val="en-US" w:eastAsia="zh-CN"/>
        </w:rPr>
        <w:t>的1台电梯为原梯改造，具体内容与要求详见设计说明及清单。</w:t>
      </w:r>
    </w:p>
    <w:p w14:paraId="320FA363">
      <w:pPr>
        <w:pStyle w:val="212"/>
        <w:keepNext w:val="0"/>
        <w:keepLines w:val="0"/>
        <w:pageBreakBefore w:val="0"/>
        <w:kinsoku/>
        <w:wordWrap/>
        <w:overflowPunct/>
        <w:topLinePunct w:val="0"/>
        <w:bidi w:val="0"/>
        <w:adjustRightInd/>
        <w:snapToGrid/>
        <w:spacing w:line="560" w:lineRule="exact"/>
        <w:ind w:firstLine="0" w:firstLineChars="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lang w:val="en-US" w:eastAsia="zh-CN"/>
        </w:rPr>
        <w:t>4.</w:t>
      </w:r>
      <w:r>
        <w:rPr>
          <w:rFonts w:hint="eastAsia" w:ascii="华文仿宋" w:hAnsi="华文仿宋" w:eastAsia="华文仿宋" w:cs="华文仿宋"/>
          <w:color w:val="auto"/>
          <w:sz w:val="30"/>
          <w:szCs w:val="30"/>
          <w:highlight w:val="none"/>
        </w:rPr>
        <w:t>磋商</w:t>
      </w:r>
      <w:r>
        <w:rPr>
          <w:rFonts w:hint="eastAsia" w:ascii="华文仿宋" w:hAnsi="华文仿宋" w:eastAsia="华文仿宋" w:cs="华文仿宋"/>
          <w:color w:val="auto"/>
          <w:sz w:val="30"/>
          <w:szCs w:val="30"/>
          <w:highlight w:val="none"/>
          <w:lang w:val="en-US" w:eastAsia="zh-CN"/>
        </w:rPr>
        <w:t>总</w:t>
      </w:r>
      <w:r>
        <w:rPr>
          <w:rFonts w:hint="eastAsia" w:ascii="华文仿宋" w:hAnsi="华文仿宋" w:eastAsia="华文仿宋" w:cs="华文仿宋"/>
          <w:color w:val="auto"/>
          <w:sz w:val="30"/>
          <w:szCs w:val="30"/>
          <w:highlight w:val="none"/>
        </w:rPr>
        <w:t>报价必须包括</w:t>
      </w:r>
      <w:r>
        <w:rPr>
          <w:rFonts w:hint="eastAsia" w:ascii="华文仿宋" w:hAnsi="华文仿宋" w:eastAsia="华文仿宋" w:cs="华文仿宋"/>
          <w:color w:val="auto"/>
          <w:sz w:val="30"/>
          <w:szCs w:val="30"/>
          <w:highlight w:val="none"/>
          <w:lang w:val="en-US" w:eastAsia="zh-CN"/>
        </w:rPr>
        <w:t>不限于</w:t>
      </w:r>
      <w:r>
        <w:rPr>
          <w:rFonts w:hint="eastAsia" w:ascii="华文仿宋" w:hAnsi="华文仿宋" w:eastAsia="华文仿宋" w:cs="华文仿宋"/>
          <w:color w:val="auto"/>
          <w:sz w:val="30"/>
          <w:szCs w:val="30"/>
          <w:highlight w:val="none"/>
        </w:rPr>
        <w:t>：</w:t>
      </w:r>
    </w:p>
    <w:p w14:paraId="3004B08C">
      <w:pPr>
        <w:pStyle w:val="212"/>
        <w:keepNext w:val="0"/>
        <w:keepLines w:val="0"/>
        <w:pageBreakBefore w:val="0"/>
        <w:kinsoku/>
        <w:wordWrap/>
        <w:overflowPunct/>
        <w:topLinePunct w:val="0"/>
        <w:bidi w:val="0"/>
        <w:adjustRightInd/>
        <w:snapToGrid/>
        <w:spacing w:line="560" w:lineRule="exact"/>
        <w:ind w:firstLine="42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（1）原</w:t>
      </w:r>
      <w:r>
        <w:rPr>
          <w:rFonts w:hint="eastAsia" w:ascii="华文仿宋" w:hAnsi="华文仿宋" w:eastAsia="华文仿宋" w:cs="华文仿宋"/>
          <w:color w:val="auto"/>
          <w:sz w:val="30"/>
          <w:szCs w:val="30"/>
          <w:highlight w:val="none"/>
          <w:lang w:val="en-US" w:eastAsia="zh-CN"/>
        </w:rPr>
        <w:t>有5台</w:t>
      </w:r>
      <w:r>
        <w:rPr>
          <w:rFonts w:hint="eastAsia" w:ascii="华文仿宋" w:hAnsi="华文仿宋" w:eastAsia="华文仿宋" w:cs="华文仿宋"/>
          <w:color w:val="auto"/>
          <w:sz w:val="30"/>
          <w:szCs w:val="30"/>
          <w:highlight w:val="none"/>
        </w:rPr>
        <w:t>电梯拆除</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原品牌：奥的斯）</w:t>
      </w:r>
      <w:r>
        <w:rPr>
          <w:rFonts w:hint="eastAsia" w:ascii="华文仿宋" w:hAnsi="华文仿宋" w:eastAsia="华文仿宋" w:cs="华文仿宋"/>
          <w:color w:val="auto"/>
          <w:sz w:val="30"/>
          <w:szCs w:val="30"/>
          <w:highlight w:val="none"/>
        </w:rPr>
        <w:t>，旧设备</w:t>
      </w:r>
      <w:r>
        <w:rPr>
          <w:rFonts w:hint="eastAsia" w:ascii="华文仿宋" w:hAnsi="华文仿宋" w:eastAsia="华文仿宋" w:cs="华文仿宋"/>
          <w:color w:val="auto"/>
          <w:sz w:val="30"/>
          <w:szCs w:val="30"/>
          <w:highlight w:val="none"/>
          <w:lang w:val="en-US" w:eastAsia="zh-CN"/>
        </w:rPr>
        <w:t>由供应商自行处置，</w:t>
      </w:r>
      <w:r>
        <w:rPr>
          <w:rFonts w:hint="eastAsia" w:ascii="华文仿宋" w:hAnsi="华文仿宋" w:eastAsia="华文仿宋" w:cs="华文仿宋"/>
          <w:color w:val="auto"/>
          <w:sz w:val="30"/>
          <w:szCs w:val="30"/>
          <w:highlight w:val="none"/>
        </w:rPr>
        <w:t>残值</w:t>
      </w:r>
      <w:r>
        <w:rPr>
          <w:rFonts w:hint="eastAsia" w:ascii="华文仿宋" w:hAnsi="华文仿宋" w:eastAsia="华文仿宋" w:cs="华文仿宋"/>
          <w:color w:val="auto"/>
          <w:sz w:val="30"/>
          <w:szCs w:val="30"/>
          <w:highlight w:val="none"/>
          <w:lang w:val="en-US" w:eastAsia="zh-CN"/>
        </w:rPr>
        <w:t>应</w:t>
      </w:r>
      <w:r>
        <w:rPr>
          <w:rFonts w:hint="eastAsia" w:ascii="华文仿宋" w:hAnsi="华文仿宋" w:eastAsia="华文仿宋" w:cs="华文仿宋"/>
          <w:color w:val="auto"/>
          <w:sz w:val="30"/>
          <w:szCs w:val="30"/>
          <w:highlight w:val="none"/>
        </w:rPr>
        <w:t>考虑在磋商报价中</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单独列出）</w:t>
      </w:r>
      <w:r>
        <w:rPr>
          <w:rFonts w:hint="eastAsia" w:ascii="华文仿宋" w:hAnsi="华文仿宋" w:eastAsia="华文仿宋" w:cs="华文仿宋"/>
          <w:color w:val="auto"/>
          <w:sz w:val="30"/>
          <w:szCs w:val="30"/>
          <w:highlight w:val="none"/>
        </w:rPr>
        <w:t>；设备、安装费、运杂费（运抵买方工地现场）、运输保险费、检测费、调试费（含调试电源及接线）、质保期内的</w:t>
      </w:r>
      <w:r>
        <w:rPr>
          <w:rFonts w:hint="eastAsia" w:ascii="华文仿宋" w:hAnsi="华文仿宋" w:eastAsia="华文仿宋" w:cs="华文仿宋"/>
          <w:color w:val="auto"/>
          <w:sz w:val="30"/>
          <w:szCs w:val="30"/>
          <w:highlight w:val="none"/>
          <w:lang w:val="en-US"/>
        </w:rPr>
        <w:t>维护</w:t>
      </w:r>
      <w:r>
        <w:rPr>
          <w:rFonts w:hint="eastAsia" w:ascii="华文仿宋" w:hAnsi="华文仿宋" w:eastAsia="华文仿宋" w:cs="华文仿宋"/>
          <w:color w:val="auto"/>
          <w:sz w:val="30"/>
          <w:szCs w:val="30"/>
          <w:highlight w:val="none"/>
        </w:rPr>
        <w:t>保养费、操作维护人员培训费等。在安装、调试、验收过程中，如发现有漏项、缺件，卖方应无条件、无偿补齐，所发生的一切费用，视为已包含在卖方的磋商报价之中，且并不因此而影响交付买方使用的时间。</w:t>
      </w:r>
    </w:p>
    <w:p w14:paraId="031B4848">
      <w:pPr>
        <w:pStyle w:val="212"/>
        <w:keepNext w:val="0"/>
        <w:keepLines w:val="0"/>
        <w:pageBreakBefore w:val="0"/>
        <w:kinsoku/>
        <w:wordWrap/>
        <w:overflowPunct/>
        <w:topLinePunct w:val="0"/>
        <w:bidi w:val="0"/>
        <w:adjustRightInd/>
        <w:snapToGrid/>
        <w:spacing w:line="560" w:lineRule="exact"/>
        <w:ind w:firstLine="0" w:firstLineChars="0"/>
        <w:textAlignment w:val="auto"/>
        <w:rPr>
          <w:rFonts w:hint="eastAsia" w:ascii="华文仿宋" w:hAnsi="华文仿宋" w:eastAsia="华文仿宋" w:cs="华文仿宋"/>
          <w:color w:val="auto"/>
          <w:sz w:val="30"/>
          <w:szCs w:val="30"/>
          <w:highlight w:val="none"/>
          <w:lang w:val="en-US"/>
        </w:rPr>
      </w:pPr>
      <w:r>
        <w:rPr>
          <w:rFonts w:hint="eastAsia" w:ascii="华文仿宋" w:hAnsi="华文仿宋" w:eastAsia="华文仿宋" w:cs="华文仿宋"/>
          <w:color w:val="auto"/>
          <w:sz w:val="30"/>
          <w:szCs w:val="30"/>
          <w:highlight w:val="none"/>
          <w:lang w:val="en-US" w:eastAsia="zh-CN"/>
        </w:rPr>
        <w:t xml:space="preserve">    （2）</w:t>
      </w:r>
      <w:r>
        <w:rPr>
          <w:rFonts w:hint="eastAsia" w:ascii="华文仿宋" w:hAnsi="华文仿宋" w:eastAsia="华文仿宋" w:cs="华文仿宋"/>
          <w:color w:val="auto"/>
          <w:sz w:val="30"/>
          <w:szCs w:val="30"/>
          <w:highlight w:val="none"/>
          <w:lang w:val="en-US"/>
        </w:rPr>
        <w:t>各层采用的不锈钢或大理石大门套，大理石过门石等。</w:t>
      </w:r>
    </w:p>
    <w:p w14:paraId="7ECA6482">
      <w:pPr>
        <w:pStyle w:val="212"/>
        <w:keepNext w:val="0"/>
        <w:keepLines w:val="0"/>
        <w:pageBreakBefore w:val="0"/>
        <w:kinsoku/>
        <w:wordWrap/>
        <w:overflowPunct/>
        <w:topLinePunct w:val="0"/>
        <w:bidi w:val="0"/>
        <w:adjustRightInd/>
        <w:snapToGrid/>
        <w:spacing w:line="560" w:lineRule="exact"/>
        <w:ind w:firstLine="600" w:firstLineChars="0"/>
        <w:textAlignment w:val="auto"/>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（3）卖方必须办理电梯</w:t>
      </w:r>
      <w:r>
        <w:rPr>
          <w:rFonts w:hint="eastAsia" w:ascii="华文仿宋" w:hAnsi="华文仿宋" w:eastAsia="华文仿宋" w:cs="华文仿宋"/>
          <w:color w:val="auto"/>
          <w:sz w:val="30"/>
          <w:szCs w:val="30"/>
          <w:highlight w:val="none"/>
          <w:lang w:val="en-US" w:eastAsia="zh-CN"/>
        </w:rPr>
        <w:t>监检</w:t>
      </w:r>
      <w:r>
        <w:rPr>
          <w:rFonts w:hint="eastAsia" w:ascii="华文仿宋" w:hAnsi="华文仿宋" w:eastAsia="华文仿宋" w:cs="华文仿宋"/>
          <w:color w:val="auto"/>
          <w:sz w:val="30"/>
          <w:szCs w:val="30"/>
          <w:highlight w:val="none"/>
        </w:rPr>
        <w:t>手续和领取电梯使用许可证，所发生的费用包含在合同总价中</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直至交付使用</w:t>
      </w:r>
      <w:r>
        <w:rPr>
          <w:rFonts w:hint="eastAsia" w:ascii="华文仿宋" w:hAnsi="华文仿宋" w:eastAsia="华文仿宋" w:cs="华文仿宋"/>
          <w:color w:val="auto"/>
          <w:sz w:val="30"/>
          <w:szCs w:val="30"/>
          <w:highlight w:val="none"/>
          <w:lang w:eastAsia="zh-CN"/>
        </w:rPr>
        <w:t>。</w:t>
      </w:r>
    </w:p>
    <w:p w14:paraId="6DF68F6E">
      <w:pPr>
        <w:pStyle w:val="212"/>
        <w:keepNext w:val="0"/>
        <w:keepLines w:val="0"/>
        <w:pageBreakBefore w:val="0"/>
        <w:kinsoku/>
        <w:wordWrap/>
        <w:overflowPunct/>
        <w:topLinePunct w:val="0"/>
        <w:bidi w:val="0"/>
        <w:adjustRightInd/>
        <w:snapToGrid/>
        <w:spacing w:line="560" w:lineRule="exact"/>
        <w:ind w:firstLine="600" w:firstLineChars="0"/>
        <w:textAlignment w:val="auto"/>
        <w:rPr>
          <w:rFonts w:hint="eastAsia" w:ascii="华文仿宋" w:hAnsi="华文仿宋" w:eastAsia="华文仿宋" w:cs="华文仿宋"/>
          <w:color w:val="auto"/>
          <w:sz w:val="30"/>
          <w:szCs w:val="30"/>
          <w:highlight w:val="none"/>
          <w:lang w:val="en-US"/>
        </w:rPr>
      </w:pPr>
      <w:r>
        <w:rPr>
          <w:rFonts w:hint="eastAsia" w:ascii="华文仿宋" w:hAnsi="华文仿宋" w:eastAsia="华文仿宋" w:cs="华文仿宋"/>
          <w:b w:val="0"/>
          <w:bCs w:val="0"/>
          <w:color w:val="auto"/>
          <w:sz w:val="30"/>
          <w:szCs w:val="30"/>
          <w:highlight w:val="none"/>
        </w:rPr>
        <w:t>（4）本次</w:t>
      </w:r>
      <w:r>
        <w:rPr>
          <w:rFonts w:hint="eastAsia" w:ascii="华文仿宋" w:hAnsi="华文仿宋" w:eastAsia="华文仿宋" w:cs="华文仿宋"/>
          <w:b w:val="0"/>
          <w:bCs w:val="0"/>
          <w:color w:val="auto"/>
          <w:sz w:val="30"/>
          <w:szCs w:val="30"/>
          <w:highlight w:val="none"/>
          <w:lang w:val="en-US"/>
        </w:rPr>
        <w:t>磋商</w:t>
      </w:r>
      <w:r>
        <w:rPr>
          <w:rFonts w:hint="eastAsia" w:ascii="华文仿宋" w:hAnsi="华文仿宋" w:eastAsia="华文仿宋" w:cs="华文仿宋"/>
          <w:b w:val="0"/>
          <w:bCs w:val="0"/>
          <w:color w:val="auto"/>
          <w:sz w:val="30"/>
          <w:szCs w:val="30"/>
          <w:highlight w:val="none"/>
        </w:rPr>
        <w:t>的总报价包含门洞改造费及恢复原状的费用（供应商</w:t>
      </w:r>
      <w:r>
        <w:rPr>
          <w:rFonts w:hint="eastAsia" w:ascii="华文仿宋" w:hAnsi="华文仿宋" w:eastAsia="华文仿宋" w:cs="华文仿宋"/>
          <w:b w:val="0"/>
          <w:bCs w:val="0"/>
          <w:color w:val="auto"/>
          <w:sz w:val="30"/>
          <w:szCs w:val="30"/>
          <w:highlight w:val="none"/>
          <w:lang w:val="en-US" w:eastAsia="zh-CN"/>
        </w:rPr>
        <w:t>需自行勘察现场，</w:t>
      </w:r>
      <w:r>
        <w:rPr>
          <w:rFonts w:hint="eastAsia" w:ascii="华文仿宋" w:hAnsi="华文仿宋" w:eastAsia="华文仿宋" w:cs="华文仿宋"/>
          <w:b w:val="0"/>
          <w:bCs w:val="0"/>
          <w:color w:val="auto"/>
          <w:sz w:val="30"/>
          <w:szCs w:val="30"/>
          <w:highlight w:val="none"/>
          <w:lang w:val="en-US"/>
        </w:rPr>
        <w:t>成交</w:t>
      </w:r>
      <w:r>
        <w:rPr>
          <w:rFonts w:hint="eastAsia" w:ascii="华文仿宋" w:hAnsi="华文仿宋" w:eastAsia="华文仿宋" w:cs="华文仿宋"/>
          <w:b w:val="0"/>
          <w:bCs w:val="0"/>
          <w:color w:val="auto"/>
          <w:sz w:val="30"/>
          <w:szCs w:val="30"/>
          <w:highlight w:val="none"/>
        </w:rPr>
        <w:t>后不得以任何形式理由办理的签证。例如大理石门套、地面大理石妨碍安装电梯要改造，电源</w:t>
      </w:r>
      <w:r>
        <w:rPr>
          <w:rFonts w:hint="eastAsia" w:ascii="华文仿宋" w:hAnsi="华文仿宋" w:eastAsia="华文仿宋" w:cs="华文仿宋"/>
          <w:b w:val="0"/>
          <w:bCs w:val="0"/>
          <w:color w:val="auto"/>
          <w:sz w:val="30"/>
          <w:szCs w:val="30"/>
          <w:highlight w:val="none"/>
          <w:lang w:val="en-US"/>
        </w:rPr>
        <w:t>线路</w:t>
      </w:r>
      <w:r>
        <w:rPr>
          <w:rFonts w:hint="eastAsia" w:ascii="华文仿宋" w:hAnsi="华文仿宋" w:eastAsia="华文仿宋" w:cs="华文仿宋"/>
          <w:b w:val="0"/>
          <w:bCs w:val="0"/>
          <w:color w:val="auto"/>
          <w:sz w:val="30"/>
          <w:szCs w:val="30"/>
          <w:highlight w:val="none"/>
        </w:rPr>
        <w:t>老化</w:t>
      </w:r>
      <w:r>
        <w:rPr>
          <w:rFonts w:hint="eastAsia" w:ascii="华文仿宋" w:hAnsi="华文仿宋" w:eastAsia="华文仿宋" w:cs="华文仿宋"/>
          <w:b w:val="0"/>
          <w:bCs w:val="0"/>
          <w:color w:val="auto"/>
          <w:sz w:val="30"/>
          <w:szCs w:val="30"/>
          <w:highlight w:val="none"/>
          <w:lang w:val="en-US"/>
        </w:rPr>
        <w:t>或荷载不足</w:t>
      </w:r>
      <w:r>
        <w:rPr>
          <w:rFonts w:hint="eastAsia" w:ascii="华文仿宋" w:hAnsi="华文仿宋" w:eastAsia="华文仿宋" w:cs="华文仿宋"/>
          <w:b w:val="0"/>
          <w:bCs w:val="0"/>
          <w:color w:val="auto"/>
          <w:sz w:val="30"/>
          <w:szCs w:val="30"/>
          <w:highlight w:val="none"/>
        </w:rPr>
        <w:t>需要更换等。）</w:t>
      </w:r>
    </w:p>
    <w:p w14:paraId="0D8611F8">
      <w:pPr>
        <w:pStyle w:val="284"/>
        <w:keepNext w:val="0"/>
        <w:keepLines w:val="0"/>
        <w:pageBreakBefore w:val="0"/>
        <w:kinsoku/>
        <w:wordWrap/>
        <w:overflowPunct/>
        <w:topLinePunct w:val="0"/>
        <w:bidi w:val="0"/>
        <w:adjustRightInd/>
        <w:snapToGrid/>
        <w:spacing w:line="360" w:lineRule="auto"/>
        <w:ind w:firstLine="280" w:firstLineChars="100"/>
        <w:textAlignment w:val="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lang w:val="en-US" w:eastAsia="zh-CN"/>
        </w:rPr>
        <w:t>5.</w:t>
      </w:r>
      <w:r>
        <w:rPr>
          <w:rFonts w:hint="eastAsia" w:ascii="华文仿宋" w:hAnsi="华文仿宋" w:eastAsia="华文仿宋" w:cs="华文仿宋"/>
          <w:b/>
          <w:bCs/>
          <w:color w:val="auto"/>
          <w:sz w:val="28"/>
          <w:szCs w:val="28"/>
          <w:highlight w:val="none"/>
        </w:rPr>
        <w:t>采购设备技术参数及要求（应不低于以下技术要求）</w:t>
      </w:r>
    </w:p>
    <w:p w14:paraId="6B39250D">
      <w:pPr>
        <w:pStyle w:val="284"/>
        <w:keepNext w:val="0"/>
        <w:keepLines w:val="0"/>
        <w:pageBreakBefore w:val="0"/>
        <w:kinsoku/>
        <w:wordWrap/>
        <w:overflowPunct/>
        <w:topLinePunct w:val="0"/>
        <w:bidi w:val="0"/>
        <w:adjustRightInd/>
        <w:snapToGrid/>
        <w:spacing w:line="360" w:lineRule="auto"/>
        <w:ind w:firstLine="280" w:firstLineChars="100"/>
        <w:textAlignment w:val="auto"/>
        <w:rPr>
          <w:rFonts w:hint="default"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val="en-US" w:eastAsia="zh-CN"/>
        </w:rPr>
        <w:t>5.1拟更换电梯</w:t>
      </w:r>
    </w:p>
    <w:tbl>
      <w:tblPr>
        <w:tblStyle w:val="69"/>
        <w:tblW w:w="9119"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176"/>
        <w:gridCol w:w="1539"/>
        <w:gridCol w:w="1155"/>
        <w:gridCol w:w="230"/>
        <w:gridCol w:w="1102"/>
        <w:gridCol w:w="345"/>
        <w:gridCol w:w="3136"/>
        <w:gridCol w:w="41"/>
      </w:tblGrid>
      <w:tr w14:paraId="78124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27" w:hRule="atLeast"/>
          <w:tblHeader/>
        </w:trPr>
        <w:tc>
          <w:tcPr>
            <w:tcW w:w="1395" w:type="dxa"/>
            <w:tcBorders>
              <w:top w:val="single" w:color="000000" w:sz="2" w:space="0"/>
              <w:left w:val="single" w:color="000000" w:sz="2" w:space="0"/>
              <w:bottom w:val="single" w:color="000000" w:sz="2" w:space="0"/>
              <w:right w:val="single" w:color="000000" w:sz="2" w:space="0"/>
            </w:tcBorders>
            <w:vAlign w:val="center"/>
          </w:tcPr>
          <w:p w14:paraId="745B888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技术参数及要求）</w:t>
            </w: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2F6A610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品目号</w:t>
            </w:r>
          </w:p>
        </w:tc>
        <w:tc>
          <w:tcPr>
            <w:tcW w:w="5968" w:type="dxa"/>
            <w:gridSpan w:val="5"/>
            <w:tcBorders>
              <w:top w:val="single" w:color="000000" w:sz="2" w:space="0"/>
              <w:left w:val="single" w:color="000000" w:sz="2" w:space="0"/>
              <w:bottom w:val="single" w:color="000000" w:sz="2" w:space="0"/>
              <w:right w:val="single" w:color="000000" w:sz="2" w:space="0"/>
            </w:tcBorders>
            <w:vAlign w:val="center"/>
          </w:tcPr>
          <w:p w14:paraId="33A0B74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8"/>
                <w:szCs w:val="28"/>
                <w:highlight w:val="none"/>
                <w:lang w:eastAsia="zh-CN"/>
              </w:rPr>
            </w:pPr>
            <w:r>
              <w:rPr>
                <w:rFonts w:hint="eastAsia" w:ascii="华文仿宋" w:hAnsi="华文仿宋" w:eastAsia="华文仿宋" w:cs="华文仿宋"/>
                <w:b/>
                <w:bCs/>
                <w:color w:val="auto"/>
                <w:sz w:val="28"/>
                <w:szCs w:val="28"/>
                <w:highlight w:val="none"/>
              </w:rPr>
              <w:t xml:space="preserve"> 教学楼1#</w:t>
            </w:r>
            <w:r>
              <w:rPr>
                <w:rFonts w:hint="eastAsia" w:ascii="华文仿宋" w:hAnsi="华文仿宋" w:eastAsia="华文仿宋" w:cs="华文仿宋"/>
                <w:b/>
                <w:bCs/>
                <w:color w:val="auto"/>
                <w:sz w:val="28"/>
                <w:szCs w:val="28"/>
                <w:highlight w:val="none"/>
                <w:lang w:eastAsia="zh-CN"/>
              </w:rPr>
              <w:t>、</w:t>
            </w:r>
            <w:r>
              <w:rPr>
                <w:rFonts w:hint="eastAsia" w:ascii="华文仿宋" w:hAnsi="华文仿宋" w:eastAsia="华文仿宋" w:cs="华文仿宋"/>
                <w:b/>
                <w:bCs/>
                <w:color w:val="auto"/>
                <w:sz w:val="28"/>
                <w:szCs w:val="28"/>
                <w:highlight w:val="none"/>
                <w:lang w:val="en-US" w:eastAsia="zh-CN"/>
              </w:rPr>
              <w:t>2</w:t>
            </w:r>
            <w:r>
              <w:rPr>
                <w:rFonts w:hint="eastAsia" w:ascii="华文仿宋" w:hAnsi="华文仿宋" w:eastAsia="华文仿宋" w:cs="华文仿宋"/>
                <w:b/>
                <w:bCs/>
                <w:color w:val="auto"/>
                <w:sz w:val="28"/>
                <w:szCs w:val="28"/>
                <w:highlight w:val="none"/>
              </w:rPr>
              <w:t>#</w:t>
            </w:r>
            <w:r>
              <w:rPr>
                <w:rFonts w:hint="eastAsia" w:ascii="华文仿宋" w:hAnsi="华文仿宋" w:eastAsia="华文仿宋" w:cs="华文仿宋"/>
                <w:b/>
                <w:bCs/>
                <w:color w:val="auto"/>
                <w:sz w:val="28"/>
                <w:szCs w:val="28"/>
                <w:highlight w:val="none"/>
                <w:lang w:eastAsia="zh-CN"/>
              </w:rPr>
              <w:t>、</w:t>
            </w:r>
            <w:r>
              <w:rPr>
                <w:rFonts w:hint="eastAsia" w:ascii="华文仿宋" w:hAnsi="华文仿宋" w:eastAsia="华文仿宋" w:cs="华文仿宋"/>
                <w:b/>
                <w:bCs/>
                <w:color w:val="auto"/>
                <w:sz w:val="28"/>
                <w:szCs w:val="28"/>
                <w:highlight w:val="none"/>
                <w:lang w:val="en-US" w:eastAsia="zh-CN"/>
              </w:rPr>
              <w:t>3</w:t>
            </w:r>
            <w:r>
              <w:rPr>
                <w:rFonts w:hint="eastAsia" w:ascii="华文仿宋" w:hAnsi="华文仿宋" w:eastAsia="华文仿宋" w:cs="华文仿宋"/>
                <w:b/>
                <w:bCs/>
                <w:color w:val="auto"/>
                <w:sz w:val="28"/>
                <w:szCs w:val="28"/>
                <w:highlight w:val="none"/>
              </w:rPr>
              <w:t>#</w:t>
            </w:r>
            <w:r>
              <w:rPr>
                <w:rFonts w:hint="eastAsia" w:ascii="华文仿宋" w:hAnsi="华文仿宋" w:eastAsia="华文仿宋" w:cs="华文仿宋"/>
                <w:b/>
                <w:bCs/>
                <w:color w:val="auto"/>
                <w:sz w:val="28"/>
                <w:szCs w:val="28"/>
                <w:highlight w:val="none"/>
                <w:lang w:eastAsia="zh-CN"/>
              </w:rPr>
              <w:t>、</w:t>
            </w:r>
            <w:r>
              <w:rPr>
                <w:rFonts w:hint="eastAsia" w:ascii="华文仿宋" w:hAnsi="华文仿宋" w:eastAsia="华文仿宋" w:cs="华文仿宋"/>
                <w:b/>
                <w:bCs/>
                <w:color w:val="auto"/>
                <w:sz w:val="28"/>
                <w:szCs w:val="28"/>
                <w:highlight w:val="none"/>
                <w:lang w:val="en-US" w:eastAsia="zh-CN"/>
              </w:rPr>
              <w:t>4</w:t>
            </w:r>
            <w:r>
              <w:rPr>
                <w:rFonts w:hint="eastAsia" w:ascii="华文仿宋" w:hAnsi="华文仿宋" w:eastAsia="华文仿宋" w:cs="华文仿宋"/>
                <w:b/>
                <w:bCs/>
                <w:color w:val="auto"/>
                <w:sz w:val="28"/>
                <w:szCs w:val="28"/>
                <w:highlight w:val="none"/>
              </w:rPr>
              <w:t>#电梯</w:t>
            </w:r>
          </w:p>
        </w:tc>
      </w:tr>
      <w:tr w14:paraId="7BF39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75" w:hRule="atLeast"/>
          <w:tblHeader/>
        </w:trPr>
        <w:tc>
          <w:tcPr>
            <w:tcW w:w="1395" w:type="dxa"/>
            <w:vMerge w:val="restart"/>
            <w:tcBorders>
              <w:top w:val="single" w:color="000000" w:sz="2" w:space="0"/>
              <w:left w:val="single" w:color="000000" w:sz="2" w:space="0"/>
              <w:right w:val="single" w:color="000000" w:sz="2" w:space="0"/>
            </w:tcBorders>
            <w:vAlign w:val="center"/>
          </w:tcPr>
          <w:p w14:paraId="787943C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建筑尺寸</w:t>
            </w: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2DB925B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井道尺寸（宽*深mm）</w:t>
            </w:r>
          </w:p>
        </w:tc>
        <w:tc>
          <w:tcPr>
            <w:tcW w:w="3136" w:type="dxa"/>
            <w:tcBorders>
              <w:top w:val="single" w:color="000000" w:sz="2" w:space="0"/>
              <w:left w:val="single" w:color="000000" w:sz="2" w:space="0"/>
              <w:bottom w:val="single" w:color="000000" w:sz="2" w:space="0"/>
              <w:right w:val="single" w:color="000000" w:sz="2" w:space="0"/>
            </w:tcBorders>
            <w:vAlign w:val="center"/>
          </w:tcPr>
          <w:p w14:paraId="1AD9A7A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68F5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26990C8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50814AC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厅门尺寸（高*宽mm）</w:t>
            </w:r>
          </w:p>
        </w:tc>
        <w:tc>
          <w:tcPr>
            <w:tcW w:w="3136" w:type="dxa"/>
            <w:tcBorders>
              <w:top w:val="single" w:color="000000" w:sz="2" w:space="0"/>
              <w:left w:val="single" w:color="000000" w:sz="2" w:space="0"/>
              <w:bottom w:val="single" w:color="000000" w:sz="2" w:space="0"/>
              <w:right w:val="single" w:color="000000" w:sz="2" w:space="0"/>
            </w:tcBorders>
            <w:vAlign w:val="center"/>
          </w:tcPr>
          <w:p w14:paraId="5A4E149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455F1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6DDB0A4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40B63044">
            <w:pPr>
              <w:pStyle w:val="413"/>
              <w:keepNext w:val="0"/>
              <w:keepLines w:val="0"/>
              <w:pageBreakBefore w:val="0"/>
              <w:kinsoku/>
              <w:wordWrap/>
              <w:overflowPunct/>
              <w:topLinePunct w:val="0"/>
              <w:autoSpaceDE/>
              <w:autoSpaceDN/>
              <w:bidi w:val="0"/>
              <w:adjustRightInd/>
              <w:snapToGrid/>
              <w:spacing w:line="240" w:lineRule="auto"/>
              <w:ind w:firstLine="1680" w:firstLineChars="6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楼层高度</w:t>
            </w:r>
          </w:p>
        </w:tc>
        <w:tc>
          <w:tcPr>
            <w:tcW w:w="3136" w:type="dxa"/>
            <w:tcBorders>
              <w:top w:val="single" w:color="000000" w:sz="2" w:space="0"/>
              <w:left w:val="single" w:color="000000" w:sz="2" w:space="0"/>
              <w:bottom w:val="single" w:color="000000" w:sz="2" w:space="0"/>
              <w:right w:val="single" w:color="000000" w:sz="2" w:space="0"/>
            </w:tcBorders>
            <w:vAlign w:val="center"/>
          </w:tcPr>
          <w:p w14:paraId="5E02AB5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44BC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21B08F2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0CF8E16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顶层高度（mm）</w:t>
            </w:r>
          </w:p>
        </w:tc>
        <w:tc>
          <w:tcPr>
            <w:tcW w:w="3136" w:type="dxa"/>
            <w:tcBorders>
              <w:top w:val="single" w:color="000000" w:sz="2" w:space="0"/>
              <w:left w:val="single" w:color="000000" w:sz="2" w:space="0"/>
              <w:bottom w:val="single" w:color="000000" w:sz="2" w:space="0"/>
              <w:right w:val="single" w:color="000000" w:sz="2" w:space="0"/>
            </w:tcBorders>
            <w:vAlign w:val="center"/>
          </w:tcPr>
          <w:p w14:paraId="1519E9C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258B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329D576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3A312C8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机房</w:t>
            </w:r>
          </w:p>
        </w:tc>
        <w:tc>
          <w:tcPr>
            <w:tcW w:w="2832" w:type="dxa"/>
            <w:gridSpan w:val="4"/>
            <w:tcBorders>
              <w:top w:val="single" w:color="000000" w:sz="2" w:space="0"/>
              <w:left w:val="single" w:color="000000" w:sz="2" w:space="0"/>
              <w:bottom w:val="single" w:color="000000" w:sz="2" w:space="0"/>
              <w:right w:val="single" w:color="000000" w:sz="2" w:space="0"/>
            </w:tcBorders>
            <w:vAlign w:val="center"/>
          </w:tcPr>
          <w:p w14:paraId="05DC7F8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位置</w:t>
            </w:r>
          </w:p>
        </w:tc>
        <w:tc>
          <w:tcPr>
            <w:tcW w:w="3136" w:type="dxa"/>
            <w:tcBorders>
              <w:top w:val="single" w:color="000000" w:sz="2" w:space="0"/>
              <w:left w:val="single" w:color="000000" w:sz="2" w:space="0"/>
              <w:bottom w:val="single" w:color="000000" w:sz="2" w:space="0"/>
              <w:right w:val="single" w:color="000000" w:sz="2" w:space="0"/>
            </w:tcBorders>
            <w:vAlign w:val="center"/>
          </w:tcPr>
          <w:p w14:paraId="1E54CDF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顶层</w:t>
            </w:r>
            <w:r>
              <w:rPr>
                <w:rFonts w:hint="eastAsia" w:ascii="华文仿宋" w:hAnsi="华文仿宋" w:eastAsia="华文仿宋" w:cs="华文仿宋"/>
                <w:color w:val="auto"/>
                <w:sz w:val="28"/>
                <w:szCs w:val="28"/>
                <w:highlight w:val="none"/>
              </w:rPr>
              <w:t>有机房</w:t>
            </w:r>
          </w:p>
        </w:tc>
      </w:tr>
      <w:tr w14:paraId="0343A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bottom w:val="single" w:color="000000" w:sz="2" w:space="0"/>
              <w:right w:val="single" w:color="000000" w:sz="2" w:space="0"/>
            </w:tcBorders>
            <w:vAlign w:val="center"/>
          </w:tcPr>
          <w:p w14:paraId="5BAE9AE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56D3390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机房</w:t>
            </w:r>
          </w:p>
        </w:tc>
        <w:tc>
          <w:tcPr>
            <w:tcW w:w="2832" w:type="dxa"/>
            <w:gridSpan w:val="4"/>
            <w:tcBorders>
              <w:top w:val="single" w:color="000000" w:sz="2" w:space="0"/>
              <w:left w:val="single" w:color="000000" w:sz="2" w:space="0"/>
              <w:bottom w:val="single" w:color="000000" w:sz="2" w:space="0"/>
              <w:right w:val="single" w:color="000000" w:sz="2" w:space="0"/>
            </w:tcBorders>
            <w:vAlign w:val="center"/>
          </w:tcPr>
          <w:p w14:paraId="4B920A4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尺寸（长*宽*高mm）</w:t>
            </w:r>
          </w:p>
        </w:tc>
        <w:tc>
          <w:tcPr>
            <w:tcW w:w="3136" w:type="dxa"/>
            <w:tcBorders>
              <w:top w:val="single" w:color="000000" w:sz="2" w:space="0"/>
              <w:left w:val="single" w:color="000000" w:sz="2" w:space="0"/>
              <w:bottom w:val="single" w:color="000000" w:sz="2" w:space="0"/>
              <w:right w:val="single" w:color="000000" w:sz="2" w:space="0"/>
            </w:tcBorders>
            <w:vAlign w:val="center"/>
          </w:tcPr>
          <w:p w14:paraId="043F32B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10254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75" w:hRule="atLeast"/>
          <w:tblHeader/>
        </w:trPr>
        <w:tc>
          <w:tcPr>
            <w:tcW w:w="1395" w:type="dxa"/>
            <w:tcBorders>
              <w:top w:val="single" w:color="000000" w:sz="2" w:space="0"/>
              <w:left w:val="single" w:color="000000" w:sz="2" w:space="0"/>
              <w:bottom w:val="single" w:color="000000" w:sz="2" w:space="0"/>
              <w:right w:val="single" w:color="000000" w:sz="2" w:space="0"/>
            </w:tcBorders>
            <w:vAlign w:val="center"/>
          </w:tcPr>
          <w:p w14:paraId="230C395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建筑尺寸</w:t>
            </w: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13E8011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底坑深度（mm）</w:t>
            </w:r>
          </w:p>
        </w:tc>
        <w:tc>
          <w:tcPr>
            <w:tcW w:w="3136" w:type="dxa"/>
            <w:tcBorders>
              <w:top w:val="single" w:color="000000" w:sz="2" w:space="0"/>
              <w:left w:val="single" w:color="000000" w:sz="2" w:space="0"/>
              <w:bottom w:val="single" w:color="000000" w:sz="2" w:space="0"/>
              <w:right w:val="single" w:color="000000" w:sz="2" w:space="0"/>
            </w:tcBorders>
            <w:vAlign w:val="center"/>
          </w:tcPr>
          <w:p w14:paraId="3D795FF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298C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27" w:hRule="atLeast"/>
          <w:tblHeader/>
        </w:trPr>
        <w:tc>
          <w:tcPr>
            <w:tcW w:w="1395" w:type="dxa"/>
            <w:vMerge w:val="restart"/>
            <w:tcBorders>
              <w:top w:val="single" w:color="000000" w:sz="2" w:space="0"/>
              <w:left w:val="single" w:color="000000" w:sz="2" w:space="0"/>
              <w:right w:val="single" w:color="000000" w:sz="2" w:space="0"/>
            </w:tcBorders>
            <w:vAlign w:val="center"/>
          </w:tcPr>
          <w:p w14:paraId="0A83B4D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配置要求</w:t>
            </w:r>
          </w:p>
          <w:p w14:paraId="5395633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27F5F17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拖动方式</w:t>
            </w:r>
          </w:p>
        </w:tc>
        <w:tc>
          <w:tcPr>
            <w:tcW w:w="3136" w:type="dxa"/>
            <w:tcBorders>
              <w:top w:val="single" w:color="000000" w:sz="2" w:space="0"/>
              <w:left w:val="single" w:color="000000" w:sz="2" w:space="0"/>
              <w:bottom w:val="single" w:color="000000" w:sz="2" w:space="0"/>
              <w:right w:val="single" w:color="000000" w:sz="2" w:space="0"/>
            </w:tcBorders>
            <w:vAlign w:val="center"/>
          </w:tcPr>
          <w:p w14:paraId="0555D32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交流变频变压调速VVVF</w:t>
            </w:r>
          </w:p>
        </w:tc>
      </w:tr>
      <w:tr w14:paraId="69D6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7FBF3FA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2497619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传动方式</w:t>
            </w:r>
          </w:p>
        </w:tc>
        <w:tc>
          <w:tcPr>
            <w:tcW w:w="3136" w:type="dxa"/>
            <w:tcBorders>
              <w:top w:val="single" w:color="000000" w:sz="2" w:space="0"/>
              <w:left w:val="single" w:color="000000" w:sz="2" w:space="0"/>
              <w:bottom w:val="single" w:color="000000" w:sz="2" w:space="0"/>
              <w:right w:val="single" w:color="000000" w:sz="2" w:space="0"/>
            </w:tcBorders>
            <w:vAlign w:val="center"/>
          </w:tcPr>
          <w:p w14:paraId="3A2BEE4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永磁同步无齿轮曳引机</w:t>
            </w:r>
          </w:p>
        </w:tc>
      </w:tr>
      <w:tr w14:paraId="73ED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32" w:hRule="atLeast"/>
          <w:tblHeader/>
        </w:trPr>
        <w:tc>
          <w:tcPr>
            <w:tcW w:w="1395" w:type="dxa"/>
            <w:vMerge w:val="continue"/>
            <w:tcBorders>
              <w:left w:val="single" w:color="000000" w:sz="2" w:space="0"/>
              <w:right w:val="single" w:color="000000" w:sz="2" w:space="0"/>
            </w:tcBorders>
            <w:vAlign w:val="center"/>
          </w:tcPr>
          <w:p w14:paraId="2976C36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3D3CDF4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控制方式</w:t>
            </w:r>
          </w:p>
        </w:tc>
        <w:tc>
          <w:tcPr>
            <w:tcW w:w="3136" w:type="dxa"/>
            <w:tcBorders>
              <w:top w:val="single" w:color="000000" w:sz="2" w:space="0"/>
              <w:left w:val="single" w:color="000000" w:sz="2" w:space="0"/>
              <w:bottom w:val="single" w:color="000000" w:sz="2" w:space="0"/>
              <w:right w:val="single" w:color="000000" w:sz="2" w:space="0"/>
            </w:tcBorders>
            <w:vAlign w:val="center"/>
          </w:tcPr>
          <w:p w14:paraId="20F72AC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智能型串行通信控制系统</w:t>
            </w:r>
          </w:p>
        </w:tc>
      </w:tr>
      <w:tr w14:paraId="3E48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055D4BD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6C531AE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门机系统</w:t>
            </w:r>
          </w:p>
        </w:tc>
        <w:tc>
          <w:tcPr>
            <w:tcW w:w="3136" w:type="dxa"/>
            <w:tcBorders>
              <w:top w:val="single" w:color="000000" w:sz="2" w:space="0"/>
              <w:left w:val="single" w:color="000000" w:sz="2" w:space="0"/>
              <w:bottom w:val="single" w:color="000000" w:sz="2" w:space="0"/>
              <w:right w:val="single" w:color="000000" w:sz="2" w:space="0"/>
            </w:tcBorders>
            <w:vAlign w:val="center"/>
          </w:tcPr>
          <w:p w14:paraId="3679268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永磁同步变频门机</w:t>
            </w:r>
          </w:p>
        </w:tc>
      </w:tr>
      <w:tr w14:paraId="3CB2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7573CD5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7C29767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开门方式</w:t>
            </w:r>
          </w:p>
        </w:tc>
        <w:tc>
          <w:tcPr>
            <w:tcW w:w="3136" w:type="dxa"/>
            <w:tcBorders>
              <w:top w:val="single" w:color="000000" w:sz="2" w:space="0"/>
              <w:left w:val="single" w:color="000000" w:sz="2" w:space="0"/>
              <w:bottom w:val="single" w:color="000000" w:sz="2" w:space="0"/>
              <w:right w:val="single" w:color="000000" w:sz="2" w:space="0"/>
            </w:tcBorders>
            <w:vAlign w:val="center"/>
          </w:tcPr>
          <w:p w14:paraId="060798D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双扇中分</w:t>
            </w:r>
          </w:p>
        </w:tc>
      </w:tr>
      <w:tr w14:paraId="0355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1093" w:hRule="atLeast"/>
          <w:tblHeader/>
        </w:trPr>
        <w:tc>
          <w:tcPr>
            <w:tcW w:w="1395" w:type="dxa"/>
            <w:vMerge w:val="continue"/>
            <w:tcBorders>
              <w:left w:val="single" w:color="000000" w:sz="2" w:space="0"/>
              <w:right w:val="single" w:color="000000" w:sz="2" w:space="0"/>
            </w:tcBorders>
            <w:vAlign w:val="center"/>
          </w:tcPr>
          <w:p w14:paraId="460088A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5EADC36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门保护装置</w:t>
            </w:r>
          </w:p>
        </w:tc>
        <w:tc>
          <w:tcPr>
            <w:tcW w:w="3136" w:type="dxa"/>
            <w:tcBorders>
              <w:top w:val="single" w:color="000000" w:sz="2" w:space="0"/>
              <w:left w:val="single" w:color="000000" w:sz="2" w:space="0"/>
              <w:bottom w:val="single" w:color="000000" w:sz="2" w:space="0"/>
              <w:right w:val="single" w:color="000000" w:sz="2" w:space="0"/>
            </w:tcBorders>
            <w:vAlign w:val="center"/>
          </w:tcPr>
          <w:p w14:paraId="7137F78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轿厢门带有光幕保护系统</w:t>
            </w:r>
          </w:p>
          <w:p w14:paraId="7D7179D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≥120束</w:t>
            </w:r>
          </w:p>
        </w:tc>
      </w:tr>
      <w:tr w14:paraId="34D55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32" w:hRule="atLeast"/>
          <w:tblHeader/>
        </w:trPr>
        <w:tc>
          <w:tcPr>
            <w:tcW w:w="1395" w:type="dxa"/>
            <w:vMerge w:val="continue"/>
            <w:tcBorders>
              <w:left w:val="single" w:color="000000" w:sz="2" w:space="0"/>
              <w:bottom w:val="single" w:color="000000" w:sz="2" w:space="0"/>
              <w:right w:val="single" w:color="000000" w:sz="2" w:space="0"/>
            </w:tcBorders>
            <w:vAlign w:val="center"/>
          </w:tcPr>
          <w:p w14:paraId="208F065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443DF3A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电源适应</w:t>
            </w:r>
          </w:p>
        </w:tc>
        <w:tc>
          <w:tcPr>
            <w:tcW w:w="3136" w:type="dxa"/>
            <w:tcBorders>
              <w:top w:val="single" w:color="000000" w:sz="2" w:space="0"/>
              <w:left w:val="single" w:color="000000" w:sz="2" w:space="0"/>
              <w:bottom w:val="single" w:color="000000" w:sz="2" w:space="0"/>
              <w:right w:val="single" w:color="000000" w:sz="2" w:space="0"/>
            </w:tcBorders>
            <w:vAlign w:val="center"/>
          </w:tcPr>
          <w:p w14:paraId="23199F8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电源动力为380V.50HZ，照明为220V.50HZ</w:t>
            </w:r>
          </w:p>
        </w:tc>
      </w:tr>
      <w:tr w14:paraId="20FFC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75" w:hRule="atLeast"/>
          <w:tblHeader/>
        </w:trPr>
        <w:tc>
          <w:tcPr>
            <w:tcW w:w="1395" w:type="dxa"/>
            <w:vMerge w:val="restart"/>
            <w:tcBorders>
              <w:top w:val="single" w:color="000000" w:sz="2" w:space="0"/>
              <w:left w:val="single" w:color="000000" w:sz="2" w:space="0"/>
              <w:right w:val="single" w:color="000000" w:sz="2" w:space="0"/>
            </w:tcBorders>
            <w:vAlign w:val="center"/>
          </w:tcPr>
          <w:p w14:paraId="2A172AE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性能要求</w:t>
            </w: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398C255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额定速度允许误差</w:t>
            </w:r>
          </w:p>
        </w:tc>
        <w:tc>
          <w:tcPr>
            <w:tcW w:w="3136" w:type="dxa"/>
            <w:tcBorders>
              <w:top w:val="single" w:color="000000" w:sz="2" w:space="0"/>
              <w:left w:val="single" w:color="000000" w:sz="2" w:space="0"/>
              <w:bottom w:val="single" w:color="000000" w:sz="2" w:space="0"/>
              <w:right w:val="single" w:color="000000" w:sz="2" w:space="0"/>
            </w:tcBorders>
            <w:vAlign w:val="center"/>
          </w:tcPr>
          <w:p w14:paraId="7BD2470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≤±5%</w:t>
            </w:r>
          </w:p>
        </w:tc>
      </w:tr>
      <w:tr w14:paraId="67A98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32" w:hRule="atLeast"/>
          <w:tblHeader/>
        </w:trPr>
        <w:tc>
          <w:tcPr>
            <w:tcW w:w="1395" w:type="dxa"/>
            <w:vMerge w:val="continue"/>
            <w:tcBorders>
              <w:left w:val="single" w:color="000000" w:sz="2" w:space="0"/>
              <w:right w:val="single" w:color="000000" w:sz="2" w:space="0"/>
            </w:tcBorders>
            <w:vAlign w:val="center"/>
          </w:tcPr>
          <w:p w14:paraId="3AB3BAB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432BA32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乘客电梯轿厢运行时垂直方向和水平方向的振动加速度</w:t>
            </w:r>
          </w:p>
        </w:tc>
        <w:tc>
          <w:tcPr>
            <w:tcW w:w="3136" w:type="dxa"/>
            <w:tcBorders>
              <w:top w:val="single" w:color="000000" w:sz="2" w:space="0"/>
              <w:left w:val="single" w:color="000000" w:sz="2" w:space="0"/>
              <w:bottom w:val="single" w:color="000000" w:sz="2" w:space="0"/>
              <w:right w:val="single" w:color="000000" w:sz="2" w:space="0"/>
            </w:tcBorders>
            <w:vAlign w:val="center"/>
          </w:tcPr>
          <w:p w14:paraId="1EB7E4D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符合国标</w:t>
            </w:r>
          </w:p>
        </w:tc>
      </w:tr>
      <w:tr w14:paraId="3F61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0CBAF4A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0B74AE5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平层准确度</w:t>
            </w:r>
          </w:p>
        </w:tc>
        <w:tc>
          <w:tcPr>
            <w:tcW w:w="3136" w:type="dxa"/>
            <w:tcBorders>
              <w:top w:val="single" w:color="000000" w:sz="2" w:space="0"/>
              <w:left w:val="single" w:color="000000" w:sz="2" w:space="0"/>
              <w:bottom w:val="single" w:color="000000" w:sz="2" w:space="0"/>
              <w:right w:val="single" w:color="000000" w:sz="2" w:space="0"/>
            </w:tcBorders>
            <w:vAlign w:val="center"/>
          </w:tcPr>
          <w:p w14:paraId="732409A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≤±5mm</w:t>
            </w:r>
          </w:p>
        </w:tc>
      </w:tr>
      <w:tr w14:paraId="37C7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1454" w:hRule="atLeast"/>
          <w:tblHeader/>
        </w:trPr>
        <w:tc>
          <w:tcPr>
            <w:tcW w:w="1395" w:type="dxa"/>
            <w:vMerge w:val="continue"/>
            <w:tcBorders>
              <w:left w:val="single" w:color="000000" w:sz="2" w:space="0"/>
              <w:bottom w:val="single" w:color="000000" w:sz="2" w:space="0"/>
              <w:right w:val="single" w:color="000000" w:sz="2" w:space="0"/>
            </w:tcBorders>
            <w:vAlign w:val="center"/>
          </w:tcPr>
          <w:p w14:paraId="3092EAD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547" w:type="dxa"/>
            <w:gridSpan w:val="6"/>
            <w:tcBorders>
              <w:top w:val="single" w:color="000000" w:sz="2" w:space="0"/>
              <w:left w:val="single" w:color="000000" w:sz="2" w:space="0"/>
              <w:bottom w:val="single" w:color="000000" w:sz="2" w:space="0"/>
              <w:right w:val="single" w:color="000000" w:sz="2" w:space="0"/>
            </w:tcBorders>
            <w:vAlign w:val="center"/>
          </w:tcPr>
          <w:p w14:paraId="2996FAC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噪声</w:t>
            </w:r>
          </w:p>
        </w:tc>
        <w:tc>
          <w:tcPr>
            <w:tcW w:w="3136" w:type="dxa"/>
            <w:tcBorders>
              <w:top w:val="single" w:color="000000" w:sz="2" w:space="0"/>
              <w:left w:val="single" w:color="000000" w:sz="2" w:space="0"/>
              <w:bottom w:val="single" w:color="000000" w:sz="2" w:space="0"/>
              <w:right w:val="single" w:color="000000" w:sz="2" w:space="0"/>
            </w:tcBorders>
            <w:vAlign w:val="center"/>
          </w:tcPr>
          <w:p w14:paraId="600DDCB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电梯运行时机房内噪声≯75dB，轿厢内部噪声≯55dB，开/关门时噪声≯55dB。</w:t>
            </w:r>
          </w:p>
        </w:tc>
      </w:tr>
      <w:tr w14:paraId="09DBC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27" w:hRule="atLeast"/>
          <w:tblHeader/>
        </w:trPr>
        <w:tc>
          <w:tcPr>
            <w:tcW w:w="1395" w:type="dxa"/>
            <w:vMerge w:val="restart"/>
            <w:tcBorders>
              <w:top w:val="single" w:color="000000" w:sz="2" w:space="0"/>
              <w:left w:val="single" w:color="000000" w:sz="2" w:space="0"/>
              <w:right w:val="single" w:color="000000" w:sz="2" w:space="0"/>
            </w:tcBorders>
            <w:vAlign w:val="center"/>
          </w:tcPr>
          <w:p w14:paraId="5A8F299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内外装饰要求</w:t>
            </w: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06CC2E0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832" w:type="dxa"/>
            <w:gridSpan w:val="4"/>
            <w:tcBorders>
              <w:top w:val="single" w:color="000000" w:sz="2" w:space="0"/>
              <w:left w:val="single" w:color="000000" w:sz="2" w:space="0"/>
              <w:bottom w:val="single" w:color="000000" w:sz="2" w:space="0"/>
              <w:right w:val="single" w:color="000000" w:sz="2" w:space="0"/>
            </w:tcBorders>
            <w:vAlign w:val="center"/>
          </w:tcPr>
          <w:p w14:paraId="6E23640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轿厢顶</w:t>
            </w:r>
          </w:p>
        </w:tc>
        <w:tc>
          <w:tcPr>
            <w:tcW w:w="3136" w:type="dxa"/>
            <w:tcBorders>
              <w:top w:val="single" w:color="000000" w:sz="2" w:space="0"/>
              <w:left w:val="single" w:color="000000" w:sz="2" w:space="0"/>
              <w:bottom w:val="single" w:color="000000" w:sz="2" w:space="0"/>
              <w:right w:val="single" w:color="000000" w:sz="2" w:space="0"/>
            </w:tcBorders>
            <w:vAlign w:val="center"/>
          </w:tcPr>
          <w:p w14:paraId="55E7BBE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304不锈钢，</w:t>
            </w:r>
            <w:r>
              <w:rPr>
                <w:rFonts w:hint="eastAsia" w:ascii="华文仿宋" w:hAnsi="华文仿宋" w:eastAsia="华文仿宋" w:cs="华文仿宋"/>
                <w:color w:val="auto"/>
                <w:sz w:val="28"/>
                <w:szCs w:val="28"/>
                <w:highlight w:val="none"/>
              </w:rPr>
              <w:t>厚度≥1.2 mm</w:t>
            </w:r>
          </w:p>
        </w:tc>
      </w:tr>
      <w:tr w14:paraId="02D0F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32" w:hRule="atLeast"/>
          <w:tblHeader/>
        </w:trPr>
        <w:tc>
          <w:tcPr>
            <w:tcW w:w="1395" w:type="dxa"/>
            <w:vMerge w:val="continue"/>
            <w:tcBorders>
              <w:left w:val="single" w:color="000000" w:sz="2" w:space="0"/>
              <w:right w:val="single" w:color="000000" w:sz="2" w:space="0"/>
            </w:tcBorders>
            <w:vAlign w:val="center"/>
          </w:tcPr>
          <w:p w14:paraId="782A898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35097D1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832" w:type="dxa"/>
            <w:gridSpan w:val="4"/>
            <w:tcBorders>
              <w:top w:val="single" w:color="000000" w:sz="2" w:space="0"/>
              <w:left w:val="single" w:color="000000" w:sz="2" w:space="0"/>
              <w:bottom w:val="single" w:color="000000" w:sz="2" w:space="0"/>
              <w:right w:val="single" w:color="000000" w:sz="2" w:space="0"/>
            </w:tcBorders>
            <w:vAlign w:val="center"/>
          </w:tcPr>
          <w:p w14:paraId="6114ABE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轿厢壁</w:t>
            </w:r>
          </w:p>
        </w:tc>
        <w:tc>
          <w:tcPr>
            <w:tcW w:w="3136" w:type="dxa"/>
            <w:tcBorders>
              <w:top w:val="single" w:color="000000" w:sz="2" w:space="0"/>
              <w:left w:val="single" w:color="000000" w:sz="2" w:space="0"/>
              <w:bottom w:val="single" w:color="000000" w:sz="2" w:space="0"/>
              <w:right w:val="single" w:color="000000" w:sz="2" w:space="0"/>
            </w:tcBorders>
            <w:vAlign w:val="center"/>
          </w:tcPr>
          <w:p w14:paraId="12A58F9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304不锈钢，</w:t>
            </w:r>
            <w:r>
              <w:rPr>
                <w:rFonts w:hint="eastAsia" w:ascii="华文仿宋" w:hAnsi="华文仿宋" w:eastAsia="华文仿宋" w:cs="华文仿宋"/>
                <w:color w:val="auto"/>
                <w:sz w:val="28"/>
                <w:szCs w:val="28"/>
                <w:highlight w:val="none"/>
              </w:rPr>
              <w:t>厚度≥1.2 mm</w:t>
            </w:r>
          </w:p>
        </w:tc>
      </w:tr>
      <w:tr w14:paraId="4BDA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32" w:hRule="atLeast"/>
          <w:tblHeader/>
        </w:trPr>
        <w:tc>
          <w:tcPr>
            <w:tcW w:w="1395" w:type="dxa"/>
            <w:vMerge w:val="continue"/>
            <w:tcBorders>
              <w:left w:val="single" w:color="000000" w:sz="2" w:space="0"/>
              <w:right w:val="single" w:color="000000" w:sz="2" w:space="0"/>
            </w:tcBorders>
            <w:vAlign w:val="center"/>
          </w:tcPr>
          <w:p w14:paraId="3BD22C2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3A83876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832" w:type="dxa"/>
            <w:gridSpan w:val="4"/>
            <w:tcBorders>
              <w:top w:val="single" w:color="000000" w:sz="2" w:space="0"/>
              <w:left w:val="single" w:color="000000" w:sz="2" w:space="0"/>
              <w:bottom w:val="single" w:color="000000" w:sz="2" w:space="0"/>
              <w:right w:val="single" w:color="000000" w:sz="2" w:space="0"/>
            </w:tcBorders>
            <w:vAlign w:val="center"/>
          </w:tcPr>
          <w:p w14:paraId="0823DBD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轿厢门</w:t>
            </w:r>
          </w:p>
        </w:tc>
        <w:tc>
          <w:tcPr>
            <w:tcW w:w="3136" w:type="dxa"/>
            <w:tcBorders>
              <w:top w:val="single" w:color="000000" w:sz="2" w:space="0"/>
              <w:left w:val="single" w:color="000000" w:sz="2" w:space="0"/>
              <w:bottom w:val="single" w:color="000000" w:sz="2" w:space="0"/>
              <w:right w:val="single" w:color="000000" w:sz="2" w:space="0"/>
            </w:tcBorders>
            <w:vAlign w:val="center"/>
          </w:tcPr>
          <w:p w14:paraId="6DBCBC0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304不锈钢，</w:t>
            </w:r>
            <w:r>
              <w:rPr>
                <w:rFonts w:hint="eastAsia" w:ascii="华文仿宋" w:hAnsi="华文仿宋" w:eastAsia="华文仿宋" w:cs="华文仿宋"/>
                <w:color w:val="auto"/>
                <w:sz w:val="28"/>
                <w:szCs w:val="28"/>
                <w:highlight w:val="none"/>
              </w:rPr>
              <w:t>厚度≥1.2 mm</w:t>
            </w:r>
          </w:p>
        </w:tc>
      </w:tr>
      <w:tr w14:paraId="3A0E2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539B10A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4017BF7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832" w:type="dxa"/>
            <w:gridSpan w:val="4"/>
            <w:tcBorders>
              <w:top w:val="single" w:color="000000" w:sz="2" w:space="0"/>
              <w:left w:val="single" w:color="000000" w:sz="2" w:space="0"/>
              <w:bottom w:val="single" w:color="000000" w:sz="2" w:space="0"/>
              <w:right w:val="single" w:color="000000" w:sz="2" w:space="0"/>
            </w:tcBorders>
            <w:vAlign w:val="center"/>
          </w:tcPr>
          <w:p w14:paraId="5499557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脚踏板</w:t>
            </w:r>
          </w:p>
        </w:tc>
        <w:tc>
          <w:tcPr>
            <w:tcW w:w="3136" w:type="dxa"/>
            <w:tcBorders>
              <w:top w:val="single" w:color="000000" w:sz="2" w:space="0"/>
              <w:left w:val="single" w:color="000000" w:sz="2" w:space="0"/>
              <w:bottom w:val="single" w:color="000000" w:sz="2" w:space="0"/>
              <w:right w:val="single" w:color="000000" w:sz="2" w:space="0"/>
            </w:tcBorders>
            <w:vAlign w:val="center"/>
          </w:tcPr>
          <w:p w14:paraId="57858E3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不锈钢或硬质铝合金</w:t>
            </w:r>
          </w:p>
        </w:tc>
      </w:tr>
      <w:tr w14:paraId="72D0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3D52BB3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2BC66E8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832" w:type="dxa"/>
            <w:gridSpan w:val="4"/>
            <w:tcBorders>
              <w:top w:val="single" w:color="000000" w:sz="2" w:space="0"/>
              <w:left w:val="single" w:color="000000" w:sz="2" w:space="0"/>
              <w:bottom w:val="single" w:color="000000" w:sz="2" w:space="0"/>
              <w:right w:val="single" w:color="000000" w:sz="2" w:space="0"/>
            </w:tcBorders>
            <w:vAlign w:val="center"/>
          </w:tcPr>
          <w:p w14:paraId="23486CD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轿厢地面</w:t>
            </w:r>
          </w:p>
        </w:tc>
        <w:tc>
          <w:tcPr>
            <w:tcW w:w="3136" w:type="dxa"/>
            <w:tcBorders>
              <w:top w:val="single" w:color="000000" w:sz="2" w:space="0"/>
              <w:left w:val="single" w:color="000000" w:sz="2" w:space="0"/>
              <w:bottom w:val="single" w:color="000000" w:sz="2" w:space="0"/>
              <w:right w:val="single" w:color="000000" w:sz="2" w:space="0"/>
            </w:tcBorders>
            <w:vAlign w:val="center"/>
          </w:tcPr>
          <w:p w14:paraId="3C1B394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大理石地面</w:t>
            </w:r>
          </w:p>
        </w:tc>
      </w:tr>
      <w:tr w14:paraId="24BCA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209C1B7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26E9CD0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0C7ED5F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407C891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面板材质</w:t>
            </w:r>
          </w:p>
        </w:tc>
        <w:tc>
          <w:tcPr>
            <w:tcW w:w="3136" w:type="dxa"/>
            <w:tcBorders>
              <w:top w:val="single" w:color="000000" w:sz="2" w:space="0"/>
              <w:left w:val="single" w:color="000000" w:sz="2" w:space="0"/>
              <w:bottom w:val="single" w:color="000000" w:sz="2" w:space="0"/>
              <w:right w:val="single" w:color="000000" w:sz="2" w:space="0"/>
            </w:tcBorders>
            <w:vAlign w:val="center"/>
          </w:tcPr>
          <w:p w14:paraId="2BD98F1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发纹不锈钢面板</w:t>
            </w:r>
          </w:p>
        </w:tc>
      </w:tr>
      <w:tr w14:paraId="3CAA4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1454" w:hRule="atLeast"/>
          <w:tblHeader/>
        </w:trPr>
        <w:tc>
          <w:tcPr>
            <w:tcW w:w="1395" w:type="dxa"/>
            <w:vMerge w:val="continue"/>
            <w:tcBorders>
              <w:left w:val="single" w:color="000000" w:sz="2" w:space="0"/>
              <w:right w:val="single" w:color="000000" w:sz="2" w:space="0"/>
            </w:tcBorders>
            <w:vAlign w:val="center"/>
          </w:tcPr>
          <w:p w14:paraId="072268B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34A4CC7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26B2CB7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03A33ED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显示器显示内容</w:t>
            </w:r>
          </w:p>
        </w:tc>
        <w:tc>
          <w:tcPr>
            <w:tcW w:w="3136" w:type="dxa"/>
            <w:tcBorders>
              <w:top w:val="single" w:color="000000" w:sz="2" w:space="0"/>
              <w:left w:val="single" w:color="000000" w:sz="2" w:space="0"/>
              <w:bottom w:val="single" w:color="000000" w:sz="2" w:space="0"/>
              <w:right w:val="single" w:color="000000" w:sz="2" w:space="0"/>
            </w:tcBorders>
            <w:vAlign w:val="center"/>
          </w:tcPr>
          <w:p w14:paraId="2F2BADD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LED显示器；具有停靠层同数微触式楼层按钮操纵盘；上升与下降方向显示；</w:t>
            </w:r>
          </w:p>
        </w:tc>
      </w:tr>
      <w:tr w14:paraId="39B8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5638707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5C43677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316F227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5617CE0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操作功能</w:t>
            </w:r>
          </w:p>
        </w:tc>
        <w:tc>
          <w:tcPr>
            <w:tcW w:w="3136" w:type="dxa"/>
            <w:tcBorders>
              <w:top w:val="single" w:color="000000" w:sz="2" w:space="0"/>
              <w:left w:val="single" w:color="000000" w:sz="2" w:space="0"/>
              <w:bottom w:val="single" w:color="000000" w:sz="2" w:space="0"/>
              <w:right w:val="single" w:color="000000" w:sz="2" w:space="0"/>
            </w:tcBorders>
            <w:vAlign w:val="center"/>
          </w:tcPr>
          <w:p w14:paraId="6F7F0B0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标准；</w:t>
            </w:r>
          </w:p>
        </w:tc>
      </w:tr>
      <w:tr w14:paraId="2F01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043DD36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5928139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61CF1EE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720C288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标示要求</w:t>
            </w:r>
          </w:p>
        </w:tc>
        <w:tc>
          <w:tcPr>
            <w:tcW w:w="3136" w:type="dxa"/>
            <w:tcBorders>
              <w:top w:val="single" w:color="000000" w:sz="2" w:space="0"/>
              <w:left w:val="single" w:color="000000" w:sz="2" w:space="0"/>
              <w:bottom w:val="single" w:color="000000" w:sz="2" w:space="0"/>
              <w:right w:val="single" w:color="000000" w:sz="2" w:space="0"/>
            </w:tcBorders>
            <w:vAlign w:val="center"/>
          </w:tcPr>
          <w:p w14:paraId="38DEF3F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禁烟标志</w:t>
            </w:r>
          </w:p>
        </w:tc>
      </w:tr>
      <w:tr w14:paraId="28892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1093" w:hRule="atLeast"/>
          <w:tblHeader/>
        </w:trPr>
        <w:tc>
          <w:tcPr>
            <w:tcW w:w="1395" w:type="dxa"/>
            <w:vMerge w:val="continue"/>
            <w:tcBorders>
              <w:left w:val="single" w:color="000000" w:sz="2" w:space="0"/>
              <w:right w:val="single" w:color="000000" w:sz="2" w:space="0"/>
            </w:tcBorders>
            <w:vAlign w:val="center"/>
          </w:tcPr>
          <w:p w14:paraId="2768CE7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79C84DD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6EADD9F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2CD95FB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按钮要求</w:t>
            </w:r>
          </w:p>
        </w:tc>
        <w:tc>
          <w:tcPr>
            <w:tcW w:w="3136" w:type="dxa"/>
            <w:tcBorders>
              <w:top w:val="single" w:color="000000" w:sz="2" w:space="0"/>
              <w:left w:val="single" w:color="000000" w:sz="2" w:space="0"/>
              <w:bottom w:val="single" w:color="000000" w:sz="2" w:space="0"/>
              <w:right w:val="single" w:color="000000" w:sz="2" w:space="0"/>
            </w:tcBorders>
            <w:vAlign w:val="center"/>
          </w:tcPr>
          <w:p w14:paraId="5A924C2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黄色紧急呼叫按钮；开关门微触式按钮各一对；隐蔽式对讲机一付；</w:t>
            </w:r>
          </w:p>
        </w:tc>
      </w:tr>
      <w:tr w14:paraId="02F2C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22CB79E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18AAA31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4CA14B2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4F260CB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材质</w:t>
            </w:r>
          </w:p>
        </w:tc>
        <w:tc>
          <w:tcPr>
            <w:tcW w:w="3136" w:type="dxa"/>
            <w:tcBorders>
              <w:top w:val="single" w:color="000000" w:sz="2" w:space="0"/>
              <w:left w:val="single" w:color="000000" w:sz="2" w:space="0"/>
              <w:bottom w:val="single" w:color="000000" w:sz="2" w:space="0"/>
              <w:right w:val="single" w:color="000000" w:sz="2" w:space="0"/>
            </w:tcBorders>
            <w:vAlign w:val="center"/>
          </w:tcPr>
          <w:p w14:paraId="03E7A07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发纹不锈钢</w:t>
            </w:r>
          </w:p>
        </w:tc>
      </w:tr>
      <w:tr w14:paraId="4DC3F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40D045C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51BE8C3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66344D5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192D146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厚度</w:t>
            </w:r>
          </w:p>
        </w:tc>
        <w:tc>
          <w:tcPr>
            <w:tcW w:w="3136" w:type="dxa"/>
            <w:tcBorders>
              <w:top w:val="single" w:color="000000" w:sz="2" w:space="0"/>
              <w:left w:val="single" w:color="000000" w:sz="2" w:space="0"/>
              <w:bottom w:val="single" w:color="000000" w:sz="2" w:space="0"/>
              <w:right w:val="single" w:color="000000" w:sz="2" w:space="0"/>
            </w:tcBorders>
            <w:vAlign w:val="center"/>
          </w:tcPr>
          <w:p w14:paraId="1608CEA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≥1.2 mm</w:t>
            </w:r>
          </w:p>
        </w:tc>
      </w:tr>
      <w:tr w14:paraId="35A9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0866C70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5050FEC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3EBC7E8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330B941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颜色</w:t>
            </w:r>
          </w:p>
        </w:tc>
        <w:tc>
          <w:tcPr>
            <w:tcW w:w="3136" w:type="dxa"/>
            <w:tcBorders>
              <w:top w:val="single" w:color="000000" w:sz="2" w:space="0"/>
              <w:left w:val="single" w:color="000000" w:sz="2" w:space="0"/>
              <w:bottom w:val="single" w:color="000000" w:sz="2" w:space="0"/>
              <w:right w:val="single" w:color="000000" w:sz="2" w:space="0"/>
            </w:tcBorders>
            <w:vAlign w:val="center"/>
          </w:tcPr>
          <w:p w14:paraId="3EF1413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本色</w:t>
            </w:r>
          </w:p>
        </w:tc>
      </w:tr>
      <w:tr w14:paraId="60D12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1487644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2780895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6C1BB4A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门套</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6EE20B6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材质</w:t>
            </w:r>
          </w:p>
        </w:tc>
        <w:tc>
          <w:tcPr>
            <w:tcW w:w="3136" w:type="dxa"/>
            <w:tcBorders>
              <w:top w:val="single" w:color="000000" w:sz="2" w:space="0"/>
              <w:left w:val="single" w:color="000000" w:sz="2" w:space="0"/>
              <w:bottom w:val="single" w:color="000000" w:sz="2" w:space="0"/>
              <w:right w:val="single" w:color="000000" w:sz="2" w:space="0"/>
            </w:tcBorders>
            <w:vAlign w:val="center"/>
          </w:tcPr>
          <w:p w14:paraId="5A604D8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发纹不锈钢</w:t>
            </w:r>
          </w:p>
        </w:tc>
      </w:tr>
      <w:tr w14:paraId="7A96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3EBC518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6E5879B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3B3A7C9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门套</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44B4D50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厚度</w:t>
            </w:r>
          </w:p>
        </w:tc>
        <w:tc>
          <w:tcPr>
            <w:tcW w:w="3136" w:type="dxa"/>
            <w:tcBorders>
              <w:top w:val="single" w:color="000000" w:sz="2" w:space="0"/>
              <w:left w:val="single" w:color="000000" w:sz="2" w:space="0"/>
              <w:bottom w:val="single" w:color="000000" w:sz="2" w:space="0"/>
              <w:right w:val="single" w:color="000000" w:sz="2" w:space="0"/>
            </w:tcBorders>
            <w:vAlign w:val="center"/>
          </w:tcPr>
          <w:p w14:paraId="7535638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≥1.2 mm</w:t>
            </w:r>
          </w:p>
        </w:tc>
      </w:tr>
      <w:tr w14:paraId="696E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6BA32EE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633FBD5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5FA8EA0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门套</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2C0720E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颜色</w:t>
            </w:r>
          </w:p>
        </w:tc>
        <w:tc>
          <w:tcPr>
            <w:tcW w:w="3136" w:type="dxa"/>
            <w:tcBorders>
              <w:top w:val="single" w:color="000000" w:sz="2" w:space="0"/>
              <w:left w:val="single" w:color="000000" w:sz="2" w:space="0"/>
              <w:bottom w:val="single" w:color="000000" w:sz="2" w:space="0"/>
              <w:right w:val="single" w:color="000000" w:sz="2" w:space="0"/>
            </w:tcBorders>
            <w:vAlign w:val="center"/>
          </w:tcPr>
          <w:p w14:paraId="6E384AC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本色</w:t>
            </w:r>
          </w:p>
        </w:tc>
      </w:tr>
      <w:tr w14:paraId="269B2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1093" w:hRule="atLeast"/>
          <w:tblHeader/>
        </w:trPr>
        <w:tc>
          <w:tcPr>
            <w:tcW w:w="1395" w:type="dxa"/>
            <w:vMerge w:val="continue"/>
            <w:tcBorders>
              <w:left w:val="single" w:color="000000" w:sz="2" w:space="0"/>
              <w:right w:val="single" w:color="000000" w:sz="2" w:space="0"/>
            </w:tcBorders>
            <w:vAlign w:val="center"/>
          </w:tcPr>
          <w:p w14:paraId="025D241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761F8A3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31A13BB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楼层召唤</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66FDB46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显示内容</w:t>
            </w:r>
          </w:p>
        </w:tc>
        <w:tc>
          <w:tcPr>
            <w:tcW w:w="3136" w:type="dxa"/>
            <w:tcBorders>
              <w:top w:val="single" w:color="000000" w:sz="2" w:space="0"/>
              <w:left w:val="single" w:color="000000" w:sz="2" w:space="0"/>
              <w:bottom w:val="single" w:color="000000" w:sz="2" w:space="0"/>
              <w:right w:val="single" w:color="000000" w:sz="2" w:space="0"/>
            </w:tcBorders>
            <w:vAlign w:val="center"/>
          </w:tcPr>
          <w:p w14:paraId="1B31A76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召唤按钮及楼层位置指示数字显示器，运行方向指示；</w:t>
            </w:r>
          </w:p>
        </w:tc>
      </w:tr>
      <w:tr w14:paraId="7C37A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4AC9677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2FEF27F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1A846A5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楼层召唤</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22711FB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面板材质</w:t>
            </w:r>
          </w:p>
        </w:tc>
        <w:tc>
          <w:tcPr>
            <w:tcW w:w="3136" w:type="dxa"/>
            <w:tcBorders>
              <w:top w:val="single" w:color="000000" w:sz="2" w:space="0"/>
              <w:left w:val="single" w:color="000000" w:sz="2" w:space="0"/>
              <w:bottom w:val="single" w:color="000000" w:sz="2" w:space="0"/>
              <w:right w:val="single" w:color="000000" w:sz="2" w:space="0"/>
            </w:tcBorders>
            <w:vAlign w:val="center"/>
          </w:tcPr>
          <w:p w14:paraId="552DB0A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发纹不锈钢</w:t>
            </w:r>
          </w:p>
        </w:tc>
      </w:tr>
      <w:tr w14:paraId="180F9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right w:val="single" w:color="000000" w:sz="2" w:space="0"/>
            </w:tcBorders>
            <w:vAlign w:val="center"/>
          </w:tcPr>
          <w:p w14:paraId="585CBD2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4B73488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385" w:type="dxa"/>
            <w:gridSpan w:val="2"/>
            <w:tcBorders>
              <w:top w:val="single" w:color="000000" w:sz="2" w:space="0"/>
              <w:left w:val="single" w:color="000000" w:sz="2" w:space="0"/>
              <w:bottom w:val="single" w:color="000000" w:sz="2" w:space="0"/>
              <w:right w:val="single" w:color="000000" w:sz="2" w:space="0"/>
            </w:tcBorders>
            <w:vAlign w:val="center"/>
          </w:tcPr>
          <w:p w14:paraId="517E380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楼层召唤</w:t>
            </w:r>
          </w:p>
        </w:tc>
        <w:tc>
          <w:tcPr>
            <w:tcW w:w="1447" w:type="dxa"/>
            <w:gridSpan w:val="2"/>
            <w:tcBorders>
              <w:top w:val="single" w:color="000000" w:sz="2" w:space="0"/>
              <w:left w:val="single" w:color="000000" w:sz="2" w:space="0"/>
              <w:bottom w:val="single" w:color="000000" w:sz="2" w:space="0"/>
              <w:right w:val="single" w:color="000000" w:sz="2" w:space="0"/>
            </w:tcBorders>
            <w:vAlign w:val="center"/>
          </w:tcPr>
          <w:p w14:paraId="3820F8D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安装位置</w:t>
            </w:r>
          </w:p>
        </w:tc>
        <w:tc>
          <w:tcPr>
            <w:tcW w:w="3136" w:type="dxa"/>
            <w:tcBorders>
              <w:top w:val="single" w:color="000000" w:sz="2" w:space="0"/>
              <w:left w:val="single" w:color="000000" w:sz="2" w:space="0"/>
              <w:bottom w:val="single" w:color="000000" w:sz="2" w:space="0"/>
              <w:right w:val="single" w:color="000000" w:sz="2" w:space="0"/>
            </w:tcBorders>
            <w:vAlign w:val="center"/>
          </w:tcPr>
          <w:p w14:paraId="2368004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厅门外侧</w:t>
            </w:r>
          </w:p>
        </w:tc>
      </w:tr>
      <w:tr w14:paraId="34499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392" w:hRule="atLeast"/>
          <w:tblHeader/>
        </w:trPr>
        <w:tc>
          <w:tcPr>
            <w:tcW w:w="1395" w:type="dxa"/>
            <w:vMerge w:val="continue"/>
            <w:tcBorders>
              <w:left w:val="single" w:color="000000" w:sz="2" w:space="0"/>
              <w:bottom w:val="single" w:color="000000" w:sz="2" w:space="0"/>
              <w:right w:val="single" w:color="000000" w:sz="2" w:space="0"/>
            </w:tcBorders>
            <w:vAlign w:val="center"/>
          </w:tcPr>
          <w:p w14:paraId="095596B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715" w:type="dxa"/>
            <w:gridSpan w:val="2"/>
            <w:tcBorders>
              <w:top w:val="single" w:color="000000" w:sz="2" w:space="0"/>
              <w:left w:val="single" w:color="000000" w:sz="2" w:space="0"/>
              <w:bottom w:val="single" w:color="000000" w:sz="2" w:space="0"/>
              <w:right w:val="single" w:color="000000" w:sz="2" w:space="0"/>
            </w:tcBorders>
            <w:vAlign w:val="center"/>
          </w:tcPr>
          <w:p w14:paraId="64F8DE6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2832" w:type="dxa"/>
            <w:gridSpan w:val="4"/>
            <w:tcBorders>
              <w:top w:val="single" w:color="000000" w:sz="2" w:space="0"/>
              <w:left w:val="single" w:color="000000" w:sz="2" w:space="0"/>
              <w:bottom w:val="single" w:color="000000" w:sz="2" w:space="0"/>
              <w:right w:val="single" w:color="000000" w:sz="2" w:space="0"/>
            </w:tcBorders>
            <w:vAlign w:val="center"/>
          </w:tcPr>
          <w:p w14:paraId="40DA790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地坎</w:t>
            </w:r>
          </w:p>
        </w:tc>
        <w:tc>
          <w:tcPr>
            <w:tcW w:w="3136" w:type="dxa"/>
            <w:tcBorders>
              <w:top w:val="single" w:color="000000" w:sz="2" w:space="0"/>
              <w:left w:val="single" w:color="000000" w:sz="2" w:space="0"/>
              <w:bottom w:val="single" w:color="000000" w:sz="2" w:space="0"/>
              <w:right w:val="single" w:color="000000" w:sz="2" w:space="0"/>
            </w:tcBorders>
            <w:vAlign w:val="center"/>
          </w:tcPr>
          <w:p w14:paraId="4BCD224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硬质铝合金</w:t>
            </w:r>
          </w:p>
        </w:tc>
      </w:tr>
      <w:tr w14:paraId="3C354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 w:type="dxa"/>
          <w:trHeight w:val="7958" w:hRule="atLeast"/>
          <w:tblHeader/>
        </w:trPr>
        <w:tc>
          <w:tcPr>
            <w:tcW w:w="1395" w:type="dxa"/>
            <w:tcBorders>
              <w:top w:val="single" w:color="000000" w:sz="2" w:space="0"/>
              <w:left w:val="single" w:color="000000" w:sz="2" w:space="0"/>
              <w:bottom w:val="single" w:color="000000" w:sz="2" w:space="0"/>
              <w:right w:val="single" w:color="000000" w:sz="2" w:space="0"/>
            </w:tcBorders>
            <w:vAlign w:val="center"/>
          </w:tcPr>
          <w:p w14:paraId="6A39CD5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功能要求</w:t>
            </w:r>
          </w:p>
        </w:tc>
        <w:tc>
          <w:tcPr>
            <w:tcW w:w="7683" w:type="dxa"/>
            <w:gridSpan w:val="7"/>
            <w:tcBorders>
              <w:top w:val="single" w:color="000000" w:sz="2" w:space="0"/>
              <w:left w:val="single" w:color="000000" w:sz="2" w:space="0"/>
              <w:bottom w:val="single" w:color="000000" w:sz="2" w:space="0"/>
              <w:right w:val="single" w:color="000000" w:sz="2" w:space="0"/>
            </w:tcBorders>
            <w:vAlign w:val="center"/>
          </w:tcPr>
          <w:p w14:paraId="7D956C9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包含但不限于：</w:t>
            </w:r>
          </w:p>
          <w:p w14:paraId="6678D68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全集选控制运行功能（需要并联的，默认配置并联）；检修运行；慢速自救运行；测试运行；时钟控制；保持开门时间的自动控制；本层厅外开门；开门按钮开门；重复开/关门；换站停靠；错误指令注销；反向时自动指令消除；直接停车、空载停车（当电梯内无乘客、又无外来召唤、电梯自动注销轿厢内的召唤、并在首层停车、以减少无效运行）；</w:t>
            </w:r>
            <w:r>
              <w:rPr>
                <w:rFonts w:hint="eastAsia" w:ascii="华文仿宋" w:hAnsi="华文仿宋" w:eastAsia="华文仿宋" w:cs="华文仿宋"/>
                <w:b/>
                <w:bCs/>
                <w:color w:val="auto"/>
                <w:sz w:val="28"/>
                <w:szCs w:val="28"/>
                <w:highlight w:val="none"/>
              </w:rPr>
              <w:t>电梯</w:t>
            </w:r>
            <w:r>
              <w:rPr>
                <w:rFonts w:hint="eastAsia" w:ascii="华文仿宋" w:hAnsi="华文仿宋" w:eastAsia="华文仿宋" w:cs="华文仿宋"/>
                <w:b/>
                <w:bCs/>
                <w:color w:val="auto"/>
                <w:sz w:val="28"/>
                <w:szCs w:val="28"/>
                <w:highlight w:val="none"/>
                <w:lang w:eastAsia="zh-CN"/>
              </w:rPr>
              <w:t>冷暖</w:t>
            </w:r>
            <w:r>
              <w:rPr>
                <w:rFonts w:hint="eastAsia" w:ascii="华文仿宋" w:hAnsi="华文仿宋" w:eastAsia="华文仿宋" w:cs="华文仿宋"/>
                <w:b/>
                <w:bCs/>
                <w:color w:val="auto"/>
                <w:sz w:val="28"/>
                <w:szCs w:val="28"/>
                <w:highlight w:val="none"/>
              </w:rPr>
              <w:t>空调</w:t>
            </w:r>
            <w:r>
              <w:rPr>
                <w:rFonts w:hint="eastAsia" w:ascii="华文仿宋" w:hAnsi="华文仿宋" w:eastAsia="华文仿宋" w:cs="华文仿宋"/>
                <w:color w:val="auto"/>
                <w:sz w:val="28"/>
                <w:szCs w:val="28"/>
                <w:highlight w:val="none"/>
              </w:rPr>
              <w:t>、风扇和照明自动控制（待梯时轿内照明、风扇自动断电）；满载直驶；自动返基站；故障历史记录；井道层楼数据自学习；服务层的任意设置；LED显示器；五方应急通话；消防处理功能：火灾紧急返回运行，消防反馈；层楼位置信号的自动修正；锁梯服务（基站锁梯装置、锁梯停车）；门区外不能开门保护措施；电梯门光幕保护装置；超速保护；超载/轻载防捣乱功能；逆向运行保护；防打滑保护；防终端越程保护；减速开关故障保护；安全回路故障保护；防溜车保护；调速器故障保护；超速保护；故障时自动就近平层开门；运行方向的</w:t>
            </w:r>
            <w:r>
              <w:rPr>
                <w:rFonts w:hint="eastAsia" w:ascii="华文仿宋" w:hAnsi="华文仿宋" w:eastAsia="华文仿宋" w:cs="华文仿宋"/>
                <w:color w:val="auto"/>
                <w:sz w:val="28"/>
                <w:szCs w:val="28"/>
                <w:highlight w:val="none"/>
                <w:lang w:eastAsia="zh-CN"/>
              </w:rPr>
              <w:t>液晶</w:t>
            </w:r>
            <w:r>
              <w:rPr>
                <w:rFonts w:hint="eastAsia" w:ascii="华文仿宋" w:hAnsi="华文仿宋" w:eastAsia="华文仿宋" w:cs="华文仿宋"/>
                <w:color w:val="auto"/>
                <w:sz w:val="28"/>
                <w:szCs w:val="28"/>
                <w:highlight w:val="none"/>
              </w:rPr>
              <w:t>显示；消防员操作；数字视频接口预留。</w:t>
            </w:r>
          </w:p>
          <w:p w14:paraId="73E5842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监控摄像头应不低于现有品牌；摄像头及五方通话电话在电梯设备区间外的布线及其材料由供应商承担；摄像头及五方通话电话须与消防监控室连接。</w:t>
            </w:r>
          </w:p>
          <w:p w14:paraId="47076229">
            <w:pPr>
              <w:pStyle w:val="24"/>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0"/>
              <w:jc w:val="left"/>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电梯还需包含司机操作、独立功能等。</w:t>
            </w:r>
          </w:p>
          <w:p w14:paraId="11E6FE0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   轿厢装饰材料式样具体按发包人要求。</w:t>
            </w:r>
          </w:p>
          <w:p w14:paraId="25BFD3E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新安装的乘客电梯应配备自动救援操作装置，配备电梯运行监测装置，必须免费开放接口协议，能够接入电梯主管部门的智慧电梯平台。</w:t>
            </w:r>
          </w:p>
        </w:tc>
      </w:tr>
      <w:tr w14:paraId="391A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blHeader/>
        </w:trPr>
        <w:tc>
          <w:tcPr>
            <w:tcW w:w="1571" w:type="dxa"/>
            <w:gridSpan w:val="2"/>
            <w:tcBorders>
              <w:top w:val="single" w:color="000000" w:sz="2" w:space="0"/>
              <w:left w:val="single" w:color="000000" w:sz="2" w:space="0"/>
              <w:bottom w:val="single" w:color="000000" w:sz="2" w:space="0"/>
              <w:right w:val="single" w:color="000000" w:sz="2" w:space="0"/>
            </w:tcBorders>
            <w:vAlign w:val="center"/>
          </w:tcPr>
          <w:p w14:paraId="5471012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技术参数及要求）</w:t>
            </w:r>
          </w:p>
        </w:tc>
        <w:tc>
          <w:tcPr>
            <w:tcW w:w="1539" w:type="dxa"/>
            <w:tcBorders>
              <w:top w:val="single" w:color="000000" w:sz="2" w:space="0"/>
              <w:left w:val="single" w:color="000000" w:sz="2" w:space="0"/>
              <w:bottom w:val="single" w:color="000000" w:sz="2" w:space="0"/>
              <w:right w:val="single" w:color="000000" w:sz="2" w:space="0"/>
            </w:tcBorders>
            <w:vAlign w:val="center"/>
          </w:tcPr>
          <w:p w14:paraId="6BBDBD0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品目号</w:t>
            </w:r>
          </w:p>
        </w:tc>
        <w:tc>
          <w:tcPr>
            <w:tcW w:w="6009" w:type="dxa"/>
            <w:gridSpan w:val="6"/>
            <w:tcBorders>
              <w:top w:val="single" w:color="000000" w:sz="2" w:space="0"/>
              <w:left w:val="single" w:color="000000" w:sz="2" w:space="0"/>
              <w:bottom w:val="single" w:color="000000" w:sz="2" w:space="0"/>
              <w:right w:val="single" w:color="000000" w:sz="2" w:space="0"/>
            </w:tcBorders>
            <w:vAlign w:val="center"/>
          </w:tcPr>
          <w:p w14:paraId="528C46C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8"/>
                <w:szCs w:val="28"/>
                <w:highlight w:val="none"/>
                <w:lang w:eastAsia="zh-CN"/>
              </w:rPr>
            </w:pPr>
            <w:r>
              <w:rPr>
                <w:rFonts w:hint="eastAsia" w:ascii="方正仿宋_GB2312" w:hAnsi="方正仿宋_GB2312" w:eastAsia="方正仿宋_GB2312" w:cs="方正仿宋_GB2312"/>
                <w:b/>
                <w:bCs/>
                <w:color w:val="auto"/>
                <w:spacing w:val="-7"/>
                <w:sz w:val="28"/>
                <w:szCs w:val="28"/>
                <w:lang w:val="en-US" w:eastAsia="zh-CN"/>
              </w:rPr>
              <w:t>学员餐厅电</w:t>
            </w:r>
            <w:r>
              <w:rPr>
                <w:rFonts w:hint="eastAsia" w:ascii="方正仿宋_GB2312" w:hAnsi="方正仿宋_GB2312" w:eastAsia="方正仿宋_GB2312" w:cs="方正仿宋_GB2312"/>
                <w:b/>
                <w:bCs/>
                <w:color w:val="auto"/>
                <w:spacing w:val="-7"/>
                <w:sz w:val="28"/>
                <w:szCs w:val="28"/>
              </w:rPr>
              <w:t>梯</w:t>
            </w:r>
          </w:p>
        </w:tc>
      </w:tr>
      <w:tr w14:paraId="1803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blHeader/>
        </w:trPr>
        <w:tc>
          <w:tcPr>
            <w:tcW w:w="1571" w:type="dxa"/>
            <w:gridSpan w:val="2"/>
            <w:vMerge w:val="restart"/>
            <w:tcBorders>
              <w:top w:val="single" w:color="000000" w:sz="2" w:space="0"/>
              <w:left w:val="single" w:color="000000" w:sz="2" w:space="0"/>
              <w:right w:val="single" w:color="000000" w:sz="2" w:space="0"/>
            </w:tcBorders>
            <w:vAlign w:val="center"/>
          </w:tcPr>
          <w:p w14:paraId="56B0082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建筑尺寸</w:t>
            </w: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6C88D11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井道尺寸（宽*深mm）</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08548EC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yellow"/>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041B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7F64CB6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47B53A7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厅门尺寸（高*宽mm）</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5C2C3AB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yellow"/>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0EC1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52D34F1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3BEF8118">
            <w:pPr>
              <w:pStyle w:val="413"/>
              <w:keepNext w:val="0"/>
              <w:keepLines w:val="0"/>
              <w:pageBreakBefore w:val="0"/>
              <w:kinsoku/>
              <w:wordWrap/>
              <w:overflowPunct/>
              <w:topLinePunct w:val="0"/>
              <w:autoSpaceDE/>
              <w:autoSpaceDN/>
              <w:bidi w:val="0"/>
              <w:adjustRightInd/>
              <w:snapToGrid/>
              <w:spacing w:line="240" w:lineRule="auto"/>
              <w:ind w:firstLine="1680" w:firstLineChars="6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楼层高度</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3E8A8B2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660CC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43E9299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7524EBA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顶层高度（mm）</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EF23BD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7BC3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2EAC1AE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71347BC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机房</w:t>
            </w:r>
          </w:p>
        </w:tc>
        <w:tc>
          <w:tcPr>
            <w:tcW w:w="2487" w:type="dxa"/>
            <w:gridSpan w:val="3"/>
            <w:tcBorders>
              <w:top w:val="single" w:color="000000" w:sz="2" w:space="0"/>
              <w:left w:val="single" w:color="000000" w:sz="2" w:space="0"/>
              <w:bottom w:val="single" w:color="000000" w:sz="2" w:space="0"/>
              <w:right w:val="single" w:color="000000" w:sz="2" w:space="0"/>
            </w:tcBorders>
            <w:vAlign w:val="center"/>
          </w:tcPr>
          <w:p w14:paraId="5B73019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位置</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35A5CAC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无</w:t>
            </w:r>
            <w:r>
              <w:rPr>
                <w:rFonts w:hint="eastAsia" w:ascii="华文仿宋" w:hAnsi="华文仿宋" w:eastAsia="华文仿宋" w:cs="华文仿宋"/>
                <w:color w:val="auto"/>
                <w:sz w:val="28"/>
                <w:szCs w:val="28"/>
                <w:highlight w:val="none"/>
              </w:rPr>
              <w:t>机房</w:t>
            </w:r>
          </w:p>
        </w:tc>
      </w:tr>
      <w:tr w14:paraId="329B0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bottom w:val="single" w:color="000000" w:sz="2" w:space="0"/>
              <w:right w:val="single" w:color="000000" w:sz="2" w:space="0"/>
            </w:tcBorders>
            <w:vAlign w:val="center"/>
          </w:tcPr>
          <w:p w14:paraId="1A5F089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46825A5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机房</w:t>
            </w:r>
          </w:p>
        </w:tc>
        <w:tc>
          <w:tcPr>
            <w:tcW w:w="2487" w:type="dxa"/>
            <w:gridSpan w:val="3"/>
            <w:tcBorders>
              <w:top w:val="single" w:color="000000" w:sz="2" w:space="0"/>
              <w:left w:val="single" w:color="000000" w:sz="2" w:space="0"/>
              <w:bottom w:val="single" w:color="000000" w:sz="2" w:space="0"/>
              <w:right w:val="single" w:color="000000" w:sz="2" w:space="0"/>
            </w:tcBorders>
            <w:vAlign w:val="center"/>
          </w:tcPr>
          <w:p w14:paraId="119A570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尺寸（长*宽*高mm）</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48B22D0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29ED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blHeader/>
        </w:trPr>
        <w:tc>
          <w:tcPr>
            <w:tcW w:w="1571" w:type="dxa"/>
            <w:gridSpan w:val="2"/>
            <w:tcBorders>
              <w:top w:val="single" w:color="000000" w:sz="2" w:space="0"/>
              <w:left w:val="single" w:color="000000" w:sz="2" w:space="0"/>
              <w:bottom w:val="single" w:color="000000" w:sz="2" w:space="0"/>
              <w:right w:val="single" w:color="000000" w:sz="2" w:space="0"/>
            </w:tcBorders>
            <w:vAlign w:val="center"/>
          </w:tcPr>
          <w:p w14:paraId="28AD048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建筑尺寸</w:t>
            </w: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250F086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底坑深度（mm）</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41A9CD2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rPr>
              <w:t>以现场</w:t>
            </w:r>
            <w:r>
              <w:rPr>
                <w:rFonts w:hint="eastAsia" w:ascii="华文仿宋" w:hAnsi="华文仿宋" w:eastAsia="华文仿宋" w:cs="华文仿宋"/>
                <w:color w:val="auto"/>
                <w:sz w:val="28"/>
                <w:szCs w:val="28"/>
                <w:highlight w:val="none"/>
                <w:lang w:val="en-US" w:eastAsia="zh-CN"/>
              </w:rPr>
              <w:t>实际尺寸</w:t>
            </w:r>
            <w:r>
              <w:rPr>
                <w:rFonts w:hint="eastAsia" w:ascii="华文仿宋" w:hAnsi="华文仿宋" w:eastAsia="华文仿宋" w:cs="华文仿宋"/>
                <w:color w:val="auto"/>
                <w:sz w:val="28"/>
                <w:szCs w:val="28"/>
                <w:highlight w:val="none"/>
              </w:rPr>
              <w:t>为准</w:t>
            </w:r>
          </w:p>
        </w:tc>
      </w:tr>
      <w:tr w14:paraId="0192E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blHeader/>
        </w:trPr>
        <w:tc>
          <w:tcPr>
            <w:tcW w:w="1571" w:type="dxa"/>
            <w:gridSpan w:val="2"/>
            <w:vMerge w:val="restart"/>
            <w:tcBorders>
              <w:top w:val="single" w:color="000000" w:sz="2" w:space="0"/>
              <w:left w:val="single" w:color="000000" w:sz="2" w:space="0"/>
              <w:right w:val="single" w:color="000000" w:sz="2" w:space="0"/>
            </w:tcBorders>
            <w:vAlign w:val="center"/>
          </w:tcPr>
          <w:p w14:paraId="0BB3F01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配置要求</w:t>
            </w:r>
          </w:p>
          <w:p w14:paraId="7363EDC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1BD6D03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拖动方式</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4A87B18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交流变频变压调速VVVF</w:t>
            </w:r>
          </w:p>
        </w:tc>
      </w:tr>
      <w:tr w14:paraId="270E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10076BD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5F65C28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传动方式</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15220DE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永磁同步无齿轮曳引机</w:t>
            </w:r>
          </w:p>
        </w:tc>
      </w:tr>
      <w:tr w14:paraId="5F12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02228BB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3990CF1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控制方式</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1B8A8C5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智能型串行通信控制系统</w:t>
            </w:r>
          </w:p>
        </w:tc>
      </w:tr>
      <w:tr w14:paraId="344C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7997FBC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541F695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门机系统</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48D0E60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永磁同步变频门机</w:t>
            </w:r>
          </w:p>
        </w:tc>
      </w:tr>
      <w:tr w14:paraId="2F7C3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59205EC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009F413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开门方式</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568F6D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双扇中分</w:t>
            </w:r>
          </w:p>
        </w:tc>
      </w:tr>
      <w:tr w14:paraId="34AD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1571" w:type="dxa"/>
            <w:gridSpan w:val="2"/>
            <w:vMerge w:val="continue"/>
            <w:tcBorders>
              <w:left w:val="single" w:color="000000" w:sz="2" w:space="0"/>
              <w:right w:val="single" w:color="000000" w:sz="2" w:space="0"/>
            </w:tcBorders>
            <w:vAlign w:val="center"/>
          </w:tcPr>
          <w:p w14:paraId="34EB440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49178C1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门保护装置</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3C75068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轿厢门带有光幕保护系统</w:t>
            </w:r>
          </w:p>
          <w:p w14:paraId="3EFA0E6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≥120束</w:t>
            </w:r>
          </w:p>
        </w:tc>
      </w:tr>
      <w:tr w14:paraId="3617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1571" w:type="dxa"/>
            <w:gridSpan w:val="2"/>
            <w:vMerge w:val="continue"/>
            <w:tcBorders>
              <w:left w:val="single" w:color="000000" w:sz="2" w:space="0"/>
              <w:bottom w:val="single" w:color="000000" w:sz="2" w:space="0"/>
              <w:right w:val="single" w:color="000000" w:sz="2" w:space="0"/>
            </w:tcBorders>
            <w:vAlign w:val="center"/>
          </w:tcPr>
          <w:p w14:paraId="02CA6CB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48A0A4C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电源适应</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4E18AB5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电源动力为380V.50HZ，照明为220V.50HZ</w:t>
            </w:r>
          </w:p>
        </w:tc>
      </w:tr>
      <w:tr w14:paraId="0676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blHeader/>
        </w:trPr>
        <w:tc>
          <w:tcPr>
            <w:tcW w:w="1571" w:type="dxa"/>
            <w:gridSpan w:val="2"/>
            <w:vMerge w:val="restart"/>
            <w:tcBorders>
              <w:top w:val="single" w:color="000000" w:sz="2" w:space="0"/>
              <w:left w:val="single" w:color="000000" w:sz="2" w:space="0"/>
              <w:right w:val="single" w:color="000000" w:sz="2" w:space="0"/>
            </w:tcBorders>
            <w:vAlign w:val="center"/>
          </w:tcPr>
          <w:p w14:paraId="26B45BE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性能要求</w:t>
            </w: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4CEB511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额定速度允许误差</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541CEE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≤±5%</w:t>
            </w:r>
          </w:p>
        </w:tc>
      </w:tr>
      <w:tr w14:paraId="564D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1571" w:type="dxa"/>
            <w:gridSpan w:val="2"/>
            <w:vMerge w:val="continue"/>
            <w:tcBorders>
              <w:left w:val="single" w:color="000000" w:sz="2" w:space="0"/>
              <w:right w:val="single" w:color="000000" w:sz="2" w:space="0"/>
            </w:tcBorders>
            <w:vAlign w:val="center"/>
          </w:tcPr>
          <w:p w14:paraId="5152D9A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3BB0085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乘客电梯轿厢运行时垂直方向和水平方向的振动加速度</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3AF178A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符合国标</w:t>
            </w:r>
          </w:p>
        </w:tc>
      </w:tr>
      <w:tr w14:paraId="02E66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0482F7E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0023471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平层准确度</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5C214D8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≤±5mm</w:t>
            </w:r>
          </w:p>
        </w:tc>
      </w:tr>
      <w:tr w14:paraId="16F38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blHeader/>
        </w:trPr>
        <w:tc>
          <w:tcPr>
            <w:tcW w:w="1571" w:type="dxa"/>
            <w:gridSpan w:val="2"/>
            <w:vMerge w:val="continue"/>
            <w:tcBorders>
              <w:left w:val="single" w:color="000000" w:sz="2" w:space="0"/>
              <w:bottom w:val="single" w:color="000000" w:sz="2" w:space="0"/>
              <w:right w:val="single" w:color="000000" w:sz="2" w:space="0"/>
            </w:tcBorders>
            <w:vAlign w:val="center"/>
          </w:tcPr>
          <w:p w14:paraId="6F88ABE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4026" w:type="dxa"/>
            <w:gridSpan w:val="4"/>
            <w:tcBorders>
              <w:top w:val="single" w:color="000000" w:sz="2" w:space="0"/>
              <w:left w:val="single" w:color="000000" w:sz="2" w:space="0"/>
              <w:bottom w:val="single" w:color="000000" w:sz="2" w:space="0"/>
              <w:right w:val="single" w:color="000000" w:sz="2" w:space="0"/>
            </w:tcBorders>
            <w:vAlign w:val="center"/>
          </w:tcPr>
          <w:p w14:paraId="33EAF52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噪声</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B0C91B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电梯运行时机房内噪声≯75dB，轿厢内部噪声≯55dB，开/关门时噪声≯55dB。</w:t>
            </w:r>
          </w:p>
        </w:tc>
      </w:tr>
      <w:tr w14:paraId="31F4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blHeader/>
        </w:trPr>
        <w:tc>
          <w:tcPr>
            <w:tcW w:w="1571" w:type="dxa"/>
            <w:gridSpan w:val="2"/>
            <w:vMerge w:val="restart"/>
            <w:tcBorders>
              <w:top w:val="single" w:color="000000" w:sz="2" w:space="0"/>
              <w:left w:val="single" w:color="000000" w:sz="2" w:space="0"/>
              <w:right w:val="single" w:color="000000" w:sz="2" w:space="0"/>
            </w:tcBorders>
            <w:vAlign w:val="center"/>
          </w:tcPr>
          <w:p w14:paraId="1810E5C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内外装饰要求</w:t>
            </w:r>
          </w:p>
        </w:tc>
        <w:tc>
          <w:tcPr>
            <w:tcW w:w="1539" w:type="dxa"/>
            <w:tcBorders>
              <w:top w:val="single" w:color="000000" w:sz="2" w:space="0"/>
              <w:left w:val="single" w:color="000000" w:sz="2" w:space="0"/>
              <w:bottom w:val="single" w:color="000000" w:sz="2" w:space="0"/>
              <w:right w:val="single" w:color="000000" w:sz="2" w:space="0"/>
            </w:tcBorders>
            <w:vAlign w:val="center"/>
          </w:tcPr>
          <w:p w14:paraId="1388283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487" w:type="dxa"/>
            <w:gridSpan w:val="3"/>
            <w:tcBorders>
              <w:top w:val="single" w:color="000000" w:sz="2" w:space="0"/>
              <w:left w:val="single" w:color="000000" w:sz="2" w:space="0"/>
              <w:bottom w:val="single" w:color="000000" w:sz="2" w:space="0"/>
              <w:right w:val="single" w:color="000000" w:sz="2" w:space="0"/>
            </w:tcBorders>
            <w:vAlign w:val="center"/>
          </w:tcPr>
          <w:p w14:paraId="1CB6EAD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轿厢顶</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6A736B0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304不锈钢，</w:t>
            </w:r>
            <w:r>
              <w:rPr>
                <w:rFonts w:hint="eastAsia" w:ascii="华文仿宋" w:hAnsi="华文仿宋" w:eastAsia="华文仿宋" w:cs="华文仿宋"/>
                <w:color w:val="auto"/>
                <w:sz w:val="28"/>
                <w:szCs w:val="28"/>
                <w:highlight w:val="none"/>
              </w:rPr>
              <w:t>厚度≥1.2 mm</w:t>
            </w:r>
          </w:p>
        </w:tc>
      </w:tr>
      <w:tr w14:paraId="3D86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1571" w:type="dxa"/>
            <w:gridSpan w:val="2"/>
            <w:vMerge w:val="continue"/>
            <w:tcBorders>
              <w:left w:val="single" w:color="000000" w:sz="2" w:space="0"/>
              <w:right w:val="single" w:color="000000" w:sz="2" w:space="0"/>
            </w:tcBorders>
            <w:vAlign w:val="center"/>
          </w:tcPr>
          <w:p w14:paraId="09D419B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70CBF69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487" w:type="dxa"/>
            <w:gridSpan w:val="3"/>
            <w:tcBorders>
              <w:top w:val="single" w:color="000000" w:sz="2" w:space="0"/>
              <w:left w:val="single" w:color="000000" w:sz="2" w:space="0"/>
              <w:bottom w:val="single" w:color="000000" w:sz="2" w:space="0"/>
              <w:right w:val="single" w:color="000000" w:sz="2" w:space="0"/>
            </w:tcBorders>
            <w:vAlign w:val="center"/>
          </w:tcPr>
          <w:p w14:paraId="2A6EB2A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轿厢壁</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1DADF5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304不锈钢，</w:t>
            </w:r>
            <w:r>
              <w:rPr>
                <w:rFonts w:hint="eastAsia" w:ascii="华文仿宋" w:hAnsi="华文仿宋" w:eastAsia="华文仿宋" w:cs="华文仿宋"/>
                <w:color w:val="auto"/>
                <w:sz w:val="28"/>
                <w:szCs w:val="28"/>
                <w:highlight w:val="none"/>
              </w:rPr>
              <w:t>厚度≥1.2 mm</w:t>
            </w:r>
          </w:p>
        </w:tc>
      </w:tr>
      <w:tr w14:paraId="265B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3724907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0E8813D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487" w:type="dxa"/>
            <w:gridSpan w:val="3"/>
            <w:tcBorders>
              <w:top w:val="single" w:color="000000" w:sz="2" w:space="0"/>
              <w:left w:val="single" w:color="000000" w:sz="2" w:space="0"/>
              <w:bottom w:val="single" w:color="000000" w:sz="2" w:space="0"/>
              <w:right w:val="single" w:color="000000" w:sz="2" w:space="0"/>
            </w:tcBorders>
            <w:vAlign w:val="center"/>
          </w:tcPr>
          <w:p w14:paraId="63EAE24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轿厢门</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70CE70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304不锈钢，</w:t>
            </w:r>
            <w:r>
              <w:rPr>
                <w:rFonts w:hint="eastAsia" w:ascii="华文仿宋" w:hAnsi="华文仿宋" w:eastAsia="华文仿宋" w:cs="华文仿宋"/>
                <w:color w:val="auto"/>
                <w:sz w:val="28"/>
                <w:szCs w:val="28"/>
                <w:highlight w:val="none"/>
              </w:rPr>
              <w:t>厚度≥1.2 mm</w:t>
            </w:r>
          </w:p>
        </w:tc>
      </w:tr>
      <w:tr w14:paraId="0E3A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372AC21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47E5631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487" w:type="dxa"/>
            <w:gridSpan w:val="3"/>
            <w:tcBorders>
              <w:top w:val="single" w:color="000000" w:sz="2" w:space="0"/>
              <w:left w:val="single" w:color="000000" w:sz="2" w:space="0"/>
              <w:bottom w:val="single" w:color="000000" w:sz="2" w:space="0"/>
              <w:right w:val="single" w:color="000000" w:sz="2" w:space="0"/>
            </w:tcBorders>
            <w:vAlign w:val="center"/>
          </w:tcPr>
          <w:p w14:paraId="3711DB1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脚踏板</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57DFE55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不锈钢或硬质铝合金</w:t>
            </w:r>
          </w:p>
        </w:tc>
      </w:tr>
      <w:tr w14:paraId="0A310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37EFF8D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366C32D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2487" w:type="dxa"/>
            <w:gridSpan w:val="3"/>
            <w:tcBorders>
              <w:top w:val="single" w:color="000000" w:sz="2" w:space="0"/>
              <w:left w:val="single" w:color="000000" w:sz="2" w:space="0"/>
              <w:bottom w:val="single" w:color="000000" w:sz="2" w:space="0"/>
              <w:right w:val="single" w:color="000000" w:sz="2" w:space="0"/>
            </w:tcBorders>
            <w:vAlign w:val="center"/>
          </w:tcPr>
          <w:p w14:paraId="171F1FE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轿厢地面</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020A2D9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大理石地面</w:t>
            </w:r>
          </w:p>
        </w:tc>
      </w:tr>
      <w:tr w14:paraId="7728F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4769380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02B5E47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155" w:type="dxa"/>
            <w:tcBorders>
              <w:top w:val="single" w:color="000000" w:sz="2" w:space="0"/>
              <w:left w:val="single" w:color="000000" w:sz="2" w:space="0"/>
              <w:bottom w:val="single" w:color="000000" w:sz="2" w:space="0"/>
              <w:right w:val="single" w:color="000000" w:sz="2" w:space="0"/>
            </w:tcBorders>
            <w:vAlign w:val="center"/>
          </w:tcPr>
          <w:p w14:paraId="4CE1A18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285D4CB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面板材质</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07BCBA6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发纹不锈钢面板</w:t>
            </w:r>
          </w:p>
        </w:tc>
      </w:tr>
      <w:tr w14:paraId="486D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blHeader/>
        </w:trPr>
        <w:tc>
          <w:tcPr>
            <w:tcW w:w="1571" w:type="dxa"/>
            <w:gridSpan w:val="2"/>
            <w:vMerge w:val="continue"/>
            <w:tcBorders>
              <w:left w:val="single" w:color="000000" w:sz="2" w:space="0"/>
              <w:right w:val="single" w:color="000000" w:sz="2" w:space="0"/>
            </w:tcBorders>
            <w:vAlign w:val="center"/>
          </w:tcPr>
          <w:p w14:paraId="58064A4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6F33534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155" w:type="dxa"/>
            <w:tcBorders>
              <w:top w:val="single" w:color="000000" w:sz="2" w:space="0"/>
              <w:left w:val="single" w:color="000000" w:sz="2" w:space="0"/>
              <w:bottom w:val="single" w:color="000000" w:sz="2" w:space="0"/>
              <w:right w:val="single" w:color="000000" w:sz="2" w:space="0"/>
            </w:tcBorders>
            <w:vAlign w:val="center"/>
          </w:tcPr>
          <w:p w14:paraId="71DD7BC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2467EBE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显示器显示内容</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F77631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LED显示器；具有停靠层同数微触式楼层按钮操纵盘；上升与下降方向显示；</w:t>
            </w:r>
          </w:p>
        </w:tc>
      </w:tr>
      <w:tr w14:paraId="2676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16EB14D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248AAC1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155" w:type="dxa"/>
            <w:tcBorders>
              <w:top w:val="single" w:color="000000" w:sz="2" w:space="0"/>
              <w:left w:val="single" w:color="000000" w:sz="2" w:space="0"/>
              <w:bottom w:val="single" w:color="000000" w:sz="2" w:space="0"/>
              <w:right w:val="single" w:color="000000" w:sz="2" w:space="0"/>
            </w:tcBorders>
            <w:vAlign w:val="center"/>
          </w:tcPr>
          <w:p w14:paraId="65F39B7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6030137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操作功能</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38983E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标准；</w:t>
            </w:r>
          </w:p>
        </w:tc>
      </w:tr>
      <w:tr w14:paraId="361F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7EC2267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2D6309C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155" w:type="dxa"/>
            <w:tcBorders>
              <w:top w:val="single" w:color="000000" w:sz="2" w:space="0"/>
              <w:left w:val="single" w:color="000000" w:sz="2" w:space="0"/>
              <w:bottom w:val="single" w:color="000000" w:sz="2" w:space="0"/>
              <w:right w:val="single" w:color="000000" w:sz="2" w:space="0"/>
            </w:tcBorders>
            <w:vAlign w:val="center"/>
          </w:tcPr>
          <w:p w14:paraId="2B72A51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29AEFC3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标示要求</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0D75D5D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禁烟标志</w:t>
            </w:r>
          </w:p>
        </w:tc>
      </w:tr>
      <w:tr w14:paraId="7B865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blHeader/>
        </w:trPr>
        <w:tc>
          <w:tcPr>
            <w:tcW w:w="1571" w:type="dxa"/>
            <w:gridSpan w:val="2"/>
            <w:vMerge w:val="continue"/>
            <w:tcBorders>
              <w:left w:val="single" w:color="000000" w:sz="2" w:space="0"/>
              <w:right w:val="single" w:color="000000" w:sz="2" w:space="0"/>
            </w:tcBorders>
            <w:vAlign w:val="center"/>
          </w:tcPr>
          <w:p w14:paraId="34B2248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5E86035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轿厢</w:t>
            </w:r>
          </w:p>
        </w:tc>
        <w:tc>
          <w:tcPr>
            <w:tcW w:w="1155" w:type="dxa"/>
            <w:tcBorders>
              <w:top w:val="single" w:color="000000" w:sz="2" w:space="0"/>
              <w:left w:val="single" w:color="000000" w:sz="2" w:space="0"/>
              <w:bottom w:val="single" w:color="000000" w:sz="2" w:space="0"/>
              <w:right w:val="single" w:color="000000" w:sz="2" w:space="0"/>
            </w:tcBorders>
            <w:vAlign w:val="center"/>
          </w:tcPr>
          <w:p w14:paraId="6F91EDB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操作盘</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763E273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按钮要求</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5CC3328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黄色紧急呼叫按钮；开关门微触式按钮各一对；隐蔽式对讲机一付；</w:t>
            </w:r>
          </w:p>
        </w:tc>
      </w:tr>
      <w:tr w14:paraId="22F3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60ED72C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398B654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262CBC5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05B7458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材质</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0CEDE811">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发纹不锈钢</w:t>
            </w:r>
          </w:p>
        </w:tc>
      </w:tr>
      <w:tr w14:paraId="0E89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008C552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47F9BBC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72F4CF6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14D62B3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厚度</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1CF5908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≥1.2 mm</w:t>
            </w:r>
          </w:p>
        </w:tc>
      </w:tr>
      <w:tr w14:paraId="0C85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534AEF3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0554F9A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69A7525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54244E9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颜色</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269442A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本色</w:t>
            </w:r>
          </w:p>
        </w:tc>
      </w:tr>
      <w:tr w14:paraId="7F3E1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2D6F727A">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4E59C69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334D848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门套</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0F48A56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材质</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28567D8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发纹不锈钢</w:t>
            </w:r>
          </w:p>
        </w:tc>
      </w:tr>
      <w:tr w14:paraId="4B10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6412A7F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4CAC3E6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0FA4B58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门套</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5BEB14A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厚度</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903168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≥1.2 mm</w:t>
            </w:r>
          </w:p>
        </w:tc>
      </w:tr>
      <w:tr w14:paraId="535F6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right w:val="single" w:color="000000" w:sz="2" w:space="0"/>
            </w:tcBorders>
            <w:vAlign w:val="center"/>
          </w:tcPr>
          <w:p w14:paraId="06CFC11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2585701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58080FA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门套</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6E47C5A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颜色</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2429188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本色</w:t>
            </w:r>
          </w:p>
        </w:tc>
      </w:tr>
      <w:tr w14:paraId="5983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1571" w:type="dxa"/>
            <w:gridSpan w:val="2"/>
            <w:vMerge w:val="continue"/>
            <w:tcBorders>
              <w:left w:val="single" w:color="000000" w:sz="2" w:space="0"/>
              <w:right w:val="single" w:color="000000" w:sz="2" w:space="0"/>
            </w:tcBorders>
            <w:vAlign w:val="center"/>
          </w:tcPr>
          <w:p w14:paraId="2342B4E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69B43BB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7896B39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楼层  召唤</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49FFBF20">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显示内容</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188C0F05">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召唤按钮及楼层位置指示数字显示器，运行方向指示；</w:t>
            </w:r>
          </w:p>
        </w:tc>
      </w:tr>
      <w:tr w14:paraId="7E9FB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1571" w:type="dxa"/>
            <w:gridSpan w:val="2"/>
            <w:vMerge w:val="continue"/>
            <w:tcBorders>
              <w:left w:val="single" w:color="000000" w:sz="2" w:space="0"/>
              <w:right w:val="single" w:color="000000" w:sz="2" w:space="0"/>
            </w:tcBorders>
            <w:vAlign w:val="center"/>
          </w:tcPr>
          <w:p w14:paraId="612B47E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726A82F7">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7E3CCDB8">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楼层  召唤</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306C4839">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面板材质</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28C342F6">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发纹不锈钢</w:t>
            </w:r>
          </w:p>
        </w:tc>
      </w:tr>
      <w:tr w14:paraId="1145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blHeader/>
        </w:trPr>
        <w:tc>
          <w:tcPr>
            <w:tcW w:w="1571" w:type="dxa"/>
            <w:gridSpan w:val="2"/>
            <w:vMerge w:val="continue"/>
            <w:tcBorders>
              <w:left w:val="single" w:color="000000" w:sz="2" w:space="0"/>
              <w:right w:val="single" w:color="000000" w:sz="2" w:space="0"/>
            </w:tcBorders>
            <w:vAlign w:val="center"/>
          </w:tcPr>
          <w:p w14:paraId="2E864B6E">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268F863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1155" w:type="dxa"/>
            <w:tcBorders>
              <w:top w:val="single" w:color="000000" w:sz="2" w:space="0"/>
              <w:left w:val="single" w:color="000000" w:sz="2" w:space="0"/>
              <w:bottom w:val="single" w:color="000000" w:sz="2" w:space="0"/>
              <w:right w:val="single" w:color="000000" w:sz="2" w:space="0"/>
            </w:tcBorders>
            <w:vAlign w:val="center"/>
          </w:tcPr>
          <w:p w14:paraId="48FF4A93">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楼层  召唤</w:t>
            </w:r>
          </w:p>
        </w:tc>
        <w:tc>
          <w:tcPr>
            <w:tcW w:w="1332" w:type="dxa"/>
            <w:gridSpan w:val="2"/>
            <w:tcBorders>
              <w:top w:val="single" w:color="000000" w:sz="2" w:space="0"/>
              <w:left w:val="single" w:color="000000" w:sz="2" w:space="0"/>
              <w:bottom w:val="single" w:color="000000" w:sz="2" w:space="0"/>
              <w:right w:val="single" w:color="000000" w:sz="2" w:space="0"/>
            </w:tcBorders>
            <w:vAlign w:val="center"/>
          </w:tcPr>
          <w:p w14:paraId="2A99EE4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安装位置</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12EA4C2F">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厅门外侧</w:t>
            </w:r>
          </w:p>
        </w:tc>
      </w:tr>
      <w:tr w14:paraId="4B87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trPr>
        <w:tc>
          <w:tcPr>
            <w:tcW w:w="1571" w:type="dxa"/>
            <w:gridSpan w:val="2"/>
            <w:vMerge w:val="continue"/>
            <w:tcBorders>
              <w:left w:val="single" w:color="000000" w:sz="2" w:space="0"/>
              <w:bottom w:val="single" w:color="000000" w:sz="2" w:space="0"/>
              <w:right w:val="single" w:color="000000" w:sz="2" w:space="0"/>
            </w:tcBorders>
            <w:vAlign w:val="center"/>
          </w:tcPr>
          <w:p w14:paraId="18E871E2">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p>
        </w:tc>
        <w:tc>
          <w:tcPr>
            <w:tcW w:w="1539" w:type="dxa"/>
            <w:tcBorders>
              <w:top w:val="single" w:color="000000" w:sz="2" w:space="0"/>
              <w:left w:val="single" w:color="000000" w:sz="2" w:space="0"/>
              <w:bottom w:val="single" w:color="000000" w:sz="2" w:space="0"/>
              <w:right w:val="single" w:color="000000" w:sz="2" w:space="0"/>
            </w:tcBorders>
            <w:vAlign w:val="center"/>
          </w:tcPr>
          <w:p w14:paraId="32864A8C">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厅门及门套</w:t>
            </w:r>
          </w:p>
        </w:tc>
        <w:tc>
          <w:tcPr>
            <w:tcW w:w="2487" w:type="dxa"/>
            <w:gridSpan w:val="3"/>
            <w:tcBorders>
              <w:top w:val="single" w:color="000000" w:sz="2" w:space="0"/>
              <w:left w:val="single" w:color="000000" w:sz="2" w:space="0"/>
              <w:bottom w:val="single" w:color="000000" w:sz="2" w:space="0"/>
              <w:right w:val="single" w:color="000000" w:sz="2" w:space="0"/>
            </w:tcBorders>
            <w:vAlign w:val="center"/>
          </w:tcPr>
          <w:p w14:paraId="31D689CB">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地坎</w:t>
            </w:r>
          </w:p>
        </w:tc>
        <w:tc>
          <w:tcPr>
            <w:tcW w:w="3522" w:type="dxa"/>
            <w:gridSpan w:val="3"/>
            <w:tcBorders>
              <w:top w:val="single" w:color="000000" w:sz="2" w:space="0"/>
              <w:left w:val="single" w:color="000000" w:sz="2" w:space="0"/>
              <w:bottom w:val="single" w:color="000000" w:sz="2" w:space="0"/>
              <w:right w:val="single" w:color="000000" w:sz="2" w:space="0"/>
            </w:tcBorders>
            <w:vAlign w:val="center"/>
          </w:tcPr>
          <w:p w14:paraId="7D376DF4">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硬质铝合金</w:t>
            </w:r>
          </w:p>
        </w:tc>
      </w:tr>
      <w:tr w14:paraId="7A915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3" w:hRule="atLeast"/>
          <w:tblHeader/>
        </w:trPr>
        <w:tc>
          <w:tcPr>
            <w:tcW w:w="1571" w:type="dxa"/>
            <w:gridSpan w:val="2"/>
            <w:tcBorders>
              <w:top w:val="single" w:color="000000" w:sz="2" w:space="0"/>
              <w:left w:val="single" w:color="000000" w:sz="2" w:space="0"/>
              <w:bottom w:val="single" w:color="000000" w:sz="2" w:space="0"/>
              <w:right w:val="single" w:color="000000" w:sz="2" w:space="0"/>
            </w:tcBorders>
            <w:vAlign w:val="center"/>
          </w:tcPr>
          <w:p w14:paraId="662FC92D">
            <w:pPr>
              <w:pStyle w:val="413"/>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功能要求</w:t>
            </w:r>
          </w:p>
        </w:tc>
        <w:tc>
          <w:tcPr>
            <w:tcW w:w="7548" w:type="dxa"/>
            <w:gridSpan w:val="7"/>
            <w:tcBorders>
              <w:top w:val="single" w:color="000000" w:sz="2" w:space="0"/>
              <w:left w:val="single" w:color="000000" w:sz="2" w:space="0"/>
              <w:bottom w:val="single" w:color="000000" w:sz="2" w:space="0"/>
              <w:right w:val="single" w:color="000000" w:sz="2" w:space="0"/>
            </w:tcBorders>
            <w:vAlign w:val="center"/>
          </w:tcPr>
          <w:p w14:paraId="6AE9FA0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eastAsia="zh-CN"/>
              </w:rPr>
              <w:t>包含但不限于：</w:t>
            </w:r>
          </w:p>
          <w:p w14:paraId="43B89EB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全集选控制运行功能（需要并联的，默认配置并联）；检修运行；慢速自救运行；测试运行；时钟控制；保持开门时间的自动控制；本层厅外开门；开门按钮开门；重复开/关门；换站停靠；错误指令注销；反向时自动指令消除；直接停车、空载停车（当电梯内无乘客、又无外来召唤、电梯自动注销轿厢内的召唤、并在首层停车、以减少无效运行）；</w:t>
            </w:r>
            <w:r>
              <w:rPr>
                <w:rFonts w:hint="eastAsia" w:ascii="华文仿宋" w:hAnsi="华文仿宋" w:eastAsia="华文仿宋" w:cs="华文仿宋"/>
                <w:b/>
                <w:bCs/>
                <w:color w:val="auto"/>
                <w:sz w:val="28"/>
                <w:szCs w:val="28"/>
                <w:highlight w:val="none"/>
              </w:rPr>
              <w:t>电梯</w:t>
            </w:r>
            <w:r>
              <w:rPr>
                <w:rFonts w:hint="eastAsia" w:ascii="华文仿宋" w:hAnsi="华文仿宋" w:eastAsia="华文仿宋" w:cs="华文仿宋"/>
                <w:b/>
                <w:bCs/>
                <w:color w:val="auto"/>
                <w:sz w:val="28"/>
                <w:szCs w:val="28"/>
                <w:highlight w:val="none"/>
                <w:lang w:eastAsia="zh-CN"/>
              </w:rPr>
              <w:t>冷暖</w:t>
            </w:r>
            <w:r>
              <w:rPr>
                <w:rFonts w:hint="eastAsia" w:ascii="华文仿宋" w:hAnsi="华文仿宋" w:eastAsia="华文仿宋" w:cs="华文仿宋"/>
                <w:b/>
                <w:bCs/>
                <w:color w:val="auto"/>
                <w:sz w:val="28"/>
                <w:szCs w:val="28"/>
                <w:highlight w:val="none"/>
              </w:rPr>
              <w:t>空调</w:t>
            </w:r>
            <w:r>
              <w:rPr>
                <w:rFonts w:hint="eastAsia" w:ascii="华文仿宋" w:hAnsi="华文仿宋" w:eastAsia="华文仿宋" w:cs="华文仿宋"/>
                <w:color w:val="auto"/>
                <w:sz w:val="28"/>
                <w:szCs w:val="28"/>
                <w:highlight w:val="none"/>
              </w:rPr>
              <w:t>、风扇和照明自动控制（待梯时轿内照明、风扇自动断电）；满载直驶；自动返基站；故障历史记录；井道层楼数据自学习；服务层的任意设置；LED显示器；五方应急通话；消防处理功能：火灾紧急返回运行，消防反馈；层楼位置信号的自动修正；锁梯服务（基站锁梯装置、锁梯停车）；门区外不能开门保护措施；电梯门光幕保护装置；超速保护；超载/轻载防捣乱功能；逆向运行保护；防打滑保护；防终端越程保护；减速开关故障保护；安全回路故障保护；防溜车保护；调速器故障保护；超速保护；故障时自动就近平层开门；运行方向的</w:t>
            </w:r>
            <w:r>
              <w:rPr>
                <w:rFonts w:hint="eastAsia" w:ascii="华文仿宋" w:hAnsi="华文仿宋" w:eastAsia="华文仿宋" w:cs="华文仿宋"/>
                <w:color w:val="auto"/>
                <w:sz w:val="28"/>
                <w:szCs w:val="28"/>
                <w:highlight w:val="none"/>
                <w:lang w:eastAsia="zh-CN"/>
              </w:rPr>
              <w:t>液晶</w:t>
            </w:r>
            <w:r>
              <w:rPr>
                <w:rFonts w:hint="eastAsia" w:ascii="华文仿宋" w:hAnsi="华文仿宋" w:eastAsia="华文仿宋" w:cs="华文仿宋"/>
                <w:color w:val="auto"/>
                <w:sz w:val="28"/>
                <w:szCs w:val="28"/>
                <w:highlight w:val="none"/>
              </w:rPr>
              <w:t>显示；消防员操作；数字视频接口预留。</w:t>
            </w:r>
          </w:p>
          <w:p w14:paraId="487B24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监控摄像头应不低于现有品牌；摄像头及五方通话电话在电梯设备区间外的布线及其材料由供应商承担；摄像头及五方通话电话须与消防监控室连接。</w:t>
            </w:r>
          </w:p>
          <w:p w14:paraId="6A9B4361">
            <w:pPr>
              <w:pStyle w:val="24"/>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0"/>
              <w:jc w:val="left"/>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电梯还需包含司机操作、独立功能等。</w:t>
            </w:r>
          </w:p>
          <w:p w14:paraId="58BA952B">
            <w:pPr>
              <w:keepNext w:val="0"/>
              <w:keepLines w:val="0"/>
              <w:pageBreakBefore w:val="0"/>
              <w:widowControl w:val="0"/>
              <w:kinsoku/>
              <w:wordWrap/>
              <w:overflowPunct/>
              <w:topLinePunct w:val="0"/>
              <w:autoSpaceDE/>
              <w:autoSpaceDN/>
              <w:bidi w:val="0"/>
              <w:adjustRightInd/>
              <w:snapToGrid/>
              <w:spacing w:line="240" w:lineRule="auto"/>
              <w:ind w:firstLine="560"/>
              <w:jc w:val="left"/>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轿厢装饰材料式样具体按发包人要求。</w:t>
            </w:r>
          </w:p>
          <w:p w14:paraId="78B0F127">
            <w:pPr>
              <w:keepNext w:val="0"/>
              <w:keepLines w:val="0"/>
              <w:pageBreakBefore w:val="0"/>
              <w:widowControl w:val="0"/>
              <w:kinsoku/>
              <w:wordWrap/>
              <w:overflowPunct/>
              <w:topLinePunct w:val="0"/>
              <w:autoSpaceDE/>
              <w:autoSpaceDN/>
              <w:bidi w:val="0"/>
              <w:adjustRightInd/>
              <w:snapToGrid/>
              <w:spacing w:line="240" w:lineRule="auto"/>
              <w:ind w:firstLine="560"/>
              <w:jc w:val="left"/>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新安装的乘客电梯应配备自动救援操作装置，配备电梯运行监测装置，必须免费开放接口协议，能够接入电梯主管部门的智慧电梯平台。</w:t>
            </w:r>
          </w:p>
        </w:tc>
      </w:tr>
    </w:tbl>
    <w:p w14:paraId="3B576065">
      <w:pPr>
        <w:spacing w:line="360" w:lineRule="auto"/>
        <w:rPr>
          <w:rFonts w:hint="default"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eastAsia="zh-CN"/>
        </w:rPr>
        <w:t>5.2拟改造电梯（湖北路42号校区三洋电梯）：具体电梯改造内容详见设计说明及清单。</w:t>
      </w:r>
    </w:p>
    <w:p w14:paraId="22901306">
      <w:pPr>
        <w:pStyle w:val="414"/>
        <w:spacing w:line="560" w:lineRule="exact"/>
        <w:ind w:left="0"/>
        <w:jc w:val="left"/>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lang w:val="en-US" w:eastAsia="zh-CN"/>
        </w:rPr>
        <w:t>三</w:t>
      </w:r>
      <w:r>
        <w:rPr>
          <w:rFonts w:hint="eastAsia" w:ascii="华文仿宋" w:hAnsi="华文仿宋" w:eastAsia="华文仿宋" w:cs="华文仿宋"/>
          <w:b/>
          <w:bCs/>
          <w:color w:val="auto"/>
          <w:sz w:val="28"/>
          <w:szCs w:val="28"/>
          <w:highlight w:val="none"/>
        </w:rPr>
        <w:t>、供货安装要求</w:t>
      </w:r>
    </w:p>
    <w:p w14:paraId="5CFAC251">
      <w:pPr>
        <w:widowControl/>
        <w:adjustRightInd w:val="0"/>
        <w:spacing w:line="560" w:lineRule="exact"/>
        <w:ind w:firstLine="490" w:firstLineChars="175"/>
        <w:jc w:val="left"/>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（一）技术规格</w:t>
      </w:r>
    </w:p>
    <w:p w14:paraId="5A7CD0E9">
      <w:pPr>
        <w:widowControl/>
        <w:adjustRightInd w:val="0"/>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1、须提交</w:t>
      </w:r>
      <w:r>
        <w:rPr>
          <w:rFonts w:hint="eastAsia" w:ascii="华文仿宋" w:hAnsi="华文仿宋" w:eastAsia="华文仿宋" w:cs="华文仿宋"/>
          <w:color w:val="auto"/>
          <w:sz w:val="28"/>
          <w:szCs w:val="28"/>
          <w:highlight w:val="none"/>
          <w:lang w:val="en-US" w:eastAsia="zh-CN"/>
        </w:rPr>
        <w:t>电梯设备</w:t>
      </w:r>
      <w:r>
        <w:rPr>
          <w:rFonts w:hint="eastAsia" w:ascii="华文仿宋" w:hAnsi="华文仿宋" w:eastAsia="华文仿宋" w:cs="华文仿宋"/>
          <w:color w:val="auto"/>
          <w:sz w:val="28"/>
          <w:szCs w:val="28"/>
          <w:highlight w:val="none"/>
        </w:rPr>
        <w:t>详细的技术条款响应表，并注明</w:t>
      </w:r>
      <w:r>
        <w:rPr>
          <w:rFonts w:hint="eastAsia" w:ascii="华文仿宋" w:hAnsi="华文仿宋" w:eastAsia="华文仿宋" w:cs="华文仿宋"/>
          <w:color w:val="auto"/>
          <w:sz w:val="28"/>
          <w:szCs w:val="28"/>
          <w:highlight w:val="none"/>
          <w:lang w:val="en-US" w:eastAsia="zh-CN"/>
        </w:rPr>
        <w:t>制造商名称、</w:t>
      </w:r>
      <w:r>
        <w:rPr>
          <w:rFonts w:hint="eastAsia" w:ascii="华文仿宋" w:hAnsi="华文仿宋" w:eastAsia="华文仿宋" w:cs="华文仿宋"/>
          <w:color w:val="auto"/>
          <w:sz w:val="28"/>
          <w:szCs w:val="28"/>
          <w:highlight w:val="none"/>
        </w:rPr>
        <w:t>品牌</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型号</w:t>
      </w:r>
      <w:r>
        <w:rPr>
          <w:rFonts w:hint="eastAsia" w:ascii="华文仿宋" w:hAnsi="华文仿宋" w:eastAsia="华文仿宋" w:cs="华文仿宋"/>
          <w:color w:val="auto"/>
          <w:sz w:val="28"/>
          <w:szCs w:val="28"/>
          <w:highlight w:val="none"/>
        </w:rPr>
        <w:t>和生产厂地。</w:t>
      </w:r>
    </w:p>
    <w:p w14:paraId="52AF890A">
      <w:pPr>
        <w:adjustRightInd w:val="0"/>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2、供应商所提供的设备进场后，如采购人发现有任何问题（如外观有损坏），供应商应以同样型号的设备在采购人商定的时间内更换，确保其使用。</w:t>
      </w:r>
    </w:p>
    <w:p w14:paraId="70F4B7EB">
      <w:pPr>
        <w:adjustRightInd w:val="0"/>
        <w:spacing w:line="560" w:lineRule="exact"/>
        <w:ind w:firstLine="490" w:firstLineChars="175"/>
        <w:jc w:val="left"/>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（二）质量要求</w:t>
      </w:r>
    </w:p>
    <w:p w14:paraId="49AF150D">
      <w:pPr>
        <w:adjustRightInd w:val="0"/>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1、应严格按照采购文件的要求和国家有关标准，提供全新的、未经使用的、技术先进的产品。</w:t>
      </w:r>
    </w:p>
    <w:p w14:paraId="6FF50DF3">
      <w:pPr>
        <w:widowControl/>
        <w:adjustRightInd w:val="0"/>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2、品质说明：必须保证提供的设备完全与采购文件所述的质量、规格和性能相符，所使用的材料及配件达到优质标准，相关产品具有厂家出具的产品质量合格证明书。</w:t>
      </w:r>
    </w:p>
    <w:p w14:paraId="1B8A1418">
      <w:pPr>
        <w:widowControl/>
        <w:adjustRightInd w:val="0"/>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保证向采购人提供的设备或设备的任何一部分，免受第三方提出的侵犯其专利权、商标权或知识产权等的起诉，任何由此引起的法律责任和经济责任均由供应商承担。</w:t>
      </w:r>
    </w:p>
    <w:p w14:paraId="3253BA1E">
      <w:pPr>
        <w:widowControl/>
        <w:adjustRightInd w:val="0"/>
        <w:spacing w:line="560" w:lineRule="exact"/>
        <w:ind w:firstLine="490" w:firstLineChars="175"/>
        <w:jc w:val="left"/>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 （三）验收方式</w:t>
      </w:r>
    </w:p>
    <w:p w14:paraId="23DDA947">
      <w:pPr>
        <w:widowControl/>
        <w:adjustRightInd w:val="0"/>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1、设备到达现场后，</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应在采购人在场情况下当面开箱，共同清点、检查外观，作出开箱记录，双方签字确认。</w:t>
      </w:r>
    </w:p>
    <w:p w14:paraId="6FFD9BE2">
      <w:pPr>
        <w:widowControl/>
        <w:adjustRightInd w:val="0"/>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应保证设备到达采购人所在地完好无损，如有缺漏、损坏，由供应商负责调换、补齐或赔偿。</w:t>
      </w:r>
    </w:p>
    <w:p w14:paraId="5EB26513">
      <w:pPr>
        <w:widowControl/>
        <w:adjustRightInd w:val="0"/>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应提供完备的技术资料、原厂真货证明、装箱单和合格证等。验收合格条件如下：</w:t>
      </w:r>
    </w:p>
    <w:p w14:paraId="62D4FF70">
      <w:pPr>
        <w:widowControl/>
        <w:adjustRightInd w:val="0"/>
        <w:spacing w:line="560" w:lineRule="exact"/>
        <w:ind w:firstLine="280" w:firstLineChars="100"/>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（1）设备技术参数与采购合同一致，性能指标达到规定的标准。</w:t>
      </w:r>
    </w:p>
    <w:p w14:paraId="365DD2E9">
      <w:pPr>
        <w:widowControl/>
        <w:adjustRightInd w:val="0"/>
        <w:spacing w:line="560" w:lineRule="exact"/>
        <w:ind w:firstLine="280" w:firstLineChars="100"/>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（2）设备技术资料、原厂真货证明、装箱单、合格证等资料齐全。</w:t>
      </w:r>
    </w:p>
    <w:p w14:paraId="4BC4907A">
      <w:pPr>
        <w:widowControl/>
        <w:adjustRightInd w:val="0"/>
        <w:spacing w:line="560" w:lineRule="exact"/>
        <w:ind w:firstLine="280" w:firstLineChars="100"/>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（3）在规定时间内完成交货并由双方组织验收小组进行验收，并经验收小组签字确认。</w:t>
      </w:r>
    </w:p>
    <w:p w14:paraId="45DCA27F">
      <w:pPr>
        <w:widowControl/>
        <w:adjustRightInd w:val="0"/>
        <w:spacing w:line="560" w:lineRule="exact"/>
        <w:ind w:firstLine="560" w:firstLineChars="200"/>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4、供应商提供的设备未达到采购文件规定要求，且对采购人造成损失的，由供应商承担一切责任，并赔偿所造成的损失。</w:t>
      </w:r>
    </w:p>
    <w:p w14:paraId="68678DD7">
      <w:pPr>
        <w:widowControl/>
        <w:adjustRightInd w:val="0"/>
        <w:spacing w:line="560" w:lineRule="exact"/>
        <w:jc w:val="left"/>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（四）安装要求</w:t>
      </w:r>
    </w:p>
    <w:p w14:paraId="346DF09A">
      <w:pPr>
        <w:pStyle w:val="389"/>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1、本项目为更换</w:t>
      </w:r>
      <w:r>
        <w:rPr>
          <w:rFonts w:hint="eastAsia" w:ascii="华文仿宋" w:hAnsi="华文仿宋" w:eastAsia="华文仿宋" w:cs="华文仿宋"/>
          <w:bCs/>
          <w:color w:val="auto"/>
          <w:sz w:val="28"/>
          <w:szCs w:val="28"/>
          <w:highlight w:val="none"/>
        </w:rPr>
        <w:t>电梯采购及配套安装服务</w:t>
      </w:r>
      <w:r>
        <w:rPr>
          <w:rFonts w:hint="eastAsia" w:ascii="华文仿宋" w:hAnsi="华文仿宋" w:eastAsia="华文仿宋" w:cs="华文仿宋"/>
          <w:color w:val="auto"/>
          <w:sz w:val="28"/>
          <w:szCs w:val="28"/>
          <w:highlight w:val="none"/>
        </w:rPr>
        <w:t>，要求为项目</w:t>
      </w:r>
      <w:r>
        <w:rPr>
          <w:rFonts w:hint="eastAsia" w:ascii="华文仿宋" w:hAnsi="华文仿宋" w:eastAsia="华文仿宋" w:cs="华文仿宋"/>
          <w:color w:val="auto"/>
          <w:sz w:val="28"/>
          <w:szCs w:val="28"/>
          <w:highlight w:val="none"/>
          <w:lang w:val="en-US" w:eastAsia="zh-CN"/>
        </w:rPr>
        <w:t>验收合格</w:t>
      </w:r>
      <w:r>
        <w:rPr>
          <w:rFonts w:hint="eastAsia" w:ascii="华文仿宋" w:hAnsi="华文仿宋" w:eastAsia="华文仿宋" w:cs="华文仿宋"/>
          <w:color w:val="auto"/>
          <w:sz w:val="28"/>
          <w:szCs w:val="28"/>
          <w:highlight w:val="none"/>
        </w:rPr>
        <w:t>。采购内容包括但不限于设计服务、设备采购、包装、运输、保险、安装调试、主管部门验收、</w:t>
      </w:r>
      <w:r>
        <w:rPr>
          <w:rFonts w:hint="eastAsia" w:ascii="华文仿宋" w:hAnsi="华文仿宋" w:eastAsia="华文仿宋" w:cs="华文仿宋"/>
          <w:color w:val="auto"/>
          <w:sz w:val="28"/>
          <w:szCs w:val="28"/>
          <w:highlight w:val="none"/>
          <w:lang w:val="en-US" w:eastAsia="zh-CN"/>
        </w:rPr>
        <w:t>监督检验</w:t>
      </w:r>
      <w:r>
        <w:rPr>
          <w:rFonts w:hint="eastAsia" w:ascii="华文仿宋" w:hAnsi="华文仿宋" w:eastAsia="华文仿宋" w:cs="华文仿宋"/>
          <w:color w:val="auto"/>
          <w:sz w:val="28"/>
          <w:szCs w:val="28"/>
          <w:highlight w:val="none"/>
        </w:rPr>
        <w:t>、井道局部改造、旧电梯的拆除回收、电梯门厅装饰改造恢复、质保售后服务等工作。</w:t>
      </w:r>
    </w:p>
    <w:p w14:paraId="38CE5C58">
      <w:pPr>
        <w:pStyle w:val="389"/>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应按采购人现场实际情况进行设备布局及安装，不得以不完全了解现场情况为理由而向采购人提出任何索赔或其他要求，对此采购人不承担任何责任并不会支付由此带来的其他费用。</w:t>
      </w:r>
    </w:p>
    <w:p w14:paraId="33A35471">
      <w:pPr>
        <w:pStyle w:val="389"/>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3、本章所提供的项目设备技术参数中如未明确说明，但可以推断是整个设备安装和运行时不可缺少或必需的配套材料和工作，供应商必须在响应文件中列出，并计入总价，采购人将不再支付任何费用。</w:t>
      </w:r>
    </w:p>
    <w:p w14:paraId="7AFEBA12">
      <w:pPr>
        <w:pStyle w:val="389"/>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4、电梯安装调试完成后，</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须办理电梯</w:t>
      </w:r>
      <w:r>
        <w:rPr>
          <w:rFonts w:hint="eastAsia" w:ascii="华文仿宋" w:hAnsi="华文仿宋" w:eastAsia="华文仿宋" w:cs="华文仿宋"/>
          <w:color w:val="auto"/>
          <w:sz w:val="28"/>
          <w:szCs w:val="28"/>
          <w:highlight w:val="none"/>
          <w:lang w:val="en-US" w:eastAsia="zh-CN"/>
        </w:rPr>
        <w:t>监检</w:t>
      </w:r>
      <w:r>
        <w:rPr>
          <w:rFonts w:hint="eastAsia" w:ascii="华文仿宋" w:hAnsi="华文仿宋" w:eastAsia="华文仿宋" w:cs="华文仿宋"/>
          <w:color w:val="auto"/>
          <w:sz w:val="28"/>
          <w:szCs w:val="28"/>
          <w:highlight w:val="none"/>
        </w:rPr>
        <w:t>手续和领取电梯使用许可证，该项费用供应商必须在响应文件中列出，并计入总价，采购人将不再支付任何费用。</w:t>
      </w:r>
    </w:p>
    <w:p w14:paraId="635D6744">
      <w:pPr>
        <w:pStyle w:val="389"/>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5、在项目实施期间所发生的一切安全责任事故均由</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负责承担，</w:t>
      </w:r>
      <w:r>
        <w:rPr>
          <w:rFonts w:hint="eastAsia" w:ascii="华文仿宋" w:hAnsi="华文仿宋" w:eastAsia="华文仿宋" w:cs="华文仿宋"/>
          <w:color w:val="auto"/>
          <w:sz w:val="28"/>
          <w:szCs w:val="28"/>
          <w:highlight w:val="none"/>
          <w:lang w:eastAsia="zh-CN"/>
        </w:rPr>
        <w:t>供应商</w:t>
      </w:r>
      <w:r>
        <w:rPr>
          <w:rFonts w:hint="eastAsia" w:ascii="华文仿宋" w:hAnsi="华文仿宋" w:eastAsia="华文仿宋" w:cs="华文仿宋"/>
          <w:color w:val="auto"/>
          <w:sz w:val="28"/>
          <w:szCs w:val="28"/>
          <w:highlight w:val="none"/>
        </w:rPr>
        <w:t>应做好相关安全教育工作及现场安全保护措施，并配备相关安全管理人员负责现场安全施工工作。</w:t>
      </w:r>
    </w:p>
    <w:p w14:paraId="766E0AE5">
      <w:pPr>
        <w:spacing w:line="560" w:lineRule="exact"/>
        <w:jc w:val="left"/>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b/>
          <w:color w:val="auto"/>
          <w:sz w:val="28"/>
          <w:szCs w:val="28"/>
          <w:highlight w:val="none"/>
        </w:rPr>
        <w:t xml:space="preserve">  </w:t>
      </w:r>
      <w:r>
        <w:rPr>
          <w:rFonts w:hint="eastAsia" w:ascii="华文仿宋" w:hAnsi="华文仿宋" w:eastAsia="华文仿宋" w:cs="华文仿宋"/>
          <w:b/>
          <w:color w:val="auto"/>
          <w:sz w:val="28"/>
          <w:szCs w:val="28"/>
          <w:highlight w:val="none"/>
          <w:lang w:val="en-US" w:eastAsia="zh-CN"/>
        </w:rPr>
        <w:t>四</w:t>
      </w:r>
      <w:r>
        <w:rPr>
          <w:rFonts w:hint="eastAsia" w:ascii="华文仿宋" w:hAnsi="华文仿宋" w:eastAsia="华文仿宋" w:cs="华文仿宋"/>
          <w:b/>
          <w:color w:val="auto"/>
          <w:sz w:val="28"/>
          <w:szCs w:val="28"/>
          <w:highlight w:val="none"/>
        </w:rPr>
        <w:t>、商务部分要求</w:t>
      </w:r>
    </w:p>
    <w:p w14:paraId="09095BF3">
      <w:pPr>
        <w:spacing w:line="560" w:lineRule="exact"/>
        <w:ind w:firstLine="280" w:firstLineChars="100"/>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
          <w:color w:val="auto"/>
          <w:sz w:val="28"/>
          <w:szCs w:val="28"/>
          <w:highlight w:val="none"/>
        </w:rPr>
        <w:t>（一）质保及售后服务要求</w:t>
      </w:r>
    </w:p>
    <w:p w14:paraId="70C08B9C">
      <w:pPr>
        <w:spacing w:line="560" w:lineRule="exact"/>
        <w:ind w:firstLine="254" w:firstLineChars="91"/>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 xml:space="preserve">  1、质量保</w:t>
      </w:r>
      <w:r>
        <w:rPr>
          <w:rFonts w:hint="eastAsia" w:ascii="华文仿宋" w:hAnsi="华文仿宋" w:eastAsia="华文仿宋" w:cs="华文仿宋"/>
          <w:bCs/>
          <w:color w:val="auto"/>
          <w:sz w:val="28"/>
          <w:szCs w:val="28"/>
          <w:highlight w:val="none"/>
          <w:lang w:val="en-US" w:eastAsia="zh-CN"/>
        </w:rPr>
        <w:t>修</w:t>
      </w:r>
      <w:r>
        <w:rPr>
          <w:rFonts w:hint="eastAsia" w:ascii="华文仿宋" w:hAnsi="华文仿宋" w:eastAsia="华文仿宋" w:cs="华文仿宋"/>
          <w:bCs/>
          <w:color w:val="auto"/>
          <w:sz w:val="28"/>
          <w:szCs w:val="28"/>
          <w:highlight w:val="none"/>
        </w:rPr>
        <w:t>期</w:t>
      </w:r>
    </w:p>
    <w:p w14:paraId="26969D36">
      <w:pPr>
        <w:spacing w:line="560" w:lineRule="exact"/>
        <w:ind w:firstLine="254" w:firstLineChars="91"/>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w:t>
      </w:r>
      <w:r>
        <w:rPr>
          <w:rFonts w:hint="eastAsia" w:ascii="华文仿宋" w:hAnsi="华文仿宋" w:eastAsia="华文仿宋" w:cs="华文仿宋"/>
          <w:bCs/>
          <w:color w:val="auto"/>
          <w:sz w:val="28"/>
          <w:szCs w:val="28"/>
          <w:highlight w:val="none"/>
          <w:lang w:val="en-US" w:eastAsia="zh-CN"/>
        </w:rPr>
        <w:t>按</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lang w:val="en-US" w:eastAsia="zh-CN"/>
        </w:rPr>
        <w:t>南京市电梯安全条例</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lang w:val="en-US" w:eastAsia="zh-CN"/>
        </w:rPr>
        <w:t>规定，</w:t>
      </w:r>
      <w:r>
        <w:rPr>
          <w:rFonts w:hint="eastAsia" w:ascii="华文仿宋" w:hAnsi="华文仿宋" w:eastAsia="华文仿宋" w:cs="华文仿宋"/>
          <w:bCs/>
          <w:color w:val="auto"/>
          <w:sz w:val="28"/>
          <w:szCs w:val="28"/>
          <w:highlight w:val="none"/>
        </w:rPr>
        <w:t>供应商提供的</w:t>
      </w:r>
      <w:r>
        <w:rPr>
          <w:rFonts w:hint="eastAsia" w:ascii="华文仿宋" w:hAnsi="华文仿宋" w:eastAsia="华文仿宋" w:cs="华文仿宋"/>
          <w:bCs/>
          <w:color w:val="auto"/>
          <w:sz w:val="28"/>
          <w:szCs w:val="28"/>
          <w:highlight w:val="none"/>
          <w:lang w:val="en-US" w:eastAsia="zh-CN"/>
        </w:rPr>
        <w:t>电梯设备</w:t>
      </w:r>
      <w:r>
        <w:rPr>
          <w:rFonts w:hint="eastAsia" w:ascii="华文仿宋" w:hAnsi="华文仿宋" w:eastAsia="华文仿宋" w:cs="华文仿宋"/>
          <w:bCs/>
          <w:color w:val="auto"/>
          <w:sz w:val="28"/>
          <w:szCs w:val="28"/>
          <w:highlight w:val="none"/>
        </w:rPr>
        <w:t>质量保</w:t>
      </w:r>
      <w:r>
        <w:rPr>
          <w:rFonts w:hint="eastAsia" w:ascii="华文仿宋" w:hAnsi="华文仿宋" w:eastAsia="华文仿宋" w:cs="华文仿宋"/>
          <w:bCs/>
          <w:color w:val="auto"/>
          <w:sz w:val="28"/>
          <w:szCs w:val="28"/>
          <w:highlight w:val="none"/>
          <w:lang w:val="en-US" w:eastAsia="zh-CN"/>
        </w:rPr>
        <w:t>修</w:t>
      </w:r>
      <w:r>
        <w:rPr>
          <w:rFonts w:hint="eastAsia" w:ascii="华文仿宋" w:hAnsi="华文仿宋" w:eastAsia="华文仿宋" w:cs="华文仿宋"/>
          <w:bCs/>
          <w:color w:val="auto"/>
          <w:sz w:val="28"/>
          <w:szCs w:val="28"/>
          <w:highlight w:val="none"/>
        </w:rPr>
        <w:t>期</w:t>
      </w:r>
      <w:r>
        <w:rPr>
          <w:rFonts w:hint="eastAsia" w:ascii="华文仿宋" w:hAnsi="华文仿宋" w:eastAsia="华文仿宋" w:cs="华文仿宋"/>
          <w:bCs/>
          <w:color w:val="auto"/>
          <w:sz w:val="28"/>
          <w:szCs w:val="28"/>
          <w:highlight w:val="none"/>
          <w:lang w:val="en-US" w:eastAsia="zh-CN"/>
        </w:rPr>
        <w:t>最低为五</w:t>
      </w:r>
      <w:r>
        <w:rPr>
          <w:rFonts w:hint="eastAsia" w:ascii="华文仿宋" w:hAnsi="华文仿宋" w:eastAsia="华文仿宋" w:cs="华文仿宋"/>
          <w:bCs/>
          <w:color w:val="auto"/>
          <w:sz w:val="28"/>
          <w:szCs w:val="28"/>
          <w:highlight w:val="none"/>
        </w:rPr>
        <w:t>年，核心部件按评分标准提高质保（质量保质期开始时间为项目验收合格之日起计算），在非人为损坏的情况下，电梯如发生质量问题，均由</w:t>
      </w: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bCs/>
          <w:color w:val="auto"/>
          <w:sz w:val="28"/>
          <w:szCs w:val="28"/>
          <w:highlight w:val="none"/>
        </w:rPr>
        <w:t>承担。</w:t>
      </w:r>
    </w:p>
    <w:p w14:paraId="05FF1CDF">
      <w:pPr>
        <w:spacing w:line="560" w:lineRule="exact"/>
        <w:ind w:firstLine="254" w:firstLineChars="91"/>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（2）</w:t>
      </w:r>
      <w:r>
        <w:rPr>
          <w:rFonts w:hint="eastAsia" w:ascii="华文仿宋" w:hAnsi="华文仿宋" w:eastAsia="华文仿宋" w:cs="华文仿宋"/>
          <w:bCs/>
          <w:color w:val="auto"/>
          <w:sz w:val="28"/>
          <w:szCs w:val="28"/>
          <w:highlight w:val="none"/>
          <w:lang w:val="en-US" w:eastAsia="zh-CN"/>
        </w:rPr>
        <w:t>供应商</w:t>
      </w:r>
      <w:r>
        <w:rPr>
          <w:rFonts w:hint="eastAsia" w:ascii="华文仿宋" w:hAnsi="华文仿宋" w:eastAsia="华文仿宋" w:cs="华文仿宋"/>
          <w:bCs/>
          <w:color w:val="auto"/>
          <w:sz w:val="28"/>
          <w:szCs w:val="28"/>
          <w:highlight w:val="none"/>
        </w:rPr>
        <w:t>产品属于国家规定“三包”范围的，其产品质量</w:t>
      </w:r>
      <w:r>
        <w:rPr>
          <w:rFonts w:hint="eastAsia" w:ascii="华文仿宋" w:hAnsi="华文仿宋" w:eastAsia="华文仿宋" w:cs="华文仿宋"/>
          <w:bCs/>
          <w:color w:val="auto"/>
          <w:sz w:val="28"/>
          <w:szCs w:val="28"/>
          <w:highlight w:val="none"/>
          <w:lang w:val="en-US" w:eastAsia="zh-CN"/>
        </w:rPr>
        <w:t>保修</w:t>
      </w:r>
      <w:r>
        <w:rPr>
          <w:rFonts w:hint="eastAsia" w:ascii="华文仿宋" w:hAnsi="华文仿宋" w:eastAsia="华文仿宋" w:cs="华文仿宋"/>
          <w:bCs/>
          <w:color w:val="auto"/>
          <w:sz w:val="28"/>
          <w:szCs w:val="28"/>
          <w:highlight w:val="none"/>
        </w:rPr>
        <w:t>期不得低于“三包”规定。</w:t>
      </w:r>
    </w:p>
    <w:p w14:paraId="51A14375">
      <w:pPr>
        <w:spacing w:line="560" w:lineRule="exact"/>
        <w:ind w:firstLine="254" w:firstLineChars="91"/>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（3）供应商的质量保</w:t>
      </w:r>
      <w:r>
        <w:rPr>
          <w:rFonts w:hint="eastAsia" w:ascii="华文仿宋" w:hAnsi="华文仿宋" w:eastAsia="华文仿宋" w:cs="华文仿宋"/>
          <w:bCs/>
          <w:color w:val="auto"/>
          <w:sz w:val="28"/>
          <w:szCs w:val="28"/>
          <w:highlight w:val="none"/>
          <w:lang w:val="en-US" w:eastAsia="zh-CN"/>
        </w:rPr>
        <w:t>修</w:t>
      </w:r>
      <w:r>
        <w:rPr>
          <w:rFonts w:hint="eastAsia" w:ascii="华文仿宋" w:hAnsi="华文仿宋" w:eastAsia="华文仿宋" w:cs="华文仿宋"/>
          <w:bCs/>
          <w:color w:val="auto"/>
          <w:sz w:val="28"/>
          <w:szCs w:val="28"/>
          <w:highlight w:val="none"/>
        </w:rPr>
        <w:t>期承诺优于国家“三包”规定的，按供应商实际承诺执行。</w:t>
      </w:r>
    </w:p>
    <w:p w14:paraId="660F92BF">
      <w:pPr>
        <w:spacing w:line="560" w:lineRule="exact"/>
        <w:ind w:firstLine="254" w:firstLineChars="91"/>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（4）</w:t>
      </w:r>
      <w:r>
        <w:rPr>
          <w:rFonts w:hint="eastAsia" w:ascii="华文仿宋" w:hAnsi="华文仿宋" w:eastAsia="华文仿宋" w:cs="华文仿宋"/>
          <w:bCs/>
          <w:color w:val="auto"/>
          <w:sz w:val="28"/>
          <w:szCs w:val="28"/>
          <w:highlight w:val="none"/>
          <w:lang w:val="en-US" w:eastAsia="zh-CN"/>
        </w:rPr>
        <w:t>供货</w:t>
      </w:r>
      <w:r>
        <w:rPr>
          <w:rFonts w:hint="eastAsia" w:ascii="华文仿宋" w:hAnsi="华文仿宋" w:eastAsia="华文仿宋" w:cs="华文仿宋"/>
          <w:bCs/>
          <w:color w:val="auto"/>
          <w:sz w:val="28"/>
          <w:szCs w:val="28"/>
          <w:highlight w:val="none"/>
        </w:rPr>
        <w:t>产品由制造商（指产品生产制造商，或其负责销售、售后服务机构）负责标准售后服务的，应当在响应文件中予以明确说明,并附制造商售后服务承诺。</w:t>
      </w:r>
    </w:p>
    <w:p w14:paraId="13F450B2">
      <w:pPr>
        <w:spacing w:line="560" w:lineRule="exact"/>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 xml:space="preserve">    2、售后服务内容</w:t>
      </w:r>
    </w:p>
    <w:p w14:paraId="7F1A14E0">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（1）供应商应具备完善的售后服务体系，在南京市有固定的维修人员并有能力及时处理所有可能发生的故障。</w:t>
      </w:r>
    </w:p>
    <w:p w14:paraId="39551D61">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供应商在质量保</w:t>
      </w:r>
      <w:r>
        <w:rPr>
          <w:rFonts w:hint="eastAsia" w:ascii="华文仿宋" w:hAnsi="华文仿宋" w:eastAsia="华文仿宋" w:cs="华文仿宋"/>
          <w:bCs/>
          <w:color w:val="auto"/>
          <w:sz w:val="28"/>
          <w:szCs w:val="28"/>
          <w:highlight w:val="none"/>
          <w:lang w:val="en-US" w:eastAsia="zh-CN"/>
        </w:rPr>
        <w:t>修</w:t>
      </w:r>
      <w:r>
        <w:rPr>
          <w:rFonts w:hint="eastAsia" w:ascii="华文仿宋" w:hAnsi="华文仿宋" w:eastAsia="华文仿宋" w:cs="华文仿宋"/>
          <w:bCs/>
          <w:color w:val="auto"/>
          <w:sz w:val="28"/>
          <w:szCs w:val="28"/>
          <w:highlight w:val="none"/>
        </w:rPr>
        <w:t>期内应当为采购人提供以下技术支持和服务：</w:t>
      </w:r>
    </w:p>
    <w:p w14:paraId="4BF8FFD1">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1）电话咨询</w:t>
      </w:r>
    </w:p>
    <w:p w14:paraId="5FDB31AA">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bCs/>
          <w:color w:val="auto"/>
          <w:sz w:val="28"/>
          <w:szCs w:val="28"/>
          <w:highlight w:val="none"/>
        </w:rPr>
        <w:t>应当为采购人提供技术支持电话，解答采购人在使用中遇到的问题，及时为采购人提出解决问题的建议。</w:t>
      </w:r>
    </w:p>
    <w:p w14:paraId="137B7A06">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 xml:space="preserve"> 2）现场响应</w:t>
      </w:r>
    </w:p>
    <w:p w14:paraId="15C75EC3">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除不可抗力外，接到电梯困人报告后，应当在</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0分钟内到达现场开展救援，并及时向质量技术监督部门报告；接到其他故障报告后，应当在60分钟内到达现场排除故障。如有承诺按承诺要求。</w:t>
      </w:r>
    </w:p>
    <w:p w14:paraId="731ADABC">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3）其他服务要求</w:t>
      </w:r>
    </w:p>
    <w:p w14:paraId="32AA6DB9">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在质保期内</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lang w:val="en-US" w:eastAsia="zh-CN"/>
        </w:rPr>
        <w:t>如属产品和安装质量原因，</w:t>
      </w: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bCs/>
          <w:color w:val="auto"/>
          <w:sz w:val="28"/>
          <w:szCs w:val="28"/>
          <w:highlight w:val="none"/>
        </w:rPr>
        <w:t>向采购人免费提供配件和上门维修服务，同时参照产品包装内生产厂商保修承诺，且以对采购人最优承诺为准。向采购人提供电梯备品备件，以及电梯安全运行的技术指导和服务，协助开展应急救援等专业技能培训。</w:t>
      </w:r>
    </w:p>
    <w:p w14:paraId="17893D5D">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（2）质保期过后服务要求</w:t>
      </w:r>
    </w:p>
    <w:p w14:paraId="09C2A623">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1）质保期</w:t>
      </w:r>
      <w:r>
        <w:rPr>
          <w:rFonts w:hint="eastAsia" w:ascii="华文仿宋" w:hAnsi="华文仿宋" w:eastAsia="华文仿宋" w:cs="华文仿宋"/>
          <w:bCs/>
          <w:color w:val="auto"/>
          <w:sz w:val="28"/>
          <w:szCs w:val="28"/>
          <w:highlight w:val="none"/>
          <w:lang w:val="en-US" w:eastAsia="zh-CN"/>
        </w:rPr>
        <w:t>满</w:t>
      </w:r>
      <w:r>
        <w:rPr>
          <w:rFonts w:hint="eastAsia" w:ascii="华文仿宋" w:hAnsi="华文仿宋" w:eastAsia="华文仿宋" w:cs="华文仿宋"/>
          <w:bCs/>
          <w:color w:val="auto"/>
          <w:sz w:val="28"/>
          <w:szCs w:val="28"/>
          <w:highlight w:val="none"/>
        </w:rPr>
        <w:t>后，供应商应同样提供免费电话咨询服务，并应承诺提供产品上门维护服务。</w:t>
      </w:r>
    </w:p>
    <w:p w14:paraId="21420DE1">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2）质保期</w:t>
      </w:r>
      <w:r>
        <w:rPr>
          <w:rFonts w:hint="eastAsia" w:ascii="华文仿宋" w:hAnsi="华文仿宋" w:eastAsia="华文仿宋" w:cs="华文仿宋"/>
          <w:bCs/>
          <w:color w:val="auto"/>
          <w:sz w:val="28"/>
          <w:szCs w:val="28"/>
          <w:highlight w:val="none"/>
          <w:lang w:val="en-US" w:eastAsia="zh-CN"/>
        </w:rPr>
        <w:t>满</w:t>
      </w:r>
      <w:r>
        <w:rPr>
          <w:rFonts w:hint="eastAsia" w:ascii="华文仿宋" w:hAnsi="华文仿宋" w:eastAsia="华文仿宋" w:cs="华文仿宋"/>
          <w:bCs/>
          <w:color w:val="auto"/>
          <w:sz w:val="28"/>
          <w:szCs w:val="28"/>
          <w:highlight w:val="none"/>
        </w:rPr>
        <w:t>后，采购人需要继续由原供应商提供售后服务的，该供应商应以优惠价格提供售后服务。保修期外的维护保养，供应商应承诺只收取成本费并提供终身免费技术支持服务。</w:t>
      </w:r>
    </w:p>
    <w:p w14:paraId="7B88E01B">
      <w:pPr>
        <w:pStyle w:val="284"/>
        <w:spacing w:line="560" w:lineRule="exact"/>
        <w:ind w:firstLine="490" w:firstLineChars="175"/>
        <w:jc w:val="left"/>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（二）交货条件</w:t>
      </w:r>
    </w:p>
    <w:p w14:paraId="0B7F233E">
      <w:pPr>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Cs/>
          <w:color w:val="auto"/>
          <w:sz w:val="28"/>
          <w:szCs w:val="28"/>
          <w:highlight w:val="none"/>
        </w:rPr>
        <w:t>供应商</w:t>
      </w:r>
      <w:r>
        <w:rPr>
          <w:rFonts w:hint="eastAsia" w:ascii="华文仿宋" w:hAnsi="华文仿宋" w:eastAsia="华文仿宋" w:cs="华文仿宋"/>
          <w:bCs/>
          <w:color w:val="auto"/>
          <w:sz w:val="28"/>
          <w:szCs w:val="28"/>
          <w:highlight w:val="none"/>
          <w:lang w:val="en-US" w:eastAsia="zh-CN"/>
        </w:rPr>
        <w:t>提供新设备</w:t>
      </w:r>
      <w:r>
        <w:rPr>
          <w:rFonts w:hint="eastAsia" w:ascii="华文仿宋" w:hAnsi="华文仿宋" w:eastAsia="华文仿宋" w:cs="华文仿宋"/>
          <w:bCs/>
          <w:color w:val="auto"/>
          <w:sz w:val="28"/>
          <w:szCs w:val="28"/>
          <w:highlight w:val="none"/>
        </w:rPr>
        <w:t>签认图后，交由采购人确认。采购人在收到供应商图纸后七天内确定签认并交至供应商，作为供应商设备生产和设备交货的依据。</w:t>
      </w:r>
    </w:p>
    <w:p w14:paraId="6A67E0DF">
      <w:pPr>
        <w:widowControl/>
        <w:adjustRightInd w:val="0"/>
        <w:spacing w:line="560" w:lineRule="exact"/>
        <w:ind w:firstLine="490" w:firstLineChars="175"/>
        <w:jc w:val="left"/>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b/>
          <w:color w:val="auto"/>
          <w:sz w:val="28"/>
          <w:szCs w:val="28"/>
          <w:highlight w:val="none"/>
        </w:rPr>
        <w:t>（三）交付要求</w:t>
      </w:r>
    </w:p>
    <w:p w14:paraId="7EF6A2FE">
      <w:pPr>
        <w:widowControl/>
        <w:adjustRightInd w:val="0"/>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bCs/>
          <w:color w:val="auto"/>
          <w:sz w:val="28"/>
          <w:szCs w:val="28"/>
          <w:highlight w:val="none"/>
        </w:rPr>
        <w:t>负责将所有设备运到采购人指定地点，由其负责办理运输、装卸、安装调试等，费用由</w:t>
      </w: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color w:val="auto"/>
          <w:sz w:val="28"/>
          <w:szCs w:val="28"/>
          <w:highlight w:val="none"/>
        </w:rPr>
        <w:t>负责；由采购人组织验收，检验不合格或不符合质量要求，</w:t>
      </w: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color w:val="auto"/>
          <w:sz w:val="28"/>
          <w:szCs w:val="28"/>
          <w:highlight w:val="none"/>
        </w:rPr>
        <w:t>除无条件退货、返工外，还应承担采购人的一切损失。</w:t>
      </w:r>
    </w:p>
    <w:p w14:paraId="390ED3AB">
      <w:pPr>
        <w:spacing w:line="560" w:lineRule="exact"/>
        <w:ind w:firstLine="490" w:firstLineChars="175"/>
        <w:jc w:val="left"/>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b/>
          <w:color w:val="auto"/>
          <w:sz w:val="28"/>
          <w:szCs w:val="28"/>
          <w:highlight w:val="none"/>
        </w:rPr>
        <w:t>（四）验收要求</w:t>
      </w:r>
    </w:p>
    <w:p w14:paraId="23E5289D">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1、项目完成后，</w:t>
      </w: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bCs/>
          <w:color w:val="auto"/>
          <w:sz w:val="28"/>
          <w:szCs w:val="28"/>
          <w:highlight w:val="none"/>
        </w:rPr>
        <w:t>须负责电梯全部设备的保护和清洁工作，直至设备验收合格并取得政府有关主管部门的使用证书，交付采购人之日为止。</w:t>
      </w: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bCs/>
          <w:color w:val="auto"/>
          <w:sz w:val="28"/>
          <w:szCs w:val="28"/>
          <w:highlight w:val="none"/>
        </w:rPr>
        <w:t>免费提供电梯轿厢成品保护。如需临时拆装轿顶，</w:t>
      </w:r>
      <w:r>
        <w:rPr>
          <w:rFonts w:hint="eastAsia" w:ascii="华文仿宋" w:hAnsi="华文仿宋" w:eastAsia="华文仿宋" w:cs="华文仿宋"/>
          <w:bCs/>
          <w:color w:val="auto"/>
          <w:sz w:val="28"/>
          <w:szCs w:val="28"/>
          <w:highlight w:val="none"/>
          <w:lang w:eastAsia="zh-CN"/>
        </w:rPr>
        <w:t>供应商</w:t>
      </w:r>
      <w:r>
        <w:rPr>
          <w:rFonts w:hint="eastAsia" w:ascii="华文仿宋" w:hAnsi="华文仿宋" w:eastAsia="华文仿宋" w:cs="华文仿宋"/>
          <w:bCs/>
          <w:color w:val="auto"/>
          <w:sz w:val="28"/>
          <w:szCs w:val="28"/>
          <w:highlight w:val="none"/>
        </w:rPr>
        <w:t>不收取临时拆装费。</w:t>
      </w:r>
    </w:p>
    <w:p w14:paraId="56054038">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2、验收合格条件：验收结果符合国家强制性规定及本项目合同约定的产品标准和技术规格书；设备在交付采购人使用之前应通过政府有关部门验收和采购人的内部验收并取得检测合格证和准用证书；整套设备图纸及技术文件都已提交并得到接受，供应商负责首次报验，并负责承担相关费用。</w:t>
      </w:r>
    </w:p>
    <w:p w14:paraId="0F5B2026">
      <w:pPr>
        <w:spacing w:line="560" w:lineRule="exact"/>
        <w:ind w:firstLine="490" w:firstLineChars="175"/>
        <w:jc w:val="left"/>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3、验收标准：采用中华人民共和国《电梯制造与安装安全规程》（GB/T 7588.1-2020）、《电梯工程施工质量验收规范》（GB50310-2002）、《电梯技术条件》（GB/T10058-2023）</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 xml:space="preserve">电梯监督检验和定期检验规则TSG T7001-2023 </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以及</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lang w:val="en-US" w:eastAsia="zh-CN"/>
        </w:rPr>
        <w:t>南京市电梯安全条例</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lang w:val="en-US" w:eastAsia="zh-CN"/>
        </w:rPr>
        <w:t>等现行标准、规定</w:t>
      </w:r>
      <w:r>
        <w:rPr>
          <w:rFonts w:hint="eastAsia" w:ascii="华文仿宋" w:hAnsi="华文仿宋" w:eastAsia="华文仿宋" w:cs="华文仿宋"/>
          <w:bCs/>
          <w:color w:val="auto"/>
          <w:sz w:val="28"/>
          <w:szCs w:val="28"/>
          <w:highlight w:val="none"/>
        </w:rPr>
        <w:t>。</w:t>
      </w:r>
    </w:p>
    <w:p w14:paraId="2AC64ACD">
      <w:pPr>
        <w:pStyle w:val="284"/>
        <w:spacing w:line="560" w:lineRule="exact"/>
        <w:ind w:firstLine="490" w:firstLineChars="175"/>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Cs/>
          <w:color w:val="auto"/>
          <w:sz w:val="28"/>
          <w:szCs w:val="28"/>
          <w:highlight w:val="none"/>
        </w:rPr>
        <w:t>。</w:t>
      </w:r>
    </w:p>
    <w:p w14:paraId="1694AB6B">
      <w:pPr>
        <w:spacing w:line="360" w:lineRule="auto"/>
        <w:ind w:firstLine="485" w:firstLineChars="231"/>
        <w:jc w:val="center"/>
        <w:outlineLvl w:val="0"/>
        <w:rPr>
          <w:rFonts w:hint="eastAsia" w:ascii="华文仿宋" w:hAnsi="华文仿宋" w:eastAsia="华文仿宋" w:cs="华文仿宋"/>
          <w:bCs/>
          <w:color w:val="auto"/>
          <w:sz w:val="30"/>
          <w:szCs w:val="30"/>
          <w:highlight w:val="none"/>
        </w:rPr>
      </w:pPr>
      <w:r>
        <w:rPr>
          <w:rFonts w:hint="eastAsia" w:ascii="方正小标宋_GBK" w:hAnsi="方正小标宋_GBK" w:eastAsia="方正小标宋_GBK" w:cs="方正小标宋_GBK"/>
          <w:b w:val="0"/>
          <w:bCs w:val="0"/>
          <w:color w:val="auto"/>
          <w:spacing w:val="0"/>
          <w:szCs w:val="21"/>
          <w:highlight w:val="yellow"/>
          <w:lang w:val="zh-CN"/>
        </w:rPr>
        <w:br w:type="page"/>
      </w:r>
      <w:bookmarkStart w:id="51" w:name="_Toc300"/>
      <w:r>
        <w:rPr>
          <w:rFonts w:hint="eastAsia" w:ascii="方正小标宋_GBK" w:hAnsi="方正小标宋_GBK" w:eastAsia="方正小标宋_GBK" w:cs="方正小标宋_GBK"/>
          <w:color w:val="auto"/>
          <w:sz w:val="36"/>
          <w:szCs w:val="36"/>
          <w:highlight w:val="none"/>
          <w:lang w:val="zh-CN"/>
        </w:rPr>
        <w:t>第五章</w:t>
      </w:r>
      <w:r>
        <w:rPr>
          <w:rFonts w:hint="eastAsia" w:ascii="方正小标宋_GBK" w:hAnsi="方正小标宋_GBK" w:eastAsia="方正小标宋_GBK" w:cs="方正小标宋_GBK"/>
          <w:color w:val="auto"/>
          <w:sz w:val="36"/>
          <w:szCs w:val="36"/>
          <w:highlight w:val="none"/>
        </w:rPr>
        <w:t xml:space="preserve"> </w:t>
      </w:r>
      <w:bookmarkEnd w:id="48"/>
      <w:bookmarkEnd w:id="49"/>
      <w:r>
        <w:rPr>
          <w:rFonts w:hint="eastAsia" w:ascii="方正小标宋_GBK" w:hAnsi="方正小标宋_GBK" w:eastAsia="方正小标宋_GBK" w:cs="方正小标宋_GBK"/>
          <w:color w:val="auto"/>
          <w:sz w:val="36"/>
          <w:szCs w:val="36"/>
          <w:highlight w:val="none"/>
        </w:rPr>
        <w:t>合同内容及格式</w:t>
      </w:r>
      <w:bookmarkEnd w:id="51"/>
    </w:p>
    <w:p w14:paraId="1004E28F">
      <w:pPr>
        <w:snapToGrid w:val="0"/>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（合同编号：</w:t>
      </w:r>
      <w:r>
        <w:rPr>
          <w:rFonts w:hint="eastAsia" w:ascii="方正仿宋_GBK" w:hAnsi="方正仿宋_GBK" w:eastAsia="方正仿宋_GBK" w:cs="方正仿宋_GBK"/>
          <w:b/>
          <w:bCs/>
          <w:color w:val="auto"/>
          <w:sz w:val="32"/>
          <w:szCs w:val="32"/>
          <w:highlight w:val="none"/>
          <w:u w:val="single"/>
        </w:rPr>
        <w:t>FX-2026-</w:t>
      </w:r>
      <w:r>
        <w:rPr>
          <w:rFonts w:hint="eastAsia" w:ascii="方正仿宋_GBK" w:hAnsi="方正仿宋_GBK" w:eastAsia="方正仿宋_GBK" w:cs="方正仿宋_GBK"/>
          <w:b/>
          <w:bCs/>
          <w:color w:val="auto"/>
          <w:sz w:val="32"/>
          <w:szCs w:val="32"/>
          <w:highlight w:val="none"/>
          <w:u w:val="single"/>
          <w:lang w:val="en-US" w:eastAsia="zh-CN"/>
        </w:rPr>
        <w:t>10</w:t>
      </w:r>
      <w:r>
        <w:rPr>
          <w:rFonts w:hint="eastAsia" w:ascii="方正仿宋_GBK" w:hAnsi="方正仿宋_GBK" w:eastAsia="方正仿宋_GBK" w:cs="方正仿宋_GBK"/>
          <w:b/>
          <w:bCs/>
          <w:color w:val="auto"/>
          <w:sz w:val="32"/>
          <w:szCs w:val="32"/>
          <w:highlight w:val="none"/>
        </w:rPr>
        <w:t>）</w:t>
      </w:r>
    </w:p>
    <w:p w14:paraId="0C1D708B">
      <w:pPr>
        <w:snapToGrid w:val="0"/>
        <w:spacing w:line="360" w:lineRule="auto"/>
        <w:jc w:val="center"/>
        <w:rPr>
          <w:rFonts w:ascii="方正仿宋_GBK" w:eastAsia="方正仿宋_GBK" w:cs="方正仿宋_GBK"/>
          <w:b/>
          <w:bCs/>
          <w:color w:val="auto"/>
          <w:sz w:val="36"/>
          <w:szCs w:val="36"/>
          <w:highlight w:val="none"/>
        </w:rPr>
      </w:pPr>
    </w:p>
    <w:p w14:paraId="388F5875">
      <w:pPr>
        <w:snapToGrid w:val="0"/>
        <w:spacing w:line="360" w:lineRule="auto"/>
        <w:ind w:firstLine="480" w:firstLineChars="200"/>
        <w:rPr>
          <w:rFonts w:ascii="方正仿宋_GBK" w:eastAsia="方正仿宋_GBK" w:cs="方正仿宋_GBK"/>
          <w:color w:val="auto"/>
          <w:sz w:val="24"/>
          <w:szCs w:val="24"/>
          <w:highlight w:val="none"/>
        </w:rPr>
      </w:pPr>
    </w:p>
    <w:p w14:paraId="36CCAA9F">
      <w:pPr>
        <w:snapToGrid w:val="0"/>
        <w:spacing w:line="360" w:lineRule="auto"/>
        <w:jc w:val="center"/>
        <w:rPr>
          <w:rFonts w:ascii="方正仿宋_GBK" w:eastAsia="方正仿宋_GBK" w:cs="方正仿宋_GBK"/>
          <w:b/>
          <w:bCs/>
          <w:color w:val="auto"/>
          <w:sz w:val="36"/>
          <w:szCs w:val="36"/>
          <w:highlight w:val="none"/>
        </w:rPr>
      </w:pPr>
    </w:p>
    <w:p w14:paraId="309AE82C">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办公用房维修改造工程</w:t>
      </w:r>
    </w:p>
    <w:p w14:paraId="3882DAA0">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施工合同</w:t>
      </w:r>
    </w:p>
    <w:p w14:paraId="1B29941E">
      <w:pPr>
        <w:snapToGrid w:val="0"/>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（示范文本）</w:t>
      </w:r>
    </w:p>
    <w:p w14:paraId="5B43DBF1">
      <w:pPr>
        <w:snapToGrid w:val="0"/>
        <w:spacing w:line="360" w:lineRule="auto"/>
        <w:ind w:firstLine="480" w:firstLineChars="200"/>
        <w:rPr>
          <w:rFonts w:ascii="方正仿宋_GBK" w:eastAsia="方正仿宋_GBK" w:cs="方正仿宋_GBK"/>
          <w:color w:val="auto"/>
          <w:sz w:val="24"/>
          <w:szCs w:val="24"/>
          <w:highlight w:val="none"/>
        </w:rPr>
      </w:pPr>
    </w:p>
    <w:p w14:paraId="5006BEB8">
      <w:pPr>
        <w:pStyle w:val="33"/>
        <w:rPr>
          <w:color w:val="auto"/>
          <w:highlight w:val="none"/>
        </w:rPr>
      </w:pPr>
    </w:p>
    <w:p w14:paraId="17D9C074">
      <w:pPr>
        <w:snapToGrid w:val="0"/>
        <w:spacing w:line="360" w:lineRule="auto"/>
        <w:ind w:firstLineChars="200"/>
        <w:rPr>
          <w:rFonts w:hint="eastAsia" w:ascii="方正黑体_GBK" w:hAnsi="方正黑体_GBK" w:eastAsia="方正黑体_GBK" w:cs="方正黑体_GBK"/>
          <w:color w:val="auto"/>
          <w:sz w:val="36"/>
          <w:szCs w:val="36"/>
          <w:highlight w:val="none"/>
          <w:u w:val="single"/>
        </w:rPr>
      </w:pPr>
      <w:r>
        <w:rPr>
          <w:rFonts w:hint="eastAsia" w:ascii="方正黑体_GBK" w:hAnsi="方正黑体_GBK" w:eastAsia="方正黑体_GBK" w:cs="方正黑体_GBK"/>
          <w:color w:val="auto"/>
          <w:sz w:val="36"/>
          <w:szCs w:val="36"/>
          <w:highlight w:val="none"/>
        </w:rPr>
        <w:t>项目名称：</w:t>
      </w:r>
      <w:r>
        <w:rPr>
          <w:rFonts w:hint="eastAsia" w:ascii="方正黑体_GBK" w:hAnsi="方正黑体_GBK" w:eastAsia="方正黑体_GBK" w:cs="方正黑体_GBK"/>
          <w:color w:val="auto"/>
          <w:sz w:val="36"/>
          <w:szCs w:val="36"/>
          <w:highlight w:val="none"/>
          <w:u w:val="single"/>
          <w:lang w:eastAsia="zh-CN"/>
        </w:rPr>
        <w:t>水佐岗49号电梯维修改造项目</w:t>
      </w:r>
      <w:r>
        <w:rPr>
          <w:rFonts w:hint="eastAsia" w:ascii="方正黑体_GBK" w:hAnsi="方正黑体_GBK" w:eastAsia="方正黑体_GBK" w:cs="方正黑体_GBK"/>
          <w:color w:val="auto"/>
          <w:sz w:val="36"/>
          <w:szCs w:val="36"/>
          <w:highlight w:val="none"/>
          <w:u w:val="single"/>
        </w:rPr>
        <w:t xml:space="preserve"> </w:t>
      </w:r>
    </w:p>
    <w:p w14:paraId="2C0A7D3B">
      <w:pPr>
        <w:snapToGrid w:val="0"/>
        <w:spacing w:line="360" w:lineRule="auto"/>
        <w:ind w:firstLine="480" w:firstLineChars="200"/>
        <w:rPr>
          <w:rFonts w:ascii="方正仿宋_GBK" w:eastAsia="方正仿宋_GBK" w:cs="方正仿宋_GBK"/>
          <w:color w:val="auto"/>
          <w:sz w:val="24"/>
          <w:szCs w:val="24"/>
          <w:highlight w:val="none"/>
        </w:rPr>
      </w:pPr>
    </w:p>
    <w:p w14:paraId="539EFD64">
      <w:pPr>
        <w:snapToGrid w:val="0"/>
        <w:spacing w:line="360" w:lineRule="auto"/>
        <w:ind w:firstLine="480" w:firstLineChars="200"/>
        <w:rPr>
          <w:rFonts w:ascii="方正仿宋_GBK" w:eastAsia="方正仿宋_GBK" w:cs="方正仿宋_GBK"/>
          <w:color w:val="auto"/>
          <w:sz w:val="24"/>
          <w:szCs w:val="24"/>
          <w:highlight w:val="none"/>
        </w:rPr>
      </w:pPr>
    </w:p>
    <w:p w14:paraId="7FBE365E">
      <w:pPr>
        <w:snapToGrid w:val="0"/>
        <w:spacing w:line="360" w:lineRule="auto"/>
        <w:ind w:firstLine="480" w:firstLineChars="200"/>
        <w:rPr>
          <w:rFonts w:ascii="方正仿宋_GBK" w:eastAsia="方正仿宋_GBK" w:cs="方正仿宋_GBK"/>
          <w:color w:val="auto"/>
          <w:sz w:val="24"/>
          <w:szCs w:val="24"/>
          <w:highlight w:val="none"/>
        </w:rPr>
      </w:pPr>
    </w:p>
    <w:p w14:paraId="4F6EFBDF">
      <w:pPr>
        <w:snapToGrid w:val="0"/>
        <w:spacing w:line="360" w:lineRule="auto"/>
        <w:ind w:firstLine="480" w:firstLineChars="200"/>
        <w:rPr>
          <w:rFonts w:ascii="方正仿宋_GBK" w:eastAsia="方正仿宋_GBK" w:cs="方正仿宋_GBK"/>
          <w:color w:val="auto"/>
          <w:sz w:val="24"/>
          <w:szCs w:val="24"/>
          <w:highlight w:val="none"/>
        </w:rPr>
      </w:pPr>
    </w:p>
    <w:p w14:paraId="52008C98">
      <w:pPr>
        <w:snapToGrid w:val="0"/>
        <w:spacing w:line="360" w:lineRule="auto"/>
        <w:ind w:firstLine="480" w:firstLineChars="200"/>
        <w:rPr>
          <w:rFonts w:ascii="方正仿宋_GBK" w:eastAsia="方正仿宋_GBK" w:cs="方正仿宋_GBK"/>
          <w:color w:val="auto"/>
          <w:sz w:val="24"/>
          <w:szCs w:val="24"/>
          <w:highlight w:val="none"/>
        </w:rPr>
      </w:pPr>
    </w:p>
    <w:p w14:paraId="7B6732EA">
      <w:pPr>
        <w:snapToGrid w:val="0"/>
        <w:spacing w:line="360" w:lineRule="auto"/>
        <w:ind w:firstLine="480" w:firstLineChars="200"/>
        <w:rPr>
          <w:rFonts w:ascii="方正仿宋_GBK" w:eastAsia="方正仿宋_GBK" w:cs="方正仿宋_GBK"/>
          <w:color w:val="auto"/>
          <w:sz w:val="24"/>
          <w:szCs w:val="24"/>
          <w:highlight w:val="none"/>
        </w:rPr>
      </w:pPr>
    </w:p>
    <w:p w14:paraId="0E85F08E">
      <w:pPr>
        <w:snapToGrid w:val="0"/>
        <w:jc w:val="center"/>
        <w:rPr>
          <w:rFonts w:hint="eastAsia" w:ascii="方正楷体_GBK" w:hAnsi="方正仿宋_GBK" w:eastAsia="方正楷体_GBK" w:cs="方正仿宋_GBK"/>
          <w:color w:val="auto"/>
          <w:sz w:val="32"/>
          <w:szCs w:val="32"/>
          <w:highlight w:val="none"/>
        </w:rPr>
        <w:sectPr>
          <w:footerReference r:id="rId5" w:type="default"/>
          <w:pgSz w:w="11906" w:h="16838"/>
          <w:pgMar w:top="1871" w:right="1531" w:bottom="1871" w:left="1531" w:header="851" w:footer="1304" w:gutter="0"/>
          <w:pgNumType w:fmt="decimal" w:start="1"/>
          <w:cols w:space="720" w:num="1"/>
          <w:docGrid w:type="lines" w:linePitch="312" w:charSpace="0"/>
        </w:sectPr>
      </w:pPr>
    </w:p>
    <w:p w14:paraId="62999671">
      <w:pPr>
        <w:snapToGrid w:val="0"/>
        <w:spacing w:line="500" w:lineRule="exact"/>
        <w:ind w:firstLine="544" w:firstLineChars="200"/>
        <w:rPr>
          <w:rFonts w:hint="eastAsia" w:ascii="方正仿宋_GBK" w:hAnsi="方正仿宋_GBK" w:eastAsia="方正仿宋_GBK" w:cs="方正仿宋_GBK"/>
          <w:color w:val="auto"/>
          <w:sz w:val="28"/>
          <w:szCs w:val="28"/>
          <w:highlight w:val="none"/>
        </w:rPr>
      </w:pPr>
    </w:p>
    <w:p w14:paraId="11A3B1D9">
      <w:pPr>
        <w:snapToGrid w:val="0"/>
        <w:spacing w:line="500" w:lineRule="exact"/>
        <w:jc w:val="center"/>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使 用 说 明</w:t>
      </w:r>
    </w:p>
    <w:p w14:paraId="5A94A35A">
      <w:pPr>
        <w:snapToGrid w:val="0"/>
        <w:spacing w:line="500" w:lineRule="exact"/>
        <w:jc w:val="center"/>
        <w:rPr>
          <w:rFonts w:hint="eastAsia" w:ascii="方正小标宋_GBK" w:hAnsi="方正黑体_GBK" w:eastAsia="方正小标宋_GBK" w:cs="方正黑体_GBK"/>
          <w:bCs/>
          <w:color w:val="auto"/>
          <w:sz w:val="36"/>
          <w:szCs w:val="36"/>
          <w:highlight w:val="none"/>
        </w:rPr>
      </w:pPr>
    </w:p>
    <w:p w14:paraId="1FAB4CDA">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一、根据《中华人民共和国民法典》</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《中华人民共和国政府采购法》《中华人民共和国建筑法》《建设工程质量管理条例》等有关法律、法规规定，三方本着平等合作、诚实互惠的原则，就办公用房维修改造施工事宜协商订立本合同。</w:t>
      </w:r>
    </w:p>
    <w:p w14:paraId="278BF9E2">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二、本合同文本由合同协议书、合同通用条款两部分组成。合同协议书约定合同当事人基本事项和相关具体权利义务；合同通用条款根据国家和我省有关法律法规，对合同当事人权利义务作出原则性约定。</w:t>
      </w:r>
    </w:p>
    <w:p w14:paraId="787B3CA3">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p>
    <w:p w14:paraId="185E5453">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四、本合同适用于办公用房维修改造工程。</w:t>
      </w:r>
    </w:p>
    <w:p w14:paraId="6EC579BA">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五、本合同示范文本各条款中，如涉及填写多家供应商，多种采购标的、分包主要内容等信息的，可根据采购项目具体情况添加信息项。</w:t>
      </w:r>
    </w:p>
    <w:p w14:paraId="54C3A7E4">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六、本合同条款由江苏省机关事务管理局政策法规处负责解释。</w:t>
      </w:r>
    </w:p>
    <w:p w14:paraId="1060DAE0">
      <w:pPr>
        <w:pStyle w:val="33"/>
        <w:rPr>
          <w:color w:val="auto"/>
          <w:highlight w:val="none"/>
        </w:rPr>
      </w:pPr>
      <w:r>
        <w:rPr>
          <w:color w:val="auto"/>
          <w:highlight w:val="none"/>
        </w:rPr>
        <w:br w:type="page"/>
      </w:r>
    </w:p>
    <w:p w14:paraId="47378BCC">
      <w:pPr>
        <w:rPr>
          <w:color w:val="auto"/>
          <w:highlight w:val="none"/>
        </w:rPr>
      </w:pPr>
    </w:p>
    <w:p w14:paraId="4B4A30AA">
      <w:pPr>
        <w:snapToGrid w:val="0"/>
        <w:spacing w:line="560" w:lineRule="exact"/>
        <w:ind w:firstLine="784" w:firstLineChars="200"/>
        <w:jc w:val="center"/>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第一部分 合同协议书</w:t>
      </w:r>
    </w:p>
    <w:p w14:paraId="1926989F">
      <w:pPr>
        <w:snapToGrid w:val="0"/>
        <w:spacing w:line="500" w:lineRule="exact"/>
        <w:ind w:firstLine="464" w:firstLineChars="200"/>
        <w:rPr>
          <w:rFonts w:hint="eastAsia" w:ascii="方正仿宋_GBK" w:hAnsi="方正仿宋_GBK" w:eastAsia="方正仿宋_GBK" w:cs="方正仿宋_GBK"/>
          <w:b/>
          <w:color w:val="auto"/>
          <w:sz w:val="24"/>
          <w:szCs w:val="24"/>
          <w:highlight w:val="none"/>
        </w:rPr>
      </w:pPr>
    </w:p>
    <w:p w14:paraId="6BBFBA0C">
      <w:pPr>
        <w:snapToGrid w:val="0"/>
        <w:spacing w:line="500" w:lineRule="exact"/>
        <w:ind w:firstLine="464" w:firstLineChars="200"/>
        <w:rPr>
          <w:rFonts w:hint="eastAsia" w:ascii="仿宋" w:hAnsi="仿宋" w:eastAsia="仿宋" w:cs="仿宋"/>
          <w:b/>
          <w:color w:val="auto"/>
          <w:sz w:val="24"/>
          <w:szCs w:val="24"/>
          <w:highlight w:val="none"/>
        </w:rPr>
      </w:pPr>
    </w:p>
    <w:p w14:paraId="146B7224">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甲方（发包人）：</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u w:val="single"/>
          <w:lang w:val="en-US" w:eastAsia="zh-CN"/>
        </w:rPr>
        <w:t xml:space="preserve">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u w:val="single"/>
          <w:lang w:val="en-US" w:eastAsia="zh-CN"/>
        </w:rPr>
        <w:t xml:space="preserve">                </w:t>
      </w:r>
      <w:r>
        <w:rPr>
          <w:rFonts w:hint="eastAsia" w:ascii="仿宋" w:hAnsi="仿宋" w:eastAsia="仿宋" w:cs="仿宋"/>
          <w:b/>
          <w:color w:val="auto"/>
          <w:sz w:val="30"/>
          <w:szCs w:val="30"/>
          <w:highlight w:val="none"/>
          <w:u w:val="single"/>
        </w:rPr>
        <w:t xml:space="preserve"> </w:t>
      </w:r>
    </w:p>
    <w:p w14:paraId="656F0F66">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住所地：</w:t>
      </w:r>
    </w:p>
    <w:p w14:paraId="3B4494FC">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w:t>
      </w:r>
    </w:p>
    <w:p w14:paraId="227EBD2B">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统一社会信用代码：</w:t>
      </w:r>
    </w:p>
    <w:p w14:paraId="7B36484B">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联系方式：</w:t>
      </w:r>
    </w:p>
    <w:p w14:paraId="5FBD9C5F">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162E5861">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乙方（承包人）：</w:t>
      </w:r>
      <w:r>
        <w:rPr>
          <w:rFonts w:hint="eastAsia" w:ascii="仿宋" w:hAnsi="仿宋" w:eastAsia="仿宋" w:cs="仿宋"/>
          <w:b/>
          <w:color w:val="auto"/>
          <w:sz w:val="30"/>
          <w:szCs w:val="30"/>
          <w:highlight w:val="none"/>
          <w:u w:val="single"/>
        </w:rPr>
        <w:t xml:space="preserve">                              </w:t>
      </w:r>
    </w:p>
    <w:p w14:paraId="642AC0CE">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4C4F2209">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0D6A5665">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04D83C63">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7777271C">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6BED4576">
      <w:pPr>
        <w:snapToGrid w:val="0"/>
        <w:spacing w:line="560" w:lineRule="exact"/>
        <w:ind w:firstLine="584"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丙方（监管人）：</w:t>
      </w:r>
      <w:r>
        <w:rPr>
          <w:rFonts w:hint="eastAsia" w:ascii="仿宋" w:hAnsi="仿宋" w:eastAsia="仿宋" w:cs="仿宋"/>
          <w:bCs/>
          <w:color w:val="auto"/>
          <w:sz w:val="30"/>
          <w:szCs w:val="30"/>
          <w:highlight w:val="none"/>
          <w:u w:val="single"/>
          <w:lang w:val="en-US" w:eastAsia="zh-CN"/>
        </w:rPr>
        <w:t xml:space="preserve">                           </w:t>
      </w:r>
    </w:p>
    <w:p w14:paraId="131B06FE">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08EBF159">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597FF53B">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42458955">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0953B459">
      <w:pPr>
        <w:pStyle w:val="33"/>
        <w:ind w:left="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2794EC59">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根据《中华人民共和国民法典》</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p>
    <w:p w14:paraId="0D9B00F4">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一、项目概况 </w:t>
      </w:r>
    </w:p>
    <w:p w14:paraId="1F61B172">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工程名称</w:t>
      </w:r>
    </w:p>
    <w:p w14:paraId="786B622F">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水佐岗49号电梯维修改造项目</w:t>
      </w:r>
      <w:r>
        <w:rPr>
          <w:rFonts w:hint="eastAsia" w:ascii="仿宋" w:hAnsi="仿宋" w:eastAsia="仿宋" w:cs="仿宋"/>
          <w:color w:val="auto"/>
          <w:sz w:val="30"/>
          <w:szCs w:val="30"/>
          <w:highlight w:val="none"/>
        </w:rPr>
        <w:t>。</w:t>
      </w:r>
    </w:p>
    <w:p w14:paraId="31BEF29F">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工程地点</w:t>
      </w:r>
    </w:p>
    <w:p w14:paraId="111B14A3">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南京市水佐岗49号</w:t>
      </w:r>
      <w:r>
        <w:rPr>
          <w:rFonts w:hint="eastAsia" w:ascii="仿宋" w:hAnsi="仿宋" w:eastAsia="仿宋" w:cs="仿宋"/>
          <w:color w:val="auto"/>
          <w:sz w:val="28"/>
          <w:szCs w:val="28"/>
          <w:highlight w:val="none"/>
          <w:u w:val="single"/>
          <w:lang w:val="en-US" w:eastAsia="zh-CN"/>
        </w:rPr>
        <w:t xml:space="preserve"> 、湖北路42号</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rPr>
        <w:t>。</w:t>
      </w:r>
    </w:p>
    <w:p w14:paraId="7413A182">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工程内容</w:t>
      </w:r>
    </w:p>
    <w:p w14:paraId="52D90023">
      <w:pPr>
        <w:pStyle w:val="411"/>
        <w:widowControl w:val="0"/>
        <w:spacing w:line="560" w:lineRule="exact"/>
        <w:ind w:firstLine="584" w:firstLineChars="200"/>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u w:val="single"/>
          <w:lang w:eastAsia="zh-CN"/>
        </w:rPr>
        <w:t>水佐岗49号电梯维修改造项目施工 （具体内容详见清单编制说明及工程量清单）</w:t>
      </w:r>
      <w:r>
        <w:rPr>
          <w:rFonts w:hint="eastAsia" w:ascii="仿宋" w:hAnsi="仿宋" w:eastAsia="仿宋" w:cs="仿宋"/>
          <w:color w:val="auto"/>
          <w:sz w:val="30"/>
          <w:szCs w:val="30"/>
          <w:highlight w:val="none"/>
          <w:u w:val="single"/>
          <w:lang w:val="en-US" w:eastAsia="zh-CN"/>
        </w:rPr>
        <w:t xml:space="preserve"> </w:t>
      </w:r>
    </w:p>
    <w:p w14:paraId="07C958E8">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 合同类别：☑施工工程类；☑设备更新类。</w:t>
      </w:r>
    </w:p>
    <w:p w14:paraId="1F75C77C">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二、合同工期</w:t>
      </w:r>
    </w:p>
    <w:p w14:paraId="38462284">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计划开工日期：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7F7077F8">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计划竣工日期：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4B1B9857">
      <w:pPr>
        <w:pStyle w:val="411"/>
        <w:widowControl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工期总日历天数：</w:t>
      </w:r>
      <w:r>
        <w:rPr>
          <w:rFonts w:hint="eastAsia" w:ascii="仿宋" w:hAnsi="仿宋" w:eastAsia="仿宋" w:cs="仿宋"/>
          <w:color w:val="auto"/>
          <w:sz w:val="30"/>
          <w:szCs w:val="30"/>
          <w:highlight w:val="none"/>
          <w:u w:val="single"/>
          <w:lang w:val="en-US" w:eastAsia="zh-CN"/>
        </w:rPr>
        <w:t xml:space="preserve">60 </w:t>
      </w:r>
      <w:r>
        <w:rPr>
          <w:rFonts w:hint="eastAsia" w:ascii="仿宋" w:hAnsi="仿宋" w:eastAsia="仿宋" w:cs="仿宋"/>
          <w:color w:val="auto"/>
          <w:sz w:val="30"/>
          <w:szCs w:val="30"/>
          <w:highlight w:val="none"/>
          <w:lang w:eastAsia="zh-CN"/>
        </w:rPr>
        <w:t>天（</w:t>
      </w:r>
      <w:r>
        <w:rPr>
          <w:rFonts w:hint="eastAsia" w:ascii="仿宋" w:hAnsi="仿宋" w:eastAsia="仿宋" w:cs="仿宋"/>
          <w:color w:val="auto"/>
          <w:sz w:val="30"/>
          <w:szCs w:val="30"/>
          <w:highlight w:val="none"/>
          <w:lang w:val="en-US" w:eastAsia="zh-CN"/>
        </w:rPr>
        <w:t>以开工审批表和竣工验收时间为准</w:t>
      </w:r>
      <w:r>
        <w:rPr>
          <w:rFonts w:hint="eastAsia" w:ascii="仿宋" w:hAnsi="仿宋" w:eastAsia="仿宋" w:cs="仿宋"/>
          <w:color w:val="auto"/>
          <w:sz w:val="30"/>
          <w:szCs w:val="30"/>
          <w:highlight w:val="none"/>
          <w:lang w:eastAsia="zh-CN"/>
        </w:rPr>
        <w:t>）。</w:t>
      </w:r>
    </w:p>
    <w:p w14:paraId="219BE23D">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三、项目责任人员</w:t>
      </w:r>
    </w:p>
    <w:p w14:paraId="61BCAD2E">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0C072B37">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7F379AA5">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7F0C776C">
      <w:pPr>
        <w:spacing w:line="560" w:lineRule="exact"/>
        <w:ind w:firstLine="584" w:firstLineChars="200"/>
        <w:outlineLvl w:val="1"/>
        <w:rPr>
          <w:rFonts w:hint="eastAsia" w:ascii="黑体" w:hAnsi="黑体" w:eastAsia="黑体" w:cs="黑体"/>
          <w:color w:val="auto"/>
          <w:sz w:val="30"/>
          <w:szCs w:val="30"/>
          <w:highlight w:val="none"/>
        </w:rPr>
      </w:pPr>
      <w:bookmarkStart w:id="52" w:name="_Toc351203483"/>
      <w:r>
        <w:rPr>
          <w:rFonts w:hint="eastAsia" w:ascii="黑体" w:hAnsi="黑体" w:eastAsia="黑体" w:cs="黑体"/>
          <w:color w:val="auto"/>
          <w:sz w:val="30"/>
          <w:szCs w:val="30"/>
          <w:highlight w:val="none"/>
        </w:rPr>
        <w:t>四、质量标准</w:t>
      </w:r>
      <w:bookmarkEnd w:id="52"/>
    </w:p>
    <w:p w14:paraId="061CDEB5">
      <w:pPr>
        <w:spacing w:line="560" w:lineRule="exact"/>
        <w:ind w:firstLine="45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工程质量符合☑国家标准；</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行业标准；</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工程所在地的地方性标准；</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75A6F1C1">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五、质量保修</w:t>
      </w:r>
    </w:p>
    <w:p w14:paraId="603AF2E5">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（一）工程质量保修范围和内容</w:t>
      </w:r>
    </w:p>
    <w:p w14:paraId="4F5871E3">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6080AE37">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val="en-US" w:eastAsia="zh-CN"/>
        </w:rPr>
        <w:t xml:space="preserve">    质量保修范围为本合同项下承包人施工范围内的全部内容。</w:t>
      </w:r>
    </w:p>
    <w:p w14:paraId="3CC6D47C">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（二）质量保修期</w:t>
      </w:r>
    </w:p>
    <w:p w14:paraId="05EFBF18">
      <w:pPr>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质量保修期</w:t>
      </w:r>
      <w:r>
        <w:rPr>
          <w:rFonts w:hint="eastAsia" w:ascii="仿宋" w:hAnsi="仿宋" w:eastAsia="仿宋" w:cs="仿宋"/>
          <w:color w:val="auto"/>
          <w:sz w:val="30"/>
          <w:szCs w:val="30"/>
          <w:highlight w:val="none"/>
          <w:u w:val="single"/>
        </w:rPr>
        <w:t>依据</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中华人民共和国特种设备安全法</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建设工程质量管理条例</w:t>
      </w:r>
      <w:r>
        <w:rPr>
          <w:rFonts w:hint="eastAsia" w:ascii="仿宋" w:hAnsi="仿宋" w:eastAsia="仿宋" w:cs="仿宋"/>
          <w:color w:val="auto"/>
          <w:sz w:val="30"/>
          <w:szCs w:val="30"/>
          <w:highlight w:val="none"/>
          <w:u w:val="single"/>
          <w:lang w:eastAsia="zh-CN"/>
        </w:rPr>
        <w:t>》</w:t>
      </w:r>
      <w:r>
        <w:rPr>
          <w:rFonts w:hint="eastAsia" w:ascii="华文仿宋" w:hAnsi="华文仿宋" w:eastAsia="华文仿宋" w:cs="华文仿宋"/>
          <w:bCs/>
          <w:color w:val="auto"/>
          <w:sz w:val="30"/>
          <w:szCs w:val="30"/>
          <w:highlight w:val="none"/>
          <w:u w:val="single"/>
          <w:lang w:eastAsia="zh-CN"/>
        </w:rPr>
        <w:t>《</w:t>
      </w:r>
      <w:r>
        <w:rPr>
          <w:rFonts w:hint="eastAsia" w:ascii="华文仿宋" w:hAnsi="华文仿宋" w:eastAsia="华文仿宋" w:cs="华文仿宋"/>
          <w:bCs/>
          <w:color w:val="auto"/>
          <w:sz w:val="30"/>
          <w:szCs w:val="30"/>
          <w:highlight w:val="none"/>
          <w:u w:val="single"/>
          <w:lang w:val="en-US" w:eastAsia="zh-CN"/>
        </w:rPr>
        <w:t>南京市电梯安全条例</w:t>
      </w:r>
      <w:r>
        <w:rPr>
          <w:rFonts w:hint="eastAsia" w:ascii="华文仿宋" w:hAnsi="华文仿宋" w:eastAsia="华文仿宋" w:cs="华文仿宋"/>
          <w:bCs/>
          <w:color w:val="auto"/>
          <w:sz w:val="30"/>
          <w:szCs w:val="30"/>
          <w:highlight w:val="none"/>
          <w:u w:val="single"/>
          <w:lang w:eastAsia="zh-CN"/>
        </w:rPr>
        <w:t>》</w:t>
      </w:r>
      <w:r>
        <w:rPr>
          <w:rFonts w:hint="eastAsia" w:ascii="仿宋" w:hAnsi="仿宋" w:eastAsia="仿宋" w:cs="仿宋"/>
          <w:color w:val="auto"/>
          <w:sz w:val="30"/>
          <w:szCs w:val="30"/>
          <w:highlight w:val="none"/>
          <w:u w:val="single"/>
        </w:rPr>
        <w:t>执行，其余按</w:t>
      </w:r>
      <w:r>
        <w:rPr>
          <w:rFonts w:hint="eastAsia" w:ascii="仿宋" w:hAnsi="仿宋" w:eastAsia="仿宋" w:cs="仿宋"/>
          <w:color w:val="auto"/>
          <w:sz w:val="30"/>
          <w:szCs w:val="30"/>
          <w:highlight w:val="none"/>
          <w:u w:val="single"/>
          <w:lang w:val="en-US" w:eastAsia="zh-CN"/>
        </w:rPr>
        <w:t>响应文件</w:t>
      </w:r>
      <w:r>
        <w:rPr>
          <w:rFonts w:hint="eastAsia" w:ascii="仿宋" w:hAnsi="仿宋" w:eastAsia="仿宋" w:cs="仿宋"/>
          <w:color w:val="auto"/>
          <w:sz w:val="30"/>
          <w:szCs w:val="30"/>
          <w:highlight w:val="none"/>
          <w:u w:val="single"/>
        </w:rPr>
        <w:t>承诺及双方协商约定</w:t>
      </w:r>
      <w:r>
        <w:rPr>
          <w:rFonts w:hint="eastAsia" w:ascii="仿宋" w:hAnsi="仿宋" w:eastAsia="仿宋" w:cs="仿宋"/>
          <w:color w:val="auto"/>
          <w:sz w:val="30"/>
          <w:szCs w:val="30"/>
          <w:highlight w:val="none"/>
        </w:rPr>
        <w:t>。</w:t>
      </w:r>
    </w:p>
    <w:p w14:paraId="2C44F381">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val="en-US" w:eastAsia="zh-CN"/>
        </w:rPr>
        <w:t>本项目质量保修期为     年（按响应承诺为准），</w:t>
      </w:r>
      <w:r>
        <w:rPr>
          <w:rFonts w:hint="eastAsia" w:ascii="仿宋" w:hAnsi="仿宋" w:eastAsia="仿宋" w:cs="仿宋"/>
          <w:color w:val="auto"/>
          <w:sz w:val="30"/>
          <w:szCs w:val="30"/>
          <w:highlight w:val="none"/>
        </w:rPr>
        <w:t>自工程竣工验收合格之日起计算。</w:t>
      </w:r>
    </w:p>
    <w:p w14:paraId="0A71FD39">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六、合同价款</w:t>
      </w:r>
    </w:p>
    <w:p w14:paraId="37D1EF4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元整）。</w:t>
      </w:r>
    </w:p>
    <w:p w14:paraId="3A2504A1">
      <w:pPr>
        <w:spacing w:line="560" w:lineRule="exact"/>
        <w:ind w:firstLine="584"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6713CB92">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七、付款方式</w:t>
      </w:r>
    </w:p>
    <w:p w14:paraId="11B063AE">
      <w:pPr>
        <w:spacing w:line="560" w:lineRule="exact"/>
        <w:ind w:firstLine="584" w:firstLineChars="200"/>
        <w:outlineLvl w:val="1"/>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1. 账户信息</w:t>
      </w:r>
    </w:p>
    <w:p w14:paraId="225AE230">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监管人通过银行转账方式支付工程款项，承包人提供银行账户信息如下：</w:t>
      </w:r>
    </w:p>
    <w:p w14:paraId="174CD7CD">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开户银行：</w:t>
      </w:r>
      <w:r>
        <w:rPr>
          <w:rFonts w:hint="eastAsia" w:ascii="仿宋" w:hAnsi="仿宋" w:eastAsia="仿宋" w:cs="仿宋"/>
          <w:color w:val="auto"/>
          <w:sz w:val="30"/>
          <w:szCs w:val="30"/>
          <w:highlight w:val="none"/>
          <w:u w:val="single"/>
          <w:lang w:eastAsia="zh-CN"/>
        </w:rPr>
        <w:t xml:space="preserve">                                          </w:t>
      </w:r>
    </w:p>
    <w:p w14:paraId="34798646">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账户名称：</w:t>
      </w:r>
      <w:r>
        <w:rPr>
          <w:rFonts w:hint="eastAsia" w:ascii="仿宋" w:hAnsi="仿宋" w:eastAsia="仿宋" w:cs="仿宋"/>
          <w:color w:val="auto"/>
          <w:sz w:val="30"/>
          <w:szCs w:val="30"/>
          <w:highlight w:val="none"/>
          <w:u w:val="single"/>
          <w:lang w:eastAsia="zh-CN"/>
        </w:rPr>
        <w:t xml:space="preserve">                                          </w:t>
      </w:r>
    </w:p>
    <w:p w14:paraId="61F805C7">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银行账号：</w:t>
      </w:r>
      <w:r>
        <w:rPr>
          <w:rFonts w:hint="eastAsia" w:ascii="仿宋" w:hAnsi="仿宋" w:eastAsia="仿宋" w:cs="仿宋"/>
          <w:color w:val="auto"/>
          <w:sz w:val="30"/>
          <w:szCs w:val="30"/>
          <w:highlight w:val="none"/>
          <w:u w:val="single"/>
          <w:lang w:eastAsia="zh-CN"/>
        </w:rPr>
        <w:t xml:space="preserve">                                          </w:t>
      </w:r>
    </w:p>
    <w:p w14:paraId="451841F3">
      <w:pPr>
        <w:pStyle w:val="411"/>
        <w:widowControl w:val="0"/>
        <w:spacing w:line="560" w:lineRule="exact"/>
        <w:ind w:firstLine="584" w:firstLineChars="200"/>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2. 付款进度安排</w:t>
      </w:r>
    </w:p>
    <w:p w14:paraId="009D827F">
      <w:pPr>
        <w:pStyle w:val="411"/>
        <w:widowControl w:val="0"/>
        <w:spacing w:line="560" w:lineRule="exact"/>
        <w:ind w:firstLine="584" w:firstLineChars="200"/>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（1）☑合同签订生效并承包人进场后；</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更新类新设备排产后，支付本工程合同价（扣除暂列金、暂估价）的</w:t>
      </w:r>
      <w:r>
        <w:rPr>
          <w:rFonts w:hint="eastAsia" w:ascii="仿宋" w:hAnsi="仿宋" w:eastAsia="仿宋" w:cs="仿宋"/>
          <w:color w:val="auto"/>
          <w:sz w:val="30"/>
          <w:szCs w:val="30"/>
          <w:highlight w:val="none"/>
          <w:u w:val="single"/>
          <w:lang w:eastAsia="zh-CN"/>
        </w:rPr>
        <w:t>30%</w:t>
      </w:r>
      <w:r>
        <w:rPr>
          <w:rFonts w:hint="eastAsia" w:ascii="仿宋" w:hAnsi="仿宋" w:eastAsia="仿宋" w:cs="仿宋"/>
          <w:color w:val="auto"/>
          <w:sz w:val="30"/>
          <w:szCs w:val="30"/>
          <w:highlight w:val="none"/>
          <w:lang w:eastAsia="zh-CN"/>
        </w:rPr>
        <w:t>作为预付款</w:t>
      </w:r>
      <w:r>
        <w:rPr>
          <w:rFonts w:hint="eastAsia" w:ascii="仿宋" w:hAnsi="仿宋" w:eastAsia="仿宋" w:cs="仿宋"/>
          <w:bCs/>
          <w:color w:val="auto"/>
          <w:sz w:val="30"/>
          <w:szCs w:val="30"/>
          <w:highlight w:val="none"/>
          <w:lang w:eastAsia="zh-CN"/>
        </w:rPr>
        <w:t>（合同金额100万以上的，需提供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的预付款保函）</w:t>
      </w:r>
      <w:r>
        <w:rPr>
          <w:rFonts w:hint="eastAsia" w:ascii="仿宋" w:hAnsi="仿宋" w:eastAsia="仿宋" w:cs="仿宋"/>
          <w:bCs/>
          <w:color w:val="auto"/>
          <w:sz w:val="30"/>
          <w:szCs w:val="30"/>
          <w:highlight w:val="none"/>
          <w:lang w:val="en-US" w:eastAsia="zh-CN"/>
        </w:rPr>
        <w:t>；</w:t>
      </w:r>
    </w:p>
    <w:p w14:paraId="0F7F0583">
      <w:pPr>
        <w:pStyle w:val="411"/>
        <w:widowControl w:val="0"/>
        <w:spacing w:line="560" w:lineRule="exact"/>
        <w:ind w:firstLine="584" w:firstLineChars="200"/>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lang w:val="en-US" w:eastAsia="zh-CN"/>
        </w:rPr>
        <w:t>2</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lang w:val="zh-CN" w:eastAsia="zh-CN"/>
        </w:rPr>
        <w:t>经</w:t>
      </w:r>
      <w:r>
        <w:rPr>
          <w:rFonts w:hint="eastAsia" w:ascii="仿宋" w:hAnsi="仿宋" w:eastAsia="仿宋" w:cs="仿宋"/>
          <w:bCs/>
          <w:color w:val="auto"/>
          <w:sz w:val="30"/>
          <w:szCs w:val="30"/>
          <w:lang w:val="en-US" w:eastAsia="zh-CN"/>
        </w:rPr>
        <w:t>发包人、监管人组织相关参建单位竣工验收合格后，</w:t>
      </w:r>
      <w:r>
        <w:rPr>
          <w:rFonts w:hint="eastAsia" w:ascii="仿宋" w:hAnsi="仿宋" w:eastAsia="仿宋" w:cs="仿宋"/>
          <w:bCs/>
          <w:color w:val="auto"/>
          <w:sz w:val="30"/>
          <w:szCs w:val="30"/>
          <w:lang w:val="zh-CN" w:eastAsia="zh-CN"/>
        </w:rPr>
        <w:t>支付</w:t>
      </w:r>
      <w:r>
        <w:rPr>
          <w:rFonts w:hint="eastAsia" w:ascii="仿宋" w:hAnsi="仿宋" w:eastAsia="仿宋" w:cs="仿宋"/>
          <w:bCs/>
          <w:color w:val="auto"/>
          <w:sz w:val="30"/>
          <w:szCs w:val="30"/>
          <w:lang w:val="en-US" w:eastAsia="zh-CN"/>
        </w:rPr>
        <w:t>至</w:t>
      </w:r>
      <w:r>
        <w:rPr>
          <w:rFonts w:hint="eastAsia" w:ascii="仿宋" w:hAnsi="仿宋" w:eastAsia="仿宋" w:cs="仿宋"/>
          <w:bCs/>
          <w:color w:val="auto"/>
          <w:sz w:val="30"/>
          <w:szCs w:val="30"/>
          <w:lang w:val="zh-CN" w:eastAsia="zh-CN"/>
        </w:rPr>
        <w:t>本工程合同价（扣除暂列金、暂估价）的</w:t>
      </w:r>
      <w:r>
        <w:rPr>
          <w:rFonts w:hint="eastAsia" w:ascii="仿宋" w:hAnsi="仿宋" w:eastAsia="仿宋" w:cs="仿宋"/>
          <w:bCs/>
          <w:color w:val="auto"/>
          <w:sz w:val="30"/>
          <w:szCs w:val="30"/>
          <w:u w:val="single"/>
          <w:lang w:val="en-US" w:eastAsia="zh-CN"/>
        </w:rPr>
        <w:t>8</w:t>
      </w:r>
      <w:r>
        <w:rPr>
          <w:rFonts w:hint="eastAsia" w:ascii="仿宋" w:hAnsi="仿宋" w:eastAsia="仿宋" w:cs="仿宋"/>
          <w:bCs/>
          <w:color w:val="auto"/>
          <w:sz w:val="30"/>
          <w:szCs w:val="30"/>
          <w:u w:val="single"/>
          <w:lang w:val="zh-CN" w:eastAsia="zh-CN"/>
        </w:rPr>
        <w:t>0%</w:t>
      </w:r>
      <w:r>
        <w:rPr>
          <w:rFonts w:hint="eastAsia" w:ascii="仿宋" w:hAnsi="仿宋" w:eastAsia="仿宋" w:cs="仿宋"/>
          <w:bCs/>
          <w:color w:val="auto"/>
          <w:sz w:val="30"/>
          <w:szCs w:val="30"/>
          <w:u w:val="none"/>
          <w:lang w:val="en-US" w:eastAsia="zh-CN"/>
        </w:rPr>
        <w:t>；</w:t>
      </w:r>
    </w:p>
    <w:p w14:paraId="6631E63F">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lang w:eastAsia="zh-CN"/>
        </w:rPr>
        <w:t>）承包人提交审核通过后的竣工资料，工程竣工结算经跟踪审计审定、发包人及监管人认可盖章后，支付至结算审定价的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97</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w:t>
      </w:r>
    </w:p>
    <w:p w14:paraId="24E93CC2">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eastAsia="zh-CN"/>
        </w:rPr>
        <w:t>）审定结算价的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%作为质量保证金，在缺陷责任期届满，经发包人认可后，质量保证金（不计利息）返还承包人。质量保证金银行利率不计。</w:t>
      </w:r>
    </w:p>
    <w:p w14:paraId="701CC7C4">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八、合同文件构成</w:t>
      </w:r>
    </w:p>
    <w:p w14:paraId="7984088A">
      <w:pPr>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合同协议书；</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合同通用条款；</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明确三方权利、义务的纪要、协议；</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响应文件和成交通知书；</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采购文件；</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标准、规范及有关技术文件、技术要求；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施工图纸；</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54B3F29E">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九、其他约定</w:t>
      </w:r>
    </w:p>
    <w:p w14:paraId="49CBFDAE">
      <w:pPr>
        <w:spacing w:line="560" w:lineRule="exact"/>
        <w:ind w:firstLine="584" w:firstLineChars="200"/>
        <w:outlineLvl w:val="1"/>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1</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发包人或监管单位</w:t>
      </w:r>
      <w:r>
        <w:rPr>
          <w:rFonts w:hint="eastAsia" w:ascii="仿宋" w:hAnsi="仿宋" w:eastAsia="仿宋" w:cs="仿宋"/>
          <w:color w:val="auto"/>
          <w:sz w:val="30"/>
          <w:szCs w:val="30"/>
          <w:highlight w:val="none"/>
          <w:u w:val="single"/>
        </w:rPr>
        <w:t>出具正式通知外，</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1B459A8D">
      <w:pPr>
        <w:spacing w:line="560" w:lineRule="exact"/>
        <w:ind w:firstLine="584" w:firstLineChars="200"/>
        <w:outlineLvl w:val="1"/>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p>
    <w:p w14:paraId="360803E1">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十、合同生效</w:t>
      </w:r>
    </w:p>
    <w:p w14:paraId="4B643254">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本合同经甲乙丙三方签字并加盖公章后生效，合同协议书和通用条款部分须加盖骑缝章。</w:t>
      </w:r>
    </w:p>
    <w:p w14:paraId="2D23F0F9">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十一、合同备案</w:t>
      </w:r>
    </w:p>
    <w:p w14:paraId="532ADAED">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本合同一式9份，甲、乙、丙三方各执3份，具有同等法律效力。丙方合同中的2份分别报江苏省机关事务管理局政策法规处、财务处备案。</w:t>
      </w:r>
    </w:p>
    <w:p w14:paraId="11345024">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（以下无正文）</w:t>
      </w:r>
    </w:p>
    <w:p w14:paraId="5FA0E672">
      <w:pPr>
        <w:spacing w:line="560" w:lineRule="exact"/>
        <w:rPr>
          <w:rFonts w:hint="eastAsia" w:ascii="仿宋" w:hAnsi="仿宋" w:eastAsia="仿宋" w:cs="仿宋"/>
          <w:color w:val="auto"/>
          <w:sz w:val="30"/>
          <w:szCs w:val="30"/>
          <w:highlight w:val="none"/>
        </w:rPr>
      </w:pPr>
    </w:p>
    <w:p w14:paraId="6E4ED224">
      <w:pPr>
        <w:widowControl/>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79C92F9C">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甲方（发包人）（盖章）：</w:t>
      </w:r>
    </w:p>
    <w:p w14:paraId="73998A71">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65B00C76">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15567C4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4FDCC9F5">
      <w:pPr>
        <w:spacing w:line="560" w:lineRule="exact"/>
        <w:rPr>
          <w:rFonts w:hint="eastAsia" w:ascii="仿宋" w:hAnsi="仿宋" w:eastAsia="仿宋" w:cs="仿宋"/>
          <w:color w:val="auto"/>
          <w:sz w:val="30"/>
          <w:szCs w:val="30"/>
          <w:highlight w:val="none"/>
        </w:rPr>
      </w:pPr>
    </w:p>
    <w:p w14:paraId="410D208F">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乙方（承包人）（盖章）：</w:t>
      </w:r>
    </w:p>
    <w:p w14:paraId="0EEFB67F">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5FA00BE4">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5EC0AEE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11F2253E">
      <w:pPr>
        <w:spacing w:line="560" w:lineRule="exact"/>
        <w:rPr>
          <w:rFonts w:hint="eastAsia" w:ascii="仿宋" w:hAnsi="仿宋" w:eastAsia="仿宋" w:cs="仿宋"/>
          <w:color w:val="auto"/>
          <w:sz w:val="30"/>
          <w:szCs w:val="30"/>
          <w:highlight w:val="none"/>
        </w:rPr>
      </w:pPr>
    </w:p>
    <w:p w14:paraId="2CABFA02">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丙方（监管人）（盖章）：</w:t>
      </w:r>
    </w:p>
    <w:p w14:paraId="1407D59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0232DC98">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5DBCDE0C">
      <w:pPr>
        <w:spacing w:line="560" w:lineRule="exact"/>
        <w:rPr>
          <w:rFonts w:hint="eastAsia" w:ascii="仿宋" w:hAnsi="仿宋" w:eastAsia="仿宋" w:cs="仿宋"/>
          <w:color w:val="auto"/>
          <w:sz w:val="30"/>
          <w:szCs w:val="30"/>
          <w:highlight w:val="none"/>
        </w:rPr>
      </w:pPr>
    </w:p>
    <w:p w14:paraId="7E0A92A4">
      <w:pPr>
        <w:spacing w:line="560" w:lineRule="exact"/>
        <w:rPr>
          <w:rFonts w:hint="eastAsia" w:ascii="仿宋" w:hAnsi="仿宋" w:eastAsia="仿宋" w:cs="仿宋"/>
          <w:color w:val="auto"/>
          <w:sz w:val="30"/>
          <w:szCs w:val="30"/>
          <w:highlight w:val="none"/>
        </w:rPr>
      </w:pPr>
    </w:p>
    <w:p w14:paraId="04DF8DC2">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合同签订地点：南京市</w:t>
      </w:r>
      <w:r>
        <w:rPr>
          <w:rFonts w:hint="eastAsia" w:ascii="仿宋" w:hAnsi="仿宋" w:eastAsia="仿宋" w:cs="仿宋"/>
          <w:color w:val="auto"/>
          <w:sz w:val="30"/>
          <w:szCs w:val="30"/>
          <w:highlight w:val="none"/>
          <w:u w:val="single"/>
        </w:rPr>
        <w:t>发包人办公地址</w:t>
      </w:r>
    </w:p>
    <w:p w14:paraId="762A4976">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2AE28AF5">
      <w:pPr>
        <w:spacing w:line="560" w:lineRule="exact"/>
        <w:ind w:firstLine="584" w:firstLineChars="200"/>
        <w:jc w:val="center"/>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第二部分  合同通用条款</w:t>
      </w:r>
    </w:p>
    <w:p w14:paraId="77C0EE57">
      <w:pPr>
        <w:pStyle w:val="411"/>
        <w:widowControl w:val="0"/>
        <w:spacing w:line="560" w:lineRule="exact"/>
        <w:ind w:firstLine="544" w:firstLineChars="200"/>
        <w:rPr>
          <w:rFonts w:hint="eastAsia" w:ascii="仿宋" w:hAnsi="仿宋" w:eastAsia="仿宋" w:cs="仿宋"/>
          <w:color w:val="auto"/>
          <w:sz w:val="28"/>
          <w:szCs w:val="28"/>
          <w:highlight w:val="none"/>
          <w:lang w:eastAsia="zh-CN"/>
        </w:rPr>
      </w:pPr>
    </w:p>
    <w:p w14:paraId="1E693F9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一、适用法律、标准及规范</w:t>
      </w:r>
    </w:p>
    <w:p w14:paraId="674BF2C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本合同应适用中华人民共和国法律，并依据江苏省、南京市关于建设工程的相关规定进行解释和履行。三方同意排除任何可能引起法律适用冲突的规定，以确保合同的法律效力及履行的可执行性。</w:t>
      </w:r>
    </w:p>
    <w:p w14:paraId="5460F65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除本合同明文所列外，住房和城乡建设部《建设工程施工合同（示范文本）》（GF-2017-0201）通用条款部分相关要求均须执行。</w:t>
      </w:r>
    </w:p>
    <w:p w14:paraId="2B02DA4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本合同所涉及国内现行适用的标准、规范等由承包人自备。</w:t>
      </w:r>
    </w:p>
    <w:p w14:paraId="26B1FB63">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二、各方的权利与义务</w:t>
      </w:r>
    </w:p>
    <w:p w14:paraId="58F57F4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发包人的权利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48253DC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（1）履行工程建设单位的主体责任，落实与监管人签订的《维修项目管理协议》有关要求，建立健全项目管理内控机制，明确本工程的责任部门与项目负责人及项目代表，按项目实施计划推进完成。</w:t>
      </w:r>
    </w:p>
    <w:p w14:paraId="2AD006A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kern w:val="2"/>
          <w:sz w:val="30"/>
          <w:szCs w:val="30"/>
          <w:highlight w:val="none"/>
          <w:lang w:eastAsia="zh-CN"/>
        </w:rPr>
        <w:t>（2）负责本项目施工过程中质量、安全管理，进度、投资控制，</w:t>
      </w:r>
      <w:r>
        <w:rPr>
          <w:rFonts w:hint="eastAsia" w:ascii="仿宋" w:hAnsi="仿宋" w:eastAsia="仿宋" w:cs="仿宋"/>
          <w:color w:val="auto"/>
          <w:sz w:val="30"/>
          <w:szCs w:val="30"/>
          <w:highlight w:val="none"/>
        </w:rPr>
        <w:t>监督承包人严格</w:t>
      </w:r>
      <w:r>
        <w:rPr>
          <w:rFonts w:hint="eastAsia" w:ascii="仿宋" w:hAnsi="仿宋" w:eastAsia="仿宋" w:cs="仿宋"/>
          <w:color w:val="auto"/>
          <w:sz w:val="30"/>
          <w:szCs w:val="30"/>
          <w:highlight w:val="none"/>
          <w:lang w:eastAsia="zh-CN"/>
        </w:rPr>
        <w:t>执行</w:t>
      </w:r>
      <w:r>
        <w:rPr>
          <w:rFonts w:hint="eastAsia" w:ascii="仿宋" w:hAnsi="仿宋" w:eastAsia="仿宋" w:cs="仿宋"/>
          <w:color w:val="auto"/>
          <w:sz w:val="30"/>
          <w:szCs w:val="30"/>
          <w:highlight w:val="none"/>
        </w:rPr>
        <w:t>合同约定</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遵守施工时间节点和质量标准。</w:t>
      </w:r>
    </w:p>
    <w:p w14:paraId="4D4BA49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（3）在</w:t>
      </w:r>
      <w:r>
        <w:rPr>
          <w:rFonts w:hint="eastAsia" w:ascii="仿宋" w:hAnsi="仿宋" w:eastAsia="仿宋" w:cs="仿宋"/>
          <w:color w:val="auto"/>
          <w:sz w:val="30"/>
          <w:szCs w:val="30"/>
          <w:highlight w:val="none"/>
        </w:rPr>
        <w:t>开工前</w:t>
      </w:r>
      <w:r>
        <w:rPr>
          <w:rFonts w:hint="eastAsia" w:ascii="仿宋" w:hAnsi="仿宋" w:eastAsia="仿宋" w:cs="仿宋"/>
          <w:color w:val="auto"/>
          <w:sz w:val="30"/>
          <w:szCs w:val="30"/>
          <w:highlight w:val="none"/>
          <w:lang w:eastAsia="zh-CN"/>
        </w:rPr>
        <w:t>需将施工场地各种障碍物清除，将</w:t>
      </w:r>
      <w:r>
        <w:rPr>
          <w:rFonts w:hint="eastAsia" w:ascii="仿宋" w:hAnsi="仿宋" w:eastAsia="仿宋" w:cs="仿宋"/>
          <w:color w:val="auto"/>
          <w:sz w:val="30"/>
          <w:szCs w:val="30"/>
          <w:highlight w:val="none"/>
        </w:rPr>
        <w:t>施工所需水、电</w:t>
      </w:r>
      <w:r>
        <w:rPr>
          <w:rFonts w:hint="eastAsia" w:ascii="仿宋" w:hAnsi="仿宋" w:eastAsia="仿宋" w:cs="仿宋"/>
          <w:color w:val="auto"/>
          <w:sz w:val="30"/>
          <w:szCs w:val="30"/>
          <w:highlight w:val="none"/>
          <w:lang w:eastAsia="zh-CN"/>
        </w:rPr>
        <w:t>、电讯</w:t>
      </w:r>
      <w:r>
        <w:rPr>
          <w:rFonts w:hint="eastAsia" w:ascii="仿宋" w:hAnsi="仿宋" w:eastAsia="仿宋" w:cs="仿宋"/>
          <w:color w:val="auto"/>
          <w:sz w:val="30"/>
          <w:szCs w:val="30"/>
          <w:highlight w:val="none"/>
        </w:rPr>
        <w:t>线路、道路接通至施工现场</w:t>
      </w:r>
      <w:r>
        <w:rPr>
          <w:rFonts w:hint="eastAsia" w:ascii="仿宋" w:hAnsi="仿宋" w:eastAsia="仿宋" w:cs="仿宋"/>
          <w:color w:val="auto"/>
          <w:sz w:val="30"/>
          <w:szCs w:val="30"/>
          <w:highlight w:val="none"/>
          <w:lang w:eastAsia="zh-CN"/>
        </w:rPr>
        <w:t>，保证施工场地具备施工条件。</w:t>
      </w:r>
    </w:p>
    <w:p w14:paraId="020E7E4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提供施工现场工程地质和地下管网线路</w:t>
      </w:r>
      <w:r>
        <w:rPr>
          <w:rFonts w:hint="eastAsia" w:ascii="仿宋" w:hAnsi="仿宋" w:eastAsia="仿宋" w:cs="仿宋"/>
          <w:color w:val="auto"/>
          <w:sz w:val="30"/>
          <w:szCs w:val="30"/>
          <w:highlight w:val="none"/>
          <w:lang w:eastAsia="zh-CN"/>
        </w:rPr>
        <w:t>现状</w:t>
      </w:r>
      <w:r>
        <w:rPr>
          <w:rFonts w:hint="eastAsia" w:ascii="仿宋" w:hAnsi="仿宋" w:eastAsia="仿宋" w:cs="仿宋"/>
          <w:color w:val="auto"/>
          <w:sz w:val="30"/>
          <w:szCs w:val="30"/>
          <w:highlight w:val="none"/>
        </w:rPr>
        <w:t>资料</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提交办理有关证件、批件的合法手续</w:t>
      </w:r>
      <w:r>
        <w:rPr>
          <w:rFonts w:hint="eastAsia" w:ascii="仿宋" w:hAnsi="仿宋" w:eastAsia="仿宋" w:cs="仿宋"/>
          <w:color w:val="auto"/>
          <w:sz w:val="30"/>
          <w:szCs w:val="30"/>
          <w:highlight w:val="none"/>
          <w:lang w:eastAsia="zh-CN"/>
        </w:rPr>
        <w:t>。</w:t>
      </w:r>
    </w:p>
    <w:p w14:paraId="32B4274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向承包人提供施工所需的</w:t>
      </w:r>
      <w:r>
        <w:rPr>
          <w:rFonts w:hint="eastAsia" w:ascii="仿宋" w:hAnsi="仿宋" w:eastAsia="仿宋" w:cs="仿宋"/>
          <w:color w:val="auto"/>
          <w:sz w:val="30"/>
          <w:szCs w:val="30"/>
          <w:highlight w:val="none"/>
          <w:lang w:eastAsia="zh-CN"/>
        </w:rPr>
        <w:t>设计</w:t>
      </w:r>
      <w:r>
        <w:rPr>
          <w:rFonts w:hint="eastAsia" w:ascii="仿宋" w:hAnsi="仿宋" w:eastAsia="仿宋" w:cs="仿宋"/>
          <w:color w:val="auto"/>
          <w:sz w:val="30"/>
          <w:szCs w:val="30"/>
          <w:highlight w:val="none"/>
        </w:rPr>
        <w:t>图纸、技术资料及其他必要文件，并保证所提供资料的真实性和准确性。</w:t>
      </w:r>
    </w:p>
    <w:p w14:paraId="2A21625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将水准点与座标控制点位置以书面形式提交给</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 xml:space="preserve"> </w:t>
      </w:r>
    </w:p>
    <w:p w14:paraId="5AFBA60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（7）在</w:t>
      </w:r>
      <w:r>
        <w:rPr>
          <w:rFonts w:hint="eastAsia" w:ascii="仿宋" w:hAnsi="仿宋" w:eastAsia="仿宋" w:cs="仿宋"/>
          <w:color w:val="auto"/>
          <w:sz w:val="30"/>
          <w:szCs w:val="30"/>
          <w:highlight w:val="none"/>
        </w:rPr>
        <w:t>合同</w:t>
      </w:r>
      <w:r>
        <w:rPr>
          <w:rFonts w:hint="eastAsia" w:ascii="仿宋" w:hAnsi="仿宋" w:eastAsia="仿宋" w:cs="仿宋"/>
          <w:color w:val="auto"/>
          <w:sz w:val="30"/>
          <w:szCs w:val="30"/>
          <w:highlight w:val="none"/>
          <w:lang w:eastAsia="zh-CN"/>
        </w:rPr>
        <w:t>生效</w:t>
      </w:r>
      <w:r>
        <w:rPr>
          <w:rFonts w:hint="eastAsia" w:ascii="仿宋" w:hAnsi="仿宋" w:eastAsia="仿宋" w:cs="仿宋"/>
          <w:color w:val="auto"/>
          <w:sz w:val="30"/>
          <w:szCs w:val="30"/>
          <w:highlight w:val="none"/>
        </w:rPr>
        <w:t>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内组织</w:t>
      </w:r>
      <w:r>
        <w:rPr>
          <w:rFonts w:hint="eastAsia" w:ascii="仿宋" w:hAnsi="仿宋" w:eastAsia="仿宋" w:cs="仿宋"/>
          <w:color w:val="auto"/>
          <w:sz w:val="30"/>
          <w:szCs w:val="30"/>
          <w:highlight w:val="none"/>
          <w:lang w:eastAsia="zh-CN"/>
        </w:rPr>
        <w:t>开工会议，</w:t>
      </w:r>
      <w:r>
        <w:rPr>
          <w:rFonts w:hint="eastAsia" w:ascii="仿宋" w:hAnsi="仿宋" w:eastAsia="仿宋" w:cs="仿宋"/>
          <w:color w:val="auto"/>
          <w:sz w:val="30"/>
          <w:szCs w:val="30"/>
          <w:highlight w:val="none"/>
        </w:rPr>
        <w:t>会审图纸和设计交底</w:t>
      </w:r>
      <w:r>
        <w:rPr>
          <w:rFonts w:hint="eastAsia" w:ascii="仿宋" w:hAnsi="仿宋" w:eastAsia="仿宋" w:cs="仿宋"/>
          <w:color w:val="auto"/>
          <w:sz w:val="30"/>
          <w:szCs w:val="30"/>
          <w:highlight w:val="none"/>
          <w:lang w:eastAsia="zh-CN"/>
        </w:rPr>
        <w:t>。</w:t>
      </w:r>
    </w:p>
    <w:p w14:paraId="2DF6404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（8）</w:t>
      </w:r>
      <w:r>
        <w:rPr>
          <w:rFonts w:hint="eastAsia" w:ascii="仿宋" w:hAnsi="仿宋" w:eastAsia="仿宋" w:cs="仿宋"/>
          <w:color w:val="auto"/>
          <w:sz w:val="30"/>
          <w:szCs w:val="30"/>
          <w:highlight w:val="none"/>
        </w:rPr>
        <w:t>在收到</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提供的施工组织设计</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或施工方案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和进度计划后</w:t>
      </w:r>
      <w:r>
        <w:rPr>
          <w:rFonts w:hint="eastAsia" w:ascii="仿宋" w:hAnsi="仿宋" w:eastAsia="仿宋" w:cs="仿宋"/>
          <w:color w:val="auto"/>
          <w:sz w:val="30"/>
          <w:szCs w:val="30"/>
          <w:highlight w:val="none"/>
          <w:lang w:eastAsia="zh-CN"/>
        </w:rPr>
        <w:t>5日</w:t>
      </w:r>
      <w:r>
        <w:rPr>
          <w:rFonts w:hint="eastAsia" w:ascii="仿宋" w:hAnsi="仿宋" w:eastAsia="仿宋" w:cs="仿宋"/>
          <w:color w:val="auto"/>
          <w:sz w:val="30"/>
          <w:szCs w:val="30"/>
          <w:highlight w:val="none"/>
        </w:rPr>
        <w:t>内予以确认。</w:t>
      </w:r>
    </w:p>
    <w:p w14:paraId="585557A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的工程</w:t>
      </w:r>
      <w:r>
        <w:rPr>
          <w:rFonts w:hint="eastAsia" w:ascii="仿宋" w:hAnsi="仿宋" w:eastAsia="仿宋" w:cs="仿宋"/>
          <w:color w:val="auto"/>
          <w:sz w:val="30"/>
          <w:szCs w:val="30"/>
          <w:highlight w:val="none"/>
          <w:lang w:eastAsia="zh-CN"/>
        </w:rPr>
        <w:t>文件审核与现场施工管理等具体工作，</w:t>
      </w:r>
      <w:r>
        <w:rPr>
          <w:rFonts w:hint="eastAsia" w:ascii="仿宋" w:hAnsi="仿宋" w:eastAsia="仿宋" w:cs="仿宋"/>
          <w:color w:val="auto"/>
          <w:sz w:val="30"/>
          <w:szCs w:val="30"/>
          <w:highlight w:val="none"/>
        </w:rPr>
        <w:t>并在约定期限内反馈意见。</w:t>
      </w:r>
      <w:r>
        <w:rPr>
          <w:rFonts w:hint="eastAsia" w:ascii="仿宋" w:hAnsi="仿宋" w:eastAsia="仿宋" w:cs="仿宋"/>
          <w:color w:val="auto"/>
          <w:sz w:val="30"/>
          <w:szCs w:val="30"/>
          <w:highlight w:val="none"/>
          <w:lang w:eastAsia="zh-CN"/>
        </w:rPr>
        <w:t>涉及工程规模调整、范围扩大、设计变更、工期延误、造价增加等事项，应报监管人批准。</w:t>
      </w:r>
    </w:p>
    <w:p w14:paraId="0D5CF3B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（10）组织竣工验收，签署验收意见；编报竣工结算，签署结算审定意见。根据财务决算结果办理资产管理与入账工作。</w:t>
      </w:r>
    </w:p>
    <w:p w14:paraId="7938AFD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承包人的权利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35224A7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（1）承包人应按照合同约定的工程图纸、质量标准及现行有效的施工技术规程进行施工，遵守《建设工程质量管理条例》有关规定。</w:t>
      </w:r>
    </w:p>
    <w:p w14:paraId="4310118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p>
    <w:p w14:paraId="74B622C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严格按照国家</w:t>
      </w:r>
      <w:r>
        <w:rPr>
          <w:rFonts w:hint="eastAsia" w:ascii="仿宋" w:hAnsi="仿宋" w:eastAsia="仿宋" w:cs="仿宋"/>
          <w:color w:val="auto"/>
          <w:sz w:val="30"/>
          <w:szCs w:val="30"/>
          <w:highlight w:val="none"/>
          <w:lang w:eastAsia="zh-CN"/>
        </w:rPr>
        <w:t>和工程所在省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eastAsia="zh-CN"/>
        </w:rPr>
        <w:t>区</w:t>
      </w:r>
      <w:r>
        <w:rPr>
          <w:rFonts w:hint="eastAsia" w:ascii="仿宋" w:hAnsi="仿宋" w:eastAsia="仿宋" w:cs="仿宋"/>
          <w:color w:val="auto"/>
          <w:sz w:val="30"/>
          <w:szCs w:val="30"/>
          <w:highlight w:val="none"/>
        </w:rPr>
        <w:t>关于建设工程的相关</w:t>
      </w:r>
      <w:r>
        <w:rPr>
          <w:rFonts w:hint="eastAsia" w:ascii="仿宋" w:hAnsi="仿宋" w:eastAsia="仿宋" w:cs="仿宋"/>
          <w:color w:val="auto"/>
          <w:sz w:val="30"/>
          <w:szCs w:val="30"/>
          <w:highlight w:val="none"/>
          <w:lang w:eastAsia="zh-CN"/>
        </w:rPr>
        <w:t>规定，办理各种施工手续，负责施工现场的安全保卫、施工照明，以及施工人员的治安教育和管理工作，</w:t>
      </w:r>
      <w:r>
        <w:rPr>
          <w:rFonts w:hint="eastAsia" w:ascii="仿宋" w:hAnsi="仿宋" w:eastAsia="仿宋" w:cs="仿宋"/>
          <w:color w:val="auto"/>
          <w:sz w:val="30"/>
          <w:szCs w:val="30"/>
          <w:highlight w:val="none"/>
        </w:rPr>
        <w:t>保障施工安全</w:t>
      </w:r>
      <w:r>
        <w:rPr>
          <w:rFonts w:hint="eastAsia" w:ascii="仿宋" w:hAnsi="仿宋" w:eastAsia="仿宋" w:cs="仿宋"/>
          <w:color w:val="auto"/>
          <w:sz w:val="30"/>
          <w:szCs w:val="30"/>
          <w:highlight w:val="none"/>
          <w:lang w:eastAsia="zh-CN"/>
        </w:rPr>
        <w:t>，由此产生的相关费用已包含在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报价中。如因此引发的事故和罚款，由承包人负责。</w:t>
      </w:r>
    </w:p>
    <w:p w14:paraId="497E544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（4）承包人的项目经理</w:t>
      </w:r>
      <w:r>
        <w:rPr>
          <w:rFonts w:hint="eastAsia" w:ascii="仿宋" w:hAnsi="仿宋" w:eastAsia="仿宋" w:cs="仿宋"/>
          <w:color w:val="auto"/>
          <w:sz w:val="30"/>
          <w:szCs w:val="30"/>
          <w:highlight w:val="none"/>
        </w:rPr>
        <w:t>和专职安全员</w:t>
      </w:r>
      <w:r>
        <w:rPr>
          <w:rFonts w:hint="eastAsia" w:ascii="仿宋" w:hAnsi="仿宋" w:eastAsia="仿宋" w:cs="仿宋"/>
          <w:color w:val="auto"/>
          <w:sz w:val="30"/>
          <w:szCs w:val="30"/>
          <w:highlight w:val="none"/>
          <w:lang w:eastAsia="zh-CN"/>
        </w:rPr>
        <w:t>，未经发包人同意</w:t>
      </w:r>
      <w:r>
        <w:rPr>
          <w:rFonts w:hint="eastAsia" w:ascii="仿宋" w:hAnsi="仿宋" w:eastAsia="仿宋" w:cs="仿宋"/>
          <w:color w:val="auto"/>
          <w:sz w:val="30"/>
          <w:szCs w:val="30"/>
          <w:highlight w:val="none"/>
        </w:rPr>
        <w:t>不得变更</w:t>
      </w:r>
      <w:r>
        <w:rPr>
          <w:rFonts w:hint="eastAsia" w:ascii="仿宋" w:hAnsi="仿宋" w:eastAsia="仿宋" w:cs="仿宋"/>
          <w:color w:val="auto"/>
          <w:sz w:val="30"/>
          <w:szCs w:val="30"/>
          <w:highlight w:val="none"/>
          <w:lang w:eastAsia="zh-CN"/>
        </w:rPr>
        <w:t>。如擅自变更的，</w:t>
      </w:r>
      <w:r>
        <w:rPr>
          <w:rFonts w:hint="eastAsia" w:ascii="仿宋" w:hAnsi="仿宋" w:eastAsia="仿宋" w:cs="仿宋"/>
          <w:color w:val="auto"/>
          <w:sz w:val="30"/>
          <w:szCs w:val="30"/>
          <w:highlight w:val="none"/>
        </w:rPr>
        <w:t>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不在现场，发包人有权解除合同，追究违约责任。</w:t>
      </w:r>
    </w:p>
    <w:p w14:paraId="5331CC5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承包人进场后一周内</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。施工过程中，承包人应于每月底前</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发包人、监管人</w:t>
      </w:r>
      <w:r>
        <w:rPr>
          <w:rFonts w:hint="eastAsia" w:ascii="仿宋" w:hAnsi="仿宋" w:eastAsia="仿宋" w:cs="仿宋"/>
          <w:color w:val="auto"/>
          <w:sz w:val="30"/>
          <w:szCs w:val="30"/>
          <w:highlight w:val="none"/>
        </w:rPr>
        <w:t>报送月度施工计划和已完工程进度统计报表</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承担的任何责任。</w:t>
      </w:r>
      <w:r>
        <w:rPr>
          <w:rFonts w:hint="eastAsia" w:ascii="仿宋" w:hAnsi="仿宋" w:eastAsia="仿宋" w:cs="仿宋"/>
          <w:color w:val="auto"/>
          <w:sz w:val="30"/>
          <w:szCs w:val="30"/>
          <w:highlight w:val="none"/>
          <w:lang w:eastAsia="zh-CN"/>
        </w:rPr>
        <w:t>承包人在施工过程中应</w:t>
      </w:r>
      <w:r>
        <w:rPr>
          <w:rFonts w:hint="eastAsia" w:ascii="仿宋" w:hAnsi="仿宋" w:eastAsia="仿宋" w:cs="仿宋"/>
          <w:color w:val="auto"/>
          <w:sz w:val="30"/>
          <w:szCs w:val="30"/>
          <w:highlight w:val="none"/>
        </w:rPr>
        <w:t>及时向发包人</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监管人报告工程进度及出现的问题，并与发包人协商解决遇到的困难。</w:t>
      </w:r>
    </w:p>
    <w:p w14:paraId="60E730B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承包人应当对发包人提供的施工场地</w:t>
      </w:r>
      <w:r>
        <w:rPr>
          <w:rFonts w:hint="eastAsia" w:ascii="仿宋" w:hAnsi="仿宋" w:eastAsia="仿宋" w:cs="仿宋"/>
          <w:color w:val="auto"/>
          <w:sz w:val="30"/>
          <w:szCs w:val="30"/>
          <w:highlight w:val="none"/>
          <w:lang w:eastAsia="zh-CN"/>
        </w:rPr>
        <w:t>、管线</w:t>
      </w:r>
      <w:r>
        <w:rPr>
          <w:rFonts w:hint="eastAsia" w:ascii="仿宋" w:hAnsi="仿宋" w:eastAsia="仿宋" w:cs="仿宋"/>
          <w:color w:val="auto"/>
          <w:sz w:val="30"/>
          <w:szCs w:val="30"/>
          <w:highlight w:val="none"/>
        </w:rPr>
        <w:t>资源</w:t>
      </w:r>
      <w:r>
        <w:rPr>
          <w:rFonts w:hint="eastAsia" w:ascii="仿宋" w:hAnsi="仿宋" w:eastAsia="仿宋" w:cs="仿宋"/>
          <w:color w:val="auto"/>
          <w:sz w:val="30"/>
          <w:szCs w:val="30"/>
          <w:highlight w:val="none"/>
          <w:lang w:eastAsia="zh-CN"/>
        </w:rPr>
        <w:t>及成品设施</w:t>
      </w:r>
      <w:r>
        <w:rPr>
          <w:rFonts w:hint="eastAsia" w:ascii="仿宋" w:hAnsi="仿宋" w:eastAsia="仿宋" w:cs="仿宋"/>
          <w:color w:val="auto"/>
          <w:sz w:val="30"/>
          <w:szCs w:val="30"/>
          <w:highlight w:val="none"/>
        </w:rPr>
        <w:t>进行妥善保护，不得损坏，并在施工完成后进行清场。</w:t>
      </w:r>
      <w:r>
        <w:rPr>
          <w:rFonts w:hint="eastAsia" w:ascii="仿宋" w:hAnsi="仿宋" w:eastAsia="仿宋" w:cs="仿宋"/>
          <w:color w:val="auto"/>
          <w:sz w:val="30"/>
          <w:szCs w:val="30"/>
          <w:highlight w:val="none"/>
          <w:lang w:eastAsia="zh-CN"/>
        </w:rPr>
        <w:t>对施工造成的损坏应无偿修复。</w:t>
      </w:r>
    </w:p>
    <w:p w14:paraId="549C2C2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（7）承包人应</w:t>
      </w:r>
      <w:r>
        <w:rPr>
          <w:rFonts w:hint="eastAsia" w:ascii="仿宋" w:hAnsi="仿宋" w:eastAsia="仿宋" w:cs="仿宋"/>
          <w:color w:val="auto"/>
          <w:sz w:val="30"/>
          <w:szCs w:val="30"/>
          <w:highlight w:val="none"/>
        </w:rPr>
        <w:t>做好施工现场周围建筑物、构筑物</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含文物保护建筑</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、古树名木和</w:t>
      </w:r>
      <w:r>
        <w:rPr>
          <w:rFonts w:hint="eastAsia" w:ascii="仿宋" w:hAnsi="仿宋" w:eastAsia="仿宋" w:cs="仿宋"/>
          <w:color w:val="auto"/>
          <w:sz w:val="30"/>
          <w:szCs w:val="30"/>
          <w:highlight w:val="none"/>
          <w:lang w:eastAsia="zh-CN"/>
        </w:rPr>
        <w:t>地下</w:t>
      </w:r>
      <w:r>
        <w:rPr>
          <w:rFonts w:hint="eastAsia" w:ascii="仿宋" w:hAnsi="仿宋" w:eastAsia="仿宋" w:cs="仿宋"/>
          <w:color w:val="auto"/>
          <w:sz w:val="30"/>
          <w:szCs w:val="30"/>
          <w:highlight w:val="none"/>
        </w:rPr>
        <w:t>管</w:t>
      </w:r>
      <w:r>
        <w:rPr>
          <w:rFonts w:hint="eastAsia" w:ascii="仿宋" w:hAnsi="仿宋" w:eastAsia="仿宋" w:cs="仿宋"/>
          <w:color w:val="auto"/>
          <w:sz w:val="30"/>
          <w:szCs w:val="30"/>
          <w:highlight w:val="none"/>
          <w:lang w:eastAsia="zh-CN"/>
        </w:rPr>
        <w:t>网及现状成品设施</w:t>
      </w:r>
      <w:r>
        <w:rPr>
          <w:rFonts w:hint="eastAsia" w:ascii="仿宋" w:hAnsi="仿宋" w:eastAsia="仿宋" w:cs="仿宋"/>
          <w:color w:val="auto"/>
          <w:sz w:val="30"/>
          <w:szCs w:val="30"/>
          <w:highlight w:val="none"/>
        </w:rPr>
        <w:t>的保护</w:t>
      </w:r>
      <w:r>
        <w:rPr>
          <w:rFonts w:hint="eastAsia" w:ascii="仿宋" w:hAnsi="仿宋" w:eastAsia="仿宋" w:cs="仿宋"/>
          <w:color w:val="auto"/>
          <w:sz w:val="30"/>
          <w:szCs w:val="30"/>
          <w:highlight w:val="none"/>
          <w:lang w:eastAsia="zh-CN"/>
        </w:rPr>
        <w:t>和观测工作，</w:t>
      </w:r>
      <w:r>
        <w:rPr>
          <w:rFonts w:hint="eastAsia" w:ascii="仿宋" w:hAnsi="仿宋" w:eastAsia="仿宋" w:cs="仿宋"/>
          <w:color w:val="auto"/>
          <w:sz w:val="30"/>
          <w:szCs w:val="30"/>
          <w:highlight w:val="none"/>
        </w:rPr>
        <w:t>发现地下障碍和文物时</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及时报告有关部门并采取有效保护措施</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按有关具体规定处置</w:t>
      </w:r>
      <w:r>
        <w:rPr>
          <w:rFonts w:hint="eastAsia" w:ascii="仿宋" w:hAnsi="仿宋" w:eastAsia="仿宋" w:cs="仿宋"/>
          <w:color w:val="auto"/>
          <w:sz w:val="30"/>
          <w:szCs w:val="30"/>
          <w:highlight w:val="none"/>
          <w:lang w:eastAsia="zh-CN"/>
        </w:rPr>
        <w:t>，由此产生的相关费用已包含在报价中。如因此引发的事故和罚款，由承包人负责。</w:t>
      </w:r>
    </w:p>
    <w:p w14:paraId="0B0BCD2A">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8</w:t>
      </w:r>
      <w:r>
        <w:rPr>
          <w:rFonts w:hint="eastAsia" w:ascii="仿宋" w:hAnsi="仿宋" w:eastAsia="仿宋" w:cs="仿宋"/>
          <w:color w:val="auto"/>
          <w:sz w:val="30"/>
          <w:szCs w:val="30"/>
          <w:highlight w:val="none"/>
        </w:rPr>
        <w:t>）承包人负责工程所在地的城市管理、生态环境、交通、公安、街道等部门和周边居民单位的协调工作，发包人协助，费用由承包人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承担</w:t>
      </w:r>
      <w:r>
        <w:rPr>
          <w:rFonts w:hint="eastAsia" w:ascii="仿宋" w:hAnsi="仿宋" w:eastAsia="仿宋" w:cs="仿宋"/>
          <w:color w:val="auto"/>
          <w:sz w:val="30"/>
          <w:szCs w:val="30"/>
          <w:highlight w:val="none"/>
        </w:rPr>
        <w:t>。</w:t>
      </w:r>
    </w:p>
    <w:p w14:paraId="28C05D4A">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9</w:t>
      </w:r>
      <w:r>
        <w:rPr>
          <w:rFonts w:hint="eastAsia" w:ascii="仿宋" w:hAnsi="仿宋" w:eastAsia="仿宋" w:cs="仿宋"/>
          <w:color w:val="auto"/>
          <w:sz w:val="30"/>
          <w:szCs w:val="30"/>
          <w:highlight w:val="none"/>
        </w:rPr>
        <w:t>）承包人应</w:t>
      </w:r>
      <w:r>
        <w:rPr>
          <w:rFonts w:hint="eastAsia" w:ascii="仿宋" w:hAnsi="仿宋" w:eastAsia="仿宋" w:cs="仿宋"/>
          <w:color w:val="auto"/>
          <w:sz w:val="30"/>
          <w:szCs w:val="30"/>
          <w:highlight w:val="none"/>
          <w:lang w:val="en-US"/>
        </w:rPr>
        <w:t>执行</w:t>
      </w:r>
      <w:r>
        <w:rPr>
          <w:rFonts w:hint="eastAsia" w:ascii="仿宋" w:hAnsi="仿宋" w:eastAsia="仿宋" w:cs="仿宋"/>
          <w:color w:val="auto"/>
          <w:sz w:val="30"/>
          <w:szCs w:val="30"/>
          <w:highlight w:val="none"/>
        </w:rPr>
        <w:t>发包人的</w:t>
      </w:r>
      <w:r>
        <w:rPr>
          <w:rFonts w:hint="eastAsia" w:ascii="仿宋" w:hAnsi="仿宋" w:eastAsia="仿宋" w:cs="仿宋"/>
          <w:color w:val="auto"/>
          <w:sz w:val="30"/>
          <w:szCs w:val="30"/>
          <w:highlight w:val="none"/>
          <w:lang w:val="en-US"/>
        </w:rPr>
        <w:t>书面</w:t>
      </w:r>
      <w:r>
        <w:rPr>
          <w:rFonts w:hint="eastAsia" w:ascii="仿宋" w:hAnsi="仿宋" w:eastAsia="仿宋" w:cs="仿宋"/>
          <w:color w:val="auto"/>
          <w:sz w:val="30"/>
          <w:szCs w:val="30"/>
          <w:highlight w:val="none"/>
        </w:rPr>
        <w:t>指令，完成对工程内容</w:t>
      </w:r>
      <w:r>
        <w:rPr>
          <w:rFonts w:hint="eastAsia" w:ascii="仿宋" w:hAnsi="仿宋" w:eastAsia="仿宋" w:cs="仿宋"/>
          <w:color w:val="auto"/>
          <w:sz w:val="30"/>
          <w:szCs w:val="30"/>
          <w:highlight w:val="none"/>
          <w:lang w:val="en-US"/>
        </w:rPr>
        <w:t>合理</w:t>
      </w:r>
      <w:r>
        <w:rPr>
          <w:rFonts w:hint="eastAsia" w:ascii="仿宋" w:hAnsi="仿宋" w:eastAsia="仿宋" w:cs="仿宋"/>
          <w:color w:val="auto"/>
          <w:sz w:val="30"/>
          <w:szCs w:val="30"/>
          <w:highlight w:val="none"/>
        </w:rPr>
        <w:t>的增加和删减，</w:t>
      </w:r>
      <w:r>
        <w:rPr>
          <w:rFonts w:hint="eastAsia" w:ascii="仿宋" w:hAnsi="仿宋" w:eastAsia="仿宋" w:cs="仿宋"/>
          <w:color w:val="auto"/>
          <w:sz w:val="30"/>
          <w:szCs w:val="30"/>
          <w:highlight w:val="none"/>
          <w:lang w:val="en-US"/>
        </w:rPr>
        <w:t>但</w:t>
      </w:r>
      <w:r>
        <w:rPr>
          <w:rFonts w:hint="eastAsia" w:ascii="仿宋" w:hAnsi="仿宋" w:eastAsia="仿宋" w:cs="仿宋"/>
          <w:color w:val="auto"/>
          <w:sz w:val="30"/>
          <w:szCs w:val="30"/>
          <w:highlight w:val="none"/>
        </w:rPr>
        <w:t>发包人</w:t>
      </w:r>
      <w:r>
        <w:rPr>
          <w:rFonts w:hint="eastAsia" w:ascii="仿宋" w:hAnsi="仿宋" w:eastAsia="仿宋" w:cs="仿宋"/>
          <w:color w:val="auto"/>
          <w:sz w:val="30"/>
          <w:szCs w:val="30"/>
          <w:highlight w:val="none"/>
          <w:lang w:val="en-US"/>
        </w:rPr>
        <w:t>涉及工程规模调整、范围扩大、</w:t>
      </w:r>
      <w:r>
        <w:rPr>
          <w:rFonts w:hint="eastAsia" w:ascii="仿宋" w:hAnsi="仿宋" w:eastAsia="仿宋" w:cs="仿宋"/>
          <w:color w:val="auto"/>
          <w:sz w:val="30"/>
          <w:szCs w:val="30"/>
          <w:highlight w:val="none"/>
        </w:rPr>
        <w:t>设计变更、工期</w:t>
      </w:r>
      <w:r>
        <w:rPr>
          <w:rFonts w:hint="eastAsia" w:ascii="仿宋" w:hAnsi="仿宋" w:eastAsia="仿宋" w:cs="仿宋"/>
          <w:color w:val="auto"/>
          <w:sz w:val="30"/>
          <w:szCs w:val="30"/>
          <w:highlight w:val="none"/>
          <w:lang w:val="en-US"/>
        </w:rPr>
        <w:t>延误</w:t>
      </w:r>
      <w:r>
        <w:rPr>
          <w:rFonts w:hint="eastAsia" w:ascii="仿宋" w:hAnsi="仿宋" w:eastAsia="仿宋" w:cs="仿宋"/>
          <w:color w:val="auto"/>
          <w:sz w:val="30"/>
          <w:szCs w:val="30"/>
          <w:highlight w:val="none"/>
        </w:rPr>
        <w:t>、造价</w:t>
      </w:r>
      <w:r>
        <w:rPr>
          <w:rFonts w:hint="eastAsia" w:ascii="仿宋" w:hAnsi="仿宋" w:eastAsia="仿宋" w:cs="仿宋"/>
          <w:color w:val="auto"/>
          <w:sz w:val="30"/>
          <w:szCs w:val="30"/>
          <w:highlight w:val="none"/>
          <w:lang w:val="en-US"/>
        </w:rPr>
        <w:t>增加</w:t>
      </w:r>
      <w:r>
        <w:rPr>
          <w:rFonts w:hint="eastAsia" w:ascii="仿宋" w:hAnsi="仿宋" w:eastAsia="仿宋" w:cs="仿宋"/>
          <w:color w:val="auto"/>
          <w:sz w:val="30"/>
          <w:szCs w:val="30"/>
          <w:highlight w:val="none"/>
        </w:rPr>
        <w:t>等</w:t>
      </w:r>
      <w:r>
        <w:rPr>
          <w:rFonts w:hint="eastAsia" w:ascii="仿宋" w:hAnsi="仿宋" w:eastAsia="仿宋" w:cs="仿宋"/>
          <w:color w:val="auto"/>
          <w:sz w:val="30"/>
          <w:szCs w:val="30"/>
          <w:highlight w:val="none"/>
          <w:lang w:val="en-US"/>
        </w:rPr>
        <w:t>指令事项</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应提前取得监管人批准。由此</w:t>
      </w:r>
      <w:r>
        <w:rPr>
          <w:rFonts w:hint="eastAsia" w:ascii="仿宋" w:hAnsi="仿宋" w:eastAsia="仿宋" w:cs="仿宋"/>
          <w:color w:val="auto"/>
          <w:sz w:val="30"/>
          <w:szCs w:val="30"/>
          <w:highlight w:val="none"/>
        </w:rPr>
        <w:t>所发生的费用经发包人核实、</w:t>
      </w:r>
      <w:r>
        <w:rPr>
          <w:rFonts w:hint="eastAsia" w:ascii="仿宋" w:hAnsi="仿宋" w:eastAsia="仿宋" w:cs="仿宋"/>
          <w:color w:val="auto"/>
          <w:sz w:val="30"/>
          <w:szCs w:val="30"/>
          <w:highlight w:val="none"/>
          <w:lang w:val="en-US"/>
        </w:rPr>
        <w:t>监管人认可后</w:t>
      </w:r>
      <w:r>
        <w:rPr>
          <w:rFonts w:hint="eastAsia" w:ascii="仿宋" w:hAnsi="仿宋" w:eastAsia="仿宋" w:cs="仿宋"/>
          <w:color w:val="auto"/>
          <w:sz w:val="30"/>
          <w:szCs w:val="30"/>
          <w:highlight w:val="none"/>
        </w:rPr>
        <w:t>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万元/次违约金。</w:t>
      </w:r>
    </w:p>
    <w:p w14:paraId="0B5AF875">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10</w:t>
      </w:r>
      <w:r>
        <w:rPr>
          <w:rFonts w:hint="eastAsia" w:ascii="仿宋" w:hAnsi="仿宋" w:eastAsia="仿宋" w:cs="仿宋"/>
          <w:color w:val="auto"/>
          <w:sz w:val="30"/>
          <w:szCs w:val="30"/>
          <w:highlight w:val="none"/>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69A8A30B">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11</w:t>
      </w:r>
      <w:r>
        <w:rPr>
          <w:rFonts w:hint="eastAsia" w:ascii="仿宋" w:hAnsi="仿宋" w:eastAsia="仿宋" w:cs="仿宋"/>
          <w:color w:val="auto"/>
          <w:sz w:val="30"/>
          <w:szCs w:val="30"/>
          <w:highlight w:val="none"/>
        </w:rPr>
        <w:t>）承包人应按照政府相关规定，建立健全雇员工资发放和劳动保障制度。</w:t>
      </w:r>
      <w:r>
        <w:rPr>
          <w:rFonts w:hint="eastAsia" w:ascii="仿宋" w:hAnsi="仿宋" w:eastAsia="仿宋" w:cs="仿宋"/>
          <w:color w:val="auto"/>
          <w:sz w:val="30"/>
          <w:szCs w:val="30"/>
          <w:highlight w:val="none"/>
          <w:lang w:val="en-US"/>
        </w:rPr>
        <w:t>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如因</w:t>
      </w:r>
      <w:r>
        <w:rPr>
          <w:rFonts w:hint="eastAsia" w:ascii="仿宋" w:hAnsi="仿宋" w:eastAsia="仿宋" w:cs="仿宋"/>
          <w:color w:val="auto"/>
          <w:sz w:val="30"/>
          <w:szCs w:val="30"/>
          <w:highlight w:val="none"/>
          <w:lang w:val="en-US"/>
        </w:rPr>
        <w:t>农民工工资</w:t>
      </w:r>
      <w:r>
        <w:rPr>
          <w:rFonts w:hint="eastAsia" w:ascii="仿宋" w:hAnsi="仿宋" w:eastAsia="仿宋" w:cs="仿宋"/>
          <w:color w:val="auto"/>
          <w:sz w:val="30"/>
          <w:szCs w:val="30"/>
          <w:highlight w:val="none"/>
        </w:rPr>
        <w:t>发放</w:t>
      </w:r>
      <w:r>
        <w:rPr>
          <w:rFonts w:hint="eastAsia" w:ascii="仿宋" w:hAnsi="仿宋" w:eastAsia="仿宋" w:cs="仿宋"/>
          <w:color w:val="auto"/>
          <w:sz w:val="30"/>
          <w:szCs w:val="30"/>
          <w:highlight w:val="none"/>
          <w:lang w:val="en-US"/>
        </w:rPr>
        <w:t>等引发重大纠纷，造成恶劣影响的</w:t>
      </w:r>
      <w:r>
        <w:rPr>
          <w:rFonts w:hint="eastAsia" w:ascii="仿宋" w:hAnsi="仿宋" w:eastAsia="仿宋" w:cs="仿宋"/>
          <w:color w:val="auto"/>
          <w:sz w:val="30"/>
          <w:szCs w:val="30"/>
          <w:highlight w:val="none"/>
        </w:rPr>
        <w:t>，发包人有权终止施工合同。</w:t>
      </w:r>
    </w:p>
    <w:p w14:paraId="5578ABE6">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12</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66349A3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（13）承包人</w:t>
      </w:r>
      <w:r>
        <w:rPr>
          <w:rFonts w:hint="eastAsia" w:ascii="仿宋" w:hAnsi="仿宋" w:eastAsia="仿宋" w:cs="仿宋"/>
          <w:color w:val="auto"/>
          <w:sz w:val="30"/>
          <w:szCs w:val="30"/>
          <w:highlight w:val="none"/>
        </w:rPr>
        <w:t>不按合同约定完成各项工作时</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应承担由此造成的经济损失</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工期不予顺延。</w:t>
      </w:r>
    </w:p>
    <w:p w14:paraId="617C02F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监管人的权利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1CF23AC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（1）协助发包人对施工的质量、进度进行管理。</w:t>
      </w:r>
    </w:p>
    <w:p w14:paraId="1A65932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（2）严格预算管理，控制维修范围与标准，对现场签证、设计变更、暂估价与暂列金等进行审核把关。</w:t>
      </w:r>
    </w:p>
    <w:p w14:paraId="5636FC9A">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（3）按合同约定审核支付工程款。</w:t>
      </w:r>
    </w:p>
    <w:p w14:paraId="1701CFB4">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p>
    <w:p w14:paraId="421F5646">
      <w:pPr>
        <w:pStyle w:val="212"/>
        <w:overflowPunct w:val="0"/>
        <w:spacing w:line="560" w:lineRule="exact"/>
        <w:ind w:hanging="18"/>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三</w:t>
      </w:r>
      <w:r>
        <w:rPr>
          <w:rFonts w:hint="eastAsia" w:ascii="仿宋" w:hAnsi="仿宋" w:eastAsia="仿宋" w:cs="仿宋"/>
          <w:color w:val="auto"/>
          <w:sz w:val="30"/>
          <w:szCs w:val="30"/>
          <w:highlight w:val="none"/>
        </w:rPr>
        <w:t>、材料管理</w:t>
      </w:r>
    </w:p>
    <w:p w14:paraId="53ACF656">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材料采购和验收</w:t>
      </w:r>
    </w:p>
    <w:p w14:paraId="12EDD31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承包人负责材料的采购，确保采购的材料符合本合同约定的质量标准和</w:t>
      </w:r>
      <w:r>
        <w:rPr>
          <w:rFonts w:hint="eastAsia" w:ascii="仿宋" w:hAnsi="仿宋" w:eastAsia="仿宋" w:cs="仿宋"/>
          <w:color w:val="auto"/>
          <w:sz w:val="30"/>
          <w:szCs w:val="30"/>
          <w:highlight w:val="none"/>
          <w:lang w:eastAsia="zh-CN"/>
        </w:rPr>
        <w:t>工程所在地政府部门</w:t>
      </w:r>
      <w:r>
        <w:rPr>
          <w:rFonts w:hint="eastAsia" w:ascii="仿宋" w:hAnsi="仿宋" w:eastAsia="仿宋" w:cs="仿宋"/>
          <w:color w:val="auto"/>
          <w:sz w:val="30"/>
          <w:szCs w:val="30"/>
          <w:highlight w:val="none"/>
        </w:rPr>
        <w:t>相关规定。</w:t>
      </w:r>
    </w:p>
    <w:p w14:paraId="548B622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所有到场材料须经发包人</w:t>
      </w:r>
      <w:r>
        <w:rPr>
          <w:rFonts w:hint="eastAsia" w:ascii="仿宋" w:hAnsi="仿宋" w:eastAsia="仿宋" w:cs="仿宋"/>
          <w:color w:val="auto"/>
          <w:sz w:val="30"/>
          <w:szCs w:val="30"/>
          <w:highlight w:val="none"/>
          <w:lang w:eastAsia="zh-CN"/>
        </w:rPr>
        <w:t>、监理</w:t>
      </w:r>
      <w:r>
        <w:rPr>
          <w:rFonts w:hint="eastAsia" w:ascii="仿宋" w:hAnsi="仿宋" w:eastAsia="仿宋" w:cs="仿宋"/>
          <w:color w:val="auto"/>
          <w:sz w:val="30"/>
          <w:szCs w:val="30"/>
          <w:highlight w:val="none"/>
        </w:rPr>
        <w:t>验收，验收合格后方可使用</w:t>
      </w:r>
      <w:r>
        <w:rPr>
          <w:rFonts w:hint="eastAsia" w:ascii="仿宋" w:hAnsi="仿宋" w:eastAsia="仿宋" w:cs="仿宋"/>
          <w:color w:val="auto"/>
          <w:sz w:val="30"/>
          <w:szCs w:val="30"/>
          <w:highlight w:val="none"/>
          <w:lang w:eastAsia="zh-CN"/>
        </w:rPr>
        <w:t>；重要材料订货前必须送样认可，按磋商文件要求的品牌及生产厂家采购。未经认可或验收</w:t>
      </w:r>
      <w:r>
        <w:rPr>
          <w:rFonts w:hint="eastAsia" w:ascii="仿宋" w:hAnsi="仿宋" w:eastAsia="仿宋" w:cs="仿宋"/>
          <w:color w:val="auto"/>
          <w:sz w:val="30"/>
          <w:szCs w:val="30"/>
          <w:highlight w:val="none"/>
        </w:rPr>
        <w:t>不合格</w:t>
      </w:r>
      <w:r>
        <w:rPr>
          <w:rFonts w:hint="eastAsia" w:ascii="仿宋" w:hAnsi="仿宋" w:eastAsia="仿宋" w:cs="仿宋"/>
          <w:color w:val="auto"/>
          <w:sz w:val="30"/>
          <w:szCs w:val="30"/>
          <w:highlight w:val="none"/>
          <w:lang w:eastAsia="zh-CN"/>
        </w:rPr>
        <w:t>的</w:t>
      </w:r>
      <w:r>
        <w:rPr>
          <w:rFonts w:hint="eastAsia" w:ascii="仿宋" w:hAnsi="仿宋" w:eastAsia="仿宋" w:cs="仿宋"/>
          <w:color w:val="auto"/>
          <w:sz w:val="30"/>
          <w:szCs w:val="30"/>
          <w:highlight w:val="none"/>
        </w:rPr>
        <w:t>材料</w:t>
      </w:r>
      <w:r>
        <w:rPr>
          <w:rFonts w:hint="eastAsia" w:ascii="仿宋" w:hAnsi="仿宋" w:eastAsia="仿宋" w:cs="仿宋"/>
          <w:color w:val="auto"/>
          <w:sz w:val="30"/>
          <w:szCs w:val="30"/>
          <w:highlight w:val="none"/>
          <w:lang w:eastAsia="zh-CN"/>
        </w:rPr>
        <w:t>不得进场和使用，否则造成的一切损失由承包人承担</w:t>
      </w:r>
      <w:r>
        <w:rPr>
          <w:rFonts w:hint="eastAsia" w:ascii="仿宋" w:hAnsi="仿宋" w:eastAsia="仿宋" w:cs="仿宋"/>
          <w:color w:val="auto"/>
          <w:sz w:val="30"/>
          <w:szCs w:val="30"/>
          <w:highlight w:val="none"/>
        </w:rPr>
        <w:t>。</w:t>
      </w:r>
    </w:p>
    <w:p w14:paraId="38E6834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（3）如有暂估价的材料，发包人、监管人保留甲供的权利。</w:t>
      </w:r>
    </w:p>
    <w:p w14:paraId="525CFED7">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材料供应时限</w:t>
      </w:r>
    </w:p>
    <w:p w14:paraId="1B299A6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承包人须按照发包人确定的施工进度计划及时供应所需材料，任何延误须提前向发包人报告，并获得发包人书面同意。</w:t>
      </w:r>
    </w:p>
    <w:p w14:paraId="65A62BF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因材料供应问题导致的工程延期，承包人需承担关联责任及</w:t>
      </w:r>
      <w:r>
        <w:rPr>
          <w:rFonts w:hint="eastAsia" w:ascii="仿宋" w:hAnsi="仿宋" w:eastAsia="仿宋" w:cs="仿宋"/>
          <w:color w:val="auto"/>
          <w:sz w:val="30"/>
          <w:szCs w:val="30"/>
          <w:highlight w:val="none"/>
          <w:lang w:eastAsia="zh-CN"/>
        </w:rPr>
        <w:t>延期</w:t>
      </w:r>
      <w:r>
        <w:rPr>
          <w:rFonts w:hint="eastAsia" w:ascii="仿宋" w:hAnsi="仿宋" w:eastAsia="仿宋" w:cs="仿宋"/>
          <w:color w:val="auto"/>
          <w:sz w:val="30"/>
          <w:szCs w:val="30"/>
          <w:highlight w:val="none"/>
        </w:rPr>
        <w:t>费用。</w:t>
      </w:r>
    </w:p>
    <w:p w14:paraId="3E1D2ACC">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材料保管和使用</w:t>
      </w:r>
    </w:p>
    <w:p w14:paraId="2B07ED3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w:t>
      </w:r>
      <w:r>
        <w:rPr>
          <w:rFonts w:hint="eastAsia" w:ascii="仿宋" w:hAnsi="仿宋" w:eastAsia="仿宋" w:cs="仿宋"/>
          <w:color w:val="auto"/>
          <w:sz w:val="30"/>
          <w:szCs w:val="30"/>
          <w:highlight w:val="none"/>
          <w:lang w:eastAsia="zh-CN"/>
        </w:rPr>
        <w:t>进场</w:t>
      </w:r>
      <w:r>
        <w:rPr>
          <w:rFonts w:hint="eastAsia" w:ascii="仿宋" w:hAnsi="仿宋" w:eastAsia="仿宋" w:cs="仿宋"/>
          <w:color w:val="auto"/>
          <w:sz w:val="30"/>
          <w:szCs w:val="30"/>
          <w:highlight w:val="none"/>
        </w:rPr>
        <w:t>材料的现场保管，确保其安全和完好，不得挪作他用。</w:t>
      </w:r>
    </w:p>
    <w:p w14:paraId="5F6EE41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发包人有权不定期检查材料使用情况，不符合使用规范时，发包人有权要求承包人整改。</w:t>
      </w:r>
    </w:p>
    <w:p w14:paraId="1A99BD5B">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材料替换与损耗</w:t>
      </w:r>
    </w:p>
    <w:p w14:paraId="400F1E2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（1）承包人</w:t>
      </w:r>
      <w:r>
        <w:rPr>
          <w:rFonts w:hint="eastAsia" w:ascii="仿宋" w:hAnsi="仿宋" w:eastAsia="仿宋" w:cs="仿宋"/>
          <w:color w:val="auto"/>
          <w:sz w:val="30"/>
          <w:szCs w:val="30"/>
          <w:highlight w:val="none"/>
        </w:rPr>
        <w:t>实施过程中如需替换材料，需经发包人书面批准后方可进行，替换材料</w:t>
      </w:r>
      <w:r>
        <w:rPr>
          <w:rFonts w:hint="eastAsia" w:ascii="仿宋" w:hAnsi="仿宋" w:eastAsia="仿宋" w:cs="仿宋"/>
          <w:color w:val="auto"/>
          <w:sz w:val="30"/>
          <w:szCs w:val="30"/>
          <w:highlight w:val="none"/>
          <w:lang w:eastAsia="zh-CN"/>
        </w:rPr>
        <w:t>而增加的</w:t>
      </w:r>
      <w:r>
        <w:rPr>
          <w:rFonts w:hint="eastAsia" w:ascii="仿宋" w:hAnsi="仿宋" w:eastAsia="仿宋" w:cs="仿宋"/>
          <w:color w:val="auto"/>
          <w:sz w:val="30"/>
          <w:szCs w:val="30"/>
          <w:highlight w:val="none"/>
        </w:rPr>
        <w:t>费用由承包人承担。</w:t>
      </w:r>
    </w:p>
    <w:p w14:paraId="0618FE3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材料的正常损耗应在合理范围内，如超出标准损耗，承包人应负责补充</w:t>
      </w:r>
      <w:r>
        <w:rPr>
          <w:rFonts w:hint="eastAsia" w:ascii="仿宋" w:hAnsi="仿宋" w:eastAsia="仿宋" w:cs="仿宋"/>
          <w:color w:val="auto"/>
          <w:sz w:val="30"/>
          <w:szCs w:val="30"/>
          <w:highlight w:val="none"/>
          <w:lang w:eastAsia="zh-CN"/>
        </w:rPr>
        <w:t>并承担</w:t>
      </w:r>
      <w:r>
        <w:rPr>
          <w:rFonts w:hint="eastAsia" w:ascii="仿宋" w:hAnsi="仿宋" w:eastAsia="仿宋" w:cs="仿宋"/>
          <w:color w:val="auto"/>
          <w:sz w:val="30"/>
          <w:szCs w:val="30"/>
          <w:highlight w:val="none"/>
        </w:rPr>
        <w:t>相关费用。</w:t>
      </w:r>
    </w:p>
    <w:p w14:paraId="1DF1ECAE">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材料废弃物处理</w:t>
      </w:r>
    </w:p>
    <w:p w14:paraId="5156C1A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承包人负责施工过程中产生的所有废弃材料的处理，需遵循环保规定，并由承包人承担处理费用。</w:t>
      </w:r>
    </w:p>
    <w:p w14:paraId="567C647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发包人保留因废弃物管理</w:t>
      </w:r>
      <w:r>
        <w:rPr>
          <w:rFonts w:hint="eastAsia" w:ascii="仿宋" w:hAnsi="仿宋" w:eastAsia="仿宋" w:cs="仿宋"/>
          <w:color w:val="auto"/>
          <w:sz w:val="30"/>
          <w:szCs w:val="30"/>
          <w:highlight w:val="none"/>
          <w:lang w:eastAsia="zh-CN"/>
        </w:rPr>
        <w:t>处置</w:t>
      </w:r>
      <w:r>
        <w:rPr>
          <w:rFonts w:hint="eastAsia" w:ascii="仿宋" w:hAnsi="仿宋" w:eastAsia="仿宋" w:cs="仿宋"/>
          <w:color w:val="auto"/>
          <w:sz w:val="30"/>
          <w:szCs w:val="30"/>
          <w:highlight w:val="none"/>
        </w:rPr>
        <w:t>不当进行索赔的权利。</w:t>
      </w:r>
    </w:p>
    <w:p w14:paraId="4E09BD89">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法律责任与保证</w:t>
      </w:r>
    </w:p>
    <w:p w14:paraId="05B0BB0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承包人须保证所有材料符合国家质量标准和环保标准，因材料质量问题或不符合</w:t>
      </w:r>
      <w:r>
        <w:rPr>
          <w:rFonts w:hint="eastAsia" w:ascii="仿宋" w:hAnsi="仿宋" w:eastAsia="仿宋" w:cs="仿宋"/>
          <w:color w:val="auto"/>
          <w:sz w:val="30"/>
          <w:szCs w:val="30"/>
          <w:highlight w:val="none"/>
          <w:lang w:eastAsia="zh-CN"/>
        </w:rPr>
        <w:t>环保</w:t>
      </w:r>
      <w:r>
        <w:rPr>
          <w:rFonts w:hint="eastAsia" w:ascii="仿宋" w:hAnsi="仿宋" w:eastAsia="仿宋" w:cs="仿宋"/>
          <w:color w:val="auto"/>
          <w:sz w:val="30"/>
          <w:szCs w:val="30"/>
          <w:highlight w:val="none"/>
        </w:rPr>
        <w:t>标准而造成的损失由承包人负责。</w:t>
      </w:r>
    </w:p>
    <w:p w14:paraId="27B5D90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（2）承包人需提供材料的质量合格证明及相关认证，确保其来源合法、使用安全。</w:t>
      </w:r>
    </w:p>
    <w:p w14:paraId="2AEF209A">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四、工程变更</w:t>
      </w:r>
    </w:p>
    <w:p w14:paraId="3ED154C6">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1. </w:t>
      </w:r>
      <w:r>
        <w:rPr>
          <w:rFonts w:hint="eastAsia" w:ascii="仿宋" w:hAnsi="仿宋" w:eastAsia="仿宋" w:cs="仿宋"/>
          <w:color w:val="auto"/>
          <w:kern w:val="0"/>
          <w:sz w:val="30"/>
          <w:szCs w:val="30"/>
          <w:highlight w:val="none"/>
        </w:rPr>
        <w:t>施工中承包人不得擅自变更设计，否则由此产生的一切费用和损失由承包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承担，延误的工期不予顺延。发包人如需对原工程设计进行变更的，应</w:t>
      </w:r>
      <w:r>
        <w:rPr>
          <w:rFonts w:hint="eastAsia" w:ascii="仿宋" w:hAnsi="仿宋" w:eastAsia="仿宋" w:cs="仿宋"/>
          <w:color w:val="auto"/>
          <w:kern w:val="0"/>
          <w:sz w:val="30"/>
          <w:szCs w:val="30"/>
          <w:highlight w:val="none"/>
          <w:lang w:val="en-US"/>
        </w:rPr>
        <w:t>经过监管人认可，再</w:t>
      </w:r>
      <w:r>
        <w:rPr>
          <w:rFonts w:hint="eastAsia" w:ascii="仿宋" w:hAnsi="仿宋" w:eastAsia="仿宋" w:cs="仿宋"/>
          <w:color w:val="auto"/>
          <w:kern w:val="0"/>
          <w:sz w:val="30"/>
          <w:szCs w:val="30"/>
          <w:highlight w:val="none"/>
        </w:rPr>
        <w:t>由发包人或监理单位向承包人发出变更通知。若上述变更非承包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责任造成，因变更导致合同价款的增减及造成的承包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损失，由</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承担，延误的工期相应顺延。</w:t>
      </w:r>
    </w:p>
    <w:p w14:paraId="29A69A09">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2. </w:t>
      </w:r>
      <w:r>
        <w:rPr>
          <w:rFonts w:hint="eastAsia" w:ascii="仿宋" w:hAnsi="仿宋" w:eastAsia="仿宋" w:cs="仿宋"/>
          <w:color w:val="auto"/>
          <w:kern w:val="0"/>
          <w:sz w:val="30"/>
          <w:szCs w:val="30"/>
          <w:highlight w:val="none"/>
        </w:rPr>
        <w:t>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在施工中提出的合理化建议涉及到对设计图纸或施工组织设计的更改及对材料、设备的换用，须报设计师同意并经监理工程师审查，在报请</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批准后，方可组织实施。未经批准擅自更改或换用产生的一些费用和损失由承包人承担，延误的工期不予顺延。</w:t>
      </w:r>
    </w:p>
    <w:p w14:paraId="4060CB31">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3. </w:t>
      </w:r>
      <w:r>
        <w:rPr>
          <w:rFonts w:hint="eastAsia" w:ascii="仿宋" w:hAnsi="仿宋" w:eastAsia="仿宋" w:cs="仿宋"/>
          <w:color w:val="auto"/>
          <w:kern w:val="0"/>
          <w:sz w:val="30"/>
          <w:szCs w:val="30"/>
          <w:highlight w:val="none"/>
        </w:rPr>
        <w:t>承包人对设计变更、签证资料必须经设计师、监理同意，报发包人、监管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确认，隐蔽性工程的变更签证要</w:t>
      </w:r>
      <w:r>
        <w:rPr>
          <w:rFonts w:hint="eastAsia" w:ascii="仿宋" w:hAnsi="仿宋" w:eastAsia="仿宋" w:cs="仿宋"/>
          <w:color w:val="auto"/>
          <w:kern w:val="0"/>
          <w:sz w:val="30"/>
          <w:szCs w:val="30"/>
          <w:highlight w:val="none"/>
          <w:lang w:val="en-US"/>
        </w:rPr>
        <w:t>在完成后</w:t>
      </w:r>
      <w:r>
        <w:rPr>
          <w:rFonts w:hint="eastAsia" w:ascii="仿宋" w:hAnsi="仿宋" w:eastAsia="仿宋" w:cs="仿宋"/>
          <w:color w:val="auto"/>
          <w:kern w:val="0"/>
          <w:sz w:val="30"/>
          <w:szCs w:val="30"/>
          <w:highlight w:val="none"/>
          <w:u w:val="single"/>
        </w:rPr>
        <w:t xml:space="preserve"> 3</w:t>
      </w:r>
      <w:r>
        <w:rPr>
          <w:rFonts w:hint="eastAsia" w:ascii="仿宋" w:hAnsi="仿宋" w:eastAsia="仿宋" w:cs="仿宋"/>
          <w:color w:val="auto"/>
          <w:kern w:val="0"/>
          <w:sz w:val="30"/>
          <w:szCs w:val="30"/>
          <w:highlight w:val="none"/>
        </w:rPr>
        <w:t>日内</w:t>
      </w:r>
      <w:r>
        <w:rPr>
          <w:rFonts w:hint="eastAsia" w:ascii="仿宋" w:hAnsi="仿宋" w:eastAsia="仿宋" w:cs="仿宋"/>
          <w:color w:val="auto"/>
          <w:kern w:val="0"/>
          <w:sz w:val="30"/>
          <w:szCs w:val="30"/>
          <w:highlight w:val="none"/>
          <w:lang w:val="en-US"/>
        </w:rPr>
        <w:t>且</w:t>
      </w:r>
      <w:r>
        <w:rPr>
          <w:rFonts w:hint="eastAsia" w:ascii="仿宋" w:hAnsi="仿宋" w:eastAsia="仿宋" w:cs="仿宋"/>
          <w:color w:val="auto"/>
          <w:kern w:val="0"/>
          <w:sz w:val="30"/>
          <w:szCs w:val="30"/>
          <w:highlight w:val="none"/>
        </w:rPr>
        <w:t>隐蔽前</w:t>
      </w:r>
      <w:r>
        <w:rPr>
          <w:rFonts w:hint="eastAsia" w:ascii="仿宋" w:hAnsi="仿宋" w:eastAsia="仿宋" w:cs="仿宋"/>
          <w:color w:val="auto"/>
          <w:kern w:val="0"/>
          <w:sz w:val="30"/>
          <w:szCs w:val="30"/>
          <w:highlight w:val="none"/>
          <w:lang w:val="en-US"/>
        </w:rPr>
        <w:t>申报</w:t>
      </w:r>
      <w:r>
        <w:rPr>
          <w:rFonts w:hint="eastAsia" w:ascii="仿宋" w:hAnsi="仿宋" w:eastAsia="仿宋" w:cs="仿宋"/>
          <w:color w:val="auto"/>
          <w:kern w:val="0"/>
          <w:sz w:val="30"/>
          <w:szCs w:val="30"/>
          <w:highlight w:val="none"/>
        </w:rPr>
        <w:t>办理，其他变更签证</w:t>
      </w:r>
      <w:r>
        <w:rPr>
          <w:rFonts w:hint="eastAsia" w:ascii="仿宋" w:hAnsi="仿宋" w:eastAsia="仿宋" w:cs="仿宋"/>
          <w:color w:val="auto"/>
          <w:kern w:val="0"/>
          <w:sz w:val="30"/>
          <w:szCs w:val="30"/>
          <w:highlight w:val="none"/>
          <w:u w:val="single"/>
        </w:rPr>
        <w:t xml:space="preserve"> 7 </w:t>
      </w:r>
      <w:r>
        <w:rPr>
          <w:rFonts w:hint="eastAsia" w:ascii="仿宋" w:hAnsi="仿宋" w:eastAsia="仿宋" w:cs="仿宋"/>
          <w:color w:val="auto"/>
          <w:kern w:val="0"/>
          <w:sz w:val="30"/>
          <w:szCs w:val="30"/>
          <w:highlight w:val="none"/>
        </w:rPr>
        <w:t>日内办理，签证逾期</w:t>
      </w:r>
      <w:r>
        <w:rPr>
          <w:rFonts w:hint="eastAsia" w:ascii="仿宋" w:hAnsi="仿宋" w:eastAsia="仿宋" w:cs="仿宋"/>
          <w:color w:val="auto"/>
          <w:kern w:val="0"/>
          <w:sz w:val="30"/>
          <w:szCs w:val="30"/>
          <w:highlight w:val="none"/>
          <w:lang w:val="en-US"/>
        </w:rPr>
        <w:t>办理，</w:t>
      </w:r>
      <w:r>
        <w:rPr>
          <w:rFonts w:hint="eastAsia" w:ascii="仿宋" w:hAnsi="仿宋" w:eastAsia="仿宋" w:cs="仿宋"/>
          <w:color w:val="auto"/>
          <w:kern w:val="0"/>
          <w:sz w:val="30"/>
          <w:szCs w:val="30"/>
          <w:highlight w:val="none"/>
        </w:rPr>
        <w:t>发包人</w:t>
      </w:r>
      <w:r>
        <w:rPr>
          <w:rFonts w:hint="eastAsia" w:ascii="仿宋" w:hAnsi="仿宋" w:eastAsia="仿宋" w:cs="仿宋"/>
          <w:color w:val="auto"/>
          <w:kern w:val="0"/>
          <w:sz w:val="30"/>
          <w:szCs w:val="30"/>
          <w:highlight w:val="none"/>
          <w:lang w:val="en-US"/>
        </w:rPr>
        <w:t>可</w:t>
      </w:r>
      <w:r>
        <w:rPr>
          <w:rFonts w:hint="eastAsia" w:ascii="仿宋" w:hAnsi="仿宋" w:eastAsia="仿宋" w:cs="仿宋"/>
          <w:color w:val="auto"/>
          <w:kern w:val="0"/>
          <w:sz w:val="30"/>
          <w:szCs w:val="30"/>
          <w:highlight w:val="none"/>
        </w:rPr>
        <w:t>不予受理。</w:t>
      </w:r>
    </w:p>
    <w:p w14:paraId="357EA473">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4. </w:t>
      </w:r>
      <w:r>
        <w:rPr>
          <w:rFonts w:hint="eastAsia" w:ascii="仿宋" w:hAnsi="仿宋" w:eastAsia="仿宋" w:cs="仿宋"/>
          <w:color w:val="auto"/>
          <w:kern w:val="0"/>
          <w:sz w:val="30"/>
          <w:szCs w:val="30"/>
          <w:highlight w:val="none"/>
        </w:rPr>
        <w:t>变更合同价款按下列方法进行：</w:t>
      </w:r>
    </w:p>
    <w:p w14:paraId="4ED6EBA8">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1</w:t>
      </w:r>
      <w:r>
        <w:rPr>
          <w:rFonts w:hint="eastAsia" w:ascii="仿宋" w:hAnsi="仿宋" w:eastAsia="仿宋" w:cs="仿宋"/>
          <w:color w:val="auto"/>
          <w:kern w:val="0"/>
          <w:sz w:val="30"/>
          <w:szCs w:val="30"/>
          <w:highlight w:val="none"/>
        </w:rPr>
        <w:t>）工程量发生变化时如合同中已有与变更工程一致的项目价格，按合同已有的综合单价执行。</w:t>
      </w:r>
    </w:p>
    <w:p w14:paraId="51BC6217">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2</w:t>
      </w:r>
      <w:r>
        <w:rPr>
          <w:rFonts w:hint="eastAsia" w:ascii="仿宋" w:hAnsi="仿宋" w:eastAsia="仿宋" w:cs="仿宋"/>
          <w:color w:val="auto"/>
          <w:kern w:val="0"/>
          <w:sz w:val="30"/>
          <w:szCs w:val="30"/>
          <w:highlight w:val="none"/>
        </w:rPr>
        <w:t>）工程量发生变化时合同中已有与变更工程相似的项目价格，参照类似的价格进行调整。</w:t>
      </w:r>
    </w:p>
    <w:p w14:paraId="2329C64F">
      <w:pPr>
        <w:pStyle w:val="212"/>
        <w:overflowPunct w:val="0"/>
        <w:spacing w:line="560" w:lineRule="exact"/>
        <w:ind w:firstLine="606"/>
        <w:rPr>
          <w:rFonts w:hint="eastAsia" w:ascii="仿宋" w:hAnsi="仿宋" w:eastAsia="仿宋" w:cs="仿宋"/>
          <w:color w:val="auto"/>
          <w:spacing w:val="6"/>
          <w:kern w:val="0"/>
          <w:sz w:val="30"/>
          <w:szCs w:val="30"/>
          <w:highlight w:val="none"/>
        </w:rPr>
      </w:pPr>
      <w:r>
        <w:rPr>
          <w:rFonts w:hint="eastAsia" w:ascii="仿宋" w:hAnsi="仿宋" w:eastAsia="仿宋" w:cs="仿宋"/>
          <w:color w:val="auto"/>
          <w:spacing w:val="6"/>
          <w:kern w:val="0"/>
          <w:sz w:val="30"/>
          <w:szCs w:val="30"/>
          <w:highlight w:val="none"/>
        </w:rPr>
        <w:t>（</w:t>
      </w:r>
      <w:r>
        <w:rPr>
          <w:rFonts w:hint="eastAsia" w:ascii="仿宋" w:hAnsi="仿宋" w:eastAsia="仿宋" w:cs="仿宋"/>
          <w:color w:val="auto"/>
          <w:spacing w:val="6"/>
          <w:kern w:val="0"/>
          <w:sz w:val="30"/>
          <w:szCs w:val="30"/>
          <w:highlight w:val="none"/>
          <w:lang w:val="en-US"/>
        </w:rPr>
        <w:t>3</w:t>
      </w:r>
      <w:r>
        <w:rPr>
          <w:rFonts w:hint="eastAsia" w:ascii="仿宋" w:hAnsi="仿宋" w:eastAsia="仿宋" w:cs="仿宋"/>
          <w:color w:val="auto"/>
          <w:spacing w:val="6"/>
          <w:kern w:val="0"/>
          <w:sz w:val="30"/>
          <w:szCs w:val="30"/>
          <w:highlight w:val="none"/>
        </w:rPr>
        <w:t>）如合同中没有与变更工程相同的项目，由承包</w:t>
      </w:r>
      <w:r>
        <w:rPr>
          <w:rFonts w:hint="eastAsia" w:ascii="仿宋" w:hAnsi="仿宋" w:eastAsia="仿宋" w:cs="仿宋"/>
          <w:color w:val="auto"/>
          <w:spacing w:val="6"/>
          <w:kern w:val="0"/>
          <w:sz w:val="30"/>
          <w:szCs w:val="30"/>
          <w:highlight w:val="none"/>
          <w:lang w:val="en-US"/>
        </w:rPr>
        <w:t>人</w:t>
      </w:r>
      <w:r>
        <w:rPr>
          <w:rFonts w:hint="eastAsia" w:ascii="仿宋" w:hAnsi="仿宋" w:eastAsia="仿宋" w:cs="仿宋"/>
          <w:color w:val="auto"/>
          <w:spacing w:val="6"/>
          <w:kern w:val="0"/>
          <w:sz w:val="30"/>
          <w:szCs w:val="30"/>
          <w:highlight w:val="none"/>
        </w:rPr>
        <w:t>进行单价分析，经监理工程师、</w:t>
      </w:r>
      <w:r>
        <w:rPr>
          <w:rFonts w:hint="eastAsia" w:ascii="仿宋" w:hAnsi="仿宋" w:eastAsia="仿宋" w:cs="仿宋"/>
          <w:color w:val="auto"/>
          <w:spacing w:val="6"/>
          <w:kern w:val="0"/>
          <w:sz w:val="30"/>
          <w:szCs w:val="30"/>
          <w:highlight w:val="none"/>
          <w:lang w:val="en-US"/>
        </w:rPr>
        <w:t>跟踪审计单位</w:t>
      </w:r>
      <w:r>
        <w:rPr>
          <w:rFonts w:hint="eastAsia" w:ascii="仿宋" w:hAnsi="仿宋" w:eastAsia="仿宋" w:cs="仿宋"/>
          <w:color w:val="auto"/>
          <w:spacing w:val="6"/>
          <w:kern w:val="0"/>
          <w:sz w:val="30"/>
          <w:szCs w:val="30"/>
          <w:highlight w:val="none"/>
        </w:rPr>
        <w:t>审核并报</w:t>
      </w:r>
      <w:r>
        <w:rPr>
          <w:rFonts w:hint="eastAsia" w:ascii="仿宋" w:hAnsi="仿宋" w:eastAsia="仿宋" w:cs="仿宋"/>
          <w:color w:val="auto"/>
          <w:spacing w:val="6"/>
          <w:kern w:val="0"/>
          <w:sz w:val="30"/>
          <w:szCs w:val="30"/>
          <w:highlight w:val="none"/>
          <w:lang w:val="en-US"/>
        </w:rPr>
        <w:t>发包人</w:t>
      </w:r>
      <w:r>
        <w:rPr>
          <w:rFonts w:hint="eastAsia" w:ascii="仿宋" w:hAnsi="仿宋" w:eastAsia="仿宋" w:cs="仿宋"/>
          <w:color w:val="auto"/>
          <w:spacing w:val="6"/>
          <w:kern w:val="0"/>
          <w:sz w:val="30"/>
          <w:szCs w:val="30"/>
          <w:highlight w:val="none"/>
        </w:rPr>
        <w:t>、监管方批准后执行。</w:t>
      </w:r>
    </w:p>
    <w:p w14:paraId="1DB41CF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五、安全责任管理</w:t>
      </w:r>
    </w:p>
    <w:p w14:paraId="322C2AC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安全管理责任</w:t>
      </w:r>
    </w:p>
    <w:p w14:paraId="19B1400D">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w:t>
      </w:r>
      <w:r>
        <w:rPr>
          <w:rFonts w:hint="eastAsia" w:ascii="仿宋" w:hAnsi="仿宋" w:eastAsia="仿宋" w:cs="仿宋"/>
          <w:color w:val="auto"/>
          <w:sz w:val="30"/>
          <w:szCs w:val="30"/>
          <w:highlight w:val="none"/>
        </w:rPr>
        <w:t>）承包人应严格遵守国家、</w:t>
      </w:r>
      <w:r>
        <w:rPr>
          <w:rFonts w:hint="eastAsia" w:ascii="仿宋" w:hAnsi="仿宋" w:eastAsia="仿宋" w:cs="仿宋"/>
          <w:color w:val="auto"/>
          <w:sz w:val="30"/>
          <w:szCs w:val="30"/>
          <w:highlight w:val="none"/>
          <w:lang w:val="en-US"/>
        </w:rPr>
        <w:t>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val="en-US"/>
        </w:rPr>
        <w:t>区</w:t>
      </w:r>
      <w:r>
        <w:rPr>
          <w:rFonts w:hint="eastAsia" w:ascii="仿宋" w:hAnsi="仿宋" w:eastAsia="仿宋" w:cs="仿宋"/>
          <w:color w:val="auto"/>
          <w:sz w:val="30"/>
          <w:szCs w:val="30"/>
          <w:highlight w:val="none"/>
        </w:rPr>
        <w:t>关于建设工程安全管理的</w:t>
      </w:r>
      <w:r>
        <w:rPr>
          <w:rFonts w:hint="eastAsia" w:ascii="仿宋" w:hAnsi="仿宋" w:eastAsia="仿宋" w:cs="仿宋"/>
          <w:color w:val="auto"/>
          <w:sz w:val="30"/>
          <w:szCs w:val="30"/>
          <w:highlight w:val="none"/>
          <w:lang w:val="en-US"/>
        </w:rPr>
        <w:t>规定</w:t>
      </w:r>
      <w:r>
        <w:rPr>
          <w:rFonts w:hint="eastAsia" w:ascii="仿宋" w:hAnsi="仿宋" w:eastAsia="仿宋" w:cs="仿宋"/>
          <w:color w:val="auto"/>
          <w:sz w:val="30"/>
          <w:szCs w:val="30"/>
          <w:highlight w:val="none"/>
        </w:rPr>
        <w:t>，确保施工过程中的安全。</w:t>
      </w:r>
      <w:r>
        <w:rPr>
          <w:rFonts w:hint="eastAsia" w:ascii="仿宋" w:hAnsi="仿宋" w:eastAsia="仿宋" w:cs="仿宋"/>
          <w:color w:val="auto"/>
          <w:sz w:val="30"/>
          <w:szCs w:val="30"/>
          <w:highlight w:val="none"/>
          <w:lang w:val="en-US"/>
        </w:rPr>
        <w:t>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val="en-US"/>
        </w:rPr>
        <w:t>报价中。</w:t>
      </w:r>
    </w:p>
    <w:p w14:paraId="496960DF">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2</w:t>
      </w:r>
      <w:r>
        <w:rPr>
          <w:rFonts w:hint="eastAsia" w:ascii="仿宋" w:hAnsi="仿宋" w:eastAsia="仿宋" w:cs="仿宋"/>
          <w:color w:val="auto"/>
          <w:sz w:val="30"/>
          <w:szCs w:val="30"/>
          <w:highlight w:val="none"/>
        </w:rPr>
        <w:t>）承包人应制定详细的安全管理计划，并在施工前提交给发包人和监管人审核。</w:t>
      </w:r>
      <w:r>
        <w:rPr>
          <w:rFonts w:hint="eastAsia" w:ascii="仿宋" w:hAnsi="仿宋" w:eastAsia="仿宋" w:cs="仿宋"/>
          <w:color w:val="auto"/>
          <w:sz w:val="30"/>
          <w:szCs w:val="30"/>
          <w:highlight w:val="none"/>
          <w:lang w:val="en-US"/>
        </w:rPr>
        <w:t>承包人负责进入现场施工人员及财物安全，发生任何伤亡事故与发包人无关，承包人自行解决，并承担所有责任。</w:t>
      </w:r>
    </w:p>
    <w:p w14:paraId="6CB6C57E">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3</w:t>
      </w:r>
      <w:r>
        <w:rPr>
          <w:rFonts w:hint="eastAsia" w:ascii="仿宋" w:hAnsi="仿宋" w:eastAsia="仿宋" w:cs="仿宋"/>
          <w:color w:val="auto"/>
          <w:sz w:val="30"/>
          <w:szCs w:val="30"/>
          <w:highlight w:val="none"/>
        </w:rPr>
        <w:t>）承包人应确保所有施工人员经过安全培训，并持有相关资格证书。</w:t>
      </w:r>
      <w:r>
        <w:rPr>
          <w:rFonts w:hint="eastAsia" w:ascii="仿宋" w:hAnsi="仿宋" w:eastAsia="仿宋" w:cs="仿宋"/>
          <w:color w:val="auto"/>
          <w:sz w:val="30"/>
          <w:szCs w:val="30"/>
          <w:highlight w:val="none"/>
          <w:lang w:val="en-US"/>
        </w:rPr>
        <w:t>高风险作业与危险性较大工程应按规定编制专项安全施工方案，报监理审批。</w:t>
      </w:r>
    </w:p>
    <w:p w14:paraId="064E541B">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（4）承包人应明确专职安全员，凡现场有施工，专职安全员必须在场。专职安全员必须参加每周召开的例会并接受发包人代表和监理总监的监督，有事须书面请假。</w:t>
      </w:r>
    </w:p>
    <w:p w14:paraId="26D191A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安全设施及设备</w:t>
      </w:r>
    </w:p>
    <w:p w14:paraId="158F92C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承包人应提供符合国家标准的安全设施及设备，并确保其在施工期间的正常使用。</w:t>
      </w:r>
    </w:p>
    <w:p w14:paraId="16BD087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承包人应定期检查和维护</w:t>
      </w:r>
      <w:r>
        <w:rPr>
          <w:rFonts w:hint="eastAsia" w:ascii="仿宋" w:hAnsi="仿宋" w:eastAsia="仿宋" w:cs="仿宋"/>
          <w:color w:val="auto"/>
          <w:sz w:val="30"/>
          <w:szCs w:val="30"/>
          <w:highlight w:val="none"/>
          <w:lang w:eastAsia="zh-CN"/>
        </w:rPr>
        <w:t>现场提供和自行配置的</w:t>
      </w:r>
      <w:r>
        <w:rPr>
          <w:rFonts w:hint="eastAsia" w:ascii="仿宋" w:hAnsi="仿宋" w:eastAsia="仿宋" w:cs="仿宋"/>
          <w:color w:val="auto"/>
          <w:sz w:val="30"/>
          <w:szCs w:val="30"/>
          <w:highlight w:val="none"/>
        </w:rPr>
        <w:t>安全设施及设备，确保其处于良好状态。</w:t>
      </w:r>
    </w:p>
    <w:p w14:paraId="1FAA1D6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安全事故处理</w:t>
      </w:r>
    </w:p>
    <w:p w14:paraId="2C2DC68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承包人应立即报告任何安全事故，并采取必要措施防止事故扩大。</w:t>
      </w:r>
    </w:p>
    <w:p w14:paraId="4EA273F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承包人应承担因安全事故导致的所有直接损失，并负责赔偿发包人因此遭受的损失。</w:t>
      </w:r>
    </w:p>
    <w:p w14:paraId="227DE11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承包人应在事故发生后</w:t>
      </w:r>
      <w:r>
        <w:rPr>
          <w:rFonts w:hint="eastAsia" w:ascii="仿宋" w:hAnsi="仿宋" w:eastAsia="仿宋" w:cs="仿宋"/>
          <w:color w:val="auto"/>
          <w:sz w:val="30"/>
          <w:szCs w:val="30"/>
          <w:highlight w:val="none"/>
          <w:lang w:eastAsia="zh-CN"/>
        </w:rPr>
        <w:t>第一时间报告情况，并在规定的期限内</w:t>
      </w:r>
      <w:r>
        <w:rPr>
          <w:rFonts w:hint="eastAsia" w:ascii="仿宋" w:hAnsi="仿宋" w:eastAsia="仿宋" w:cs="仿宋"/>
          <w:color w:val="auto"/>
          <w:sz w:val="30"/>
          <w:szCs w:val="30"/>
          <w:highlight w:val="none"/>
        </w:rPr>
        <w:t>提交详细的事故报告</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完成事故处理。</w:t>
      </w:r>
    </w:p>
    <w:p w14:paraId="3A6B17D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违约责任</w:t>
      </w:r>
    </w:p>
    <w:p w14:paraId="0246744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如承包人未能履行上述安全管理责任，发包人有权要求承包人采取补救措施，并支付违约金。</w:t>
      </w:r>
    </w:p>
    <w:p w14:paraId="64653A6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作为违约金。</w:t>
      </w:r>
    </w:p>
    <w:p w14:paraId="1A02C60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安全检查</w:t>
      </w:r>
    </w:p>
    <w:p w14:paraId="54962BE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发包人及监管人有权对施工现场进行安全检查，承包人应予以配合。</w:t>
      </w:r>
    </w:p>
    <w:p w14:paraId="11295C7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内提交整改报告。</w:t>
      </w:r>
    </w:p>
    <w:p w14:paraId="4E502AF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（3）发包人及监管人的安全检查，不替代、不免除承包人应当承担的安全生产主体责任。</w:t>
      </w:r>
    </w:p>
    <w:p w14:paraId="53799FA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保险责任</w:t>
      </w:r>
    </w:p>
    <w:p w14:paraId="3E32B13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承包人应为施工人员购买工伤保险，并承担相关费用。</w:t>
      </w:r>
    </w:p>
    <w:p w14:paraId="02F72BA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1543676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六、工程质量检查及验收</w:t>
      </w:r>
    </w:p>
    <w:p w14:paraId="7E5ACE2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承包人应认真按照标准、规范和设计图纸要求以及工程师依据合同发出的指令，随时接受发包人、监管人的检查、检验，为检验提供便利条件。</w:t>
      </w:r>
    </w:p>
    <w:p w14:paraId="305400C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2AF9B9A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日内组织竣工验收，监管人参与并监督验收，合格后责任各方共同签署竣工验收文件。如发包人、监管人未能按以上时间进行验收，可向承包人提出延期要求。</w:t>
      </w:r>
    </w:p>
    <w:p w14:paraId="35D93E9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套完整的竣工图和竣工结算及其他归档资料，否则监管人不予支付剩余工程款并每延迟一天按日向发包人支付合同价格万分之五的违约金。</w:t>
      </w:r>
    </w:p>
    <w:p w14:paraId="410EE71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w:t>
      </w:r>
    </w:p>
    <w:p w14:paraId="7FB74DC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七、缺陷责任期</w:t>
      </w:r>
    </w:p>
    <w:p w14:paraId="500CEBD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个月，缺陷责任期自工程通过竣工验收之日起计算。单位工程先于全部工程进行验收，单位工程缺陷责任期自单位工程验收合格之日起算。</w:t>
      </w:r>
    </w:p>
    <w:p w14:paraId="2CA4622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w:t>
      </w:r>
      <w:r>
        <w:rPr>
          <w:rFonts w:hint="eastAsia" w:ascii="仿宋" w:hAnsi="仿宋" w:eastAsia="仿宋" w:cs="仿宋"/>
          <w:color w:val="auto"/>
          <w:sz w:val="30"/>
          <w:szCs w:val="30"/>
          <w:highlight w:val="none"/>
          <w:lang w:eastAsia="zh-CN"/>
        </w:rPr>
        <w:t>质量保修期</w:t>
      </w:r>
      <w:r>
        <w:rPr>
          <w:rFonts w:hint="eastAsia" w:ascii="仿宋" w:hAnsi="仿宋" w:eastAsia="仿宋" w:cs="仿宋"/>
          <w:color w:val="auto"/>
          <w:sz w:val="30"/>
          <w:szCs w:val="30"/>
          <w:highlight w:val="none"/>
        </w:rPr>
        <w:t>内，须按照规定承担质量保修责任，及时处理工程质量缺陷问题。缺陷责任期届满前，承包人应组织工程回访复查，发包人对保修情况书面认可后，监管人支付剩余质量保证金。</w:t>
      </w:r>
    </w:p>
    <w:p w14:paraId="4370321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八、质量保修责任</w:t>
      </w:r>
    </w:p>
    <w:p w14:paraId="60D21E5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属于保修范围、内容的项目，承包人应当在接到保修通知之日起7天内派人保修。承包人不在约定期限内派人保修的，发包人可以委托他人修理。</w:t>
      </w:r>
    </w:p>
    <w:p w14:paraId="649AF13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发生紧急事故需抢修的，承包人在接到事故通知后，应当立即到达事故现场抢修。</w:t>
      </w:r>
    </w:p>
    <w:p w14:paraId="55C674AC">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5F67DE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质量保修完成后，由发包人组织验收。</w:t>
      </w:r>
    </w:p>
    <w:p w14:paraId="17AD4D9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九、合同解除</w:t>
      </w:r>
    </w:p>
    <w:p w14:paraId="2BEC518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承包人具有下列情形之一，发包人、监管人可以解除合同：</w:t>
      </w:r>
    </w:p>
    <w:p w14:paraId="093A61E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pacing w:val="8"/>
          <w:sz w:val="30"/>
          <w:szCs w:val="30"/>
          <w:highlight w:val="none"/>
        </w:rPr>
        <w:t>承包人明确表示或者以行为表示不履行合同主要义务的</w:t>
      </w:r>
      <w:r>
        <w:rPr>
          <w:rFonts w:hint="eastAsia" w:ascii="仿宋" w:hAnsi="仿宋" w:eastAsia="仿宋" w:cs="仿宋"/>
          <w:color w:val="auto"/>
          <w:sz w:val="30"/>
          <w:szCs w:val="30"/>
          <w:highlight w:val="none"/>
        </w:rPr>
        <w:t>。</w:t>
      </w:r>
    </w:p>
    <w:p w14:paraId="7FC3769C">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（2）合同约定期限内没有完工，且在发包人、监管人催告的合理期限内仍未完工的。</w:t>
      </w:r>
    </w:p>
    <w:p w14:paraId="2581383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（3）已经完成的建设工程质量不合格，并拒绝修复的。</w:t>
      </w:r>
    </w:p>
    <w:p w14:paraId="1B8CB76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解除合同需以书面形式通知承包人，通知应提前5个工作日发出，并说明解除原因。</w:t>
      </w:r>
    </w:p>
    <w:p w14:paraId="3D6D3F5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合同解除后，承包人应返还监管人已支付的未履行部分的合同款项，并赔偿因违约造成的损失。</w:t>
      </w:r>
    </w:p>
    <w:p w14:paraId="18A64ED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解除合同的法律后果应根据相关法律法规及合同约定进行处理，确保发包人、监管人的合法权益得到保障。</w:t>
      </w:r>
    </w:p>
    <w:p w14:paraId="143415A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十、转包或分包</w:t>
      </w:r>
    </w:p>
    <w:p w14:paraId="3A2E69C7">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p>
    <w:p w14:paraId="307E7E2D">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承包人依法对特殊专业工程进行分包的，必须经发包人确认。工程分包单位须具备相应的施工资质，向承包人负责，承包人与分包单位对分包工程的质量安全承担连带责任。</w:t>
      </w:r>
    </w:p>
    <w:p w14:paraId="17EE2027">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十一、合同价款中包括的风险范围</w:t>
      </w:r>
    </w:p>
    <w:p w14:paraId="08F916F7">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（一）固定单价合同风险及价款调整办法。</w:t>
      </w:r>
    </w:p>
    <w:p w14:paraId="4AE4AC3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p>
    <w:p w14:paraId="39588C0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377DEA7A">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合同履行期间，人工、机械、材料单价执行</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单价，市场价变化和政策性调整风险由承包人承担，结算时不调整。若清单项目中部分主材发生变更或替换（如品牌、型号、规格、尺寸等），需办理材料单价确认手续，由跟踪审计单位提出书面核定意见，报发包人、监管人确认。</w:t>
      </w:r>
    </w:p>
    <w:p w14:paraId="58EBE31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成交</w:t>
      </w:r>
      <w:r>
        <w:rPr>
          <w:rFonts w:hint="eastAsia" w:ascii="仿宋" w:hAnsi="仿宋" w:eastAsia="仿宋" w:cs="仿宋"/>
          <w:bCs/>
          <w:color w:val="auto"/>
          <w:sz w:val="30"/>
          <w:szCs w:val="30"/>
          <w:highlight w:val="none"/>
        </w:rPr>
        <w:t>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磋商、响应</w:t>
      </w:r>
      <w:r>
        <w:rPr>
          <w:rFonts w:hint="eastAsia" w:ascii="仿宋" w:hAnsi="仿宋" w:eastAsia="仿宋" w:cs="仿宋"/>
          <w:bCs/>
          <w:color w:val="auto"/>
          <w:sz w:val="30"/>
          <w:szCs w:val="30"/>
          <w:highlight w:val="none"/>
        </w:rPr>
        <w:t>文件依据的计价规范等规定，并按照</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时的优惠条件同比例下浮。因不平衡报价造成的一切损失及责任由承包人承担。</w:t>
      </w:r>
    </w:p>
    <w:p w14:paraId="3ADC302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 风险范围以外合同价款调整办法：发包人认可的设计变更、现场签证。由于设计变更、额外增加以及签证部分造成新增的工程量清单综合单价的结算原则为：</w:t>
      </w:r>
    </w:p>
    <w:p w14:paraId="111D5D62">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（1）合同文件中已有适用于变更工程的综合单价，按合同文件中已有的综合单价结算。</w:t>
      </w:r>
    </w:p>
    <w:p w14:paraId="7E56D0D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（2）合同文件中有类似于变更工程的综合单价，按合同文件中已有的类似综合单价作相应调整后结算。</w:t>
      </w:r>
    </w:p>
    <w:p w14:paraId="1B69994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磋商文件、响应</w:t>
      </w:r>
      <w:r>
        <w:rPr>
          <w:rFonts w:hint="eastAsia" w:ascii="仿宋" w:hAnsi="仿宋" w:eastAsia="仿宋" w:cs="仿宋"/>
          <w:bCs/>
          <w:color w:val="auto"/>
          <w:sz w:val="30"/>
          <w:szCs w:val="30"/>
          <w:highlight w:val="none"/>
        </w:rPr>
        <w:t>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报价与对应标底综合单价相比的同等优惠让利幅度编制综合单价及分析，经监理、跟踪单位、发包人及监管人审定后作为结算依据。</w:t>
      </w:r>
    </w:p>
    <w:p w14:paraId="453CEED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（4）措施项目清单中的费用，无论工程量是否发生变化、设计图纸是否发生变更，结算时将不得调整。</w:t>
      </w:r>
    </w:p>
    <w:p w14:paraId="5790C479">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（二）固定总价合同风险及价款调整办法。</w:t>
      </w:r>
    </w:p>
    <w:p w14:paraId="095474A8">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固定总价合同是指合同当事人约定以施工图、已标价工程量清单或预算书及有关条件进行合同价格计算、调整和确认的建设工程施工合同，在约定的范围内合同总价不作调整。</w:t>
      </w:r>
    </w:p>
    <w:p w14:paraId="34D47D8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5%</w:t>
      </w:r>
      <w:r>
        <w:rPr>
          <w:rFonts w:hint="eastAsia" w:ascii="仿宋" w:hAnsi="仿宋" w:eastAsia="仿宋" w:cs="仿宋"/>
          <w:bCs/>
          <w:color w:val="auto"/>
          <w:sz w:val="30"/>
          <w:szCs w:val="30"/>
          <w:highlight w:val="none"/>
        </w:rPr>
        <w:t>范围内的涨跌；⑤</w:t>
      </w:r>
      <w:r>
        <w:rPr>
          <w:rFonts w:hint="eastAsia" w:ascii="仿宋" w:hAnsi="仿宋" w:eastAsia="仿宋" w:cs="仿宋"/>
          <w:color w:val="auto"/>
          <w:sz w:val="30"/>
          <w:szCs w:val="30"/>
          <w:highlight w:val="none"/>
        </w:rPr>
        <w:t>施工</w:t>
      </w:r>
      <w:r>
        <w:rPr>
          <w:rFonts w:hint="eastAsia" w:ascii="仿宋" w:hAnsi="仿宋" w:eastAsia="仿宋" w:cs="仿宋"/>
          <w:bCs/>
          <w:color w:val="auto"/>
          <w:sz w:val="30"/>
          <w:szCs w:val="30"/>
          <w:highlight w:val="none"/>
        </w:rPr>
        <w:t>图纸范围内的所有工程量差、项目特征描述不符或清单缺项的风险。</w:t>
      </w:r>
    </w:p>
    <w:p w14:paraId="505B480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风险费用的计算方法：风险费用包含在合同价中。</w:t>
      </w:r>
    </w:p>
    <w:p w14:paraId="5CD45BB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风险范围以外合同价格的调整方法： </w:t>
      </w:r>
    </w:p>
    <w:p w14:paraId="20CD4132">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日为基准，其后国家的法律、法规、规章和政策发生变化影响工程造价，按照省级建设行政主管部门或相关行业主管部门及其授权的工程造价管理机构发布的文件及合同的约定调整合同价格。</w:t>
      </w:r>
    </w:p>
    <w:p w14:paraId="6FDCFBBA">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（2）人工单价按省级建设行政主管部门或相关行业主管部门及其授权的工程造价管理机构发布的人工费等文件调整合同价格，但调整后的人工单价高于发布指导价的除外。</w:t>
      </w:r>
    </w:p>
    <w:p w14:paraId="70F8ADF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（3）安全文明措施费中基本费、标化工地增加费、扬尘污染防治增加费根据实际考评情况按相关文件执行。</w:t>
      </w:r>
    </w:p>
    <w:p w14:paraId="73A77F2A">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（4）措施项目在整个合同执行期间以合同价固定项目和费用包干结算。如因合同变更或因工程量变化较大时，按下述方法调整：</w:t>
      </w:r>
    </w:p>
    <w:p w14:paraId="0B618843">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①当工程量增减引起价款调整不超过合同总价的5%时，则包干部分的措施费不调整。</w:t>
      </w:r>
    </w:p>
    <w:p w14:paraId="534FDB2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②当工程量增减引起价款调整超过合同总价的5%以上时，按下列方法调整：合同内包干部分措施费×（增减工程量引起的价款调整－合同价×5%）/合同价。</w:t>
      </w:r>
    </w:p>
    <w:p w14:paraId="45B68078">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（5）不可竞争费用中的环境保护税，竣工结算时按有权部门实际收取的金额调整。由于承包人管理等原因造成有权部门超额征收的部分和有权部门对本项目处罚性的征收部分均由承包人自行承担。</w:t>
      </w:r>
    </w:p>
    <w:p w14:paraId="68E3B336">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（6）所有变更、签证应由承包人、监理人和/或造价咨询人员、发包人、监管人共同签字才能生效，否则不能作为结算的依据。</w:t>
      </w:r>
    </w:p>
    <w:p w14:paraId="38C0D28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（7）总承包服务费：按发包人专业分包工程结算价为基数，承包人报价中的费率结算。</w:t>
      </w:r>
    </w:p>
    <w:p w14:paraId="0AB2EB3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21322F8F">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（三）</w:t>
      </w:r>
      <w:r>
        <w:rPr>
          <w:rFonts w:hint="eastAsia" w:ascii="仿宋" w:hAnsi="仿宋" w:eastAsia="仿宋" w:cs="仿宋"/>
          <w:color w:val="auto"/>
          <w:sz w:val="30"/>
          <w:szCs w:val="30"/>
          <w:highlight w:val="none"/>
        </w:rPr>
        <w:t>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以上的，审计费全部由承包人承担。核减率=（送审金额-审定金额）/送审金额×100%。</w:t>
      </w:r>
    </w:p>
    <w:p w14:paraId="5CF2403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十二、补充条款</w:t>
      </w:r>
    </w:p>
    <w:p w14:paraId="5CAA2B06">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1. 承包人向发包人及监管人承诺按照合同约定进行施工、竣工并在</w:t>
      </w:r>
      <w:r>
        <w:rPr>
          <w:rFonts w:hint="eastAsia" w:ascii="仿宋" w:hAnsi="仿宋" w:eastAsia="仿宋" w:cs="仿宋"/>
          <w:color w:val="auto"/>
          <w:kern w:val="0"/>
          <w:sz w:val="30"/>
          <w:szCs w:val="30"/>
          <w:highlight w:val="none"/>
          <w:lang w:eastAsia="zh-CN"/>
        </w:rPr>
        <w:t>质量保修</w:t>
      </w:r>
      <w:r>
        <w:rPr>
          <w:rFonts w:hint="eastAsia" w:ascii="仿宋" w:hAnsi="仿宋" w:eastAsia="仿宋" w:cs="仿宋"/>
          <w:color w:val="auto"/>
          <w:kern w:val="0"/>
          <w:sz w:val="30"/>
          <w:szCs w:val="30"/>
          <w:highlight w:val="none"/>
        </w:rPr>
        <w:t>期内承担工程质量保修责任。</w:t>
      </w:r>
    </w:p>
    <w:p w14:paraId="1E628CB7">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2. 监管方向承包人承诺按照合同约定的期限和方式支付合同价款及其他应当支付的款项。</w:t>
      </w:r>
    </w:p>
    <w:p w14:paraId="0FCBF5C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p>
    <w:p w14:paraId="64509D1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p>
    <w:p w14:paraId="3C1F17E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延迟交付</w:t>
      </w:r>
    </w:p>
    <w:p w14:paraId="494CFC8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w:t>
      </w:r>
    </w:p>
    <w:p w14:paraId="5CC62C8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日，发包人有权解除合同，并要求承包人赔偿因延迟交付所造成的直接损失。</w:t>
      </w:r>
    </w:p>
    <w:p w14:paraId="6D00A4E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工程质量不符合约定</w:t>
      </w:r>
    </w:p>
    <w:p w14:paraId="7F7AFF8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日内进行修复或重做，费用由承包人承担。</w:t>
      </w:r>
    </w:p>
    <w:p w14:paraId="6B80DEA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w:t>
      </w:r>
    </w:p>
    <w:p w14:paraId="0775F3F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未按时支付款项</w:t>
      </w:r>
    </w:p>
    <w:p w14:paraId="53C6DF2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监管人未能按照合同约定的时间支付工程款项的，每延迟一日，监管人应向发</w:t>
      </w:r>
      <w:r>
        <w:rPr>
          <w:rFonts w:hint="eastAsia" w:ascii="仿宋" w:hAnsi="仿宋" w:eastAsia="仿宋" w:cs="仿宋"/>
          <w:color w:val="auto"/>
          <w:sz w:val="30"/>
          <w:szCs w:val="30"/>
          <w:highlight w:val="none"/>
          <w:lang w:eastAsia="zh-CN"/>
        </w:rPr>
        <w:t>承</w:t>
      </w:r>
      <w:r>
        <w:rPr>
          <w:rFonts w:hint="eastAsia" w:ascii="仿宋" w:hAnsi="仿宋" w:eastAsia="仿宋" w:cs="仿宋"/>
          <w:color w:val="auto"/>
          <w:sz w:val="30"/>
          <w:szCs w:val="30"/>
          <w:highlight w:val="none"/>
        </w:rPr>
        <w:t>包人支付违约金，违约金的计算公式为：每日违约金金额=未支付款项×</w:t>
      </w:r>
      <w:r>
        <w:rPr>
          <w:rFonts w:hint="eastAsia" w:ascii="仿宋" w:hAnsi="仿宋" w:eastAsia="仿宋" w:cs="仿宋"/>
          <w:color w:val="auto"/>
          <w:sz w:val="30"/>
          <w:szCs w:val="30"/>
          <w:highlight w:val="none"/>
          <w:lang w:eastAsia="zh-CN"/>
        </w:rPr>
        <w:t>万分之五</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违约金总额不超过</w:t>
      </w:r>
      <w:r>
        <w:rPr>
          <w:rFonts w:hint="eastAsia" w:ascii="仿宋" w:hAnsi="仿宋" w:eastAsia="仿宋" w:cs="仿宋"/>
          <w:color w:val="auto"/>
          <w:sz w:val="30"/>
          <w:szCs w:val="30"/>
          <w:highlight w:val="none"/>
        </w:rPr>
        <w:t>未支付款项</w:t>
      </w:r>
      <w:r>
        <w:rPr>
          <w:rFonts w:hint="eastAsia" w:ascii="仿宋" w:hAnsi="仿宋" w:eastAsia="仿宋" w:cs="仿宋"/>
          <w:color w:val="auto"/>
          <w:sz w:val="30"/>
          <w:szCs w:val="30"/>
          <w:highlight w:val="none"/>
          <w:lang w:eastAsia="zh-CN"/>
        </w:rPr>
        <w:t>的5%</w:t>
      </w:r>
      <w:r>
        <w:rPr>
          <w:rFonts w:hint="eastAsia" w:ascii="仿宋" w:hAnsi="仿宋" w:eastAsia="仿宋" w:cs="仿宋"/>
          <w:color w:val="auto"/>
          <w:sz w:val="30"/>
          <w:szCs w:val="30"/>
          <w:highlight w:val="none"/>
        </w:rPr>
        <w:t>。</w:t>
      </w:r>
    </w:p>
    <w:p w14:paraId="2650A2D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损失赔偿</w:t>
      </w:r>
    </w:p>
    <w:p w14:paraId="3C704D8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21B5507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十四、廉洁约定</w:t>
      </w:r>
    </w:p>
    <w:p w14:paraId="6DF8A057">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三方应当自觉遵守采购规则和廉政建设的各项规定。</w:t>
      </w:r>
    </w:p>
    <w:p w14:paraId="09B5BC32">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3A6FF195">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p>
    <w:p w14:paraId="3F883375">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p>
    <w:p w14:paraId="6B05DD83">
      <w:pPr>
        <w:overflowPunct w:val="0"/>
        <w:spacing w:line="560" w:lineRule="exact"/>
        <w:ind w:firstLine="573" w:firstLineChars="196"/>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的违约金。由此给发包人、监管人造成的损失均由承包人承担。</w:t>
      </w:r>
    </w:p>
    <w:p w14:paraId="32B2244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十五、争议解决</w:t>
      </w:r>
    </w:p>
    <w:p w14:paraId="4A542BF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任何因本合同引起的或与本合同有关的争议，各方应首先通过友好协商解决。如果经过友好协商仍无法达成一致，各方均同意提交工程所在地有管辖权的人民法院诉讼解决。</w:t>
      </w:r>
    </w:p>
    <w:p w14:paraId="6F3B6D31">
      <w:pPr>
        <w:snapToGrid w:val="0"/>
        <w:spacing w:before="19" w:line="360" w:lineRule="auto"/>
        <w:rPr>
          <w:rFonts w:hint="eastAsia" w:ascii="方正仿宋_GBK" w:hAnsi="方正仿宋_GBK" w:eastAsia="方正仿宋_GBK" w:cs="方正仿宋_GBK"/>
          <w:color w:val="auto"/>
          <w:sz w:val="28"/>
          <w:szCs w:val="28"/>
          <w:highlight w:val="none"/>
        </w:rPr>
      </w:pPr>
    </w:p>
    <w:p w14:paraId="11F46345">
      <w:pPr>
        <w:widowControl/>
        <w:adjustRightInd w:val="0"/>
        <w:spacing w:line="360" w:lineRule="auto"/>
        <w:ind w:firstLine="404" w:firstLineChars="200"/>
        <w:rPr>
          <w:rFonts w:hint="eastAsia" w:ascii="宋体" w:hAnsi="宋体"/>
          <w:bCs/>
          <w:color w:val="auto"/>
          <w:szCs w:val="21"/>
          <w:highlight w:val="none"/>
          <w:lang w:val="zh-CN"/>
        </w:rPr>
      </w:pPr>
    </w:p>
    <w:p w14:paraId="5E83B990">
      <w:pPr>
        <w:pStyle w:val="212"/>
        <w:spacing w:line="240" w:lineRule="atLeast"/>
        <w:ind w:firstLine="0" w:firstLineChars="0"/>
        <w:jc w:val="center"/>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bookmarkStart w:id="53" w:name="_Toc22380"/>
    </w:p>
    <w:p w14:paraId="00E3614D">
      <w:pPr>
        <w:pStyle w:val="212"/>
        <w:spacing w:line="240" w:lineRule="atLeast"/>
        <w:ind w:firstLine="0" w:firstLineChars="0"/>
        <w:jc w:val="center"/>
        <w:outlineLvl w:val="0"/>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第六章 竞争性磋商响应文件格式及附件</w:t>
      </w:r>
      <w:bookmarkEnd w:id="53"/>
    </w:p>
    <w:p w14:paraId="02AF368B">
      <w:pPr>
        <w:autoSpaceDE w:val="0"/>
        <w:autoSpaceDN w:val="0"/>
        <w:adjustRightInd w:val="0"/>
        <w:spacing w:line="240" w:lineRule="atLeast"/>
        <w:ind w:left="560"/>
        <w:jc w:val="center"/>
        <w:rPr>
          <w:rFonts w:ascii="黑体" w:eastAsia="黑体"/>
          <w:b/>
          <w:bCs/>
          <w:color w:val="auto"/>
          <w:sz w:val="36"/>
          <w:szCs w:val="36"/>
          <w:highlight w:val="none"/>
          <w:lang w:val="zh-CN"/>
        </w:rPr>
      </w:pPr>
    </w:p>
    <w:p w14:paraId="0C966B94">
      <w:pPr>
        <w:jc w:val="center"/>
        <w:rPr>
          <w:rFonts w:hint="eastAsia" w:ascii="宋体" w:hAnsi="宋体"/>
          <w:b/>
          <w:color w:val="auto"/>
          <w:sz w:val="72"/>
          <w:highlight w:val="none"/>
        </w:rPr>
      </w:pPr>
    </w:p>
    <w:p w14:paraId="0E628F46">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竞争性磋商响应文件</w:t>
      </w:r>
    </w:p>
    <w:p w14:paraId="2880ACA4">
      <w:pPr>
        <w:ind w:firstLine="3611" w:firstLineChars="1026"/>
        <w:rPr>
          <w:rFonts w:hint="eastAsia" w:ascii="宋体" w:hAnsi="宋体"/>
          <w:b/>
          <w:color w:val="auto"/>
          <w:sz w:val="36"/>
          <w:highlight w:val="none"/>
        </w:rPr>
      </w:pPr>
    </w:p>
    <w:p w14:paraId="57761DF6">
      <w:pPr>
        <w:jc w:val="center"/>
        <w:rPr>
          <w:rFonts w:hint="eastAsia" w:ascii="宋体" w:hAnsi="宋体"/>
          <w:b/>
          <w:color w:val="auto"/>
          <w:sz w:val="72"/>
          <w:highlight w:val="none"/>
        </w:rPr>
      </w:pPr>
    </w:p>
    <w:p w14:paraId="5098EDFB">
      <w:pPr>
        <w:jc w:val="center"/>
        <w:rPr>
          <w:rFonts w:hint="eastAsia" w:ascii="宋体" w:hAnsi="宋体"/>
          <w:b/>
          <w:color w:val="auto"/>
          <w:sz w:val="36"/>
          <w:highlight w:val="none"/>
        </w:rPr>
      </w:pPr>
    </w:p>
    <w:p w14:paraId="473A37FB">
      <w:pPr>
        <w:jc w:val="center"/>
        <w:rPr>
          <w:rFonts w:hint="eastAsia" w:ascii="宋体" w:hAnsi="宋体"/>
          <w:b/>
          <w:color w:val="auto"/>
          <w:sz w:val="36"/>
          <w:highlight w:val="none"/>
        </w:rPr>
      </w:pPr>
    </w:p>
    <w:p w14:paraId="0BAD8805">
      <w:pPr>
        <w:pStyle w:val="25"/>
        <w:ind w:left="1408" w:right="1408"/>
        <w:rPr>
          <w:rFonts w:hint="eastAsia" w:ascii="仿宋" w:hAnsi="仿宋" w:eastAsia="仿宋" w:cs="仿宋"/>
          <w:color w:val="auto"/>
          <w:highlight w:val="none"/>
        </w:rPr>
      </w:pPr>
    </w:p>
    <w:p w14:paraId="0797B1EE">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p>
    <w:p w14:paraId="6986813F">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p>
    <w:p w14:paraId="13C4069D">
      <w:pPr>
        <w:jc w:val="left"/>
        <w:rPr>
          <w:rFonts w:hint="eastAsia" w:ascii="仿宋" w:hAnsi="仿宋" w:eastAsia="仿宋" w:cs="仿宋"/>
          <w:b/>
          <w:color w:val="auto"/>
          <w:sz w:val="36"/>
          <w:highlight w:val="none"/>
        </w:rPr>
      </w:pPr>
    </w:p>
    <w:p w14:paraId="47E21098">
      <w:pPr>
        <w:jc w:val="left"/>
        <w:rPr>
          <w:rFonts w:hint="eastAsia" w:ascii="仿宋" w:hAnsi="仿宋" w:eastAsia="仿宋" w:cs="仿宋"/>
          <w:b/>
          <w:color w:val="auto"/>
          <w:sz w:val="36"/>
          <w:highlight w:val="none"/>
        </w:rPr>
      </w:pPr>
    </w:p>
    <w:p w14:paraId="7B69A039">
      <w:pPr>
        <w:jc w:val="left"/>
        <w:rPr>
          <w:rFonts w:hint="eastAsia" w:ascii="仿宋" w:hAnsi="仿宋" w:eastAsia="仿宋" w:cs="仿宋"/>
          <w:b/>
          <w:color w:val="auto"/>
          <w:sz w:val="36"/>
          <w:highlight w:val="none"/>
        </w:rPr>
      </w:pPr>
    </w:p>
    <w:p w14:paraId="144FFD12">
      <w:pPr>
        <w:jc w:val="left"/>
        <w:rPr>
          <w:rFonts w:hint="eastAsia" w:ascii="仿宋" w:hAnsi="仿宋" w:eastAsia="仿宋" w:cs="仿宋"/>
          <w:b/>
          <w:color w:val="auto"/>
          <w:sz w:val="36"/>
          <w:highlight w:val="none"/>
        </w:rPr>
      </w:pPr>
    </w:p>
    <w:p w14:paraId="24A3263C">
      <w:pPr>
        <w:jc w:val="left"/>
        <w:rPr>
          <w:rFonts w:hint="eastAsia" w:ascii="仿宋" w:hAnsi="仿宋" w:eastAsia="仿宋" w:cs="仿宋"/>
          <w:b/>
          <w:color w:val="auto"/>
          <w:sz w:val="36"/>
          <w:highlight w:val="none"/>
        </w:rPr>
      </w:pPr>
    </w:p>
    <w:p w14:paraId="36E4B064">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供应商名称 ：</w:t>
      </w:r>
      <w:r>
        <w:rPr>
          <w:rFonts w:hint="eastAsia" w:ascii="仿宋" w:hAnsi="仿宋" w:eastAsia="仿宋" w:cs="仿宋"/>
          <w:b/>
          <w:color w:val="auto"/>
          <w:sz w:val="36"/>
          <w:highlight w:val="none"/>
          <w:u w:val="single"/>
        </w:rPr>
        <w:t xml:space="preserve">               </w:t>
      </w:r>
    </w:p>
    <w:p w14:paraId="2BBE2830">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6170E521">
      <w:pPr>
        <w:jc w:val="center"/>
        <w:rPr>
          <w:rFonts w:hint="eastAsia" w:ascii="宋体" w:hAnsi="宋体" w:cs="宋体"/>
          <w:b/>
          <w:bCs/>
          <w:color w:val="auto"/>
          <w:sz w:val="32"/>
          <w:szCs w:val="32"/>
          <w:highlight w:val="none"/>
        </w:rPr>
      </w:pPr>
      <w:bookmarkStart w:id="54" w:name="_Toc489655320"/>
      <w:bookmarkStart w:id="55" w:name="_Toc508699424"/>
      <w:r>
        <w:rPr>
          <w:rFonts w:hint="eastAsia" w:ascii="宋体" w:hAnsi="宋体" w:cs="宋体"/>
          <w:b/>
          <w:bCs/>
          <w:color w:val="auto"/>
          <w:sz w:val="32"/>
          <w:szCs w:val="32"/>
          <w:highlight w:val="none"/>
        </w:rPr>
        <w:br w:type="page"/>
      </w:r>
    </w:p>
    <w:p w14:paraId="442E3DAB">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磋商文件主要目录</w:t>
      </w:r>
      <w:bookmarkEnd w:id="54"/>
      <w:r>
        <w:rPr>
          <w:rFonts w:hint="eastAsia" w:ascii="黑体" w:hAnsi="黑体" w:eastAsia="黑体" w:cs="黑体"/>
          <w:color w:val="auto"/>
          <w:sz w:val="32"/>
          <w:szCs w:val="32"/>
          <w:highlight w:val="none"/>
        </w:rPr>
        <w:t>及相关证明材料格式、附件</w:t>
      </w:r>
      <w:bookmarkEnd w:id="55"/>
    </w:p>
    <w:p w14:paraId="12085CE6">
      <w:pPr>
        <w:spacing w:line="560" w:lineRule="exact"/>
        <w:jc w:val="left"/>
        <w:rPr>
          <w:rFonts w:hint="eastAsia" w:ascii="宋体" w:hAnsi="宋体" w:cs="宋体"/>
          <w:color w:val="auto"/>
          <w:sz w:val="28"/>
          <w:szCs w:val="28"/>
          <w:highlight w:val="none"/>
        </w:rPr>
      </w:pPr>
    </w:p>
    <w:p w14:paraId="1C63C6B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一、磋商申请及声明</w:t>
      </w:r>
    </w:p>
    <w:p w14:paraId="70B74402">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二、法定代表人授权书</w:t>
      </w:r>
    </w:p>
    <w:p w14:paraId="30555F49">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三、磋商报价表</w:t>
      </w:r>
    </w:p>
    <w:p w14:paraId="730DDCA0">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四、资格证明文件</w:t>
      </w:r>
    </w:p>
    <w:p w14:paraId="52A7AD6D">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五、已标价</w:t>
      </w:r>
      <w:r>
        <w:rPr>
          <w:rFonts w:hint="eastAsia" w:ascii="仿宋" w:hAnsi="仿宋" w:eastAsia="仿宋" w:cs="仿宋"/>
          <w:color w:val="auto"/>
          <w:sz w:val="30"/>
          <w:szCs w:val="30"/>
          <w:highlight w:val="none"/>
        </w:rPr>
        <w:t>工程量清单（分项报价）</w:t>
      </w:r>
    </w:p>
    <w:p w14:paraId="73290770">
      <w:pPr>
        <w:spacing w:line="560" w:lineRule="exact"/>
        <w:ind w:firstLine="430" w:firstLineChars="14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六、供应商类似业绩情况表</w:t>
      </w:r>
    </w:p>
    <w:p w14:paraId="1189D87E">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七、技术参数偏离表</w:t>
      </w:r>
    </w:p>
    <w:p w14:paraId="1289727F">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八、商务条款偏离表</w:t>
      </w:r>
    </w:p>
    <w:p w14:paraId="60F63A9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九、项目技术方案或服务说明</w:t>
      </w:r>
    </w:p>
    <w:p w14:paraId="668A4515">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十、服务与承诺</w:t>
      </w:r>
    </w:p>
    <w:p w14:paraId="05FF9FA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十一、磋商需要的其他证明文件及材料（若有)</w:t>
      </w:r>
    </w:p>
    <w:p w14:paraId="30ECC232">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附件一、中小企业声明函格式</w:t>
      </w:r>
    </w:p>
    <w:p w14:paraId="20E958E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附件二、残疾人福利性单位声明函</w:t>
      </w:r>
    </w:p>
    <w:p w14:paraId="308DFB85">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附件三、属于监狱企业的证明文件格式</w:t>
      </w:r>
    </w:p>
    <w:p w14:paraId="227C9CB3">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附件四、无重大违法记录声明格式</w:t>
      </w:r>
    </w:p>
    <w:p w14:paraId="65853679">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附件五、具备履行合同所必需的设备和专业技术能力的声明格式及证明材料</w:t>
      </w:r>
    </w:p>
    <w:p w14:paraId="2182827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附件六 、承诺书</w:t>
      </w:r>
    </w:p>
    <w:p w14:paraId="2C9986B9">
      <w:pPr>
        <w:autoSpaceDE w:val="0"/>
        <w:autoSpaceDN w:val="0"/>
        <w:adjustRightInd w:val="0"/>
        <w:spacing w:line="240" w:lineRule="atLeast"/>
        <w:rPr>
          <w:rFonts w:hint="eastAsia" w:ascii="宋体" w:hAnsi="宋体" w:cs="宋体"/>
          <w:b/>
          <w:color w:val="auto"/>
          <w:szCs w:val="21"/>
          <w:highlight w:val="none"/>
          <w:lang w:val="zh-CN"/>
        </w:rPr>
      </w:pPr>
    </w:p>
    <w:p w14:paraId="5553AE03">
      <w:pPr>
        <w:autoSpaceDE w:val="0"/>
        <w:autoSpaceDN w:val="0"/>
        <w:adjustRightInd w:val="0"/>
        <w:spacing w:line="240" w:lineRule="atLeast"/>
        <w:rPr>
          <w:rFonts w:hint="eastAsia" w:ascii="宋体" w:hAnsi="宋体" w:cs="宋体"/>
          <w:b/>
          <w:color w:val="auto"/>
          <w:szCs w:val="21"/>
          <w:highlight w:val="none"/>
          <w:lang w:val="zh-CN"/>
        </w:rPr>
      </w:pPr>
    </w:p>
    <w:p w14:paraId="7156BDB1">
      <w:pPr>
        <w:autoSpaceDE w:val="0"/>
        <w:autoSpaceDN w:val="0"/>
        <w:adjustRightInd w:val="0"/>
        <w:spacing w:line="240" w:lineRule="atLeast"/>
        <w:rPr>
          <w:rFonts w:hint="eastAsia" w:ascii="宋体" w:hAnsi="宋体" w:cs="宋体"/>
          <w:b/>
          <w:color w:val="auto"/>
          <w:szCs w:val="21"/>
          <w:highlight w:val="none"/>
          <w:lang w:val="zh-CN"/>
        </w:rPr>
      </w:pPr>
    </w:p>
    <w:p w14:paraId="19D5CA57">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p>
    <w:p w14:paraId="4677BFBA">
      <w:pPr>
        <w:autoSpaceDE w:val="0"/>
        <w:autoSpaceDN w:val="0"/>
        <w:adjustRightInd w:val="0"/>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目录一：磋商申请及声明</w:t>
      </w:r>
    </w:p>
    <w:p w14:paraId="65B41D18">
      <w:pPr>
        <w:spacing w:line="360" w:lineRule="auto"/>
        <w:jc w:val="center"/>
        <w:rPr>
          <w:rFonts w:hint="eastAsia" w:ascii="黑体" w:hAnsi="黑体" w:eastAsia="黑体" w:cs="黑体"/>
          <w:b/>
          <w:bCs/>
          <w:color w:val="auto"/>
          <w:sz w:val="30"/>
          <w:szCs w:val="30"/>
          <w:highlight w:val="none"/>
        </w:rPr>
      </w:pPr>
    </w:p>
    <w:p w14:paraId="0E7B3F85">
      <w:pPr>
        <w:spacing w:line="360" w:lineRule="auto"/>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磋商申请及声明</w:t>
      </w:r>
    </w:p>
    <w:p w14:paraId="0C8EA9FE">
      <w:pPr>
        <w:autoSpaceDE w:val="0"/>
        <w:autoSpaceDN w:val="0"/>
        <w:adjustRightInd w:val="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致：</w:t>
      </w:r>
      <w:r>
        <w:rPr>
          <w:rFonts w:hint="eastAsia" w:ascii="仿宋" w:hAnsi="仿宋" w:eastAsia="仿宋" w:cs="仿宋"/>
          <w:color w:val="auto"/>
          <w:sz w:val="30"/>
          <w:szCs w:val="30"/>
          <w:highlight w:val="none"/>
          <w:u w:val="single"/>
        </w:rPr>
        <w:t xml:space="preserve">                  </w:t>
      </w:r>
    </w:p>
    <w:p w14:paraId="3173C62F">
      <w:pPr>
        <w:autoSpaceDE w:val="0"/>
        <w:autoSpaceDN w:val="0"/>
        <w:adjustRightInd w:val="0"/>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（供应商名称），提交响应文件并参加磋商。</w:t>
      </w:r>
    </w:p>
    <w:p w14:paraId="71229AD4">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据此函，签字人兹宣布同意如下：</w:t>
      </w:r>
    </w:p>
    <w:p w14:paraId="673F8618">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我们的资格条件完全符合政府采购法和本次采购要求，</w:t>
      </w:r>
      <w:r>
        <w:rPr>
          <w:rFonts w:hint="eastAsia" w:ascii="仿宋" w:hAnsi="仿宋" w:eastAsia="仿宋" w:cs="仿宋"/>
          <w:color w:val="auto"/>
          <w:sz w:val="30"/>
          <w:szCs w:val="30"/>
          <w:highlight w:val="none"/>
        </w:rPr>
        <w:t>我们</w:t>
      </w:r>
      <w:r>
        <w:rPr>
          <w:rFonts w:hint="eastAsia" w:ascii="仿宋" w:hAnsi="仿宋" w:eastAsia="仿宋" w:cs="仿宋"/>
          <w:color w:val="auto"/>
          <w:sz w:val="30"/>
          <w:szCs w:val="30"/>
          <w:highlight w:val="none"/>
          <w:lang w:val="zh-CN"/>
        </w:rPr>
        <w:t>同意并向贵方提供了与本次采购活动有关的所有证据和资料</w:t>
      </w:r>
      <w:r>
        <w:rPr>
          <w:rFonts w:hint="eastAsia" w:ascii="仿宋" w:hAnsi="仿宋" w:eastAsia="仿宋" w:cs="仿宋"/>
          <w:color w:val="auto"/>
          <w:sz w:val="30"/>
          <w:szCs w:val="30"/>
          <w:highlight w:val="none"/>
        </w:rPr>
        <w:t>。</w:t>
      </w:r>
    </w:p>
    <w:p w14:paraId="619995BF">
      <w:pPr>
        <w:spacing w:line="560" w:lineRule="exact"/>
        <w:ind w:firstLine="584" w:firstLineChars="200"/>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591B539">
      <w:pPr>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我们的</w:t>
      </w:r>
      <w:r>
        <w:rPr>
          <w:rFonts w:hint="eastAsia" w:ascii="仿宋" w:hAnsi="仿宋" w:eastAsia="仿宋" w:cs="仿宋"/>
          <w:color w:val="auto"/>
          <w:sz w:val="30"/>
          <w:szCs w:val="30"/>
          <w:highlight w:val="none"/>
        </w:rPr>
        <w:t>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w:t>
      </w:r>
    </w:p>
    <w:p w14:paraId="27A5863C">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不对磋商文件本身提出质疑</w:t>
      </w:r>
      <w:r>
        <w:rPr>
          <w:rFonts w:hint="eastAsia" w:ascii="仿宋" w:hAnsi="仿宋" w:eastAsia="仿宋" w:cs="仿宋"/>
          <w:color w:val="auto"/>
          <w:sz w:val="30"/>
          <w:szCs w:val="30"/>
          <w:highlight w:val="none"/>
          <w:lang w:val="zh-CN"/>
        </w:rPr>
        <w:t>。否则，属于不诚信和故意扰乱政府采购活动行为，我们将无条件接受处罚。</w:t>
      </w:r>
    </w:p>
    <w:p w14:paraId="7F03CFC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5、一旦我方成交，我方将根据磋商文件的规定，严格履行合同，保证于承诺的时间内完成本项目规定的服务内容。</w:t>
      </w:r>
    </w:p>
    <w:p w14:paraId="6380F228">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50A329F3">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7、我方正式通讯方式为：</w:t>
      </w:r>
    </w:p>
    <w:p w14:paraId="1E34198F">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rPr>
        <w:t xml:space="preserve">                       </w:t>
      </w:r>
    </w:p>
    <w:p w14:paraId="16F5EC23">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电   话：</w:t>
      </w:r>
      <w:r>
        <w:rPr>
          <w:rFonts w:hint="eastAsia" w:ascii="仿宋" w:hAnsi="仿宋" w:eastAsia="仿宋" w:cs="仿宋"/>
          <w:color w:val="auto"/>
          <w:sz w:val="30"/>
          <w:szCs w:val="30"/>
          <w:highlight w:val="none"/>
          <w:u w:val="single"/>
        </w:rPr>
        <w:t xml:space="preserve">                       </w:t>
      </w:r>
    </w:p>
    <w:p w14:paraId="42046E33">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传   真：</w:t>
      </w:r>
      <w:r>
        <w:rPr>
          <w:rFonts w:hint="eastAsia" w:ascii="仿宋" w:hAnsi="仿宋" w:eastAsia="仿宋" w:cs="仿宋"/>
          <w:color w:val="auto"/>
          <w:sz w:val="30"/>
          <w:szCs w:val="30"/>
          <w:highlight w:val="none"/>
          <w:u w:val="single"/>
        </w:rPr>
        <w:t xml:space="preserve">                       </w:t>
      </w:r>
    </w:p>
    <w:p w14:paraId="55D7EEAD">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8、我方正式开户银行和账号为：</w:t>
      </w:r>
    </w:p>
    <w:p w14:paraId="3A144B2F">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开户银行：</w:t>
      </w:r>
      <w:r>
        <w:rPr>
          <w:rFonts w:hint="eastAsia" w:ascii="仿宋" w:hAnsi="仿宋" w:eastAsia="仿宋" w:cs="仿宋"/>
          <w:color w:val="auto"/>
          <w:sz w:val="30"/>
          <w:szCs w:val="30"/>
          <w:highlight w:val="none"/>
          <w:u w:val="single"/>
        </w:rPr>
        <w:t xml:space="preserve">                       </w:t>
      </w:r>
    </w:p>
    <w:p w14:paraId="71CA897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账    号：</w:t>
      </w:r>
      <w:r>
        <w:rPr>
          <w:rFonts w:hint="eastAsia" w:ascii="仿宋" w:hAnsi="仿宋" w:eastAsia="仿宋" w:cs="仿宋"/>
          <w:color w:val="auto"/>
          <w:sz w:val="30"/>
          <w:szCs w:val="30"/>
          <w:highlight w:val="none"/>
          <w:u w:val="single"/>
        </w:rPr>
        <w:t xml:space="preserve">                       </w:t>
      </w:r>
    </w:p>
    <w:p w14:paraId="2136E33E">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供应商授权代表姓名（签字）：</w:t>
      </w:r>
      <w:r>
        <w:rPr>
          <w:rFonts w:hint="eastAsia" w:ascii="仿宋" w:hAnsi="仿宋" w:eastAsia="仿宋" w:cs="仿宋"/>
          <w:color w:val="auto"/>
          <w:sz w:val="30"/>
          <w:szCs w:val="30"/>
          <w:highlight w:val="none"/>
          <w:u w:val="single"/>
        </w:rPr>
        <w:t xml:space="preserve">         </w:t>
      </w:r>
    </w:p>
    <w:p w14:paraId="216C6888">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供应商名称（加盖CA电子公章）：</w:t>
      </w:r>
      <w:r>
        <w:rPr>
          <w:rFonts w:hint="eastAsia" w:ascii="仿宋" w:hAnsi="仿宋" w:eastAsia="仿宋" w:cs="仿宋"/>
          <w:color w:val="auto"/>
          <w:sz w:val="30"/>
          <w:szCs w:val="30"/>
          <w:highlight w:val="none"/>
          <w:u w:val="single"/>
        </w:rPr>
        <w:t xml:space="preserve">                 </w:t>
      </w:r>
    </w:p>
    <w:p w14:paraId="38968CC8">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日</w:t>
      </w:r>
    </w:p>
    <w:p w14:paraId="5BF55A0C">
      <w:pPr>
        <w:spacing w:line="360" w:lineRule="auto"/>
        <w:ind w:firstLine="584"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r>
    </w:p>
    <w:p w14:paraId="1CA02D63">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目录二：法定代表人授权书格式</w:t>
      </w:r>
    </w:p>
    <w:p w14:paraId="5000EC17">
      <w:pPr>
        <w:spacing w:line="360" w:lineRule="auto"/>
        <w:jc w:val="center"/>
        <w:rPr>
          <w:rFonts w:hint="eastAsia" w:ascii="宋体" w:hAnsi="宋体" w:cs="宋体"/>
          <w:b/>
          <w:bCs/>
          <w:color w:val="auto"/>
          <w:sz w:val="30"/>
          <w:szCs w:val="30"/>
          <w:highlight w:val="none"/>
        </w:rPr>
      </w:pPr>
    </w:p>
    <w:p w14:paraId="262C7FD4">
      <w:pPr>
        <w:spacing w:line="360" w:lineRule="auto"/>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法定代表人授权书</w:t>
      </w:r>
    </w:p>
    <w:p w14:paraId="5F7E0C3C">
      <w:pPr>
        <w:autoSpaceDE w:val="0"/>
        <w:autoSpaceDN w:val="0"/>
        <w:adjustRightInd w:val="0"/>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w:t>
      </w:r>
    </w:p>
    <w:p w14:paraId="25AB58FF">
      <w:pPr>
        <w:autoSpaceDE w:val="0"/>
        <w:autoSpaceDN w:val="0"/>
        <w:adjustRightInd w:val="0"/>
        <w:spacing w:line="360" w:lineRule="auto"/>
        <w:ind w:firstLine="582"/>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（供应商代表姓名、职务）为本公司的合法代理人，就贵方组织的</w:t>
      </w:r>
      <w:r>
        <w:rPr>
          <w:rFonts w:hint="eastAsia" w:ascii="仿宋" w:hAnsi="仿宋" w:eastAsia="仿宋" w:cs="仿宋"/>
          <w:color w:val="auto"/>
          <w:sz w:val="30"/>
          <w:szCs w:val="30"/>
          <w:highlight w:val="none"/>
          <w:u w:val="single"/>
        </w:rPr>
        <w:t xml:space="preserve">       </w:t>
      </w:r>
    </w:p>
    <w:p w14:paraId="586D2DE7">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（项目编号）竞争性磋商，以本公司名义处理一切与之有关的事务。</w:t>
      </w:r>
    </w:p>
    <w:p w14:paraId="79EF69C2">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日签字生效，特此声明。</w:t>
      </w:r>
    </w:p>
    <w:p w14:paraId="7E3CA3E2">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lang w:val="zh-CN"/>
        </w:rPr>
        <w:t>授权单位名称：（加盖CA电子公章）</w:t>
      </w:r>
    </w:p>
    <w:p w14:paraId="70019468">
      <w:pPr>
        <w:autoSpaceDE w:val="0"/>
        <w:autoSpaceDN w:val="0"/>
        <w:adjustRightInd w:val="0"/>
        <w:spacing w:line="360" w:lineRule="auto"/>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法定代表人签字：</w:t>
      </w:r>
    </w:p>
    <w:p w14:paraId="7C31A0B8">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p>
    <w:p w14:paraId="57BE65DC">
      <w:pPr>
        <w:tabs>
          <w:tab w:val="left" w:pos="1440"/>
        </w:tabs>
        <w:autoSpaceDE w:val="0"/>
        <w:autoSpaceDN w:val="0"/>
        <w:adjustRightInd w:val="0"/>
        <w:spacing w:line="360" w:lineRule="auto"/>
        <w:ind w:firstLine="42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日        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35B2A2CE">
      <w:pPr>
        <w:ind w:firstLine="584"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附法定代表人及被授权人身份证复印件</w:t>
      </w:r>
    </w:p>
    <w:tbl>
      <w:tblPr>
        <w:tblStyle w:val="69"/>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3ABA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tcPr>
          <w:p w14:paraId="7FD7A445">
            <w:pPr>
              <w:pStyle w:val="29"/>
              <w:jc w:val="left"/>
              <w:rPr>
                <w:rFonts w:hint="eastAsia" w:hAnsi="宋体" w:cs="宋体"/>
                <w:color w:val="auto"/>
                <w:sz w:val="24"/>
                <w:szCs w:val="24"/>
                <w:highlight w:val="none"/>
              </w:rPr>
            </w:pPr>
          </w:p>
          <w:p w14:paraId="41353567">
            <w:pPr>
              <w:pStyle w:val="29"/>
              <w:jc w:val="left"/>
              <w:rPr>
                <w:rFonts w:hint="eastAsia" w:hAnsi="宋体" w:cs="宋体"/>
                <w:color w:val="auto"/>
                <w:sz w:val="24"/>
                <w:szCs w:val="24"/>
                <w:highlight w:val="none"/>
              </w:rPr>
            </w:pPr>
          </w:p>
          <w:p w14:paraId="3202321E">
            <w:pPr>
              <w:pStyle w:val="29"/>
              <w:jc w:val="left"/>
              <w:rPr>
                <w:rFonts w:hint="eastAsia" w:hAnsi="宋体" w:cs="宋体"/>
                <w:color w:val="auto"/>
                <w:sz w:val="24"/>
                <w:szCs w:val="24"/>
                <w:highlight w:val="none"/>
              </w:rPr>
            </w:pPr>
          </w:p>
          <w:p w14:paraId="3DE3EA2D">
            <w:pPr>
              <w:pStyle w:val="29"/>
              <w:jc w:val="left"/>
              <w:rPr>
                <w:rFonts w:hint="eastAsia" w:hAnsi="宋体" w:cs="宋体"/>
                <w:color w:val="auto"/>
                <w:sz w:val="24"/>
                <w:szCs w:val="24"/>
                <w:highlight w:val="none"/>
              </w:rPr>
            </w:pPr>
          </w:p>
          <w:p w14:paraId="3719891F">
            <w:pPr>
              <w:pStyle w:val="29"/>
              <w:jc w:val="left"/>
              <w:rPr>
                <w:rFonts w:hint="eastAsia" w:hAnsi="宋体" w:cs="宋体"/>
                <w:color w:val="auto"/>
                <w:sz w:val="24"/>
                <w:szCs w:val="24"/>
                <w:highlight w:val="none"/>
              </w:rPr>
            </w:pPr>
          </w:p>
          <w:p w14:paraId="144DF947">
            <w:pPr>
              <w:pStyle w:val="29"/>
              <w:jc w:val="left"/>
              <w:rPr>
                <w:rFonts w:hint="eastAsia" w:hAnsi="宋体" w:cs="宋体"/>
                <w:color w:val="auto"/>
                <w:sz w:val="24"/>
                <w:szCs w:val="24"/>
                <w:highlight w:val="none"/>
              </w:rPr>
            </w:pPr>
          </w:p>
        </w:tc>
      </w:tr>
    </w:tbl>
    <w:p w14:paraId="58147C8C">
      <w:pPr>
        <w:autoSpaceDE w:val="0"/>
        <w:autoSpaceDN w:val="0"/>
        <w:adjustRightInd w:val="0"/>
        <w:spacing w:line="360" w:lineRule="auto"/>
        <w:rPr>
          <w:rFonts w:hint="eastAsia" w:ascii="宋体" w:hAnsi="宋体" w:cs="宋体"/>
          <w:color w:val="auto"/>
          <w:kern w:val="0"/>
          <w:szCs w:val="21"/>
          <w:highlight w:val="none"/>
          <w:lang w:val="zh-CN"/>
        </w:rPr>
      </w:pPr>
      <w:r>
        <w:rPr>
          <w:rFonts w:hint="eastAsia" w:ascii="宋体" w:hAnsi="宋体" w:cs="宋体"/>
          <w:color w:val="auto"/>
          <w:szCs w:val="21"/>
          <w:highlight w:val="none"/>
          <w:lang w:val="zh-CN"/>
        </w:rPr>
        <w:br w:type="page"/>
      </w:r>
      <w:r>
        <w:rPr>
          <w:rFonts w:hint="eastAsia" w:ascii="黑体" w:hAnsi="黑体" w:eastAsia="黑体" w:cs="黑体"/>
          <w:color w:val="auto"/>
          <w:sz w:val="30"/>
          <w:szCs w:val="30"/>
          <w:highlight w:val="none"/>
          <w:lang w:val="zh-CN"/>
        </w:rPr>
        <w:t>目录三：报价表格式</w:t>
      </w:r>
    </w:p>
    <w:p w14:paraId="425220C3">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表</w:t>
      </w:r>
    </w:p>
    <w:tbl>
      <w:tblPr>
        <w:tblStyle w:val="69"/>
        <w:tblW w:w="9198" w:type="dxa"/>
        <w:jc w:val="center"/>
        <w:tblLayout w:type="fixed"/>
        <w:tblCellMar>
          <w:top w:w="0" w:type="dxa"/>
          <w:left w:w="0" w:type="dxa"/>
          <w:bottom w:w="0" w:type="dxa"/>
          <w:right w:w="0" w:type="dxa"/>
        </w:tblCellMar>
      </w:tblPr>
      <w:tblGrid>
        <w:gridCol w:w="2425"/>
        <w:gridCol w:w="1155"/>
        <w:gridCol w:w="3053"/>
        <w:gridCol w:w="2565"/>
      </w:tblGrid>
      <w:tr w14:paraId="3DFECC1B">
        <w:tblPrEx>
          <w:tblCellMar>
            <w:top w:w="0" w:type="dxa"/>
            <w:left w:w="0" w:type="dxa"/>
            <w:bottom w:w="0" w:type="dxa"/>
            <w:right w:w="0" w:type="dxa"/>
          </w:tblCellMar>
        </w:tblPrEx>
        <w:trPr>
          <w:trHeight w:val="284" w:hRule="atLeast"/>
          <w:jc w:val="center"/>
        </w:trPr>
        <w:tc>
          <w:tcPr>
            <w:tcW w:w="6633" w:type="dxa"/>
            <w:gridSpan w:val="3"/>
            <w:tcBorders>
              <w:top w:val="nil"/>
              <w:left w:val="nil"/>
              <w:bottom w:val="single" w:color="auto" w:sz="6" w:space="0"/>
              <w:right w:val="nil"/>
            </w:tcBorders>
            <w:vAlign w:val="center"/>
          </w:tcPr>
          <w:p w14:paraId="7BC3AB95">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565" w:type="dxa"/>
            <w:tcBorders>
              <w:top w:val="nil"/>
              <w:left w:val="nil"/>
              <w:bottom w:val="single" w:color="auto" w:sz="6" w:space="0"/>
              <w:right w:val="nil"/>
            </w:tcBorders>
            <w:vAlign w:val="center"/>
          </w:tcPr>
          <w:p w14:paraId="679DF70B">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6A043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46DC785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响应总价</w:t>
            </w:r>
          </w:p>
        </w:tc>
        <w:tc>
          <w:tcPr>
            <w:tcW w:w="1155" w:type="dxa"/>
            <w:tcBorders>
              <w:bottom w:val="single" w:color="000000" w:sz="6" w:space="0"/>
            </w:tcBorders>
            <w:vAlign w:val="center"/>
          </w:tcPr>
          <w:p w14:paraId="0FC51F5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5618" w:type="dxa"/>
            <w:gridSpan w:val="2"/>
            <w:tcBorders>
              <w:bottom w:val="single" w:color="000000" w:sz="6" w:space="0"/>
            </w:tcBorders>
            <w:vAlign w:val="center"/>
          </w:tcPr>
          <w:p w14:paraId="486AEBC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p w14:paraId="6AEFCE44">
            <w:pPr>
              <w:jc w:val="center"/>
              <w:rPr>
                <w:rFonts w:hint="eastAsia" w:ascii="仿宋" w:hAnsi="仿宋" w:eastAsia="仿宋" w:cs="仿宋"/>
                <w:color w:val="auto"/>
                <w:sz w:val="24"/>
                <w:szCs w:val="24"/>
                <w:highlight w:val="none"/>
              </w:rPr>
            </w:pPr>
          </w:p>
          <w:p w14:paraId="5810A9D1">
            <w:pPr>
              <w:jc w:val="center"/>
              <w:rPr>
                <w:rFonts w:hint="eastAsia" w:ascii="仿宋" w:hAnsi="仿宋" w:eastAsia="仿宋" w:cs="仿宋"/>
                <w:color w:val="auto"/>
                <w:sz w:val="24"/>
                <w:szCs w:val="24"/>
                <w:highlight w:val="none"/>
              </w:rPr>
            </w:pPr>
          </w:p>
          <w:p w14:paraId="0362083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tc>
      </w:tr>
      <w:tr w14:paraId="6D986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71B67D7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6773" w:type="dxa"/>
            <w:gridSpan w:val="3"/>
            <w:tcBorders>
              <w:top w:val="single" w:color="000000" w:sz="6" w:space="0"/>
            </w:tcBorders>
            <w:vAlign w:val="center"/>
          </w:tcPr>
          <w:p w14:paraId="07B05AC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满足磋商文件要求。</w:t>
            </w:r>
          </w:p>
        </w:tc>
      </w:tr>
      <w:tr w14:paraId="5BCC1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0D54C62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6773" w:type="dxa"/>
            <w:gridSpan w:val="3"/>
            <w:tcBorders>
              <w:top w:val="single" w:color="000000" w:sz="6" w:space="0"/>
            </w:tcBorders>
            <w:vAlign w:val="center"/>
          </w:tcPr>
          <w:p w14:paraId="578E5864">
            <w:pPr>
              <w:jc w:val="center"/>
              <w:rPr>
                <w:rFonts w:hint="eastAsia" w:ascii="仿宋" w:hAnsi="仿宋" w:eastAsia="仿宋" w:cs="仿宋"/>
                <w:color w:val="auto"/>
                <w:sz w:val="24"/>
                <w:szCs w:val="24"/>
                <w:highlight w:val="none"/>
              </w:rPr>
            </w:pPr>
          </w:p>
        </w:tc>
      </w:tr>
      <w:tr w14:paraId="73893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6256169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响应标的是否全部由小微企业提供</w:t>
            </w:r>
          </w:p>
        </w:tc>
        <w:tc>
          <w:tcPr>
            <w:tcW w:w="6773" w:type="dxa"/>
            <w:gridSpan w:val="3"/>
            <w:vAlign w:val="center"/>
          </w:tcPr>
          <w:p w14:paraId="7A4644EE">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（填写“是”或“否）</w:t>
            </w:r>
          </w:p>
        </w:tc>
      </w:tr>
    </w:tbl>
    <w:p w14:paraId="06B075CA">
      <w:pPr>
        <w:spacing w:line="52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p>
    <w:p w14:paraId="66374F7A">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p>
    <w:p w14:paraId="0D074BE0">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日</w:t>
      </w:r>
    </w:p>
    <w:p w14:paraId="7D842A6C">
      <w:pPr>
        <w:spacing w:line="520" w:lineRule="exact"/>
        <w:ind w:firstLine="544" w:firstLineChars="200"/>
        <w:rPr>
          <w:rFonts w:hint="eastAsia" w:ascii="仿宋" w:hAnsi="仿宋" w:eastAsia="仿宋" w:cs="仿宋"/>
          <w:color w:val="auto"/>
          <w:sz w:val="28"/>
          <w:szCs w:val="28"/>
          <w:highlight w:val="none"/>
        </w:rPr>
      </w:pPr>
    </w:p>
    <w:p w14:paraId="77EDF61F">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w:t>
      </w:r>
    </w:p>
    <w:p w14:paraId="5F547917">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1、本项目仅接受一个价格，不得填报有选择性报价方案。若有优惠条款须注明，但不得影响报价，影响产品整体功能。</w:t>
      </w:r>
    </w:p>
    <w:p w14:paraId="513E3AA7">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响应标的是否全部由小微企业提供”栏内填写“是”或“否”。如填写“是”，供应商应按采购文件要求提供《中小企业声明函》《残疾人福利性单位声明函》《属于监狱企业的证明文件》。如未按要求提供、填写，视为未提供。</w:t>
      </w:r>
    </w:p>
    <w:p w14:paraId="7F353B7E">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3、磋商结束后，磋商小组将要求所有实质性响应的供应商在规定时间内提交最后报价。</w:t>
      </w:r>
    </w:p>
    <w:p w14:paraId="281F9ECD">
      <w:pPr>
        <w:spacing w:line="360" w:lineRule="auto"/>
        <w:ind w:firstLine="544" w:firstLineChars="200"/>
        <w:rPr>
          <w:rFonts w:hint="eastAsia" w:ascii="华文仿宋" w:hAnsi="华文仿宋" w:eastAsia="华文仿宋" w:cs="华文仿宋"/>
          <w:color w:val="auto"/>
          <w:sz w:val="28"/>
          <w:szCs w:val="28"/>
          <w:highlight w:val="none"/>
        </w:rPr>
        <w:sectPr>
          <w:footerReference r:id="rId6" w:type="default"/>
          <w:pgSz w:w="11910" w:h="16840"/>
          <w:pgMar w:top="2098" w:right="1531" w:bottom="1701" w:left="1531" w:header="0" w:footer="992" w:gutter="0"/>
          <w:pgNumType w:fmt="decimal"/>
          <w:cols w:space="720" w:num="1"/>
          <w:docGrid w:type="linesAndChars" w:linePitch="296" w:charSpace="-1825"/>
        </w:sectPr>
      </w:pPr>
    </w:p>
    <w:p w14:paraId="1D82AEE2">
      <w:pPr>
        <w:widowControl/>
        <w:adjustRightInd w:val="0"/>
        <w:spacing w:line="360" w:lineRule="auto"/>
        <w:jc w:val="left"/>
        <w:rPr>
          <w:rFonts w:hint="eastAsia" w:ascii="方正黑体_GBK" w:hAnsi="方正黑体_GBK" w:eastAsia="方正黑体_GBK" w:cs="方正黑体_GBK"/>
          <w:bCs/>
          <w:color w:val="auto"/>
          <w:kern w:val="0"/>
          <w:sz w:val="30"/>
          <w:szCs w:val="30"/>
          <w:highlight w:val="none"/>
          <w:lang w:val="zh-CN"/>
        </w:rPr>
      </w:pPr>
    </w:p>
    <w:p w14:paraId="1530042D">
      <w:pPr>
        <w:widowControl/>
        <w:adjustRightIn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目录四：资格证明文件</w:t>
      </w:r>
    </w:p>
    <w:p w14:paraId="22677178">
      <w:pPr>
        <w:spacing w:line="360" w:lineRule="auto"/>
        <w:jc w:val="center"/>
        <w:rPr>
          <w:rFonts w:hint="eastAsia" w:ascii="黑体" w:hAnsi="黑体" w:eastAsia="黑体" w:cs="黑体"/>
          <w:color w:val="auto"/>
          <w:sz w:val="36"/>
          <w:szCs w:val="36"/>
          <w:highlight w:val="none"/>
        </w:rPr>
      </w:pPr>
      <w:bookmarkStart w:id="56" w:name="_Toc508699425"/>
      <w:bookmarkStart w:id="57" w:name="_Toc489655335"/>
      <w:r>
        <w:rPr>
          <w:rFonts w:hint="eastAsia" w:ascii="黑体" w:hAnsi="黑体" w:eastAsia="黑体" w:cs="黑体"/>
          <w:color w:val="auto"/>
          <w:sz w:val="36"/>
          <w:szCs w:val="36"/>
          <w:highlight w:val="none"/>
        </w:rPr>
        <w:t>资格证明文件</w:t>
      </w:r>
      <w:bookmarkEnd w:id="56"/>
      <w:bookmarkEnd w:id="57"/>
    </w:p>
    <w:p w14:paraId="0D0E720F">
      <w:pPr>
        <w:spacing w:line="360" w:lineRule="auto"/>
        <w:ind w:firstLine="588" w:firstLineChars="196"/>
        <w:rPr>
          <w:rFonts w:hint="eastAsia" w:ascii="宋体" w:hAnsi="宋体" w:cs="宋体"/>
          <w:bCs/>
          <w:color w:val="auto"/>
          <w:sz w:val="30"/>
          <w:szCs w:val="30"/>
          <w:highlight w:val="none"/>
        </w:rPr>
      </w:pPr>
    </w:p>
    <w:p w14:paraId="7999EE26">
      <w:pPr>
        <w:snapToGrid w:val="0"/>
        <w:spacing w:before="50" w:after="50"/>
        <w:ind w:firstLine="594" w:firstLineChars="198"/>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w:t>
      </w:r>
    </w:p>
    <w:p w14:paraId="0321C235">
      <w:pPr>
        <w:widowControl/>
        <w:jc w:val="left"/>
        <w:rPr>
          <w:rFonts w:hint="eastAsia" w:ascii="宋体" w:hAnsi="宋体" w:cs="宋体"/>
          <w:b/>
          <w:color w:val="auto"/>
          <w:kern w:val="0"/>
          <w:sz w:val="24"/>
          <w:szCs w:val="24"/>
          <w:highlight w:val="none"/>
        </w:rPr>
      </w:pPr>
      <w:r>
        <w:rPr>
          <w:rFonts w:hint="eastAsia" w:ascii="宋体" w:hAnsi="宋体" w:cs="宋体"/>
          <w:b/>
          <w:color w:val="auto"/>
          <w:kern w:val="0"/>
          <w:szCs w:val="21"/>
          <w:highlight w:val="none"/>
          <w:lang w:val="zh-CN"/>
        </w:rPr>
        <w:br w:type="page"/>
      </w:r>
      <w:r>
        <w:rPr>
          <w:rFonts w:hint="eastAsia" w:ascii="黑体" w:hAnsi="黑体" w:eastAsia="黑体" w:cs="黑体"/>
          <w:bCs/>
          <w:color w:val="auto"/>
          <w:kern w:val="0"/>
          <w:sz w:val="30"/>
          <w:szCs w:val="30"/>
          <w:highlight w:val="none"/>
          <w:lang w:val="zh-CN"/>
        </w:rPr>
        <w:t>目录五：已标价</w:t>
      </w:r>
      <w:r>
        <w:rPr>
          <w:rFonts w:hint="eastAsia" w:ascii="黑体" w:hAnsi="黑体" w:eastAsia="黑体" w:cs="黑体"/>
          <w:bCs/>
          <w:color w:val="auto"/>
          <w:kern w:val="0"/>
          <w:sz w:val="30"/>
          <w:szCs w:val="30"/>
          <w:highlight w:val="none"/>
        </w:rPr>
        <w:t>工程量清单</w:t>
      </w:r>
    </w:p>
    <w:p w14:paraId="3652981D">
      <w:pPr>
        <w:widowControl/>
        <w:adjustRightInd w:val="0"/>
        <w:spacing w:line="360" w:lineRule="auto"/>
        <w:ind w:firstLine="480" w:firstLineChars="200"/>
        <w:jc w:val="center"/>
        <w:rPr>
          <w:rFonts w:hint="eastAsia" w:ascii="仿宋" w:hAnsi="仿宋" w:eastAsia="仿宋" w:cs="仿宋"/>
          <w:bCs/>
          <w:color w:val="auto"/>
          <w:kern w:val="0"/>
          <w:sz w:val="24"/>
          <w:szCs w:val="24"/>
          <w:highlight w:val="none"/>
          <w:lang w:val="zh-CN"/>
        </w:rPr>
      </w:pPr>
    </w:p>
    <w:p w14:paraId="47335E71">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 xml:space="preserve">本项目按工程量清单计价模式进行计价。供应商按照采购文件附件《工程量清单》要求报价。                             </w:t>
      </w:r>
    </w:p>
    <w:p w14:paraId="00EDC584">
      <w:pPr>
        <w:widowControl/>
        <w:adjustRightInd w:val="0"/>
        <w:spacing w:line="360" w:lineRule="auto"/>
        <w:jc w:val="left"/>
        <w:rPr>
          <w:rFonts w:hint="eastAsia" w:ascii="仿宋" w:hAnsi="仿宋" w:eastAsia="仿宋" w:cs="仿宋"/>
          <w:bCs/>
          <w:color w:val="auto"/>
          <w:kern w:val="0"/>
          <w:sz w:val="30"/>
          <w:szCs w:val="30"/>
          <w:highlight w:val="none"/>
          <w:lang w:val="zh-CN"/>
        </w:rPr>
      </w:pPr>
    </w:p>
    <w:p w14:paraId="4A339F5F">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说明：</w:t>
      </w:r>
      <w:r>
        <w:rPr>
          <w:rFonts w:hint="eastAsia" w:ascii="仿宋" w:hAnsi="仿宋" w:eastAsia="仿宋" w:cs="仿宋"/>
          <w:bCs/>
          <w:color w:val="auto"/>
          <w:sz w:val="30"/>
          <w:szCs w:val="30"/>
          <w:highlight w:val="none"/>
          <w:lang w:val="zh-CN"/>
        </w:rPr>
        <w:t>经磋商后，如果成交价高于或低于供应商在响应文件首次报价的，除暂列金、暂估价以外</w:t>
      </w:r>
      <w:r>
        <w:rPr>
          <w:rFonts w:hint="eastAsia" w:ascii="仿宋" w:hAnsi="仿宋" w:eastAsia="仿宋" w:cs="仿宋"/>
          <w:bCs/>
          <w:color w:val="auto"/>
          <w:sz w:val="30"/>
          <w:szCs w:val="30"/>
          <w:highlight w:val="none"/>
        </w:rPr>
        <w:t>的</w:t>
      </w:r>
      <w:r>
        <w:rPr>
          <w:rFonts w:hint="eastAsia" w:ascii="仿宋" w:hAnsi="仿宋" w:eastAsia="仿宋" w:cs="仿宋"/>
          <w:bCs/>
          <w:color w:val="auto"/>
          <w:sz w:val="30"/>
          <w:szCs w:val="30"/>
          <w:highlight w:val="none"/>
          <w:lang w:val="zh-CN"/>
        </w:rPr>
        <w:t>分项报价同比例调整。</w:t>
      </w:r>
    </w:p>
    <w:p w14:paraId="4BD9EAA2">
      <w:pPr>
        <w:widowControl/>
        <w:snapToGrid w:val="0"/>
        <w:spacing w:line="240" w:lineRule="atLeast"/>
        <w:jc w:val="left"/>
        <w:rPr>
          <w:rFonts w:hint="eastAsia" w:ascii="方正仿宋_GBK" w:hAnsi="方正仿宋_GBK" w:eastAsia="方正仿宋_GBK" w:cs="方正仿宋_GBK"/>
          <w:bCs/>
          <w:color w:val="auto"/>
          <w:kern w:val="0"/>
          <w:sz w:val="30"/>
          <w:szCs w:val="30"/>
          <w:highlight w:val="none"/>
          <w:lang w:val="zh-CN"/>
        </w:rPr>
      </w:pPr>
    </w:p>
    <w:p w14:paraId="6DDCB6E7">
      <w:pPr>
        <w:widowControl/>
        <w:adjustRightInd w:val="0"/>
        <w:spacing w:line="240" w:lineRule="atLeast"/>
        <w:jc w:val="left"/>
        <w:rPr>
          <w:rFonts w:hint="eastAsia" w:ascii="方正仿宋_GBK" w:hAnsi="方正仿宋_GBK" w:eastAsia="方正仿宋_GBK" w:cs="方正仿宋_GBK"/>
          <w:bCs/>
          <w:color w:val="auto"/>
          <w:kern w:val="0"/>
          <w:sz w:val="30"/>
          <w:szCs w:val="30"/>
          <w:highlight w:val="none"/>
          <w:lang w:val="zh-CN"/>
        </w:rPr>
        <w:sectPr>
          <w:pgSz w:w="11910" w:h="16840"/>
          <w:pgMar w:top="2098" w:right="1531" w:bottom="1701" w:left="1531" w:header="0" w:footer="990" w:gutter="0"/>
          <w:pgNumType w:fmt="decimal"/>
          <w:cols w:space="720" w:num="1"/>
        </w:sectPr>
      </w:pPr>
    </w:p>
    <w:p w14:paraId="0B9329E8">
      <w:pPr>
        <w:widowControl/>
        <w:adjustRightInd w:val="0"/>
        <w:spacing w:line="240" w:lineRule="atLeast"/>
        <w:jc w:val="left"/>
        <w:rPr>
          <w:rFonts w:hint="eastAsia" w:ascii="黑体" w:hAnsi="黑体" w:eastAsia="黑体" w:cs="黑体"/>
          <w:bCs/>
          <w:color w:val="auto"/>
          <w:kern w:val="0"/>
          <w:sz w:val="30"/>
          <w:szCs w:val="30"/>
          <w:highlight w:val="none"/>
          <w:lang w:val="zh-CN" w:bidi="zh-CN"/>
        </w:rPr>
      </w:pPr>
      <w:r>
        <w:rPr>
          <w:rFonts w:hint="eastAsia" w:ascii="黑体" w:hAnsi="黑体" w:eastAsia="黑体" w:cs="黑体"/>
          <w:bCs/>
          <w:color w:val="auto"/>
          <w:kern w:val="0"/>
          <w:sz w:val="30"/>
          <w:szCs w:val="30"/>
          <w:highlight w:val="none"/>
          <w:lang w:val="zh-CN"/>
        </w:rPr>
        <w:t>目录六：供应商类似业绩情况表</w:t>
      </w:r>
    </w:p>
    <w:p w14:paraId="64E74BA9">
      <w:pPr>
        <w:spacing w:line="360" w:lineRule="auto"/>
        <w:jc w:val="center"/>
        <w:rPr>
          <w:rFonts w:hint="eastAsia" w:ascii="黑体" w:hAnsi="黑体" w:eastAsia="黑体" w:cs="黑体"/>
          <w:color w:val="auto"/>
          <w:sz w:val="36"/>
          <w:szCs w:val="36"/>
          <w:highlight w:val="none"/>
          <w:lang w:val="zh-CN"/>
        </w:rPr>
      </w:pPr>
    </w:p>
    <w:p w14:paraId="5BE5B166">
      <w:pPr>
        <w:spacing w:line="360" w:lineRule="auto"/>
        <w:jc w:val="center"/>
        <w:rPr>
          <w:rFonts w:hint="eastAsia" w:ascii="黑体" w:hAnsi="黑体" w:eastAsia="黑体" w:cs="黑体"/>
          <w:color w:val="auto"/>
          <w:kern w:val="0"/>
          <w:sz w:val="36"/>
          <w:szCs w:val="36"/>
          <w:highlight w:val="none"/>
          <w:lang w:val="zh-CN"/>
        </w:rPr>
      </w:pPr>
      <w:r>
        <w:rPr>
          <w:rFonts w:hint="eastAsia" w:ascii="黑体" w:hAnsi="黑体" w:eastAsia="黑体" w:cs="黑体"/>
          <w:color w:val="auto"/>
          <w:sz w:val="36"/>
          <w:szCs w:val="36"/>
          <w:highlight w:val="none"/>
          <w:lang w:val="zh-CN"/>
        </w:rPr>
        <w:t>供应商类似业绩情况表</w:t>
      </w:r>
    </w:p>
    <w:tbl>
      <w:tblPr>
        <w:tblStyle w:val="69"/>
        <w:tblW w:w="9163" w:type="dxa"/>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223AE3DD">
        <w:tblPrEx>
          <w:tblCellMar>
            <w:top w:w="0" w:type="dxa"/>
            <w:left w:w="0" w:type="dxa"/>
            <w:bottom w:w="0" w:type="dxa"/>
            <w:right w:w="0" w:type="dxa"/>
          </w:tblCellMar>
        </w:tblPrEx>
        <w:trPr>
          <w:trHeight w:val="284" w:hRule="atLeast"/>
          <w:jc w:val="center"/>
        </w:trPr>
        <w:tc>
          <w:tcPr>
            <w:tcW w:w="6075" w:type="dxa"/>
            <w:gridSpan w:val="5"/>
            <w:tcBorders>
              <w:top w:val="nil"/>
              <w:left w:val="nil"/>
              <w:bottom w:val="single" w:color="auto" w:sz="6" w:space="0"/>
              <w:right w:val="nil"/>
            </w:tcBorders>
            <w:vAlign w:val="center"/>
          </w:tcPr>
          <w:p w14:paraId="2D472DA4">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3088" w:type="dxa"/>
            <w:gridSpan w:val="3"/>
            <w:tcBorders>
              <w:top w:val="nil"/>
              <w:left w:val="nil"/>
              <w:bottom w:val="single" w:color="auto" w:sz="6" w:space="0"/>
              <w:right w:val="nil"/>
            </w:tcBorders>
            <w:vAlign w:val="center"/>
          </w:tcPr>
          <w:p w14:paraId="252CDF93">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6FAF6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38A9AAB5">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序号</w:t>
            </w:r>
          </w:p>
        </w:tc>
        <w:tc>
          <w:tcPr>
            <w:tcW w:w="1467" w:type="dxa"/>
            <w:vAlign w:val="center"/>
          </w:tcPr>
          <w:p w14:paraId="4D6BDC4B">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项目名称</w:t>
            </w:r>
          </w:p>
        </w:tc>
        <w:tc>
          <w:tcPr>
            <w:tcW w:w="1350" w:type="dxa"/>
            <w:vAlign w:val="center"/>
          </w:tcPr>
          <w:p w14:paraId="6406761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业主单位</w:t>
            </w:r>
          </w:p>
        </w:tc>
        <w:tc>
          <w:tcPr>
            <w:tcW w:w="1700" w:type="dxa"/>
            <w:vAlign w:val="center"/>
          </w:tcPr>
          <w:p w14:paraId="3562B924">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业主联系方式</w:t>
            </w:r>
          </w:p>
        </w:tc>
        <w:tc>
          <w:tcPr>
            <w:tcW w:w="1534" w:type="dxa"/>
            <w:gridSpan w:val="2"/>
            <w:vAlign w:val="center"/>
          </w:tcPr>
          <w:p w14:paraId="5926C499">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工作主要内容</w:t>
            </w:r>
          </w:p>
        </w:tc>
        <w:tc>
          <w:tcPr>
            <w:tcW w:w="1027" w:type="dxa"/>
            <w:vAlign w:val="center"/>
          </w:tcPr>
          <w:p w14:paraId="5E857E69">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合同金额</w:t>
            </w:r>
          </w:p>
        </w:tc>
        <w:tc>
          <w:tcPr>
            <w:tcW w:w="1024" w:type="dxa"/>
            <w:vAlign w:val="center"/>
          </w:tcPr>
          <w:p w14:paraId="28DC5191">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备注</w:t>
            </w:r>
          </w:p>
        </w:tc>
      </w:tr>
      <w:tr w14:paraId="4D1B7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0F184CDA">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3807BDF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7F1AE66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61CB8DE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3F27C6A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2C5C797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784FDA6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14662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7990349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7212796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43A417A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3CE5296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7E37490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133353D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25A73C2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4515B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3AC810B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44928B7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0A5493B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4718AFC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134466A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E61E6F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25B5ACD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3022C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6CAC2AF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3B9AA01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20C0313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6D3F5C7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97869A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0B7787F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5B2B423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50D4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249E508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006BC94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2EB5986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4298B39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4441207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4D44A38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411D8DF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bl>
    <w:p w14:paraId="753E7FF5">
      <w:pPr>
        <w:widowControl/>
        <w:snapToGrid w:val="0"/>
        <w:spacing w:line="360" w:lineRule="auto"/>
        <w:jc w:val="left"/>
        <w:rPr>
          <w:rFonts w:hint="eastAsia" w:ascii="宋体" w:hAnsi="宋体" w:cs="宋体"/>
          <w:bCs/>
          <w:color w:val="auto"/>
          <w:kern w:val="0"/>
          <w:sz w:val="24"/>
          <w:szCs w:val="24"/>
          <w:highlight w:val="none"/>
          <w:lang w:val="zh-CN"/>
        </w:rPr>
      </w:pPr>
    </w:p>
    <w:p w14:paraId="10988D08">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供应商</w:t>
      </w:r>
      <w:r>
        <w:rPr>
          <w:rFonts w:hint="eastAsia" w:ascii="仿宋" w:hAnsi="仿宋" w:eastAsia="仿宋" w:cs="仿宋"/>
          <w:color w:val="auto"/>
          <w:sz w:val="30"/>
          <w:szCs w:val="30"/>
          <w:lang w:val="zh-CN"/>
        </w:rPr>
        <w:t>（加盖CA电子公章）</w:t>
      </w:r>
      <w:r>
        <w:rPr>
          <w:rFonts w:hint="eastAsia" w:ascii="仿宋" w:hAnsi="仿宋" w:eastAsia="仿宋" w:cs="仿宋"/>
          <w:bCs/>
          <w:color w:val="auto"/>
          <w:kern w:val="0"/>
          <w:sz w:val="30"/>
          <w:szCs w:val="30"/>
          <w:highlight w:val="none"/>
          <w:lang w:val="zh-CN"/>
        </w:rPr>
        <w:t xml:space="preserve">: </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p>
    <w:p w14:paraId="642CFB63">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法定代表人或其授权代表（签字）：</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r>
        <w:rPr>
          <w:rFonts w:hint="eastAsia" w:ascii="仿宋" w:hAnsi="仿宋" w:eastAsia="仿宋" w:cs="仿宋"/>
          <w:bCs/>
          <w:color w:val="auto"/>
          <w:kern w:val="0"/>
          <w:sz w:val="30"/>
          <w:szCs w:val="30"/>
          <w:highlight w:val="none"/>
          <w:u w:val="single"/>
          <w:lang w:val="zh-CN"/>
        </w:rPr>
        <w:t xml:space="preserve">    </w:t>
      </w:r>
    </w:p>
    <w:p w14:paraId="7573C899">
      <w:pPr>
        <w:widowControl/>
        <w:snapToGrid w:val="0"/>
        <w:spacing w:line="360" w:lineRule="auto"/>
        <w:ind w:firstLine="600" w:firstLineChars="200"/>
        <w:jc w:val="left"/>
        <w:rPr>
          <w:rFonts w:hint="eastAsia" w:ascii="仿宋" w:hAnsi="仿宋" w:eastAsia="仿宋" w:cs="仿宋"/>
          <w:bCs/>
          <w:color w:val="auto"/>
          <w:kern w:val="0"/>
          <w:sz w:val="30"/>
          <w:szCs w:val="30"/>
          <w:highlight w:val="none"/>
          <w:lang w:val="zh-CN"/>
        </w:rPr>
        <w:sectPr>
          <w:pgSz w:w="11910" w:h="16840"/>
          <w:pgMar w:top="2098" w:right="1531" w:bottom="1701" w:left="1531" w:header="0" w:footer="990" w:gutter="0"/>
          <w:pgNumType w:fmt="decimal"/>
          <w:cols w:space="720" w:num="1"/>
        </w:sectPr>
      </w:pPr>
      <w:r>
        <w:rPr>
          <w:rFonts w:hint="eastAsia" w:ascii="仿宋" w:hAnsi="仿宋" w:eastAsia="仿宋" w:cs="仿宋"/>
          <w:bCs/>
          <w:color w:val="auto"/>
          <w:kern w:val="0"/>
          <w:sz w:val="30"/>
          <w:szCs w:val="30"/>
          <w:highlight w:val="none"/>
          <w:lang w:val="zh-CN"/>
        </w:rPr>
        <w:t xml:space="preserve"> </w:t>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日</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期：</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5DA27268">
      <w:pPr>
        <w:widowControl/>
        <w:snapToGri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目录七：技术条款偏离表格式</w:t>
      </w:r>
    </w:p>
    <w:p w14:paraId="686EBE59">
      <w:pPr>
        <w:spacing w:line="360" w:lineRule="auto"/>
        <w:jc w:val="center"/>
        <w:rPr>
          <w:rFonts w:hint="eastAsia" w:ascii="宋体" w:hAnsi="宋体" w:cs="宋体"/>
          <w:b/>
          <w:bCs/>
          <w:color w:val="auto"/>
          <w:sz w:val="28"/>
          <w:szCs w:val="28"/>
          <w:highlight w:val="none"/>
          <w:lang w:val="zh-CN"/>
        </w:rPr>
      </w:pPr>
      <w:bookmarkStart w:id="58" w:name="_Toc508699426"/>
    </w:p>
    <w:p w14:paraId="04D44BBB">
      <w:pPr>
        <w:spacing w:line="360" w:lineRule="auto"/>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技术</w:t>
      </w:r>
      <w:r>
        <w:rPr>
          <w:rFonts w:hint="eastAsia" w:ascii="黑体" w:hAnsi="黑体" w:eastAsia="黑体" w:cs="黑体"/>
          <w:color w:val="auto"/>
          <w:sz w:val="36"/>
          <w:szCs w:val="36"/>
          <w:highlight w:val="none"/>
        </w:rPr>
        <w:t>参数</w:t>
      </w:r>
      <w:r>
        <w:rPr>
          <w:rFonts w:hint="eastAsia" w:ascii="黑体" w:hAnsi="黑体" w:eastAsia="黑体" w:cs="黑体"/>
          <w:color w:val="auto"/>
          <w:sz w:val="36"/>
          <w:szCs w:val="36"/>
          <w:highlight w:val="none"/>
          <w:lang w:val="zh-CN"/>
        </w:rPr>
        <w:t>偏离表</w:t>
      </w:r>
      <w:bookmarkEnd w:id="58"/>
    </w:p>
    <w:tbl>
      <w:tblPr>
        <w:tblStyle w:val="69"/>
        <w:tblW w:w="9435" w:type="dxa"/>
        <w:jc w:val="center"/>
        <w:tblLayout w:type="fixed"/>
        <w:tblCellMar>
          <w:top w:w="0" w:type="dxa"/>
          <w:left w:w="0" w:type="dxa"/>
          <w:bottom w:w="0" w:type="dxa"/>
          <w:right w:w="0" w:type="dxa"/>
        </w:tblCellMar>
      </w:tblPr>
      <w:tblGrid>
        <w:gridCol w:w="765"/>
        <w:gridCol w:w="1874"/>
        <w:gridCol w:w="2199"/>
        <w:gridCol w:w="1658"/>
        <w:gridCol w:w="1829"/>
        <w:gridCol w:w="1110"/>
      </w:tblGrid>
      <w:tr w14:paraId="7178FA9B">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7AB1C371">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939" w:type="dxa"/>
            <w:gridSpan w:val="2"/>
            <w:tcBorders>
              <w:top w:val="nil"/>
              <w:left w:val="nil"/>
              <w:bottom w:val="single" w:color="auto" w:sz="6" w:space="0"/>
              <w:right w:val="nil"/>
            </w:tcBorders>
            <w:vAlign w:val="center"/>
          </w:tcPr>
          <w:p w14:paraId="4893BBF9">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1007D1E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4AD888F0">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5BDCDDE6">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4B3E8AD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3487" w:type="dxa"/>
            <w:gridSpan w:val="2"/>
            <w:tcBorders>
              <w:top w:val="single" w:color="auto" w:sz="6" w:space="0"/>
              <w:left w:val="single" w:color="auto" w:sz="6" w:space="0"/>
              <w:bottom w:val="single" w:color="auto" w:sz="6" w:space="0"/>
              <w:right w:val="single" w:color="auto" w:sz="6" w:space="0"/>
            </w:tcBorders>
            <w:vAlign w:val="bottom"/>
          </w:tcPr>
          <w:p w14:paraId="7AB050A3">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110" w:type="dxa"/>
            <w:tcBorders>
              <w:top w:val="single" w:color="auto" w:sz="6" w:space="0"/>
              <w:left w:val="single" w:color="auto" w:sz="6" w:space="0"/>
              <w:bottom w:val="single" w:color="auto" w:sz="6" w:space="0"/>
              <w:right w:val="single" w:color="auto" w:sz="6" w:space="0"/>
            </w:tcBorders>
            <w:vAlign w:val="bottom"/>
          </w:tcPr>
          <w:p w14:paraId="20AC5FF6">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52DAF8F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262956E">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4A59C67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5E09EA5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748C358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E7E59D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56277B3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80D11B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09E5CF9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AB236C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7C68894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FA8017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63038695">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5D027E0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6A895B9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5F78B33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B8DCEB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0554790">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50435E7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0F95D0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9CF07F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56FD582E">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0933329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3D627FB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250C7758">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DC492D1">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0B0B07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1FF68DD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41C54CD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4377027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76495D17">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F4A8C3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719BB39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AF8658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3F6B147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098F88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bl>
    <w:p w14:paraId="7EE34135">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p>
    <w:p w14:paraId="4D1E0E84">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sz w:val="30"/>
          <w:szCs w:val="30"/>
          <w:lang w:val="zh-CN"/>
        </w:rPr>
        <w:t>（加盖CA电子公章）</w:t>
      </w:r>
    </w:p>
    <w:p w14:paraId="41996470">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1FC71281">
      <w:pPr>
        <w:pStyle w:val="33"/>
        <w:ind w:left="0" w:firstLine="0"/>
        <w:rPr>
          <w:rFonts w:hint="eastAsia" w:ascii="方正黑体_GBK" w:hAnsi="方正黑体_GBK" w:eastAsia="方正黑体_GBK" w:cs="方正黑体_GBK"/>
          <w:bCs/>
          <w:color w:val="auto"/>
          <w:kern w:val="0"/>
          <w:sz w:val="30"/>
          <w:szCs w:val="30"/>
          <w:highlight w:val="none"/>
          <w:lang w:val="zh-CN"/>
        </w:rPr>
      </w:pPr>
      <w:r>
        <w:rPr>
          <w:rFonts w:hint="eastAsia"/>
          <w:color w:val="auto"/>
          <w:highlight w:val="none"/>
          <w:lang w:val="zh-CN"/>
        </w:rPr>
        <w:br w:type="page"/>
      </w:r>
      <w:r>
        <w:rPr>
          <w:rFonts w:hint="eastAsia" w:ascii="黑体" w:hAnsi="黑体" w:eastAsia="黑体" w:cs="黑体"/>
          <w:bCs/>
          <w:color w:val="auto"/>
          <w:kern w:val="0"/>
          <w:sz w:val="30"/>
          <w:szCs w:val="30"/>
          <w:highlight w:val="none"/>
          <w:lang w:val="zh-CN"/>
        </w:rPr>
        <w:t>目录八：商务条款偏离表格式</w:t>
      </w:r>
    </w:p>
    <w:p w14:paraId="44FCD3E9">
      <w:pPr>
        <w:spacing w:line="360" w:lineRule="auto"/>
        <w:jc w:val="center"/>
        <w:rPr>
          <w:rFonts w:hint="eastAsia" w:ascii="方正小标宋_GBK" w:hAnsi="方正小标宋_GBK" w:eastAsia="方正小标宋_GBK" w:cs="方正小标宋_GBK"/>
          <w:b/>
          <w:bCs/>
          <w:color w:val="auto"/>
          <w:sz w:val="36"/>
          <w:szCs w:val="36"/>
          <w:highlight w:val="none"/>
          <w:lang w:val="zh-CN"/>
        </w:rPr>
      </w:pPr>
      <w:bookmarkStart w:id="59" w:name="_Toc508699427"/>
    </w:p>
    <w:p w14:paraId="2481DFCB">
      <w:pPr>
        <w:spacing w:line="360" w:lineRule="auto"/>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商务条款偏离表</w:t>
      </w:r>
      <w:bookmarkEnd w:id="59"/>
    </w:p>
    <w:p w14:paraId="170C3372">
      <w:pPr>
        <w:pStyle w:val="33"/>
        <w:rPr>
          <w:color w:val="auto"/>
          <w:highlight w:val="none"/>
          <w:lang w:val="zh-CN"/>
        </w:rPr>
      </w:pPr>
    </w:p>
    <w:tbl>
      <w:tblPr>
        <w:tblStyle w:val="6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1458"/>
        <w:gridCol w:w="1372"/>
      </w:tblGrid>
      <w:tr w14:paraId="1102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325062C6">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830" w:type="dxa"/>
            <w:gridSpan w:val="2"/>
            <w:tcBorders>
              <w:top w:val="nil"/>
              <w:left w:val="nil"/>
              <w:right w:val="nil"/>
            </w:tcBorders>
            <w:vAlign w:val="center"/>
          </w:tcPr>
          <w:p w14:paraId="7FFCDB49">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2FF4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9E7CE7D">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2138" w:type="dxa"/>
            <w:vAlign w:val="center"/>
          </w:tcPr>
          <w:p w14:paraId="5BE97C56">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82" w:type="dxa"/>
            <w:vAlign w:val="center"/>
          </w:tcPr>
          <w:p w14:paraId="614DE780">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2873" w:type="dxa"/>
            <w:gridSpan w:val="2"/>
            <w:vAlign w:val="center"/>
          </w:tcPr>
          <w:p w14:paraId="1DE4D9C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372" w:type="dxa"/>
            <w:vAlign w:val="center"/>
          </w:tcPr>
          <w:p w14:paraId="1A5B6D1B">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2936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46EAB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470DA4B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0FBF63B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3D82B1D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22ECDC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3DA6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AF429E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205FB88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48AFC93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27754E5A">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57AB04DA">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468A3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F01853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7F0D95F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1D40DAAE">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084313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7CF8850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A6C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6208A9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0AE4E9DB">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6721556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22697B0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348FECBA">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580F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3F00FF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092B878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5C8E61E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3E637F8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4B5750E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E94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E6BD2E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3AB04EE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42DF402B">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783F7EC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5B6541C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28009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5D6FBE22">
            <w:pPr>
              <w:widowControl/>
              <w:spacing w:line="360" w:lineRule="auto"/>
              <w:jc w:val="left"/>
              <w:rPr>
                <w:rFonts w:hint="eastAsia" w:ascii="华文仿宋" w:hAnsi="华文仿宋" w:eastAsia="华文仿宋" w:cs="华文仿宋"/>
                <w:color w:val="auto"/>
                <w:kern w:val="0"/>
                <w:sz w:val="24"/>
                <w:szCs w:val="24"/>
                <w:highlight w:val="none"/>
              </w:rPr>
            </w:pPr>
          </w:p>
        </w:tc>
        <w:tc>
          <w:tcPr>
            <w:tcW w:w="2138" w:type="dxa"/>
            <w:vAlign w:val="center"/>
          </w:tcPr>
          <w:p w14:paraId="3D378C9D">
            <w:pPr>
              <w:widowControl/>
              <w:spacing w:line="360" w:lineRule="auto"/>
              <w:jc w:val="left"/>
              <w:rPr>
                <w:rFonts w:hint="eastAsia" w:ascii="华文仿宋" w:hAnsi="华文仿宋" w:eastAsia="华文仿宋" w:cs="华文仿宋"/>
                <w:color w:val="auto"/>
                <w:kern w:val="0"/>
                <w:sz w:val="24"/>
                <w:szCs w:val="24"/>
                <w:highlight w:val="none"/>
              </w:rPr>
            </w:pPr>
          </w:p>
        </w:tc>
        <w:tc>
          <w:tcPr>
            <w:tcW w:w="2182" w:type="dxa"/>
            <w:vAlign w:val="center"/>
          </w:tcPr>
          <w:p w14:paraId="3EC607BE">
            <w:pPr>
              <w:widowControl/>
              <w:spacing w:line="360" w:lineRule="auto"/>
              <w:jc w:val="left"/>
              <w:rPr>
                <w:rFonts w:hint="eastAsia" w:ascii="华文仿宋" w:hAnsi="华文仿宋" w:eastAsia="华文仿宋" w:cs="华文仿宋"/>
                <w:color w:val="auto"/>
                <w:kern w:val="0"/>
                <w:sz w:val="24"/>
                <w:szCs w:val="24"/>
                <w:highlight w:val="none"/>
              </w:rPr>
            </w:pPr>
          </w:p>
        </w:tc>
        <w:tc>
          <w:tcPr>
            <w:tcW w:w="2873" w:type="dxa"/>
            <w:gridSpan w:val="2"/>
            <w:vAlign w:val="center"/>
          </w:tcPr>
          <w:p w14:paraId="6E7D3A1F">
            <w:pPr>
              <w:widowControl/>
              <w:spacing w:line="360" w:lineRule="auto"/>
              <w:jc w:val="left"/>
              <w:rPr>
                <w:rFonts w:hint="eastAsia" w:ascii="华文仿宋" w:hAnsi="华文仿宋" w:eastAsia="华文仿宋" w:cs="华文仿宋"/>
                <w:color w:val="auto"/>
                <w:kern w:val="0"/>
                <w:sz w:val="24"/>
                <w:szCs w:val="24"/>
                <w:highlight w:val="none"/>
              </w:rPr>
            </w:pPr>
          </w:p>
        </w:tc>
        <w:tc>
          <w:tcPr>
            <w:tcW w:w="1372" w:type="dxa"/>
            <w:vAlign w:val="center"/>
          </w:tcPr>
          <w:p w14:paraId="63EC9B7D">
            <w:pPr>
              <w:widowControl/>
              <w:spacing w:line="360" w:lineRule="auto"/>
              <w:jc w:val="left"/>
              <w:rPr>
                <w:rFonts w:hint="eastAsia" w:ascii="华文仿宋" w:hAnsi="华文仿宋" w:eastAsia="华文仿宋" w:cs="华文仿宋"/>
                <w:color w:val="auto"/>
                <w:kern w:val="0"/>
                <w:sz w:val="24"/>
                <w:szCs w:val="24"/>
                <w:highlight w:val="none"/>
              </w:rPr>
            </w:pPr>
          </w:p>
        </w:tc>
      </w:tr>
    </w:tbl>
    <w:p w14:paraId="5DF3508F">
      <w:pPr>
        <w:widowControl/>
        <w:adjustRightInd w:val="0"/>
        <w:spacing w:line="360" w:lineRule="auto"/>
        <w:jc w:val="left"/>
        <w:rPr>
          <w:rFonts w:hint="eastAsia" w:ascii="仿宋" w:hAnsi="仿宋" w:eastAsia="仿宋" w:cs="仿宋"/>
          <w:color w:val="auto"/>
          <w:kern w:val="0"/>
          <w:sz w:val="30"/>
          <w:szCs w:val="30"/>
          <w:highlight w:val="none"/>
          <w:lang w:val="zh-CN"/>
        </w:rPr>
      </w:pPr>
    </w:p>
    <w:p w14:paraId="41BC243F">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sz w:val="30"/>
          <w:szCs w:val="30"/>
          <w:lang w:val="zh-CN"/>
        </w:rPr>
        <w:t>（加盖CA电子公章）</w:t>
      </w:r>
    </w:p>
    <w:p w14:paraId="5E6D3C7E">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6041CD12">
      <w:pPr>
        <w:widowControl/>
        <w:adjustRightInd w:val="0"/>
        <w:spacing w:line="360" w:lineRule="auto"/>
        <w:jc w:val="left"/>
        <w:rPr>
          <w:rFonts w:hint="eastAsia" w:ascii="宋体" w:hAnsi="宋体" w:cs="宋体"/>
          <w:b/>
          <w:color w:val="auto"/>
          <w:sz w:val="24"/>
          <w:szCs w:val="24"/>
          <w:highlight w:val="none"/>
        </w:rPr>
      </w:pPr>
      <w:r>
        <w:rPr>
          <w:rFonts w:hint="eastAsia" w:ascii="宋体" w:hAnsi="宋体" w:cs="宋体"/>
          <w:color w:val="auto"/>
          <w:kern w:val="0"/>
          <w:sz w:val="24"/>
          <w:szCs w:val="24"/>
          <w:highlight w:val="none"/>
          <w:lang w:val="zh-CN"/>
        </w:rPr>
        <w:br w:type="page"/>
      </w:r>
    </w:p>
    <w:p w14:paraId="18E18814">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目录九：项目技术方案或服务说明</w:t>
      </w:r>
    </w:p>
    <w:p w14:paraId="10B0EAE5">
      <w:pPr>
        <w:spacing w:line="240" w:lineRule="atLeast"/>
        <w:rPr>
          <w:rFonts w:hint="eastAsia" w:ascii="方正小标宋_GBK" w:hAnsi="方正小标宋_GBK" w:eastAsia="方正小标宋_GBK" w:cs="方正小标宋_GBK"/>
          <w:bCs/>
          <w:color w:val="auto"/>
          <w:sz w:val="36"/>
          <w:szCs w:val="36"/>
          <w:highlight w:val="none"/>
        </w:rPr>
      </w:pPr>
    </w:p>
    <w:p w14:paraId="54169D63">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项目技术方案或服务说明</w:t>
      </w:r>
    </w:p>
    <w:p w14:paraId="04A964DA">
      <w:pPr>
        <w:spacing w:line="240" w:lineRule="atLeast"/>
        <w:rPr>
          <w:rFonts w:hint="eastAsia" w:ascii="宋体" w:hAnsi="宋体" w:cs="宋体"/>
          <w:b/>
          <w:color w:val="auto"/>
          <w:sz w:val="24"/>
          <w:szCs w:val="24"/>
          <w:highlight w:val="none"/>
        </w:rPr>
      </w:pPr>
    </w:p>
    <w:p w14:paraId="2941C293">
      <w:pPr>
        <w:spacing w:line="240" w:lineRule="atLeast"/>
        <w:rPr>
          <w:rFonts w:hint="eastAsia" w:ascii="黑体" w:hAnsi="黑体" w:eastAsia="黑体" w:cs="黑体"/>
          <w:b/>
          <w:color w:val="auto"/>
          <w:sz w:val="24"/>
          <w:szCs w:val="24"/>
          <w:highlight w:val="none"/>
        </w:rPr>
      </w:pPr>
    </w:p>
    <w:p w14:paraId="1828F784">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目录十：服务与承诺</w:t>
      </w:r>
    </w:p>
    <w:p w14:paraId="3A6594A2">
      <w:pPr>
        <w:spacing w:line="240" w:lineRule="atLeast"/>
        <w:rPr>
          <w:rFonts w:hint="eastAsia" w:ascii="宋体" w:hAnsi="宋体" w:cs="宋体"/>
          <w:b/>
          <w:color w:val="auto"/>
          <w:highlight w:val="none"/>
        </w:rPr>
      </w:pPr>
    </w:p>
    <w:p w14:paraId="53F20C0E">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服务与承诺</w:t>
      </w:r>
    </w:p>
    <w:p w14:paraId="4EF75F2F">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039DBC62">
      <w:pPr>
        <w:spacing w:line="240" w:lineRule="atLeast"/>
        <w:rPr>
          <w:rFonts w:hint="eastAsia" w:ascii="宋体" w:hAnsi="宋体" w:cs="宋体"/>
          <w:b/>
          <w:color w:val="auto"/>
          <w:sz w:val="24"/>
          <w:szCs w:val="24"/>
          <w:highlight w:val="none"/>
        </w:rPr>
      </w:pPr>
    </w:p>
    <w:p w14:paraId="39F4D322">
      <w:pPr>
        <w:spacing w:line="240" w:lineRule="atLeast"/>
        <w:rPr>
          <w:rFonts w:hint="eastAsia" w:ascii="宋体" w:hAnsi="宋体" w:cs="宋体"/>
          <w:b/>
          <w:color w:val="auto"/>
          <w:sz w:val="24"/>
          <w:szCs w:val="24"/>
          <w:highlight w:val="none"/>
        </w:rPr>
      </w:pPr>
    </w:p>
    <w:p w14:paraId="6787169F">
      <w:pPr>
        <w:spacing w:line="240" w:lineRule="atLeast"/>
        <w:rPr>
          <w:rFonts w:hint="eastAsia" w:ascii="宋体" w:hAnsi="宋体" w:cs="宋体"/>
          <w:b/>
          <w:color w:val="auto"/>
          <w:sz w:val="24"/>
          <w:szCs w:val="24"/>
          <w:highlight w:val="none"/>
        </w:rPr>
      </w:pPr>
    </w:p>
    <w:p w14:paraId="1B3DC941">
      <w:pPr>
        <w:spacing w:line="240" w:lineRule="atLeast"/>
        <w:rPr>
          <w:rFonts w:hint="eastAsia" w:ascii="宋体" w:hAnsi="宋体" w:cs="宋体"/>
          <w:b/>
          <w:color w:val="auto"/>
          <w:sz w:val="24"/>
          <w:szCs w:val="24"/>
          <w:highlight w:val="none"/>
        </w:rPr>
      </w:pPr>
    </w:p>
    <w:p w14:paraId="3C5E5FFF">
      <w:pPr>
        <w:spacing w:line="240" w:lineRule="atLeast"/>
        <w:rPr>
          <w:rFonts w:hint="eastAsia" w:ascii="宋体" w:hAnsi="宋体" w:cs="宋体"/>
          <w:b/>
          <w:color w:val="auto"/>
          <w:sz w:val="24"/>
          <w:szCs w:val="24"/>
          <w:highlight w:val="none"/>
        </w:rPr>
      </w:pPr>
    </w:p>
    <w:p w14:paraId="5A27DA0A">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目录十一：磋商需要的其他证明文件及材料</w:t>
      </w:r>
    </w:p>
    <w:p w14:paraId="5BA99E50">
      <w:pPr>
        <w:spacing w:line="240" w:lineRule="atLeast"/>
        <w:rPr>
          <w:rFonts w:hint="eastAsia" w:ascii="宋体" w:hAnsi="宋体" w:cs="宋体"/>
          <w:b/>
          <w:color w:val="auto"/>
          <w:highlight w:val="none"/>
        </w:rPr>
      </w:pPr>
    </w:p>
    <w:p w14:paraId="15FA4473">
      <w:pPr>
        <w:spacing w:line="240" w:lineRule="atLeast"/>
        <w:rPr>
          <w:rFonts w:hint="eastAsia" w:ascii="宋体" w:hAnsi="宋体" w:cs="宋体"/>
          <w:b/>
          <w:color w:val="auto"/>
          <w:highlight w:val="none"/>
        </w:rPr>
      </w:pPr>
    </w:p>
    <w:p w14:paraId="655CA104">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磋商需要的其他证明文件及材料（若有）</w:t>
      </w:r>
    </w:p>
    <w:p w14:paraId="05079EEF">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27E78A31">
      <w:pPr>
        <w:spacing w:line="240" w:lineRule="atLeast"/>
        <w:rPr>
          <w:rFonts w:hint="eastAsia" w:ascii="宋体" w:hAnsi="宋体" w:cs="宋体"/>
          <w:b/>
          <w:color w:val="auto"/>
          <w:sz w:val="24"/>
          <w:szCs w:val="24"/>
          <w:highlight w:val="none"/>
        </w:rPr>
      </w:pPr>
    </w:p>
    <w:p w14:paraId="6B0FD9E5">
      <w:pPr>
        <w:spacing w:line="240" w:lineRule="atLeast"/>
        <w:rPr>
          <w:rFonts w:hint="eastAsia" w:ascii="宋体" w:hAnsi="宋体" w:cs="宋体"/>
          <w:b/>
          <w:color w:val="auto"/>
          <w:sz w:val="24"/>
          <w:szCs w:val="24"/>
          <w:highlight w:val="none"/>
        </w:rPr>
      </w:pPr>
    </w:p>
    <w:p w14:paraId="2CD6CACB">
      <w:pPr>
        <w:spacing w:line="560" w:lineRule="exact"/>
        <w:rPr>
          <w:rFonts w:hint="eastAsia" w:ascii="方正黑体_GBK" w:hAnsi="方正黑体_GBK" w:eastAsia="方正黑体_GBK" w:cs="方正黑体_GBK"/>
          <w:color w:val="auto"/>
          <w:sz w:val="30"/>
          <w:szCs w:val="30"/>
          <w:highlight w:val="none"/>
        </w:rPr>
      </w:pPr>
    </w:p>
    <w:p w14:paraId="45D04902">
      <w:pPr>
        <w:spacing w:line="560" w:lineRule="exact"/>
        <w:rPr>
          <w:rFonts w:hint="eastAsia" w:ascii="方正黑体_GBK" w:hAnsi="方正黑体_GBK" w:eastAsia="方正黑体_GBK" w:cs="方正黑体_GBK"/>
          <w:color w:val="auto"/>
          <w:sz w:val="30"/>
          <w:szCs w:val="30"/>
          <w:highlight w:val="none"/>
        </w:rPr>
      </w:pPr>
    </w:p>
    <w:p w14:paraId="6EE0DB11">
      <w:pPr>
        <w:spacing w:line="560" w:lineRule="exact"/>
        <w:rPr>
          <w:rFonts w:hint="eastAsia" w:ascii="方正黑体_GBK" w:hAnsi="方正黑体_GBK" w:eastAsia="方正黑体_GBK" w:cs="方正黑体_GBK"/>
          <w:color w:val="auto"/>
          <w:sz w:val="30"/>
          <w:szCs w:val="30"/>
          <w:highlight w:val="none"/>
        </w:rPr>
      </w:pPr>
    </w:p>
    <w:p w14:paraId="06439986">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附件1</w:t>
      </w:r>
    </w:p>
    <w:p w14:paraId="236594DA">
      <w:pPr>
        <w:snapToGrid w:val="0"/>
        <w:spacing w:line="560" w:lineRule="exact"/>
        <w:ind w:firstLine="344" w:firstLineChars="98"/>
        <w:jc w:val="center"/>
        <w:rPr>
          <w:rFonts w:hint="eastAsia" w:ascii="黑体" w:hAnsi="黑体" w:eastAsia="黑体" w:cs="黑体"/>
          <w:color w:val="auto"/>
          <w:sz w:val="36"/>
          <w:szCs w:val="36"/>
          <w:highlight w:val="none"/>
          <w:lang w:val="zh-CN"/>
        </w:rPr>
      </w:pPr>
      <w:bookmarkStart w:id="60" w:name="bookmark32"/>
      <w:bookmarkStart w:id="61" w:name="bookmark33"/>
      <w:bookmarkStart w:id="62" w:name="bookmark34"/>
    </w:p>
    <w:p w14:paraId="6B489778">
      <w:pPr>
        <w:snapToGrid w:val="0"/>
        <w:spacing w:line="560" w:lineRule="exact"/>
        <w:ind w:firstLine="344"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中小企业声明函（工程、服务）</w:t>
      </w:r>
      <w:bookmarkEnd w:id="60"/>
      <w:bookmarkEnd w:id="61"/>
      <w:bookmarkEnd w:id="62"/>
    </w:p>
    <w:p w14:paraId="61116359">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本公司（联合体）郑重声明，根据《政府采购促进中小企业发展管理办法》（财库〔2020）46号）的规定，本公司（联合体）参加</w:t>
      </w:r>
      <w:r>
        <w:rPr>
          <w:rFonts w:hint="eastAsia" w:ascii="仿宋" w:hAnsi="仿宋" w:eastAsia="仿宋" w:cs="仿宋"/>
          <w:snapToGrid w:val="0"/>
          <w:color w:val="auto"/>
          <w:kern w:val="0"/>
          <w:sz w:val="30"/>
          <w:szCs w:val="30"/>
          <w:highlight w:val="none"/>
          <w:u w:val="single"/>
        </w:rPr>
        <w:t>（单位名称）</w:t>
      </w:r>
      <w:r>
        <w:rPr>
          <w:rFonts w:hint="eastAsia" w:ascii="仿宋" w:hAnsi="仿宋" w:eastAsia="仿宋" w:cs="仿宋"/>
          <w:snapToGrid w:val="0"/>
          <w:color w:val="auto"/>
          <w:kern w:val="0"/>
          <w:sz w:val="30"/>
          <w:szCs w:val="30"/>
          <w:highlight w:val="none"/>
        </w:rPr>
        <w:t>的</w:t>
      </w:r>
      <w:r>
        <w:rPr>
          <w:rFonts w:hint="eastAsia" w:ascii="仿宋" w:hAnsi="仿宋" w:eastAsia="仿宋" w:cs="仿宋"/>
          <w:snapToGrid w:val="0"/>
          <w:color w:val="auto"/>
          <w:kern w:val="0"/>
          <w:sz w:val="30"/>
          <w:szCs w:val="30"/>
          <w:highlight w:val="none"/>
          <w:u w:val="single"/>
        </w:rPr>
        <w:t>（项目名称）</w:t>
      </w:r>
      <w:r>
        <w:rPr>
          <w:rFonts w:hint="eastAsia" w:ascii="仿宋" w:hAnsi="仿宋" w:eastAsia="仿宋" w:cs="仿宋"/>
          <w:snapToGrid w:val="0"/>
          <w:color w:val="auto"/>
          <w:kern w:val="0"/>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2109188">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63" w:name="bookmark35"/>
      <w:bookmarkEnd w:id="63"/>
      <w:r>
        <w:rPr>
          <w:rFonts w:hint="eastAsia" w:ascii="仿宋" w:hAnsi="仿宋" w:eastAsia="仿宋" w:cs="仿宋"/>
          <w:snapToGrid w:val="0"/>
          <w:color w:val="auto"/>
          <w:kern w:val="0"/>
          <w:sz w:val="30"/>
          <w:szCs w:val="30"/>
          <w:highlight w:val="none"/>
        </w:rPr>
        <w:t>1、</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建筑业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（中型企业、小型企业、微型企业）</w:t>
      </w:r>
      <w:r>
        <w:rPr>
          <w:rFonts w:hint="eastAsia" w:ascii="仿宋" w:hAnsi="仿宋" w:eastAsia="仿宋" w:cs="仿宋"/>
          <w:snapToGrid w:val="0"/>
          <w:color w:val="auto"/>
          <w:kern w:val="0"/>
          <w:sz w:val="30"/>
          <w:szCs w:val="30"/>
          <w:highlight w:val="none"/>
        </w:rPr>
        <w:t>；</w:t>
      </w:r>
    </w:p>
    <w:p w14:paraId="009E01BE">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64" w:name="bookmark36"/>
      <w:bookmarkEnd w:id="64"/>
      <w:r>
        <w:rPr>
          <w:rFonts w:hint="eastAsia" w:ascii="仿宋" w:hAnsi="仿宋" w:eastAsia="仿宋" w:cs="仿宋"/>
          <w:snapToGrid w:val="0"/>
          <w:color w:val="auto"/>
          <w:kern w:val="0"/>
          <w:sz w:val="30"/>
          <w:szCs w:val="30"/>
          <w:highlight w:val="none"/>
        </w:rPr>
        <w:t>2、</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（采购文件中明确的所属行业）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w:t>
      </w:r>
      <w:r>
        <w:rPr>
          <w:rFonts w:hint="eastAsia" w:ascii="仿宋" w:hAnsi="仿宋" w:eastAsia="仿宋" w:cs="仿宋"/>
          <w:snapToGrid w:val="0"/>
          <w:color w:val="auto"/>
          <w:kern w:val="0"/>
          <w:sz w:val="30"/>
          <w:szCs w:val="30"/>
          <w:highlight w:val="none"/>
          <w:u w:val="single"/>
          <w:lang w:val="zh-CN"/>
        </w:rPr>
        <w:t>业）</w:t>
      </w:r>
      <w:r>
        <w:rPr>
          <w:rFonts w:hint="eastAsia" w:ascii="仿宋" w:hAnsi="仿宋" w:eastAsia="仿宋" w:cs="仿宋"/>
          <w:snapToGrid w:val="0"/>
          <w:color w:val="auto"/>
          <w:kern w:val="0"/>
          <w:sz w:val="30"/>
          <w:szCs w:val="30"/>
          <w:highlight w:val="none"/>
          <w:lang w:val="zh-CN"/>
        </w:rPr>
        <w:t>；</w:t>
      </w:r>
      <w:r>
        <w:rPr>
          <w:rFonts w:hint="eastAsia" w:ascii="仿宋" w:hAnsi="仿宋" w:eastAsia="仿宋" w:cs="仿宋"/>
          <w:snapToGrid w:val="0"/>
          <w:color w:val="auto"/>
          <w:kern w:val="0"/>
          <w:sz w:val="30"/>
          <w:szCs w:val="30"/>
          <w:highlight w:val="none"/>
        </w:rPr>
        <w:t>以上企业，不属于大企业的分支机构，不存在控股股东为大企业的情形，也不存在与大企业的负责人为同一人的情形。</w:t>
      </w:r>
    </w:p>
    <w:p w14:paraId="4418AC7B">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本企业对上述声明内容的真实性负责。如有虚假，将依法承担相应责任。</w:t>
      </w:r>
    </w:p>
    <w:p w14:paraId="084C3C06">
      <w:pPr>
        <w:widowControl/>
        <w:spacing w:line="560" w:lineRule="exact"/>
        <w:ind w:left="0" w:leftChars="0" w:firstLine="4819" w:firstLineChars="1656"/>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企业名称</w:t>
      </w:r>
      <w:r>
        <w:rPr>
          <w:rFonts w:hint="eastAsia" w:ascii="仿宋" w:hAnsi="仿宋" w:eastAsia="仿宋" w:cs="仿宋"/>
          <w:color w:val="auto"/>
          <w:sz w:val="30"/>
          <w:szCs w:val="30"/>
          <w:lang w:val="zh-CN"/>
        </w:rPr>
        <w:t>（加盖CA电子公章）</w:t>
      </w:r>
      <w:r>
        <w:rPr>
          <w:rFonts w:hint="eastAsia" w:ascii="仿宋" w:hAnsi="仿宋" w:eastAsia="仿宋" w:cs="仿宋"/>
          <w:snapToGrid w:val="0"/>
          <w:color w:val="auto"/>
          <w:kern w:val="0"/>
          <w:sz w:val="30"/>
          <w:szCs w:val="30"/>
          <w:highlight w:val="none"/>
        </w:rPr>
        <w:t xml:space="preserve">：           </w:t>
      </w:r>
    </w:p>
    <w:p w14:paraId="5C89A200">
      <w:pPr>
        <w:widowControl/>
        <w:spacing w:line="560" w:lineRule="exact"/>
        <w:ind w:left="0" w:leftChars="0" w:firstLine="4819" w:firstLineChars="1656"/>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5D5CF3C8">
      <w:pPr>
        <w:widowControl/>
        <w:spacing w:line="560" w:lineRule="exact"/>
        <w:ind w:firstLine="582" w:firstLineChars="200"/>
        <w:jc w:val="left"/>
        <w:rPr>
          <w:rFonts w:hint="eastAsia" w:ascii="仿宋" w:hAnsi="仿宋" w:eastAsia="仿宋" w:cs="仿宋"/>
          <w:b/>
          <w:snapToGrid w:val="0"/>
          <w:color w:val="auto"/>
          <w:kern w:val="0"/>
          <w:sz w:val="30"/>
          <w:szCs w:val="30"/>
          <w:highlight w:val="none"/>
        </w:rPr>
      </w:pPr>
      <w:r>
        <w:rPr>
          <w:rFonts w:hint="eastAsia" w:ascii="仿宋" w:hAnsi="仿宋" w:eastAsia="仿宋" w:cs="仿宋"/>
          <w:b/>
          <w:snapToGrid w:val="0"/>
          <w:color w:val="auto"/>
          <w:kern w:val="0"/>
          <w:sz w:val="30"/>
          <w:szCs w:val="30"/>
          <w:highlight w:val="none"/>
        </w:rPr>
        <w:t>注：从业人员、营业收入、资产总额填报上一年度数据，无上一年度数据的新成立企业可不填报。</w:t>
      </w:r>
    </w:p>
    <w:p w14:paraId="5C1D2C7B">
      <w:pPr>
        <w:spacing w:line="560" w:lineRule="exact"/>
        <w:rPr>
          <w:rFonts w:hint="eastAsia" w:ascii="宋体" w:hAnsi="宋体" w:cs="宋体"/>
          <w:color w:val="auto"/>
          <w:sz w:val="24"/>
          <w:szCs w:val="24"/>
          <w:highlight w:val="none"/>
        </w:rPr>
        <w:sectPr>
          <w:headerReference r:id="rId7" w:type="default"/>
          <w:footerReference r:id="rId8" w:type="default"/>
          <w:footerReference r:id="rId9" w:type="even"/>
          <w:pgSz w:w="11906" w:h="16838"/>
          <w:pgMar w:top="2098" w:right="1531" w:bottom="1701" w:left="1531" w:header="851" w:footer="680" w:gutter="0"/>
          <w:pgNumType w:fmt="decimal"/>
          <w:cols w:space="720" w:num="1"/>
          <w:docGrid w:type="linesAndChars" w:linePitch="290" w:charSpace="-1844"/>
        </w:sectPr>
      </w:pPr>
    </w:p>
    <w:p w14:paraId="79F80AC3">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附件2</w:t>
      </w:r>
    </w:p>
    <w:p w14:paraId="79742F39">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bookmarkStart w:id="65" w:name="OLE_LINK13"/>
      <w:bookmarkStart w:id="66" w:name="OLE_LINK14"/>
    </w:p>
    <w:p w14:paraId="0981AF96">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残疾人福利性单位声明函</w:t>
      </w:r>
    </w:p>
    <w:bookmarkEnd w:id="65"/>
    <w:bookmarkEnd w:id="66"/>
    <w:p w14:paraId="53B21A3A">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99E476">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本单位对上述声明的真实性负责。如有虚假，将依法承担相应责任。</w:t>
      </w:r>
    </w:p>
    <w:p w14:paraId="7A6F602C">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6F34A909">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148E2AB">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10F4AB9E">
      <w:pPr>
        <w:widowControl/>
        <w:spacing w:line="360" w:lineRule="auto"/>
        <w:ind w:firstLine="600" w:firstLineChars="200"/>
        <w:jc w:val="center"/>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lang w:val="en-US" w:eastAsia="zh-CN"/>
        </w:rPr>
        <w:t xml:space="preserve">                          </w:t>
      </w:r>
      <w:r>
        <w:rPr>
          <w:rFonts w:hint="eastAsia" w:ascii="仿宋" w:hAnsi="仿宋" w:eastAsia="仿宋" w:cs="仿宋"/>
          <w:snapToGrid w:val="0"/>
          <w:color w:val="auto"/>
          <w:kern w:val="0"/>
          <w:sz w:val="30"/>
          <w:szCs w:val="30"/>
          <w:highlight w:val="none"/>
        </w:rPr>
        <w:t>供应商</w:t>
      </w:r>
      <w:r>
        <w:rPr>
          <w:rFonts w:hint="eastAsia" w:ascii="仿宋" w:hAnsi="仿宋" w:eastAsia="仿宋" w:cs="仿宋"/>
          <w:color w:val="auto"/>
          <w:sz w:val="30"/>
          <w:szCs w:val="30"/>
          <w:lang w:val="zh-CN"/>
        </w:rPr>
        <w:t>（加盖CA电子公章）</w:t>
      </w:r>
      <w:r>
        <w:rPr>
          <w:rFonts w:hint="eastAsia" w:ascii="仿宋" w:hAnsi="仿宋" w:eastAsia="仿宋" w:cs="仿宋"/>
          <w:snapToGrid w:val="0"/>
          <w:color w:val="auto"/>
          <w:kern w:val="0"/>
          <w:sz w:val="30"/>
          <w:szCs w:val="30"/>
          <w:highlight w:val="none"/>
        </w:rPr>
        <w:t>:</w:t>
      </w:r>
    </w:p>
    <w:p w14:paraId="057F7920">
      <w:pPr>
        <w:widowControl/>
        <w:spacing w:line="360" w:lineRule="auto"/>
        <w:ind w:firstLine="600" w:firstLineChars="200"/>
        <w:jc w:val="righ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    期：   年    月    日</w:t>
      </w:r>
    </w:p>
    <w:p w14:paraId="3EDAD02B">
      <w:pPr>
        <w:widowControl/>
        <w:spacing w:line="360" w:lineRule="auto"/>
        <w:ind w:firstLine="480" w:firstLineChars="200"/>
        <w:jc w:val="right"/>
        <w:rPr>
          <w:rFonts w:hint="eastAsia" w:ascii="方正黑体_GBK" w:hAnsi="方正黑体_GBK" w:eastAsia="方正黑体_GBK" w:cs="方正黑体_GBK"/>
          <w:snapToGrid w:val="0"/>
          <w:color w:val="auto"/>
          <w:kern w:val="0"/>
          <w:sz w:val="30"/>
          <w:szCs w:val="30"/>
          <w:highlight w:val="none"/>
        </w:rPr>
      </w:pPr>
      <w:r>
        <w:rPr>
          <w:rFonts w:hint="eastAsia" w:ascii="宋体" w:hAnsi="宋体" w:cs="宋体"/>
          <w:snapToGrid w:val="0"/>
          <w:color w:val="auto"/>
          <w:kern w:val="0"/>
          <w:sz w:val="24"/>
          <w:szCs w:val="24"/>
          <w:highlight w:val="none"/>
        </w:rPr>
        <w:br w:type="page"/>
      </w:r>
    </w:p>
    <w:p w14:paraId="035DFDE3">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附件3</w:t>
      </w:r>
    </w:p>
    <w:p w14:paraId="116E2A7C">
      <w:pPr>
        <w:snapToGrid w:val="0"/>
        <w:spacing w:before="50" w:after="50" w:line="360" w:lineRule="auto"/>
        <w:ind w:firstLine="352" w:firstLineChars="98"/>
        <w:jc w:val="center"/>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属于监狱企业的证明文件格式</w:t>
      </w:r>
    </w:p>
    <w:p w14:paraId="6720B743">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（提供由省级以上监狱管理局、戒毒管理局(含新疆生产建设兵团)出具的属于监狱企业的证明文件）</w:t>
      </w:r>
    </w:p>
    <w:p w14:paraId="7EE25299">
      <w:pPr>
        <w:spacing w:line="240" w:lineRule="atLeast"/>
        <w:rPr>
          <w:rFonts w:hint="eastAsia" w:ascii="华文仿宋" w:hAnsi="华文仿宋" w:eastAsia="华文仿宋" w:cs="华文仿宋"/>
          <w:b/>
          <w:bCs/>
          <w:color w:val="auto"/>
          <w:sz w:val="30"/>
          <w:szCs w:val="30"/>
          <w:highlight w:val="none"/>
        </w:rPr>
      </w:pPr>
    </w:p>
    <w:p w14:paraId="7DEEA18F">
      <w:pPr>
        <w:pStyle w:val="23"/>
        <w:rPr>
          <w:color w:val="auto"/>
          <w:highlight w:val="none"/>
        </w:rPr>
      </w:pPr>
    </w:p>
    <w:p w14:paraId="0B2D0F0B">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r>
      <w:r>
        <w:rPr>
          <w:rFonts w:hint="eastAsia" w:ascii="黑体" w:hAnsi="黑体" w:eastAsia="黑体" w:cs="黑体"/>
          <w:color w:val="auto"/>
          <w:sz w:val="30"/>
          <w:szCs w:val="30"/>
          <w:highlight w:val="none"/>
        </w:rPr>
        <w:t>附件4</w:t>
      </w:r>
    </w:p>
    <w:p w14:paraId="52E25774">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无重大违法记录声明</w:t>
      </w:r>
    </w:p>
    <w:p w14:paraId="537352C3">
      <w:pPr>
        <w:spacing w:line="360" w:lineRule="auto"/>
        <w:rPr>
          <w:rFonts w:hint="eastAsia" w:ascii="方正仿宋_GBK" w:hAnsi="方正仿宋_GBK" w:eastAsia="方正仿宋_GBK" w:cs="方正仿宋_GBK"/>
          <w:color w:val="auto"/>
          <w:highlight w:val="none"/>
        </w:rPr>
      </w:pPr>
    </w:p>
    <w:p w14:paraId="04C0F20A">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2E8778F3">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供应商名称）郑重声明：</w:t>
      </w:r>
    </w:p>
    <w:p w14:paraId="3DE73761">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（在下划线上如实填写：有或没有）重大违法记录。</w:t>
      </w:r>
    </w:p>
    <w:p w14:paraId="09D482D5">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p>
    <w:p w14:paraId="0CF4689D">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4B83BDD8">
      <w:pPr>
        <w:spacing w:line="360" w:lineRule="auto"/>
        <w:ind w:left="4617" w:leftChars="0" w:hanging="4617" w:hangingChars="1539"/>
        <w:rPr>
          <w:rFonts w:hint="eastAsia" w:ascii="仿宋" w:hAnsi="仿宋" w:eastAsia="仿宋" w:cs="仿宋"/>
          <w:bCs/>
          <w:color w:val="auto"/>
          <w:kern w:val="0"/>
          <w:sz w:val="30"/>
          <w:szCs w:val="30"/>
          <w:highlight w:val="none"/>
          <w:lang w:val="zh-CN"/>
        </w:rPr>
      </w:pPr>
      <w:r>
        <w:rPr>
          <w:rFonts w:hint="eastAsia" w:ascii="仿宋" w:hAnsi="仿宋" w:eastAsia="仿宋" w:cs="仿宋"/>
          <w:color w:val="auto"/>
          <w:sz w:val="30"/>
          <w:szCs w:val="30"/>
          <w:highlight w:val="none"/>
        </w:rPr>
        <w:t xml:space="preserve">                              声明人：</w:t>
      </w:r>
      <w:r>
        <w:rPr>
          <w:rFonts w:hint="eastAsia" w:ascii="仿宋" w:hAnsi="仿宋" w:eastAsia="仿宋" w:cs="仿宋"/>
          <w:color w:val="auto"/>
          <w:sz w:val="30"/>
          <w:szCs w:val="30"/>
          <w:lang w:val="zh-CN"/>
        </w:rPr>
        <w:t>（加盖CA电子公章）</w:t>
      </w:r>
      <w:r>
        <w:rPr>
          <w:rFonts w:hint="eastAsia" w:ascii="仿宋" w:hAnsi="仿宋" w:eastAsia="仿宋" w:cs="仿宋"/>
          <w:color w:val="auto"/>
          <w:sz w:val="30"/>
          <w:szCs w:val="30"/>
          <w:highlight w:val="none"/>
        </w:rPr>
        <w:t xml:space="preserve">                                       </w:t>
      </w:r>
      <w:r>
        <w:rPr>
          <w:rFonts w:hint="eastAsia" w:ascii="仿宋" w:hAnsi="仿宋" w:eastAsia="仿宋" w:cs="仿宋"/>
          <w:snapToGrid w:val="0"/>
          <w:color w:val="auto"/>
          <w:kern w:val="0"/>
          <w:sz w:val="30"/>
          <w:szCs w:val="30"/>
          <w:highlight w:val="none"/>
        </w:rPr>
        <w:t>日</w:t>
      </w:r>
      <w:r>
        <w:rPr>
          <w:rFonts w:hint="eastAsia" w:ascii="仿宋" w:hAnsi="仿宋" w:eastAsia="仿宋" w:cs="仿宋"/>
          <w:snapToGrid w:val="0"/>
          <w:color w:val="auto"/>
          <w:kern w:val="0"/>
          <w:sz w:val="30"/>
          <w:szCs w:val="30"/>
          <w:highlight w:val="none"/>
          <w:lang w:val="en-US" w:eastAsia="zh-CN"/>
        </w:rPr>
        <w:t xml:space="preserve">  </w:t>
      </w:r>
      <w:r>
        <w:rPr>
          <w:rFonts w:hint="eastAsia" w:ascii="仿宋" w:hAnsi="仿宋" w:eastAsia="仿宋" w:cs="仿宋"/>
          <w:snapToGrid w:val="0"/>
          <w:color w:val="auto"/>
          <w:kern w:val="0"/>
          <w:sz w:val="30"/>
          <w:szCs w:val="30"/>
          <w:highlight w:val="none"/>
        </w:rPr>
        <w:t>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5F23370">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kern w:val="0"/>
          <w:sz w:val="30"/>
          <w:szCs w:val="30"/>
          <w:highlight w:val="none"/>
          <w:lang w:val="zh-CN"/>
        </w:rPr>
        <w:br w:type="page"/>
      </w:r>
    </w:p>
    <w:p w14:paraId="33557559">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附件5</w:t>
      </w:r>
    </w:p>
    <w:p w14:paraId="72FEB4B9">
      <w:pPr>
        <w:pStyle w:val="33"/>
        <w:rPr>
          <w:color w:val="auto"/>
          <w:sz w:val="36"/>
          <w:szCs w:val="36"/>
          <w:highlight w:val="none"/>
        </w:rPr>
      </w:pPr>
    </w:p>
    <w:p w14:paraId="400D8668">
      <w:pPr>
        <w:snapToGrid w:val="0"/>
        <w:spacing w:before="50" w:after="50" w:line="360" w:lineRule="auto"/>
        <w:ind w:firstLine="352" w:firstLineChars="98"/>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具备履行合同所必需的设备和专业技术能力的声明</w:t>
      </w:r>
    </w:p>
    <w:p w14:paraId="176FD364">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07D665B4">
      <w:pPr>
        <w:widowControl/>
        <w:kinsoku w:val="0"/>
        <w:autoSpaceDE w:val="0"/>
        <w:autoSpaceDN w:val="0"/>
        <w:adjustRightInd w:val="0"/>
        <w:snapToGrid w:val="0"/>
        <w:spacing w:line="360" w:lineRule="auto"/>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（供应商名称）郑重声明：我公司具备履行本项采购合同所必需的设备和专业技术能力，为履行本项采购合同我单位具备如下主要设备和主要专业技术能力：</w:t>
      </w:r>
    </w:p>
    <w:p w14:paraId="1510400D">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主要设备有：</w:t>
      </w:r>
    </w:p>
    <w:p w14:paraId="211C6996">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主要专业技术能力有：</w:t>
      </w:r>
    </w:p>
    <w:p w14:paraId="724F13B6">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auto"/>
          <w:sz w:val="30"/>
          <w:szCs w:val="30"/>
          <w:highlight w:val="none"/>
        </w:rPr>
      </w:pPr>
    </w:p>
    <w:p w14:paraId="4FB0EF5B">
      <w:pPr>
        <w:widowControl/>
        <w:kinsoku w:val="0"/>
        <w:autoSpaceDE w:val="0"/>
        <w:autoSpaceDN w:val="0"/>
        <w:adjustRightInd w:val="0"/>
        <w:snapToGrid w:val="0"/>
        <w:spacing w:line="360" w:lineRule="auto"/>
        <w:ind w:left="0" w:leftChars="0" w:firstLine="5259" w:firstLineChars="1753"/>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声明人：</w:t>
      </w:r>
      <w:r>
        <w:rPr>
          <w:rFonts w:hint="eastAsia" w:ascii="仿宋" w:hAnsi="仿宋" w:eastAsia="仿宋" w:cs="仿宋"/>
          <w:color w:val="auto"/>
          <w:sz w:val="30"/>
          <w:szCs w:val="30"/>
          <w:lang w:val="zh-CN"/>
        </w:rPr>
        <w:t>（加盖CA电子公章）</w:t>
      </w:r>
    </w:p>
    <w:p w14:paraId="2F3BBF53">
      <w:pPr>
        <w:pStyle w:val="33"/>
        <w:spacing w:line="360" w:lineRule="auto"/>
        <w:ind w:left="0" w:leftChars="0" w:firstLine="5259" w:firstLineChars="1753"/>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10A8D2CC">
      <w:pPr>
        <w:spacing w:line="240" w:lineRule="atLeast"/>
        <w:rPr>
          <w:rFonts w:hint="eastAsia" w:ascii="方正黑体_GBK" w:hAnsi="方正黑体_GBK" w:eastAsia="方正黑体_GBK" w:cs="方正黑体_GBK"/>
          <w:color w:val="auto"/>
          <w:sz w:val="30"/>
          <w:szCs w:val="30"/>
          <w:highlight w:val="none"/>
        </w:rPr>
      </w:pPr>
    </w:p>
    <w:p w14:paraId="704AB0F9">
      <w:pPr>
        <w:spacing w:line="240" w:lineRule="atLeast"/>
        <w:rPr>
          <w:rFonts w:hint="eastAsia" w:ascii="方正黑体_GBK" w:hAnsi="方正黑体_GBK" w:eastAsia="方正黑体_GBK" w:cs="方正黑体_GBK"/>
          <w:color w:val="auto"/>
          <w:sz w:val="30"/>
          <w:szCs w:val="30"/>
          <w:highlight w:val="none"/>
        </w:rPr>
      </w:pPr>
    </w:p>
    <w:p w14:paraId="14C1AC74">
      <w:pPr>
        <w:spacing w:line="240" w:lineRule="atLeast"/>
        <w:rPr>
          <w:rFonts w:hint="eastAsia" w:ascii="方正黑体_GBK" w:hAnsi="方正黑体_GBK" w:eastAsia="方正黑体_GBK" w:cs="方正黑体_GBK"/>
          <w:color w:val="auto"/>
          <w:sz w:val="30"/>
          <w:szCs w:val="30"/>
          <w:highlight w:val="none"/>
        </w:rPr>
      </w:pPr>
    </w:p>
    <w:p w14:paraId="207C7BBC">
      <w:pPr>
        <w:spacing w:line="240" w:lineRule="atLeast"/>
        <w:rPr>
          <w:rFonts w:hint="eastAsia" w:ascii="方正黑体_GBK" w:hAnsi="方正黑体_GBK" w:eastAsia="方正黑体_GBK" w:cs="方正黑体_GBK"/>
          <w:color w:val="auto"/>
          <w:sz w:val="30"/>
          <w:szCs w:val="30"/>
          <w:highlight w:val="none"/>
        </w:rPr>
      </w:pPr>
    </w:p>
    <w:p w14:paraId="4C65F8CE">
      <w:pPr>
        <w:spacing w:line="240" w:lineRule="atLeast"/>
        <w:rPr>
          <w:rFonts w:hint="eastAsia" w:ascii="方正黑体_GBK" w:hAnsi="方正黑体_GBK" w:eastAsia="方正黑体_GBK" w:cs="方正黑体_GBK"/>
          <w:color w:val="auto"/>
          <w:sz w:val="30"/>
          <w:szCs w:val="30"/>
          <w:highlight w:val="none"/>
        </w:rPr>
      </w:pPr>
    </w:p>
    <w:p w14:paraId="709FF3BC">
      <w:pPr>
        <w:spacing w:line="240" w:lineRule="atLeast"/>
        <w:rPr>
          <w:rFonts w:hint="eastAsia" w:ascii="方正黑体_GBK" w:hAnsi="方正黑体_GBK" w:eastAsia="方正黑体_GBK" w:cs="方正黑体_GBK"/>
          <w:color w:val="auto"/>
          <w:sz w:val="30"/>
          <w:szCs w:val="30"/>
          <w:highlight w:val="none"/>
        </w:rPr>
      </w:pPr>
    </w:p>
    <w:p w14:paraId="32E6DF25">
      <w:pPr>
        <w:spacing w:line="240" w:lineRule="atLeast"/>
        <w:rPr>
          <w:rFonts w:hint="eastAsia" w:ascii="方正黑体_GBK" w:hAnsi="方正黑体_GBK" w:eastAsia="方正黑体_GBK" w:cs="方正黑体_GBK"/>
          <w:color w:val="auto"/>
          <w:sz w:val="30"/>
          <w:szCs w:val="30"/>
          <w:highlight w:val="none"/>
        </w:rPr>
      </w:pPr>
    </w:p>
    <w:p w14:paraId="447566B1">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r>
    </w:p>
    <w:p w14:paraId="1A203D2A">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附件6</w:t>
      </w:r>
    </w:p>
    <w:p w14:paraId="78170815">
      <w:pPr>
        <w:pStyle w:val="33"/>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承诺书</w:t>
      </w:r>
    </w:p>
    <w:p w14:paraId="706CF1A8">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u w:val="single"/>
        </w:rPr>
      </w:pPr>
    </w:p>
    <w:p w14:paraId="4FDC44C7">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p>
    <w:p w14:paraId="435AB05A">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p>
    <w:p w14:paraId="41D164B5">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1、供应商单位负责人为同一人或者存在直接控股、管理关系的不同供应商，不得参加同一合同项下的政府采购活动。</w:t>
      </w:r>
    </w:p>
    <w:p w14:paraId="66F52FF0">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2、凡为采购项目提供整体设计、规范编制或者项目管理、监理、检测等服务的供应商，不得再参加本项目的采购活动。</w:t>
      </w:r>
    </w:p>
    <w:p w14:paraId="0BEDC3E8">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3、被“信用中国”网站（www.creditchina.gov.cn）、“中国政府采购网"(www.ccgp.gov.cn)列入失信被执行人、重大税收违法案件当事人名单、政府采购严重违法失信行为记录名单。</w:t>
      </w:r>
    </w:p>
    <w:p w14:paraId="0033DAC8">
      <w:pPr>
        <w:spacing w:line="360" w:lineRule="auto"/>
        <w:jc w:val="right"/>
        <w:rPr>
          <w:rFonts w:hint="eastAsia" w:ascii="方正仿宋_GBK" w:hAnsi="方正仿宋_GBK" w:eastAsia="方正仿宋_GBK" w:cs="方正仿宋_GBK"/>
          <w:color w:val="auto"/>
          <w:position w:val="18"/>
          <w:sz w:val="30"/>
          <w:szCs w:val="30"/>
          <w:highlight w:val="none"/>
        </w:rPr>
      </w:pPr>
    </w:p>
    <w:p w14:paraId="7DF6EEBD">
      <w:pPr>
        <w:widowControl/>
        <w:kinsoku w:val="0"/>
        <w:autoSpaceDE w:val="0"/>
        <w:autoSpaceDN w:val="0"/>
        <w:adjustRightInd w:val="0"/>
        <w:snapToGrid w:val="0"/>
        <w:spacing w:line="560" w:lineRule="exact"/>
        <w:ind w:left="0" w:leftChars="0" w:firstLine="4617" w:firstLineChars="1539"/>
        <w:textAlignment w:val="baseline"/>
        <w:rPr>
          <w:rFonts w:hint="eastAsia" w:ascii="仿宋" w:hAnsi="仿宋" w:eastAsia="仿宋" w:cs="仿宋"/>
          <w:color w:val="auto"/>
          <w:position w:val="18"/>
          <w:sz w:val="30"/>
          <w:szCs w:val="30"/>
          <w:highlight w:val="none"/>
        </w:rPr>
      </w:pPr>
    </w:p>
    <w:p w14:paraId="6AE37CAF">
      <w:pPr>
        <w:widowControl/>
        <w:kinsoku w:val="0"/>
        <w:autoSpaceDE w:val="0"/>
        <w:autoSpaceDN w:val="0"/>
        <w:adjustRightInd w:val="0"/>
        <w:snapToGrid w:val="0"/>
        <w:spacing w:line="560" w:lineRule="exact"/>
        <w:ind w:left="0" w:leftChars="0" w:firstLine="4617" w:firstLineChars="1539"/>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承诺人：</w:t>
      </w:r>
      <w:r>
        <w:rPr>
          <w:rFonts w:hint="eastAsia" w:ascii="方正仿宋_GBK" w:hAnsi="方正仿宋_GBK" w:eastAsia="方正仿宋_GBK" w:cs="方正仿宋_GBK"/>
          <w:caps w:val="0"/>
          <w:color w:val="auto"/>
          <w:position w:val="18"/>
          <w:sz w:val="30"/>
          <w:szCs w:val="30"/>
          <w:highlight w:val="none"/>
        </w:rPr>
        <w:t>（加盖CA电子公章）</w:t>
      </w:r>
    </w:p>
    <w:p w14:paraId="15A4AFAC">
      <w:pPr>
        <w:widowControl/>
        <w:kinsoku w:val="0"/>
        <w:autoSpaceDE w:val="0"/>
        <w:autoSpaceDN w:val="0"/>
        <w:adjustRightInd w:val="0"/>
        <w:snapToGrid w:val="0"/>
        <w:spacing w:line="560" w:lineRule="exact"/>
        <w:ind w:left="4838" w:leftChars="2304" w:firstLine="0" w:firstLineChars="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224890C3">
      <w:pPr>
        <w:pStyle w:val="33"/>
        <w:pageBreakBefore/>
        <w:ind w:left="629" w:firstLine="2883" w:firstLineChars="801"/>
        <w:rPr>
          <w:rFonts w:hint="eastAsia" w:ascii="Times New Roman" w:hAnsi="Times New Roman" w:cs="宋体"/>
          <w:b/>
          <w:bCs/>
          <w:caps w:val="0"/>
          <w:color w:val="auto"/>
          <w:sz w:val="24"/>
          <w:szCs w:val="36"/>
          <w:highlight w:val="none"/>
        </w:rPr>
      </w:pPr>
      <w:r>
        <w:rPr>
          <w:rFonts w:hint="eastAsia" w:ascii="方正小标宋_GBK" w:hAnsi="方正小标宋_GBK" w:eastAsia="方正小标宋_GBK" w:cs="方正小标宋_GBK"/>
          <w:b w:val="0"/>
          <w:bCs w:val="0"/>
          <w:caps w:val="0"/>
          <w:color w:val="auto"/>
          <w:sz w:val="36"/>
          <w:szCs w:val="36"/>
          <w:highlight w:val="none"/>
          <w:lang w:val="zh-CN"/>
        </w:rPr>
        <w:t>最</w:t>
      </w:r>
      <w:r>
        <w:rPr>
          <w:rFonts w:hint="eastAsia" w:ascii="方正小标宋_GBK" w:hAnsi="方正小标宋_GBK" w:eastAsia="方正小标宋_GBK" w:cs="方正小标宋_GBK"/>
          <w:b w:val="0"/>
          <w:bCs w:val="0"/>
          <w:caps w:val="0"/>
          <w:color w:val="auto"/>
          <w:sz w:val="36"/>
          <w:szCs w:val="36"/>
          <w:highlight w:val="none"/>
          <w:lang w:val="zh-CN" w:eastAsia="zh-CN"/>
        </w:rPr>
        <w:t>终</w:t>
      </w:r>
      <w:r>
        <w:rPr>
          <w:rFonts w:hint="eastAsia" w:ascii="方正小标宋_GBK" w:hAnsi="方正小标宋_GBK" w:eastAsia="方正小标宋_GBK" w:cs="方正小标宋_GBK"/>
          <w:b w:val="0"/>
          <w:bCs w:val="0"/>
          <w:caps w:val="0"/>
          <w:color w:val="auto"/>
          <w:sz w:val="36"/>
          <w:szCs w:val="36"/>
          <w:highlight w:val="none"/>
          <w:lang w:val="zh-CN"/>
        </w:rPr>
        <w:t>报价函</w:t>
      </w:r>
    </w:p>
    <w:p w14:paraId="1F7D2A71">
      <w:pPr>
        <w:widowControl/>
        <w:kinsoku w:val="0"/>
        <w:autoSpaceDE w:val="0"/>
        <w:autoSpaceDN w:val="0"/>
        <w:adjustRightInd w:val="0"/>
        <w:snapToGrid w:val="0"/>
        <w:spacing w:line="560" w:lineRule="exact"/>
        <w:ind w:firstLine="600"/>
        <w:textAlignment w:val="baseline"/>
        <w:rPr>
          <w:rFonts w:hint="eastAsia" w:ascii="方正仿宋_GBK" w:hAnsi="方正仿宋_GBK" w:eastAsia="方正仿宋_GBK" w:cs="方正仿宋_GBK"/>
          <w:caps w:val="0"/>
          <w:color w:val="auto"/>
          <w:position w:val="18"/>
          <w:sz w:val="30"/>
          <w:szCs w:val="30"/>
          <w:highlight w:val="none"/>
        </w:rPr>
      </w:pPr>
    </w:p>
    <w:p w14:paraId="6A452A4F">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u w:val="single"/>
          <w:lang w:eastAsia="zh-CN"/>
        </w:rPr>
        <w:t>中共江苏省委党校</w:t>
      </w:r>
      <w:r>
        <w:rPr>
          <w:rFonts w:hint="eastAsia" w:ascii="方正仿宋_GBK" w:hAnsi="方正仿宋_GBK" w:eastAsia="方正仿宋_GBK" w:cs="方正仿宋_GBK"/>
          <w:caps w:val="0"/>
          <w:color w:val="auto"/>
          <w:position w:val="18"/>
          <w:sz w:val="30"/>
          <w:szCs w:val="30"/>
          <w:highlight w:val="none"/>
        </w:rPr>
        <w:t>（采购人全称）：</w:t>
      </w:r>
    </w:p>
    <w:p w14:paraId="6FAFB222">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1.经磋商小组与我方根据</w:t>
      </w:r>
      <w:r>
        <w:rPr>
          <w:rFonts w:hint="eastAsia" w:ascii="方正仿宋_GBK" w:hAnsi="方正仿宋_GBK" w:eastAsia="方正仿宋_GBK" w:cs="方正仿宋_GBK"/>
          <w:caps w:val="0"/>
          <w:color w:val="auto"/>
          <w:position w:val="18"/>
          <w:sz w:val="30"/>
          <w:szCs w:val="30"/>
          <w:highlight w:val="none"/>
          <w:u w:val="single"/>
          <w:lang w:eastAsia="zh-CN"/>
        </w:rPr>
        <w:t>水佐岗49号电梯维修改造项目</w:t>
      </w:r>
      <w:r>
        <w:rPr>
          <w:rFonts w:hint="eastAsia" w:ascii="方正仿宋_GBK" w:hAnsi="方正仿宋_GBK" w:eastAsia="方正仿宋_GBK" w:cs="方正仿宋_GBK"/>
          <w:caps w:val="0"/>
          <w:color w:val="auto"/>
          <w:position w:val="18"/>
          <w:sz w:val="30"/>
          <w:szCs w:val="30"/>
          <w:highlight w:val="none"/>
        </w:rPr>
        <w:t>（项目名称）</w:t>
      </w:r>
      <w:r>
        <w:rPr>
          <w:rFonts w:hint="eastAsia" w:ascii="方正仿宋_GBK" w:hAnsi="方正仿宋_GBK" w:eastAsia="方正仿宋_GBK" w:cs="方正仿宋_GBK"/>
          <w:caps w:val="0"/>
          <w:color w:val="auto"/>
          <w:position w:val="18"/>
          <w:sz w:val="30"/>
          <w:szCs w:val="30"/>
          <w:highlight w:val="none"/>
          <w:lang w:eastAsia="zh-CN"/>
        </w:rPr>
        <w:t>采购文件</w:t>
      </w:r>
      <w:r>
        <w:rPr>
          <w:rFonts w:hint="eastAsia" w:ascii="方正仿宋_GBK" w:hAnsi="方正仿宋_GBK" w:eastAsia="方正仿宋_GBK" w:cs="方正仿宋_GBK"/>
          <w:caps w:val="0"/>
          <w:color w:val="auto"/>
          <w:position w:val="18"/>
          <w:sz w:val="30"/>
          <w:szCs w:val="30"/>
          <w:highlight w:val="none"/>
        </w:rPr>
        <w:t>（含澄清、修改文件）及我方提交的首次响应文件进行磋商后，现我方提交最后报价函。我方愿以</w:t>
      </w:r>
      <w:r>
        <w:rPr>
          <w:rFonts w:hint="eastAsia" w:ascii="方正仿宋_GBK" w:hAnsi="方正仿宋_GBK" w:eastAsia="方正仿宋_GBK" w:cs="方正仿宋_GBK"/>
          <w:caps w:val="0"/>
          <w:color w:val="auto"/>
          <w:position w:val="18"/>
          <w:sz w:val="30"/>
          <w:szCs w:val="30"/>
          <w:highlight w:val="none"/>
          <w:lang w:val="en-US" w:eastAsia="zh-CN"/>
        </w:rPr>
        <w:t>磋商响应报价</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        </w:t>
      </w:r>
      <w:r>
        <w:rPr>
          <w:rFonts w:hint="eastAsia" w:ascii="方正仿宋_GBK" w:hAnsi="方正仿宋_GBK" w:eastAsia="方正仿宋_GBK" w:cs="方正仿宋_GBK"/>
          <w:caps w:val="0"/>
          <w:color w:val="auto"/>
          <w:position w:val="18"/>
          <w:sz w:val="30"/>
          <w:szCs w:val="30"/>
          <w:highlight w:val="none"/>
        </w:rPr>
        <w:t>的最</w:t>
      </w:r>
      <w:r>
        <w:rPr>
          <w:rFonts w:hint="eastAsia" w:ascii="方正仿宋_GBK" w:hAnsi="方正仿宋_GBK" w:eastAsia="方正仿宋_GBK" w:cs="方正仿宋_GBK"/>
          <w:caps w:val="0"/>
          <w:color w:val="auto"/>
          <w:position w:val="18"/>
          <w:sz w:val="30"/>
          <w:szCs w:val="30"/>
          <w:highlight w:val="none"/>
          <w:lang w:val="en-US" w:eastAsia="zh-CN"/>
        </w:rPr>
        <w:t>终</w:t>
      </w:r>
      <w:r>
        <w:rPr>
          <w:rFonts w:hint="eastAsia" w:ascii="方正仿宋_GBK" w:hAnsi="方正仿宋_GBK" w:eastAsia="方正仿宋_GBK" w:cs="方正仿宋_GBK"/>
          <w:caps w:val="0"/>
          <w:color w:val="auto"/>
          <w:position w:val="18"/>
          <w:sz w:val="30"/>
          <w:szCs w:val="30"/>
          <w:highlight w:val="none"/>
        </w:rPr>
        <w:t>报价，优质承担并完成上述合同全</w:t>
      </w:r>
      <w:r>
        <w:rPr>
          <w:rFonts w:hint="eastAsia" w:ascii="方正仿宋_GBK" w:hAnsi="方正仿宋_GBK" w:eastAsia="方正仿宋_GBK" w:cs="方正仿宋_GBK"/>
          <w:caps w:val="0"/>
          <w:color w:val="auto"/>
          <w:spacing w:val="0"/>
          <w:position w:val="18"/>
          <w:sz w:val="30"/>
          <w:szCs w:val="30"/>
          <w:highlight w:val="none"/>
        </w:rPr>
        <w:t>部</w:t>
      </w:r>
      <w:r>
        <w:rPr>
          <w:rFonts w:hint="eastAsia" w:ascii="方正仿宋_GBK" w:hAnsi="方正仿宋_GBK" w:eastAsia="方正仿宋_GBK" w:cs="方正仿宋_GBK"/>
          <w:caps w:val="0"/>
          <w:color w:val="auto"/>
          <w:position w:val="18"/>
          <w:sz w:val="30"/>
          <w:szCs w:val="30"/>
          <w:highlight w:val="none"/>
        </w:rPr>
        <w:t>内容。</w:t>
      </w:r>
    </w:p>
    <w:p w14:paraId="151605C7">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u w:val="none"/>
        </w:rPr>
      </w:pPr>
      <w:r>
        <w:rPr>
          <w:rFonts w:hint="eastAsia" w:ascii="方正仿宋_GBK" w:hAnsi="方正仿宋_GBK" w:eastAsia="方正仿宋_GBK" w:cs="方正仿宋_GBK"/>
          <w:caps w:val="0"/>
          <w:color w:val="auto"/>
          <w:position w:val="18"/>
          <w:sz w:val="30"/>
          <w:szCs w:val="30"/>
          <w:highlight w:val="none"/>
        </w:rPr>
        <w:t>对我方首次提交的响应文件予以修正的内容还有</w:t>
      </w:r>
      <w:r>
        <w:rPr>
          <w:rFonts w:hint="eastAsia" w:ascii="方正仿宋_GBK" w:hAnsi="方正仿宋_GBK" w:eastAsia="方正仿宋_GBK" w:cs="方正仿宋_GBK"/>
          <w:caps w:val="0"/>
          <w:color w:val="auto"/>
          <w:position w:val="18"/>
          <w:sz w:val="30"/>
          <w:szCs w:val="30"/>
          <w:highlight w:val="none"/>
          <w:u w:val="single"/>
        </w:rPr>
        <w:t xml:space="preserve">          </w:t>
      </w:r>
      <w:r>
        <w:rPr>
          <w:rFonts w:hint="eastAsia" w:ascii="方正仿宋_GBK" w:hAnsi="方正仿宋_GBK" w:eastAsia="方正仿宋_GBK" w:cs="方正仿宋_GBK"/>
          <w:caps w:val="0"/>
          <w:color w:val="auto"/>
          <w:position w:val="18"/>
          <w:sz w:val="30"/>
          <w:szCs w:val="30"/>
          <w:highlight w:val="none"/>
          <w:u w:val="none"/>
        </w:rPr>
        <w:t xml:space="preserve"> 。</w:t>
      </w:r>
    </w:p>
    <w:p w14:paraId="1DDC1727">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2.本最后报价函是我方响应文件的组成部分。若最后报价函与我方首次递交的响应文件的内容有差异，以最后的报价函内容为准。</w:t>
      </w:r>
    </w:p>
    <w:p w14:paraId="43BED1AD">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u w:val="single"/>
        </w:rPr>
      </w:pPr>
      <w:r>
        <w:rPr>
          <w:rFonts w:hint="eastAsia" w:ascii="方正仿宋_GBK" w:hAnsi="方正仿宋_GBK" w:eastAsia="方正仿宋_GBK" w:cs="方正仿宋_GBK"/>
          <w:caps w:val="0"/>
          <w:color w:val="auto"/>
          <w:position w:val="18"/>
          <w:sz w:val="30"/>
          <w:szCs w:val="30"/>
          <w:highlight w:val="none"/>
        </w:rPr>
        <w:t>3．</w:t>
      </w:r>
      <w:r>
        <w:rPr>
          <w:rFonts w:hint="eastAsia" w:ascii="方正仿宋_GBK" w:hAnsi="方正仿宋_GBK" w:eastAsia="方正仿宋_GBK" w:cs="方正仿宋_GBK"/>
          <w:caps w:val="0"/>
          <w:color w:val="auto"/>
          <w:position w:val="18"/>
          <w:sz w:val="30"/>
          <w:szCs w:val="30"/>
          <w:highlight w:val="none"/>
          <w:u w:val="single"/>
          <w:lang w:val="en-US" w:eastAsia="zh-CN"/>
        </w:rPr>
        <w:t>如我方为成交候选人，承诺在成交通知书发放前，根据采购人需要，提交与</w:t>
      </w:r>
      <w:r>
        <w:rPr>
          <w:rFonts w:hint="eastAsia" w:ascii="方正仿宋_GBK" w:hAnsi="方正仿宋_GBK" w:eastAsia="方正仿宋_GBK" w:cs="方正仿宋_GBK"/>
          <w:caps w:val="0"/>
          <w:color w:val="auto"/>
          <w:position w:val="18"/>
          <w:sz w:val="30"/>
          <w:szCs w:val="30"/>
          <w:highlight w:val="none"/>
          <w:u w:val="single"/>
        </w:rPr>
        <w:t>最后报价函</w:t>
      </w:r>
      <w:r>
        <w:rPr>
          <w:rFonts w:hint="eastAsia" w:ascii="方正仿宋_GBK" w:hAnsi="方正仿宋_GBK" w:eastAsia="方正仿宋_GBK" w:cs="方正仿宋_GBK"/>
          <w:caps w:val="0"/>
          <w:color w:val="auto"/>
          <w:position w:val="18"/>
          <w:sz w:val="30"/>
          <w:szCs w:val="30"/>
          <w:highlight w:val="none"/>
          <w:u w:val="single"/>
          <w:lang w:val="en-US" w:eastAsia="zh-CN"/>
        </w:rPr>
        <w:t>总额一致并按规定要求修正的清单报价组成，作为</w:t>
      </w:r>
      <w:r>
        <w:rPr>
          <w:rFonts w:hint="eastAsia" w:ascii="方正仿宋_GBK" w:hAnsi="方正仿宋_GBK" w:eastAsia="方正仿宋_GBK" w:cs="方正仿宋_GBK"/>
          <w:caps w:val="0"/>
          <w:color w:val="auto"/>
          <w:position w:val="18"/>
          <w:sz w:val="30"/>
          <w:szCs w:val="30"/>
          <w:highlight w:val="none"/>
          <w:u w:val="single"/>
        </w:rPr>
        <w:t>响应文件的</w:t>
      </w:r>
      <w:r>
        <w:rPr>
          <w:rFonts w:hint="eastAsia" w:ascii="方正仿宋_GBK" w:hAnsi="方正仿宋_GBK" w:eastAsia="方正仿宋_GBK" w:cs="方正仿宋_GBK"/>
          <w:caps w:val="0"/>
          <w:color w:val="auto"/>
          <w:position w:val="18"/>
          <w:sz w:val="30"/>
          <w:szCs w:val="30"/>
          <w:highlight w:val="none"/>
          <w:u w:val="single"/>
          <w:lang w:val="en-US" w:eastAsia="zh-CN"/>
        </w:rPr>
        <w:t>补充文件</w:t>
      </w:r>
      <w:r>
        <w:rPr>
          <w:rFonts w:hint="eastAsia" w:ascii="方正仿宋_GBK" w:hAnsi="方正仿宋_GBK" w:eastAsia="方正仿宋_GBK" w:cs="方正仿宋_GBK"/>
          <w:caps w:val="0"/>
          <w:color w:val="auto"/>
          <w:position w:val="18"/>
          <w:sz w:val="30"/>
          <w:szCs w:val="30"/>
          <w:highlight w:val="none"/>
          <w:u w:val="single"/>
          <w:lang w:eastAsia="zh-CN"/>
        </w:rPr>
        <w:t>。</w:t>
      </w:r>
    </w:p>
    <w:p w14:paraId="583E1B14">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p>
    <w:p w14:paraId="627AD510">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供应商：（加盖CA电子公章）</w:t>
      </w:r>
    </w:p>
    <w:p w14:paraId="2D07901E">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法定代表人或其委托代理人：（签字或签章）</w:t>
      </w:r>
    </w:p>
    <w:p w14:paraId="7C41EEE4">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地址：</w:t>
      </w:r>
    </w:p>
    <w:p w14:paraId="5EC7B175">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电话：</w:t>
      </w:r>
    </w:p>
    <w:p w14:paraId="59E3D2D3">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传真：</w:t>
      </w:r>
    </w:p>
    <w:p w14:paraId="289E5839">
      <w:pPr>
        <w:widowControl/>
        <w:kinsoku w:val="0"/>
        <w:autoSpaceDE w:val="0"/>
        <w:autoSpaceDN w:val="0"/>
        <w:adjustRightInd w:val="0"/>
        <w:snapToGrid w:val="0"/>
        <w:spacing w:line="560" w:lineRule="exact"/>
        <w:ind w:left="0" w:firstLine="3000" w:firstLineChars="10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年   月   日</w:t>
      </w:r>
    </w:p>
    <w:p w14:paraId="0934A562">
      <w:pPr>
        <w:spacing w:line="240" w:lineRule="auto"/>
        <w:rPr>
          <w:color w:val="auto"/>
          <w:highlight w:val="none"/>
          <w:lang w:val="zh-CN"/>
        </w:rPr>
      </w:pPr>
      <w:r>
        <w:rPr>
          <w:rFonts w:hint="eastAsia" w:ascii="华文仿宋" w:hAnsi="华文仿宋" w:eastAsia="华文仿宋" w:cs="华文仿宋"/>
          <w:b/>
          <w:bCs/>
          <w:caps w:val="0"/>
          <w:color w:val="auto"/>
          <w:sz w:val="24"/>
          <w:highlight w:val="none"/>
        </w:rPr>
        <w:t>注：本最后报价函必须加盖供应商公章或由法定代表人（或其委托代理人）签字或签章，若未盖单位章也无法定代表人（或其委托代理人）签字或签章，则为无效报价函。</w:t>
      </w:r>
      <w:r>
        <w:rPr>
          <w:rFonts w:hint="eastAsia" w:ascii="华文仿宋" w:hAnsi="华文仿宋" w:eastAsia="华文仿宋" w:cs="华文仿宋"/>
          <w:b/>
          <w:bCs/>
          <w:caps w:val="0"/>
          <w:color w:val="auto"/>
          <w:sz w:val="24"/>
          <w:highlight w:val="none"/>
          <w:lang w:val="en-US" w:eastAsia="zh-CN"/>
        </w:rPr>
        <w:t xml:space="preserve">    </w:t>
      </w:r>
      <w:r>
        <w:rPr>
          <w:rFonts w:hint="eastAsia" w:ascii="华文仿宋" w:hAnsi="华文仿宋" w:eastAsia="华文仿宋" w:cs="华文仿宋"/>
          <w:b/>
          <w:caps w:val="0"/>
          <w:color w:val="auto"/>
          <w:sz w:val="24"/>
          <w:szCs w:val="24"/>
          <w:highlight w:val="none"/>
        </w:rPr>
        <w:t>本报价函无需装订在响应文件中，请在参与本项目磋商会议前提前准备好已盖章或已签字的最后报价函（无需载明最后报价，由供应商在磋商现场进行最后报价）。</w:t>
      </w:r>
    </w:p>
    <w:sectPr>
      <w:footerReference r:id="rId10" w:type="default"/>
      <w:pgSz w:w="11906" w:h="16838"/>
      <w:pgMar w:top="1258" w:right="1531" w:bottom="1701" w:left="1531"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6BC4D1C-4CED-4812-8E44-69BEE7E427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swiss"/>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3450FF89-57E0-4B5C-B20C-244022404AD8}"/>
  </w:font>
  <w:font w:name="楷体_GB2312">
    <w:altName w:val="楷体"/>
    <w:panose1 w:val="02010609030101010101"/>
    <w:charset w:val="86"/>
    <w:family w:val="swiss"/>
    <w:pitch w:val="default"/>
    <w:sig w:usb0="00000000" w:usb1="00000000" w:usb2="00000000" w:usb3="00000000" w:csb0="00040000" w:csb1="00000000"/>
    <w:embedRegular r:id="rId3" w:fontKey="{B838F212-A83A-4836-8126-3AFBCA56D34C}"/>
  </w:font>
  <w:font w:name="楷体">
    <w:panose1 w:val="02010609060101010101"/>
    <w:charset w:val="86"/>
    <w:family w:val="auto"/>
    <w:pitch w:val="default"/>
    <w:sig w:usb0="800002BF" w:usb1="38CF7CFA" w:usb2="00000016" w:usb3="00000000" w:csb0="00040001" w:csb1="00000000"/>
    <w:embedRegular r:id="rId4" w:fontKey="{67D4C14A-4669-47E4-942C-F89B9BB17D2B}"/>
  </w:font>
  <w:font w:name="Cambria">
    <w:panose1 w:val="02040503050406030204"/>
    <w:charset w:val="00"/>
    <w:family w:val="modern"/>
    <w:pitch w:val="default"/>
    <w:sig w:usb0="E00006FF" w:usb1="420024FF" w:usb2="02000000" w:usb3="00000000" w:csb0="2000019F" w:csb1="00000000"/>
  </w:font>
  <w:font w:name="Arial Unicode MS">
    <w:panose1 w:val="020B0604020202020204"/>
    <w:charset w:val="86"/>
    <w:family w:val="decorative"/>
    <w:pitch w:val="default"/>
    <w:sig w:usb0="FFFFFFFF" w:usb1="E9FFFFFF" w:usb2="0000003F" w:usb3="00000000" w:csb0="603F01FF" w:csb1="FFFF0000"/>
  </w:font>
  <w:font w:name="MingLiU">
    <w:altName w:val="PMingLiU-ExtB"/>
    <w:panose1 w:val="02010609000101010101"/>
    <w:charset w:val="88"/>
    <w:family w:val="swiss"/>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decorative"/>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embedRegular r:id="rId5" w:fontKey="{3D00136A-09C9-4F1F-9AD5-C96670609075}"/>
  </w:font>
  <w:font w:name="Georgia">
    <w:panose1 w:val="02040502050405020303"/>
    <w:charset w:val="00"/>
    <w:family w:val="modern"/>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decorative"/>
    <w:pitch w:val="default"/>
    <w:sig w:usb0="E1002EFF" w:usb1="C000605B" w:usb2="00000029" w:usb3="00000000" w:csb0="200101FF" w:csb1="20280000"/>
  </w:font>
  <w:font w:name="Verdana">
    <w:panose1 w:val="020B0604030504040204"/>
    <w:charset w:val="00"/>
    <w:family w:val="decorative"/>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HYDaHeiJ">
    <w:altName w:val="宋体"/>
    <w:panose1 w:val="02010600000101010101"/>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6" w:fontKey="{33A11AEB-5564-4F51-9F65-743888B263EA}"/>
  </w:font>
  <w:font w:name="方正小标宋_GBK">
    <w:panose1 w:val="02000000000000000000"/>
    <w:charset w:val="86"/>
    <w:family w:val="script"/>
    <w:pitch w:val="default"/>
    <w:sig w:usb0="A00002BF" w:usb1="38CF7CFA" w:usb2="00082016" w:usb3="00000000" w:csb0="00040001" w:csb1="00000000"/>
    <w:embedRegular r:id="rId7" w:fontKey="{770F950B-8149-443B-B5D4-0288AFA56EBD}"/>
  </w:font>
  <w:font w:name="方正仿宋_GBK">
    <w:panose1 w:val="02000000000000000000"/>
    <w:charset w:val="86"/>
    <w:family w:val="script"/>
    <w:pitch w:val="default"/>
    <w:sig w:usb0="A00002BF" w:usb1="38CF7CFA" w:usb2="00082016" w:usb3="00000000" w:csb0="00040001" w:csb1="00000000"/>
    <w:embedRegular r:id="rId8" w:fontKey="{08F4DE49-BA46-4D25-8D56-CE2BF08055D2}"/>
  </w:font>
  <w:font w:name="方正楷体_GBK">
    <w:panose1 w:val="02000000000000000000"/>
    <w:charset w:val="86"/>
    <w:family w:val="script"/>
    <w:pitch w:val="default"/>
    <w:sig w:usb0="800002BF" w:usb1="38CF7CFA" w:usb2="00000016" w:usb3="00000000" w:csb0="00040000" w:csb1="00000000"/>
    <w:embedRegular r:id="rId9" w:fontKey="{AC83BCCA-1E72-4BC6-B696-E2A841C1638D}"/>
  </w:font>
  <w:font w:name="方正黑体_GBK">
    <w:altName w:val="Arial Unicode MS"/>
    <w:panose1 w:val="02000000000000000000"/>
    <w:charset w:val="86"/>
    <w:family w:val="script"/>
    <w:pitch w:val="default"/>
    <w:sig w:usb0="00000000" w:usb1="00000000" w:usb2="00000000" w:usb3="00000000" w:csb0="00040000" w:csb1="00000000"/>
    <w:embedRegular r:id="rId10" w:fontKey="{5DCC118F-0CD6-4C57-BE07-FC88A40B9169}"/>
  </w:font>
  <w:font w:name="方正仿宋_GB2312">
    <w:panose1 w:val="02000000000000000000"/>
    <w:charset w:val="86"/>
    <w:family w:val="auto"/>
    <w:pitch w:val="default"/>
    <w:sig w:usb0="A00002BF" w:usb1="184F6CFA" w:usb2="00000012" w:usb3="00000000" w:csb0="00040001" w:csb1="00000000"/>
    <w:embedRegular r:id="rId11" w:fontKey="{E5C64C57-65A8-44B7-B609-44400B590101}"/>
  </w:font>
  <w:font w:name="KSOFE44F9426">
    <w:panose1 w:val="02010609060101010101"/>
    <w:charset w:val="86"/>
    <w:family w:val="auto"/>
    <w:pitch w:val="default"/>
    <w:sig w:usb0="00000001" w:usb1="00000000" w:usb2="00000000" w:usb3="00000000" w:csb0="00040001" w:csb1="00000000"/>
  </w:font>
  <w:font w:name="KSOFD0355493">
    <w:panose1 w:val="020B0604020202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EC21C">
    <w:pPr>
      <w:pStyle w:val="44"/>
      <w:jc w:val="right"/>
    </w:pPr>
  </w:p>
  <w:p w14:paraId="4C022E2E">
    <w:pPr>
      <w:pStyle w:val="4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6177E">
    <w:pPr>
      <w:pStyle w:val="44"/>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AAB16">
                          <w:pPr>
                            <w:pStyle w:val="44"/>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08AAB16">
                    <w:pPr>
                      <w:pStyle w:val="44"/>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A6C28">
    <w:pPr>
      <w:pStyle w:val="23"/>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CA5067">
                          <w:pPr>
                            <w:pStyle w:val="44"/>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FkNk3XAQAAswMAAA4AAAAAAAAAAQAgAAAA&#10;HgEAAGRycy9lMm9Eb2MueG1sUEsFBgAAAAAGAAYAWQEAAGcFAAAAAA==&#10;">
              <v:fill on="f" focussize="0,0"/>
              <v:stroke on="f"/>
              <v:imagedata o:title=""/>
              <o:lock v:ext="edit" aspectratio="f"/>
              <v:textbox inset="0mm,0mm,0mm,0mm" style="mso-fit-shape-to-text:t;">
                <w:txbxContent>
                  <w:p w14:paraId="6CCA5067">
                    <w:pPr>
                      <w:pStyle w:val="44"/>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D19EC">
    <w:pPr>
      <w:pStyle w:val="4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1BDA57">
                          <w:pPr>
                            <w:pStyle w:val="44"/>
                          </w:pPr>
                          <w:r>
                            <w:t xml:space="preserve">第 </w:t>
                          </w:r>
                          <w:r>
                            <w:fldChar w:fldCharType="begin"/>
                          </w:r>
                          <w:r>
                            <w:instrText xml:space="preserve"> PAGE  \* MERGEFORMAT </w:instrText>
                          </w:r>
                          <w:r>
                            <w:fldChar w:fldCharType="separate"/>
                          </w:r>
                          <w:r>
                            <w:t>- 71 -</w:t>
                          </w:r>
                          <w:r>
                            <w:fldChar w:fldCharType="end"/>
                          </w:r>
                          <w:r>
                            <w:t xml:space="preserve"> 页 共 </w:t>
                          </w:r>
                          <w:r>
                            <w:fldChar w:fldCharType="begin"/>
                          </w:r>
                          <w:r>
                            <w:instrText xml:space="preserve"> NUMPAGES  \* MERGEFORMAT </w:instrText>
                          </w:r>
                          <w:r>
                            <w:fldChar w:fldCharType="separate"/>
                          </w:r>
                          <w:r>
                            <w:t>81</w:t>
                          </w:r>
                          <w:r>
                            <w:fldChar w:fldCharType="end"/>
                          </w:r>
                          <w:r>
                            <w:t xml:space="preserve"> 页</w:t>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EP8cN2AEAALMDAAAOAAAAAAAAAAEAIAAA&#10;AB4BAABkcnMvZTJvRG9jLnhtbFBLBQYAAAAABgAGAFkBAABoBQAAAAA=&#10;">
              <v:fill on="f" focussize="0,0"/>
              <v:stroke on="f"/>
              <v:imagedata o:title=""/>
              <o:lock v:ext="edit" aspectratio="f"/>
              <v:textbox inset="0mm,0mm,0mm,0mm" style="mso-fit-shape-to-text:t;">
                <w:txbxContent>
                  <w:p w14:paraId="601BDA57">
                    <w:pPr>
                      <w:pStyle w:val="44"/>
                    </w:pPr>
                    <w:r>
                      <w:t xml:space="preserve">第 </w:t>
                    </w:r>
                    <w:r>
                      <w:fldChar w:fldCharType="begin"/>
                    </w:r>
                    <w:r>
                      <w:instrText xml:space="preserve"> PAGE  \* MERGEFORMAT </w:instrText>
                    </w:r>
                    <w:r>
                      <w:fldChar w:fldCharType="separate"/>
                    </w:r>
                    <w:r>
                      <w:t>- 71 -</w:t>
                    </w:r>
                    <w:r>
                      <w:fldChar w:fldCharType="end"/>
                    </w:r>
                    <w:r>
                      <w:t xml:space="preserve"> 页 共 </w:t>
                    </w:r>
                    <w:r>
                      <w:fldChar w:fldCharType="begin"/>
                    </w:r>
                    <w:r>
                      <w:instrText xml:space="preserve"> NUMPAGES  \* MERGEFORMAT </w:instrText>
                    </w:r>
                    <w:r>
                      <w:fldChar w:fldCharType="separate"/>
                    </w:r>
                    <w:r>
                      <w:t>81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C2103">
    <w:pPr>
      <w:pStyle w:val="44"/>
      <w:framePr w:wrap="around" w:vAnchor="text" w:hAnchor="margin" w:xAlign="center" w:y="1"/>
      <w:rPr>
        <w:rStyle w:val="74"/>
      </w:rPr>
    </w:pPr>
    <w:r>
      <w:fldChar w:fldCharType="begin"/>
    </w:r>
    <w:r>
      <w:rPr>
        <w:rStyle w:val="74"/>
      </w:rPr>
      <w:instrText xml:space="preserve">PAGE  </w:instrText>
    </w:r>
    <w:r>
      <w:fldChar w:fldCharType="separate"/>
    </w:r>
    <w:r>
      <w:rPr>
        <w:rStyle w:val="74"/>
      </w:rPr>
      <w:t>1</w:t>
    </w:r>
    <w:r>
      <w:fldChar w:fldCharType="end"/>
    </w:r>
  </w:p>
  <w:p w14:paraId="0AF9A55B">
    <w:pPr>
      <w:pStyle w:val="4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D5C74">
    <w:pPr>
      <w:pStyle w:val="4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5365BC">
                          <w:pPr>
                            <w:pStyle w:val="44"/>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页</w:t>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jvxpz2AEAALMDAAAOAAAAAAAAAAEAIAAA&#10;AB4BAABkcnMvZTJvRG9jLnhtbFBLBQYAAAAABgAGAFkBAABoBQAAAAA=&#10;">
              <v:fill on="f" focussize="0,0"/>
              <v:stroke on="f"/>
              <v:imagedata o:title=""/>
              <o:lock v:ext="edit" aspectratio="f"/>
              <v:textbox inset="0mm,0mm,0mm,0mm" style="mso-fit-shape-to-text:t;">
                <w:txbxContent>
                  <w:p w14:paraId="345365BC">
                    <w:pPr>
                      <w:pStyle w:val="44"/>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9AC34">
    <w:pPr>
      <w:pStyle w:val="46"/>
      <w:pBdr>
        <w:bottom w:val="none" w:color="auto" w:sz="0" w:space="1"/>
      </w:pBdr>
      <w:tabs>
        <w:tab w:val="left" w:pos="3594"/>
        <w:tab w:val="clear" w:pos="4153"/>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CC46E">
    <w:pPr>
      <w:pStyle w:val="46"/>
      <w:pBdr>
        <w:bottom w:val="none" w:color="auto" w:sz="0" w:space="1"/>
      </w:pBdr>
      <w:jc w:val="left"/>
    </w:pPr>
    <w:r>
      <w:rPr>
        <w:rFonts w:hint="eastAsia"/>
      </w:rPr>
      <w:t xml:space="preserve">                                                                                 </w:t>
    </w:r>
  </w:p>
  <w:p w14:paraId="40149FA6">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55E428"/>
    <w:multiLevelType w:val="singleLevel"/>
    <w:tmpl w:val="EA55E428"/>
    <w:lvl w:ilvl="0" w:tentative="0">
      <w:start w:val="1"/>
      <w:numFmt w:val="decimal"/>
      <w:suff w:val="nothing"/>
      <w:lvlText w:val="%1）"/>
      <w:lvlJc w:val="left"/>
      <w:pPr>
        <w:ind w:left="210"/>
      </w:pPr>
    </w:lvl>
  </w:abstractNum>
  <w:abstractNum w:abstractNumId="1">
    <w:nsid w:val="20620658"/>
    <w:multiLevelType w:val="multilevel"/>
    <w:tmpl w:val="20620658"/>
    <w:lvl w:ilvl="0" w:tentative="0">
      <w:start w:val="1"/>
      <w:numFmt w:val="bullet"/>
      <w:pStyle w:val="27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30BFE2D6"/>
    <w:multiLevelType w:val="singleLevel"/>
    <w:tmpl w:val="30BFE2D6"/>
    <w:lvl w:ilvl="0" w:tentative="0">
      <w:start w:val="1"/>
      <w:numFmt w:val="decimal"/>
      <w:suff w:val="nothing"/>
      <w:lvlText w:val="（%1）"/>
      <w:lvlJc w:val="left"/>
    </w:lvl>
  </w:abstractNum>
  <w:abstractNum w:abstractNumId="3">
    <w:nsid w:val="44121AA6"/>
    <w:multiLevelType w:val="multilevel"/>
    <w:tmpl w:val="44121AA6"/>
    <w:lvl w:ilvl="0" w:tentative="0">
      <w:start w:val="1"/>
      <w:numFmt w:val="decimal"/>
      <w:pStyle w:val="353"/>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3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1002338"/>
    <w:multiLevelType w:val="singleLevel"/>
    <w:tmpl w:val="51002338"/>
    <w:lvl w:ilvl="0" w:tentative="0">
      <w:start w:val="1"/>
      <w:numFmt w:val="bullet"/>
      <w:pStyle w:val="39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231"/>
      <w:lvlText w:val="%1"/>
      <w:lvlJc w:val="left"/>
      <w:pPr>
        <w:tabs>
          <w:tab w:val="left" w:pos="567"/>
        </w:tabs>
        <w:ind w:left="567" w:hanging="567"/>
      </w:pPr>
      <w:rPr>
        <w:rFonts w:hint="eastAsia"/>
      </w:rPr>
    </w:lvl>
    <w:lvl w:ilvl="1" w:tentative="0">
      <w:start w:val="1"/>
      <w:numFmt w:val="decimal"/>
      <w:pStyle w:val="240"/>
      <w:lvlText w:val="%1.%2"/>
      <w:lvlJc w:val="left"/>
      <w:pPr>
        <w:tabs>
          <w:tab w:val="left" w:pos="1004"/>
        </w:tabs>
        <w:ind w:left="567" w:hanging="283"/>
      </w:pPr>
      <w:rPr>
        <w:rFonts w:hint="eastAsia"/>
      </w:rPr>
    </w:lvl>
    <w:lvl w:ilvl="2" w:tentative="0">
      <w:start w:val="1"/>
      <w:numFmt w:val="decimal"/>
      <w:pStyle w:val="23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6">
    <w:nsid w:val="6A17B563"/>
    <w:multiLevelType w:val="singleLevel"/>
    <w:tmpl w:val="6A17B563"/>
    <w:lvl w:ilvl="0" w:tentative="0">
      <w:start w:val="2"/>
      <w:numFmt w:val="decimal"/>
      <w:suff w:val="nothing"/>
      <w:lvlText w:val="%1、"/>
      <w:lvlJc w:val="left"/>
    </w:lvl>
  </w:abstractNum>
  <w:num w:numId="1">
    <w:abstractNumId w:val="3"/>
  </w:num>
  <w:num w:numId="2">
    <w:abstractNumId w:val="5"/>
  </w:num>
  <w:num w:numId="3">
    <w:abstractNumId w:val="1"/>
  </w:num>
  <w:num w:numId="4">
    <w:abstractNumId w:val="4"/>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trackRevisions w:val="1"/>
  <w:documentProtection w:enforcement="0"/>
  <w:defaultTabStop w:val="425"/>
  <w:drawingGridHorizontalSpacing w:val="-1"/>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iNDY3ZDhhODIxMGYzOGMwMjc2YTU1ODQyYzNiNDA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49F"/>
    <w:rsid w:val="000A590A"/>
    <w:rsid w:val="000A5EF3"/>
    <w:rsid w:val="000A73B5"/>
    <w:rsid w:val="000B0474"/>
    <w:rsid w:val="000B1AD5"/>
    <w:rsid w:val="000B3040"/>
    <w:rsid w:val="000B3934"/>
    <w:rsid w:val="000B3D99"/>
    <w:rsid w:val="000B7FB3"/>
    <w:rsid w:val="000C1D10"/>
    <w:rsid w:val="000C6094"/>
    <w:rsid w:val="000C71C3"/>
    <w:rsid w:val="000D13A1"/>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35E9"/>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238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3AF7"/>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5128"/>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43B1"/>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61C"/>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4F13"/>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78A"/>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6F27"/>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5FA"/>
    <w:rsid w:val="00E446AF"/>
    <w:rsid w:val="00E452C1"/>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0378"/>
    <w:rsid w:val="00F8352D"/>
    <w:rsid w:val="00F84DE6"/>
    <w:rsid w:val="00F872B8"/>
    <w:rsid w:val="00F87514"/>
    <w:rsid w:val="00F91439"/>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30A99"/>
    <w:rsid w:val="014632E9"/>
    <w:rsid w:val="017304C1"/>
    <w:rsid w:val="017A599A"/>
    <w:rsid w:val="0180792C"/>
    <w:rsid w:val="01D0581A"/>
    <w:rsid w:val="01D45DBD"/>
    <w:rsid w:val="01EA5B5D"/>
    <w:rsid w:val="01FD379F"/>
    <w:rsid w:val="02092C94"/>
    <w:rsid w:val="02182ED7"/>
    <w:rsid w:val="021B45CA"/>
    <w:rsid w:val="021D6BA4"/>
    <w:rsid w:val="02685011"/>
    <w:rsid w:val="026A7EBB"/>
    <w:rsid w:val="027A7D46"/>
    <w:rsid w:val="029247C2"/>
    <w:rsid w:val="02952499"/>
    <w:rsid w:val="02BD6408"/>
    <w:rsid w:val="02C3058F"/>
    <w:rsid w:val="0318678D"/>
    <w:rsid w:val="0319427F"/>
    <w:rsid w:val="03284EF4"/>
    <w:rsid w:val="038B058F"/>
    <w:rsid w:val="03972EB4"/>
    <w:rsid w:val="039755A9"/>
    <w:rsid w:val="03AD739F"/>
    <w:rsid w:val="03CC330E"/>
    <w:rsid w:val="03D93E7B"/>
    <w:rsid w:val="03E53491"/>
    <w:rsid w:val="03F930E0"/>
    <w:rsid w:val="04166CBB"/>
    <w:rsid w:val="04413C77"/>
    <w:rsid w:val="045B30F0"/>
    <w:rsid w:val="045E5DB1"/>
    <w:rsid w:val="04781A0B"/>
    <w:rsid w:val="048D158B"/>
    <w:rsid w:val="04B07552"/>
    <w:rsid w:val="04D75029"/>
    <w:rsid w:val="04E82E87"/>
    <w:rsid w:val="05183577"/>
    <w:rsid w:val="054624C0"/>
    <w:rsid w:val="055A7479"/>
    <w:rsid w:val="05A82467"/>
    <w:rsid w:val="06053772"/>
    <w:rsid w:val="06154BF6"/>
    <w:rsid w:val="06527077"/>
    <w:rsid w:val="069468A4"/>
    <w:rsid w:val="06B238FA"/>
    <w:rsid w:val="06D14EBD"/>
    <w:rsid w:val="06FD0CB9"/>
    <w:rsid w:val="070174DD"/>
    <w:rsid w:val="07230354"/>
    <w:rsid w:val="07487DBA"/>
    <w:rsid w:val="074E58B6"/>
    <w:rsid w:val="0754386A"/>
    <w:rsid w:val="07824AE6"/>
    <w:rsid w:val="078B2285"/>
    <w:rsid w:val="07E85C76"/>
    <w:rsid w:val="0845254C"/>
    <w:rsid w:val="086E55FF"/>
    <w:rsid w:val="087F053F"/>
    <w:rsid w:val="08B4685D"/>
    <w:rsid w:val="08D86F1C"/>
    <w:rsid w:val="08DF22B7"/>
    <w:rsid w:val="08DFC2C2"/>
    <w:rsid w:val="091525A6"/>
    <w:rsid w:val="09270AC2"/>
    <w:rsid w:val="095F7EF2"/>
    <w:rsid w:val="097370B2"/>
    <w:rsid w:val="09834B89"/>
    <w:rsid w:val="0A0A186B"/>
    <w:rsid w:val="0A0C3321"/>
    <w:rsid w:val="0A29291A"/>
    <w:rsid w:val="0A481E7F"/>
    <w:rsid w:val="0A614FB4"/>
    <w:rsid w:val="0A8B2A9B"/>
    <w:rsid w:val="0A9B46A5"/>
    <w:rsid w:val="0A9C51C6"/>
    <w:rsid w:val="0AB301DC"/>
    <w:rsid w:val="0AB40A04"/>
    <w:rsid w:val="0AC316EE"/>
    <w:rsid w:val="0AD5650C"/>
    <w:rsid w:val="0ADE33D0"/>
    <w:rsid w:val="0AF321B5"/>
    <w:rsid w:val="0AF77F1D"/>
    <w:rsid w:val="0B145B1D"/>
    <w:rsid w:val="0B867103"/>
    <w:rsid w:val="0B8E33DE"/>
    <w:rsid w:val="0B9478FA"/>
    <w:rsid w:val="0B9F52E7"/>
    <w:rsid w:val="0BC064EB"/>
    <w:rsid w:val="0BC3770C"/>
    <w:rsid w:val="0BE5207C"/>
    <w:rsid w:val="0C336F3C"/>
    <w:rsid w:val="0C591EDF"/>
    <w:rsid w:val="0C9C64B3"/>
    <w:rsid w:val="0C9E6B7A"/>
    <w:rsid w:val="0CAA2B93"/>
    <w:rsid w:val="0CC0233A"/>
    <w:rsid w:val="0CFE5478"/>
    <w:rsid w:val="0D0A1382"/>
    <w:rsid w:val="0D336E17"/>
    <w:rsid w:val="0D486ADA"/>
    <w:rsid w:val="0D4A750E"/>
    <w:rsid w:val="0D58687D"/>
    <w:rsid w:val="0D626C3B"/>
    <w:rsid w:val="0D64792D"/>
    <w:rsid w:val="0D6A16EC"/>
    <w:rsid w:val="0D876767"/>
    <w:rsid w:val="0D876A13"/>
    <w:rsid w:val="0D896A37"/>
    <w:rsid w:val="0D95362E"/>
    <w:rsid w:val="0DA26453"/>
    <w:rsid w:val="0DA770AD"/>
    <w:rsid w:val="0DD27C3B"/>
    <w:rsid w:val="0DFC28F6"/>
    <w:rsid w:val="0E2B7D93"/>
    <w:rsid w:val="0E373118"/>
    <w:rsid w:val="0E496643"/>
    <w:rsid w:val="0E4F68B5"/>
    <w:rsid w:val="0E533B1E"/>
    <w:rsid w:val="0E5D545D"/>
    <w:rsid w:val="0E8042DE"/>
    <w:rsid w:val="0EE303C9"/>
    <w:rsid w:val="0EE95F3F"/>
    <w:rsid w:val="0F0B2F60"/>
    <w:rsid w:val="0F130CAE"/>
    <w:rsid w:val="0F431140"/>
    <w:rsid w:val="0F462779"/>
    <w:rsid w:val="0F5749B5"/>
    <w:rsid w:val="0FC63F72"/>
    <w:rsid w:val="0FD13002"/>
    <w:rsid w:val="100A0195"/>
    <w:rsid w:val="100E4F0E"/>
    <w:rsid w:val="108A229B"/>
    <w:rsid w:val="1091537A"/>
    <w:rsid w:val="109702D9"/>
    <w:rsid w:val="10A818CA"/>
    <w:rsid w:val="10B27529"/>
    <w:rsid w:val="10BF2678"/>
    <w:rsid w:val="10E609C3"/>
    <w:rsid w:val="10F36003"/>
    <w:rsid w:val="11325C37"/>
    <w:rsid w:val="113A2488"/>
    <w:rsid w:val="114F333B"/>
    <w:rsid w:val="116027BD"/>
    <w:rsid w:val="118037BD"/>
    <w:rsid w:val="11E93F22"/>
    <w:rsid w:val="11FA7E8B"/>
    <w:rsid w:val="12016BBD"/>
    <w:rsid w:val="121960FF"/>
    <w:rsid w:val="122A16E9"/>
    <w:rsid w:val="12365492"/>
    <w:rsid w:val="12425D0A"/>
    <w:rsid w:val="12694630"/>
    <w:rsid w:val="126E269F"/>
    <w:rsid w:val="12791770"/>
    <w:rsid w:val="129804E4"/>
    <w:rsid w:val="12981456"/>
    <w:rsid w:val="12B94205"/>
    <w:rsid w:val="12EE3177"/>
    <w:rsid w:val="12F516DE"/>
    <w:rsid w:val="12F70CD7"/>
    <w:rsid w:val="13166FBF"/>
    <w:rsid w:val="134F32C5"/>
    <w:rsid w:val="1360511F"/>
    <w:rsid w:val="139D148E"/>
    <w:rsid w:val="13E72029"/>
    <w:rsid w:val="140733BE"/>
    <w:rsid w:val="14096037"/>
    <w:rsid w:val="140B095A"/>
    <w:rsid w:val="14186D67"/>
    <w:rsid w:val="14322372"/>
    <w:rsid w:val="14796060"/>
    <w:rsid w:val="14904005"/>
    <w:rsid w:val="149A3C1F"/>
    <w:rsid w:val="14AD4E8A"/>
    <w:rsid w:val="14B051F1"/>
    <w:rsid w:val="14B24AC5"/>
    <w:rsid w:val="14CE55A9"/>
    <w:rsid w:val="14ED722D"/>
    <w:rsid w:val="15084E4C"/>
    <w:rsid w:val="150E77AB"/>
    <w:rsid w:val="152D1372"/>
    <w:rsid w:val="153202CF"/>
    <w:rsid w:val="15442EE9"/>
    <w:rsid w:val="158516F5"/>
    <w:rsid w:val="15891CCA"/>
    <w:rsid w:val="158E028D"/>
    <w:rsid w:val="158E3FCE"/>
    <w:rsid w:val="15B14D7D"/>
    <w:rsid w:val="15FB5EE3"/>
    <w:rsid w:val="15FD7AAD"/>
    <w:rsid w:val="160C4328"/>
    <w:rsid w:val="16221904"/>
    <w:rsid w:val="16783AEC"/>
    <w:rsid w:val="167C64AD"/>
    <w:rsid w:val="168F21A6"/>
    <w:rsid w:val="16A62408"/>
    <w:rsid w:val="16D84731"/>
    <w:rsid w:val="1705358F"/>
    <w:rsid w:val="17240B63"/>
    <w:rsid w:val="17263548"/>
    <w:rsid w:val="176D312F"/>
    <w:rsid w:val="178002DC"/>
    <w:rsid w:val="17A57A05"/>
    <w:rsid w:val="17E73651"/>
    <w:rsid w:val="1800679F"/>
    <w:rsid w:val="181D611D"/>
    <w:rsid w:val="183B1275"/>
    <w:rsid w:val="184369CD"/>
    <w:rsid w:val="188176F5"/>
    <w:rsid w:val="18C9062F"/>
    <w:rsid w:val="18D554F0"/>
    <w:rsid w:val="18FC0A05"/>
    <w:rsid w:val="190008B1"/>
    <w:rsid w:val="19155F8E"/>
    <w:rsid w:val="192B02E8"/>
    <w:rsid w:val="1938117D"/>
    <w:rsid w:val="198D4F73"/>
    <w:rsid w:val="19B26FA6"/>
    <w:rsid w:val="19B35DAB"/>
    <w:rsid w:val="19C23E4D"/>
    <w:rsid w:val="1A2F0501"/>
    <w:rsid w:val="1A4A1406"/>
    <w:rsid w:val="1A676352"/>
    <w:rsid w:val="1A6E76E0"/>
    <w:rsid w:val="1A7D560F"/>
    <w:rsid w:val="1A845F8B"/>
    <w:rsid w:val="1A892F12"/>
    <w:rsid w:val="1A967D99"/>
    <w:rsid w:val="1AF71484"/>
    <w:rsid w:val="1B097C98"/>
    <w:rsid w:val="1B8151F1"/>
    <w:rsid w:val="1B9370A5"/>
    <w:rsid w:val="1BA07D6D"/>
    <w:rsid w:val="1BD7350D"/>
    <w:rsid w:val="1BE22134"/>
    <w:rsid w:val="1BE77381"/>
    <w:rsid w:val="1C1C7107"/>
    <w:rsid w:val="1C40124F"/>
    <w:rsid w:val="1C7E0151"/>
    <w:rsid w:val="1CA14029"/>
    <w:rsid w:val="1CC14E15"/>
    <w:rsid w:val="1D2F75FB"/>
    <w:rsid w:val="1D3C75D4"/>
    <w:rsid w:val="1D4120E0"/>
    <w:rsid w:val="1D5C7CC4"/>
    <w:rsid w:val="1D963E4D"/>
    <w:rsid w:val="1DAF3C4F"/>
    <w:rsid w:val="1DC31AF1"/>
    <w:rsid w:val="1DDC1820"/>
    <w:rsid w:val="1DE80AEF"/>
    <w:rsid w:val="1DF024E6"/>
    <w:rsid w:val="1E160548"/>
    <w:rsid w:val="1E206F43"/>
    <w:rsid w:val="1E2C7696"/>
    <w:rsid w:val="1E4145C6"/>
    <w:rsid w:val="1E6F5A76"/>
    <w:rsid w:val="1E980A20"/>
    <w:rsid w:val="1EDF5D2E"/>
    <w:rsid w:val="1EE7180F"/>
    <w:rsid w:val="1F230100"/>
    <w:rsid w:val="1F947BE9"/>
    <w:rsid w:val="1FAB0423"/>
    <w:rsid w:val="1FCF29CF"/>
    <w:rsid w:val="1FD35646"/>
    <w:rsid w:val="1FD95AFA"/>
    <w:rsid w:val="1FDF698A"/>
    <w:rsid w:val="1FFB0D8B"/>
    <w:rsid w:val="1FFF72A8"/>
    <w:rsid w:val="202304E1"/>
    <w:rsid w:val="20364B19"/>
    <w:rsid w:val="2063638E"/>
    <w:rsid w:val="206E1527"/>
    <w:rsid w:val="207614C7"/>
    <w:rsid w:val="208A2F0D"/>
    <w:rsid w:val="20AB1BCE"/>
    <w:rsid w:val="20FD415B"/>
    <w:rsid w:val="2110329F"/>
    <w:rsid w:val="21604F15"/>
    <w:rsid w:val="216D6C6A"/>
    <w:rsid w:val="218C65A0"/>
    <w:rsid w:val="21C31D33"/>
    <w:rsid w:val="21DF2C72"/>
    <w:rsid w:val="21F52495"/>
    <w:rsid w:val="21F77036"/>
    <w:rsid w:val="22444FFC"/>
    <w:rsid w:val="226713AA"/>
    <w:rsid w:val="228724F4"/>
    <w:rsid w:val="22B96EF2"/>
    <w:rsid w:val="22D273CC"/>
    <w:rsid w:val="22E01F27"/>
    <w:rsid w:val="22EE7BA3"/>
    <w:rsid w:val="22F823B7"/>
    <w:rsid w:val="230B29E8"/>
    <w:rsid w:val="232474D6"/>
    <w:rsid w:val="234C5C0A"/>
    <w:rsid w:val="235713DB"/>
    <w:rsid w:val="235C0A1E"/>
    <w:rsid w:val="2361167A"/>
    <w:rsid w:val="2376513E"/>
    <w:rsid w:val="237B79FC"/>
    <w:rsid w:val="239B5827"/>
    <w:rsid w:val="23AA37BE"/>
    <w:rsid w:val="23D52360"/>
    <w:rsid w:val="23E700DB"/>
    <w:rsid w:val="23F70746"/>
    <w:rsid w:val="241263FA"/>
    <w:rsid w:val="243279D1"/>
    <w:rsid w:val="247D4E2F"/>
    <w:rsid w:val="247E6772"/>
    <w:rsid w:val="248526B0"/>
    <w:rsid w:val="24AE6BED"/>
    <w:rsid w:val="24CD1C7C"/>
    <w:rsid w:val="24EC5DD1"/>
    <w:rsid w:val="24EF7670"/>
    <w:rsid w:val="250B627F"/>
    <w:rsid w:val="252A35C3"/>
    <w:rsid w:val="252A5014"/>
    <w:rsid w:val="252E08C8"/>
    <w:rsid w:val="253A156C"/>
    <w:rsid w:val="253D688E"/>
    <w:rsid w:val="25811F84"/>
    <w:rsid w:val="25955E6B"/>
    <w:rsid w:val="25B47E8B"/>
    <w:rsid w:val="25C0410A"/>
    <w:rsid w:val="25C73EF5"/>
    <w:rsid w:val="25CD3A33"/>
    <w:rsid w:val="25CD4B48"/>
    <w:rsid w:val="25DE2ED3"/>
    <w:rsid w:val="26127ABA"/>
    <w:rsid w:val="26350C30"/>
    <w:rsid w:val="26391AD4"/>
    <w:rsid w:val="26441401"/>
    <w:rsid w:val="266F6CBA"/>
    <w:rsid w:val="267A11BB"/>
    <w:rsid w:val="26864C79"/>
    <w:rsid w:val="26895610"/>
    <w:rsid w:val="269D2300"/>
    <w:rsid w:val="26B02E2F"/>
    <w:rsid w:val="27167E66"/>
    <w:rsid w:val="272E5AF9"/>
    <w:rsid w:val="273E1940"/>
    <w:rsid w:val="274709D3"/>
    <w:rsid w:val="274922A9"/>
    <w:rsid w:val="27982240"/>
    <w:rsid w:val="27C67DC2"/>
    <w:rsid w:val="27D2695F"/>
    <w:rsid w:val="27E352F1"/>
    <w:rsid w:val="28194A8D"/>
    <w:rsid w:val="281B2CF8"/>
    <w:rsid w:val="281C78A0"/>
    <w:rsid w:val="28256E79"/>
    <w:rsid w:val="28315B0F"/>
    <w:rsid w:val="284E0D7C"/>
    <w:rsid w:val="28615FED"/>
    <w:rsid w:val="289167BB"/>
    <w:rsid w:val="28994AED"/>
    <w:rsid w:val="28AA60BD"/>
    <w:rsid w:val="28BD5A64"/>
    <w:rsid w:val="28C1595C"/>
    <w:rsid w:val="28CB3F50"/>
    <w:rsid w:val="29157F47"/>
    <w:rsid w:val="291C47AB"/>
    <w:rsid w:val="29465FC4"/>
    <w:rsid w:val="2964062C"/>
    <w:rsid w:val="296C128F"/>
    <w:rsid w:val="29787C34"/>
    <w:rsid w:val="29AD7F37"/>
    <w:rsid w:val="29AF5B24"/>
    <w:rsid w:val="29B82726"/>
    <w:rsid w:val="29FC6AB7"/>
    <w:rsid w:val="2A543C16"/>
    <w:rsid w:val="2A5769AF"/>
    <w:rsid w:val="2A670A20"/>
    <w:rsid w:val="2A7E62D2"/>
    <w:rsid w:val="2A867B08"/>
    <w:rsid w:val="2AA505CA"/>
    <w:rsid w:val="2AAD6003"/>
    <w:rsid w:val="2AC03D5B"/>
    <w:rsid w:val="2AC74862"/>
    <w:rsid w:val="2AFC049A"/>
    <w:rsid w:val="2B1174CF"/>
    <w:rsid w:val="2B2965E2"/>
    <w:rsid w:val="2B3758CC"/>
    <w:rsid w:val="2B4C3FEE"/>
    <w:rsid w:val="2B5968F3"/>
    <w:rsid w:val="2B5E3ACF"/>
    <w:rsid w:val="2B6366C1"/>
    <w:rsid w:val="2B72321A"/>
    <w:rsid w:val="2BBE0EFB"/>
    <w:rsid w:val="2BEE0681"/>
    <w:rsid w:val="2BF437BD"/>
    <w:rsid w:val="2C3149ED"/>
    <w:rsid w:val="2C3F7F47"/>
    <w:rsid w:val="2C5A6561"/>
    <w:rsid w:val="2CC643CB"/>
    <w:rsid w:val="2CF45755"/>
    <w:rsid w:val="2D12214D"/>
    <w:rsid w:val="2D1B430E"/>
    <w:rsid w:val="2D28344E"/>
    <w:rsid w:val="2D367684"/>
    <w:rsid w:val="2D39083C"/>
    <w:rsid w:val="2D4665AA"/>
    <w:rsid w:val="2D507710"/>
    <w:rsid w:val="2D68223B"/>
    <w:rsid w:val="2D803FCC"/>
    <w:rsid w:val="2D853CE9"/>
    <w:rsid w:val="2D8E7E8C"/>
    <w:rsid w:val="2DB07390"/>
    <w:rsid w:val="2DB651CE"/>
    <w:rsid w:val="2DC46A3D"/>
    <w:rsid w:val="2DD37B2E"/>
    <w:rsid w:val="2E044CA6"/>
    <w:rsid w:val="2E1A0836"/>
    <w:rsid w:val="2E567479"/>
    <w:rsid w:val="2E58409F"/>
    <w:rsid w:val="2E686AE3"/>
    <w:rsid w:val="2EDD678B"/>
    <w:rsid w:val="2EEF45A5"/>
    <w:rsid w:val="2F1617F9"/>
    <w:rsid w:val="2F192FE1"/>
    <w:rsid w:val="2F1B482E"/>
    <w:rsid w:val="2FDB716E"/>
    <w:rsid w:val="300E30A0"/>
    <w:rsid w:val="30690462"/>
    <w:rsid w:val="30717F78"/>
    <w:rsid w:val="3088073D"/>
    <w:rsid w:val="309D4424"/>
    <w:rsid w:val="30E3251D"/>
    <w:rsid w:val="30E52DF7"/>
    <w:rsid w:val="30ED1751"/>
    <w:rsid w:val="30F05D12"/>
    <w:rsid w:val="31865A2C"/>
    <w:rsid w:val="31A220C9"/>
    <w:rsid w:val="31AD276B"/>
    <w:rsid w:val="31D21631"/>
    <w:rsid w:val="31D4346C"/>
    <w:rsid w:val="31FC7C6F"/>
    <w:rsid w:val="31FD5CD3"/>
    <w:rsid w:val="31FE56AB"/>
    <w:rsid w:val="321C534C"/>
    <w:rsid w:val="32562ADC"/>
    <w:rsid w:val="32A6041D"/>
    <w:rsid w:val="32B77C20"/>
    <w:rsid w:val="32D33B48"/>
    <w:rsid w:val="330A6136"/>
    <w:rsid w:val="332C1A1E"/>
    <w:rsid w:val="333A0650"/>
    <w:rsid w:val="334D7CB1"/>
    <w:rsid w:val="335E186A"/>
    <w:rsid w:val="33904450"/>
    <w:rsid w:val="33A15FD9"/>
    <w:rsid w:val="33B55AB8"/>
    <w:rsid w:val="33BA369E"/>
    <w:rsid w:val="33CC62BF"/>
    <w:rsid w:val="33CC71B6"/>
    <w:rsid w:val="33F021D9"/>
    <w:rsid w:val="33F97BC3"/>
    <w:rsid w:val="341543C7"/>
    <w:rsid w:val="342235BE"/>
    <w:rsid w:val="34256C0A"/>
    <w:rsid w:val="345C0A09"/>
    <w:rsid w:val="348E0C53"/>
    <w:rsid w:val="348E492F"/>
    <w:rsid w:val="34A871B4"/>
    <w:rsid w:val="34C96FC9"/>
    <w:rsid w:val="34EC73A7"/>
    <w:rsid w:val="350B4EB3"/>
    <w:rsid w:val="354619FD"/>
    <w:rsid w:val="354B6F43"/>
    <w:rsid w:val="357470FE"/>
    <w:rsid w:val="357C6459"/>
    <w:rsid w:val="358F6D1F"/>
    <w:rsid w:val="35A34598"/>
    <w:rsid w:val="35BC0855"/>
    <w:rsid w:val="35EE1A07"/>
    <w:rsid w:val="35FA5E74"/>
    <w:rsid w:val="3627057D"/>
    <w:rsid w:val="362979CB"/>
    <w:rsid w:val="36321504"/>
    <w:rsid w:val="364517E5"/>
    <w:rsid w:val="366E0FE7"/>
    <w:rsid w:val="3676647F"/>
    <w:rsid w:val="36926714"/>
    <w:rsid w:val="36E5185A"/>
    <w:rsid w:val="36F8579B"/>
    <w:rsid w:val="371D006C"/>
    <w:rsid w:val="37503970"/>
    <w:rsid w:val="375D4E55"/>
    <w:rsid w:val="37742091"/>
    <w:rsid w:val="37A54C75"/>
    <w:rsid w:val="37CE2C4D"/>
    <w:rsid w:val="37D92A77"/>
    <w:rsid w:val="37E1297B"/>
    <w:rsid w:val="37E46D74"/>
    <w:rsid w:val="380F6BF8"/>
    <w:rsid w:val="381118FE"/>
    <w:rsid w:val="381A5944"/>
    <w:rsid w:val="383B552D"/>
    <w:rsid w:val="383E64EC"/>
    <w:rsid w:val="385734B4"/>
    <w:rsid w:val="3867746A"/>
    <w:rsid w:val="38706F66"/>
    <w:rsid w:val="3878571C"/>
    <w:rsid w:val="387F09BD"/>
    <w:rsid w:val="38A27244"/>
    <w:rsid w:val="38A325C8"/>
    <w:rsid w:val="38F9260D"/>
    <w:rsid w:val="39161493"/>
    <w:rsid w:val="39261FCD"/>
    <w:rsid w:val="395123E3"/>
    <w:rsid w:val="39A93E39"/>
    <w:rsid w:val="39BA7A46"/>
    <w:rsid w:val="39C245DE"/>
    <w:rsid w:val="39E676B1"/>
    <w:rsid w:val="3A3C0AFE"/>
    <w:rsid w:val="3A64005A"/>
    <w:rsid w:val="3A6F433E"/>
    <w:rsid w:val="3A7323FE"/>
    <w:rsid w:val="3AB34674"/>
    <w:rsid w:val="3ACE47E2"/>
    <w:rsid w:val="3ADE3F64"/>
    <w:rsid w:val="3AE50EB8"/>
    <w:rsid w:val="3AEC0481"/>
    <w:rsid w:val="3AEF0793"/>
    <w:rsid w:val="3AFF4718"/>
    <w:rsid w:val="3B194E47"/>
    <w:rsid w:val="3B57501A"/>
    <w:rsid w:val="3B6A55BB"/>
    <w:rsid w:val="3B6E70E8"/>
    <w:rsid w:val="3B736C74"/>
    <w:rsid w:val="3B845B58"/>
    <w:rsid w:val="3BA8593A"/>
    <w:rsid w:val="3BC33FF6"/>
    <w:rsid w:val="3BD73299"/>
    <w:rsid w:val="3BDA4592"/>
    <w:rsid w:val="3BE9442B"/>
    <w:rsid w:val="3BEA5B72"/>
    <w:rsid w:val="3C055024"/>
    <w:rsid w:val="3C471A00"/>
    <w:rsid w:val="3C481A37"/>
    <w:rsid w:val="3CA8487C"/>
    <w:rsid w:val="3CB34F6A"/>
    <w:rsid w:val="3CCD54F2"/>
    <w:rsid w:val="3CE31410"/>
    <w:rsid w:val="3D0A1093"/>
    <w:rsid w:val="3D1A3101"/>
    <w:rsid w:val="3D3F3FF7"/>
    <w:rsid w:val="3D575A56"/>
    <w:rsid w:val="3DB615EA"/>
    <w:rsid w:val="3E072EB3"/>
    <w:rsid w:val="3E104EE8"/>
    <w:rsid w:val="3E20466E"/>
    <w:rsid w:val="3E2B7A52"/>
    <w:rsid w:val="3E4FB8C9"/>
    <w:rsid w:val="3E721CCA"/>
    <w:rsid w:val="3E7A6819"/>
    <w:rsid w:val="3E8C0F2F"/>
    <w:rsid w:val="3EA846BF"/>
    <w:rsid w:val="3ED90BC5"/>
    <w:rsid w:val="3EE71D6D"/>
    <w:rsid w:val="3EE94778"/>
    <w:rsid w:val="3F23133A"/>
    <w:rsid w:val="3F8F3AD1"/>
    <w:rsid w:val="3FAE5F56"/>
    <w:rsid w:val="3FB039E7"/>
    <w:rsid w:val="3FBB328D"/>
    <w:rsid w:val="3FBB6674"/>
    <w:rsid w:val="3FBF464D"/>
    <w:rsid w:val="4016013A"/>
    <w:rsid w:val="402F092D"/>
    <w:rsid w:val="40306756"/>
    <w:rsid w:val="40312A07"/>
    <w:rsid w:val="405F5252"/>
    <w:rsid w:val="407414E6"/>
    <w:rsid w:val="407927B7"/>
    <w:rsid w:val="40793D42"/>
    <w:rsid w:val="40A960BE"/>
    <w:rsid w:val="40AC5617"/>
    <w:rsid w:val="40CF45F9"/>
    <w:rsid w:val="40F821DD"/>
    <w:rsid w:val="412E275E"/>
    <w:rsid w:val="41384420"/>
    <w:rsid w:val="41446B78"/>
    <w:rsid w:val="41480106"/>
    <w:rsid w:val="41EC447E"/>
    <w:rsid w:val="42073DF3"/>
    <w:rsid w:val="429733C9"/>
    <w:rsid w:val="429D6505"/>
    <w:rsid w:val="42B31768"/>
    <w:rsid w:val="42BD016D"/>
    <w:rsid w:val="42CB55EF"/>
    <w:rsid w:val="42DC5ACD"/>
    <w:rsid w:val="42EA181A"/>
    <w:rsid w:val="42FC25E4"/>
    <w:rsid w:val="43014084"/>
    <w:rsid w:val="43055CCC"/>
    <w:rsid w:val="43251BEC"/>
    <w:rsid w:val="434D7F2B"/>
    <w:rsid w:val="437454B8"/>
    <w:rsid w:val="43AC735A"/>
    <w:rsid w:val="43C10D31"/>
    <w:rsid w:val="43C81038"/>
    <w:rsid w:val="43C87B0B"/>
    <w:rsid w:val="43DD4359"/>
    <w:rsid w:val="43F809F6"/>
    <w:rsid w:val="444B5F31"/>
    <w:rsid w:val="444D0173"/>
    <w:rsid w:val="44561E60"/>
    <w:rsid w:val="44623562"/>
    <w:rsid w:val="449B6C71"/>
    <w:rsid w:val="44A842AB"/>
    <w:rsid w:val="44AB315B"/>
    <w:rsid w:val="44BC2C73"/>
    <w:rsid w:val="44C935E1"/>
    <w:rsid w:val="44F344A3"/>
    <w:rsid w:val="45056DB6"/>
    <w:rsid w:val="450A1D60"/>
    <w:rsid w:val="45130A85"/>
    <w:rsid w:val="456A4776"/>
    <w:rsid w:val="456E0A79"/>
    <w:rsid w:val="4588349D"/>
    <w:rsid w:val="45967968"/>
    <w:rsid w:val="45C52EF5"/>
    <w:rsid w:val="45D8270D"/>
    <w:rsid w:val="45E943C4"/>
    <w:rsid w:val="45EF7078"/>
    <w:rsid w:val="460074D7"/>
    <w:rsid w:val="464C0026"/>
    <w:rsid w:val="46594D9C"/>
    <w:rsid w:val="46621D98"/>
    <w:rsid w:val="4678706D"/>
    <w:rsid w:val="46A726F4"/>
    <w:rsid w:val="46DC6B6F"/>
    <w:rsid w:val="46F04E55"/>
    <w:rsid w:val="470C73C0"/>
    <w:rsid w:val="472524AC"/>
    <w:rsid w:val="47306EFC"/>
    <w:rsid w:val="47337969"/>
    <w:rsid w:val="473C746D"/>
    <w:rsid w:val="473F7D5F"/>
    <w:rsid w:val="478A34FC"/>
    <w:rsid w:val="4795551B"/>
    <w:rsid w:val="47BB1907"/>
    <w:rsid w:val="47E56984"/>
    <w:rsid w:val="480908C5"/>
    <w:rsid w:val="4828120E"/>
    <w:rsid w:val="487F6EE2"/>
    <w:rsid w:val="489F168B"/>
    <w:rsid w:val="48A277C9"/>
    <w:rsid w:val="48B31C22"/>
    <w:rsid w:val="48BA51F2"/>
    <w:rsid w:val="48CA7212"/>
    <w:rsid w:val="48CC40D3"/>
    <w:rsid w:val="48E42798"/>
    <w:rsid w:val="49091977"/>
    <w:rsid w:val="499C7E37"/>
    <w:rsid w:val="49EE2FF8"/>
    <w:rsid w:val="49F413CE"/>
    <w:rsid w:val="4A11580F"/>
    <w:rsid w:val="4A3B2AF2"/>
    <w:rsid w:val="4A49730B"/>
    <w:rsid w:val="4A507C23"/>
    <w:rsid w:val="4A73745B"/>
    <w:rsid w:val="4A8C30E7"/>
    <w:rsid w:val="4AA4072B"/>
    <w:rsid w:val="4ABB1C1E"/>
    <w:rsid w:val="4ABC03C2"/>
    <w:rsid w:val="4AD9C975"/>
    <w:rsid w:val="4AE56E9A"/>
    <w:rsid w:val="4AEF218B"/>
    <w:rsid w:val="4AFB1CF7"/>
    <w:rsid w:val="4B0755A7"/>
    <w:rsid w:val="4BA460A8"/>
    <w:rsid w:val="4BC0740B"/>
    <w:rsid w:val="4C053323"/>
    <w:rsid w:val="4C14293E"/>
    <w:rsid w:val="4C432E94"/>
    <w:rsid w:val="4C487C9E"/>
    <w:rsid w:val="4C512CC2"/>
    <w:rsid w:val="4C533E0E"/>
    <w:rsid w:val="4C65508A"/>
    <w:rsid w:val="4C6836E0"/>
    <w:rsid w:val="4C6B4219"/>
    <w:rsid w:val="4C9C4528"/>
    <w:rsid w:val="4CBB7CB4"/>
    <w:rsid w:val="4CBD1C3E"/>
    <w:rsid w:val="4CC572DE"/>
    <w:rsid w:val="4CDA6F16"/>
    <w:rsid w:val="4CE70AA9"/>
    <w:rsid w:val="4CEA67EB"/>
    <w:rsid w:val="4CF11722"/>
    <w:rsid w:val="4D06195D"/>
    <w:rsid w:val="4D5679DC"/>
    <w:rsid w:val="4D5A0DA2"/>
    <w:rsid w:val="4D6054BD"/>
    <w:rsid w:val="4D861EDE"/>
    <w:rsid w:val="4DA7159B"/>
    <w:rsid w:val="4DB30164"/>
    <w:rsid w:val="4DBA440F"/>
    <w:rsid w:val="4DBB1272"/>
    <w:rsid w:val="4DC61441"/>
    <w:rsid w:val="4DC765DC"/>
    <w:rsid w:val="4DEB622B"/>
    <w:rsid w:val="4DF0024E"/>
    <w:rsid w:val="4DF246D3"/>
    <w:rsid w:val="4DF5C661"/>
    <w:rsid w:val="4E032E34"/>
    <w:rsid w:val="4E061402"/>
    <w:rsid w:val="4E2755BA"/>
    <w:rsid w:val="4E4D345F"/>
    <w:rsid w:val="4E6B18E7"/>
    <w:rsid w:val="4EAD1BCB"/>
    <w:rsid w:val="4EC015B1"/>
    <w:rsid w:val="4EC45F97"/>
    <w:rsid w:val="4F0C1A4B"/>
    <w:rsid w:val="4F12510A"/>
    <w:rsid w:val="4F2077B0"/>
    <w:rsid w:val="4F2A0EC9"/>
    <w:rsid w:val="4F384082"/>
    <w:rsid w:val="4F3A3EFA"/>
    <w:rsid w:val="4F5518C2"/>
    <w:rsid w:val="4F697F56"/>
    <w:rsid w:val="4FA75558"/>
    <w:rsid w:val="4FBC1EAB"/>
    <w:rsid w:val="4FC37066"/>
    <w:rsid w:val="4FC9071E"/>
    <w:rsid w:val="4FCD55C2"/>
    <w:rsid w:val="4FD641E5"/>
    <w:rsid w:val="4FE02743"/>
    <w:rsid w:val="4FEB4D54"/>
    <w:rsid w:val="4FF729A1"/>
    <w:rsid w:val="4FF822F0"/>
    <w:rsid w:val="500E2B54"/>
    <w:rsid w:val="5015592D"/>
    <w:rsid w:val="50391D4C"/>
    <w:rsid w:val="503C18AB"/>
    <w:rsid w:val="50633F2D"/>
    <w:rsid w:val="506C31A7"/>
    <w:rsid w:val="50747F96"/>
    <w:rsid w:val="50946536"/>
    <w:rsid w:val="50B609FD"/>
    <w:rsid w:val="50DC39E2"/>
    <w:rsid w:val="50EC0D83"/>
    <w:rsid w:val="50F31D1B"/>
    <w:rsid w:val="50FF0808"/>
    <w:rsid w:val="510E067C"/>
    <w:rsid w:val="5116476D"/>
    <w:rsid w:val="51624806"/>
    <w:rsid w:val="51655576"/>
    <w:rsid w:val="517F0F2C"/>
    <w:rsid w:val="51823496"/>
    <w:rsid w:val="51BA4C91"/>
    <w:rsid w:val="51D57E3C"/>
    <w:rsid w:val="520C05D0"/>
    <w:rsid w:val="5239079E"/>
    <w:rsid w:val="526A713B"/>
    <w:rsid w:val="52775054"/>
    <w:rsid w:val="528D21CD"/>
    <w:rsid w:val="529133F1"/>
    <w:rsid w:val="52935124"/>
    <w:rsid w:val="529369ED"/>
    <w:rsid w:val="52A770BC"/>
    <w:rsid w:val="52BD34BD"/>
    <w:rsid w:val="52BF1C0E"/>
    <w:rsid w:val="52D90AA1"/>
    <w:rsid w:val="52E16484"/>
    <w:rsid w:val="52EB5400"/>
    <w:rsid w:val="53164451"/>
    <w:rsid w:val="531F6EC4"/>
    <w:rsid w:val="53576206"/>
    <w:rsid w:val="535D7CA3"/>
    <w:rsid w:val="537442AC"/>
    <w:rsid w:val="539D565B"/>
    <w:rsid w:val="539E3016"/>
    <w:rsid w:val="53AD2FFA"/>
    <w:rsid w:val="53E2002C"/>
    <w:rsid w:val="53F87D67"/>
    <w:rsid w:val="541B5F54"/>
    <w:rsid w:val="542005B6"/>
    <w:rsid w:val="54382DBF"/>
    <w:rsid w:val="54555784"/>
    <w:rsid w:val="5463310B"/>
    <w:rsid w:val="54766DC6"/>
    <w:rsid w:val="548013AB"/>
    <w:rsid w:val="54A96F00"/>
    <w:rsid w:val="54AF6350"/>
    <w:rsid w:val="54BA260C"/>
    <w:rsid w:val="54C820C0"/>
    <w:rsid w:val="54E446CA"/>
    <w:rsid w:val="54F30935"/>
    <w:rsid w:val="5516016C"/>
    <w:rsid w:val="55272BBA"/>
    <w:rsid w:val="55384597"/>
    <w:rsid w:val="55424BA2"/>
    <w:rsid w:val="554D6909"/>
    <w:rsid w:val="5573277C"/>
    <w:rsid w:val="55997986"/>
    <w:rsid w:val="55D572F8"/>
    <w:rsid w:val="55DB7EE4"/>
    <w:rsid w:val="55FF1F1B"/>
    <w:rsid w:val="567350FB"/>
    <w:rsid w:val="56737FBB"/>
    <w:rsid w:val="569878BE"/>
    <w:rsid w:val="56D85BB9"/>
    <w:rsid w:val="56E55A01"/>
    <w:rsid w:val="56E90E96"/>
    <w:rsid w:val="56F151D6"/>
    <w:rsid w:val="57030BD5"/>
    <w:rsid w:val="570F30D6"/>
    <w:rsid w:val="571701DC"/>
    <w:rsid w:val="57945CD1"/>
    <w:rsid w:val="579D1A50"/>
    <w:rsid w:val="57AB0124"/>
    <w:rsid w:val="57BB73FE"/>
    <w:rsid w:val="57BD7182"/>
    <w:rsid w:val="57D305A7"/>
    <w:rsid w:val="57D814F7"/>
    <w:rsid w:val="57E820BF"/>
    <w:rsid w:val="58064DD1"/>
    <w:rsid w:val="580E56F1"/>
    <w:rsid w:val="58271B3B"/>
    <w:rsid w:val="5831356E"/>
    <w:rsid w:val="58592E7C"/>
    <w:rsid w:val="5871173B"/>
    <w:rsid w:val="58720FD6"/>
    <w:rsid w:val="587756FF"/>
    <w:rsid w:val="5894202E"/>
    <w:rsid w:val="58B15EE9"/>
    <w:rsid w:val="58B51ABE"/>
    <w:rsid w:val="58C757BE"/>
    <w:rsid w:val="58DA3B58"/>
    <w:rsid w:val="58E519E9"/>
    <w:rsid w:val="58EA03D2"/>
    <w:rsid w:val="58F92290"/>
    <w:rsid w:val="58FE78A6"/>
    <w:rsid w:val="58FF50F0"/>
    <w:rsid w:val="591735C4"/>
    <w:rsid w:val="59236118"/>
    <w:rsid w:val="592E5F20"/>
    <w:rsid w:val="5931396F"/>
    <w:rsid w:val="59590DAA"/>
    <w:rsid w:val="59793D78"/>
    <w:rsid w:val="598558D1"/>
    <w:rsid w:val="59904470"/>
    <w:rsid w:val="5A0066D8"/>
    <w:rsid w:val="5A126E7F"/>
    <w:rsid w:val="5A127DB9"/>
    <w:rsid w:val="5A3A5FCF"/>
    <w:rsid w:val="5A542C2B"/>
    <w:rsid w:val="5A551748"/>
    <w:rsid w:val="5A865DA5"/>
    <w:rsid w:val="5A911964"/>
    <w:rsid w:val="5AE02CE7"/>
    <w:rsid w:val="5AE1122D"/>
    <w:rsid w:val="5B2353A2"/>
    <w:rsid w:val="5B6065F6"/>
    <w:rsid w:val="5B9E75B4"/>
    <w:rsid w:val="5BB51E9B"/>
    <w:rsid w:val="5BD743DE"/>
    <w:rsid w:val="5BF64864"/>
    <w:rsid w:val="5C376D9A"/>
    <w:rsid w:val="5C3E7830"/>
    <w:rsid w:val="5C4C6B7A"/>
    <w:rsid w:val="5C76397D"/>
    <w:rsid w:val="5C8B32B0"/>
    <w:rsid w:val="5CB25BCE"/>
    <w:rsid w:val="5CB62A10"/>
    <w:rsid w:val="5CD71F76"/>
    <w:rsid w:val="5CE70C71"/>
    <w:rsid w:val="5CF751C9"/>
    <w:rsid w:val="5CFA10A5"/>
    <w:rsid w:val="5CFF210D"/>
    <w:rsid w:val="5CFF7384"/>
    <w:rsid w:val="5D157572"/>
    <w:rsid w:val="5D3715D8"/>
    <w:rsid w:val="5D5757D7"/>
    <w:rsid w:val="5D64375D"/>
    <w:rsid w:val="5DB26D32"/>
    <w:rsid w:val="5DC3406C"/>
    <w:rsid w:val="5E025A78"/>
    <w:rsid w:val="5E1A3862"/>
    <w:rsid w:val="5E1B2CA8"/>
    <w:rsid w:val="5E2356B9"/>
    <w:rsid w:val="5E314D3D"/>
    <w:rsid w:val="5EB8577B"/>
    <w:rsid w:val="5EC44B53"/>
    <w:rsid w:val="5ECF7A50"/>
    <w:rsid w:val="5ED77C64"/>
    <w:rsid w:val="5EF019F2"/>
    <w:rsid w:val="5F706C86"/>
    <w:rsid w:val="5F927C0F"/>
    <w:rsid w:val="5FA06464"/>
    <w:rsid w:val="5FAF541F"/>
    <w:rsid w:val="5FBA3DFB"/>
    <w:rsid w:val="5FC16413"/>
    <w:rsid w:val="5FCA669A"/>
    <w:rsid w:val="5FCD528F"/>
    <w:rsid w:val="600B4656"/>
    <w:rsid w:val="600F4147"/>
    <w:rsid w:val="605A47FB"/>
    <w:rsid w:val="60642B75"/>
    <w:rsid w:val="606D7BEE"/>
    <w:rsid w:val="609D79A4"/>
    <w:rsid w:val="609F63E4"/>
    <w:rsid w:val="60CA4500"/>
    <w:rsid w:val="60CC3634"/>
    <w:rsid w:val="60F55397"/>
    <w:rsid w:val="61153F49"/>
    <w:rsid w:val="6129157E"/>
    <w:rsid w:val="612A5A76"/>
    <w:rsid w:val="615F643A"/>
    <w:rsid w:val="61623835"/>
    <w:rsid w:val="61A537F8"/>
    <w:rsid w:val="61EA67EE"/>
    <w:rsid w:val="62456545"/>
    <w:rsid w:val="62927251"/>
    <w:rsid w:val="6298727F"/>
    <w:rsid w:val="62A0377C"/>
    <w:rsid w:val="62A8078E"/>
    <w:rsid w:val="62C92CD3"/>
    <w:rsid w:val="62CF2217"/>
    <w:rsid w:val="62DC4C04"/>
    <w:rsid w:val="631332B8"/>
    <w:rsid w:val="63265A1C"/>
    <w:rsid w:val="633A413F"/>
    <w:rsid w:val="63A31776"/>
    <w:rsid w:val="63A37825"/>
    <w:rsid w:val="63E75510"/>
    <w:rsid w:val="64175CC0"/>
    <w:rsid w:val="644D1F8D"/>
    <w:rsid w:val="6468250C"/>
    <w:rsid w:val="647B50BF"/>
    <w:rsid w:val="64800B74"/>
    <w:rsid w:val="648F5112"/>
    <w:rsid w:val="64B11CA9"/>
    <w:rsid w:val="64D43900"/>
    <w:rsid w:val="64D81563"/>
    <w:rsid w:val="651B07A5"/>
    <w:rsid w:val="6558090F"/>
    <w:rsid w:val="659C281B"/>
    <w:rsid w:val="65D87E6D"/>
    <w:rsid w:val="65E32D2F"/>
    <w:rsid w:val="66541F53"/>
    <w:rsid w:val="66691009"/>
    <w:rsid w:val="66782898"/>
    <w:rsid w:val="66800AE9"/>
    <w:rsid w:val="66C06702"/>
    <w:rsid w:val="6707201B"/>
    <w:rsid w:val="6712177E"/>
    <w:rsid w:val="672E04E3"/>
    <w:rsid w:val="67742476"/>
    <w:rsid w:val="67953F5D"/>
    <w:rsid w:val="67B0620F"/>
    <w:rsid w:val="67BF3E5F"/>
    <w:rsid w:val="67D54611"/>
    <w:rsid w:val="67FB4030"/>
    <w:rsid w:val="6814798F"/>
    <w:rsid w:val="68220A7F"/>
    <w:rsid w:val="68913072"/>
    <w:rsid w:val="69083B0B"/>
    <w:rsid w:val="69142915"/>
    <w:rsid w:val="691F6780"/>
    <w:rsid w:val="694B08DB"/>
    <w:rsid w:val="69670318"/>
    <w:rsid w:val="697728BD"/>
    <w:rsid w:val="697F1D61"/>
    <w:rsid w:val="698D45BD"/>
    <w:rsid w:val="69BA3574"/>
    <w:rsid w:val="69BF098B"/>
    <w:rsid w:val="69E41514"/>
    <w:rsid w:val="69FA48F9"/>
    <w:rsid w:val="69FB10EF"/>
    <w:rsid w:val="6A036A19"/>
    <w:rsid w:val="6A2033BE"/>
    <w:rsid w:val="6A352BC6"/>
    <w:rsid w:val="6A3E74DF"/>
    <w:rsid w:val="6A5D008D"/>
    <w:rsid w:val="6A6A1659"/>
    <w:rsid w:val="6AA36F30"/>
    <w:rsid w:val="6AE33815"/>
    <w:rsid w:val="6AE37117"/>
    <w:rsid w:val="6AE97CB6"/>
    <w:rsid w:val="6B0A20DA"/>
    <w:rsid w:val="6B421874"/>
    <w:rsid w:val="6B6D550E"/>
    <w:rsid w:val="6B7D0AFE"/>
    <w:rsid w:val="6B851761"/>
    <w:rsid w:val="6B973174"/>
    <w:rsid w:val="6B9D09C5"/>
    <w:rsid w:val="6BAE2C22"/>
    <w:rsid w:val="6BE566A3"/>
    <w:rsid w:val="6C185BD0"/>
    <w:rsid w:val="6C1B3C3D"/>
    <w:rsid w:val="6C2B1E86"/>
    <w:rsid w:val="6C6400F1"/>
    <w:rsid w:val="6C643494"/>
    <w:rsid w:val="6C6A6DD0"/>
    <w:rsid w:val="6C794405"/>
    <w:rsid w:val="6C8D2FC3"/>
    <w:rsid w:val="6CA1418B"/>
    <w:rsid w:val="6CA32CBC"/>
    <w:rsid w:val="6CB3750C"/>
    <w:rsid w:val="6CC62031"/>
    <w:rsid w:val="6CCB3630"/>
    <w:rsid w:val="6CED1CB3"/>
    <w:rsid w:val="6D4D4500"/>
    <w:rsid w:val="6D915A40"/>
    <w:rsid w:val="6D93565A"/>
    <w:rsid w:val="6DD84AF0"/>
    <w:rsid w:val="6E445903"/>
    <w:rsid w:val="6E5214F8"/>
    <w:rsid w:val="6E8A511F"/>
    <w:rsid w:val="6E9F0928"/>
    <w:rsid w:val="6EA14B04"/>
    <w:rsid w:val="6EBD7464"/>
    <w:rsid w:val="6ED7592E"/>
    <w:rsid w:val="6F1C2679"/>
    <w:rsid w:val="6F1D0466"/>
    <w:rsid w:val="6F1E4DE2"/>
    <w:rsid w:val="6F232964"/>
    <w:rsid w:val="6F524050"/>
    <w:rsid w:val="6F7C56F5"/>
    <w:rsid w:val="6FA85BE7"/>
    <w:rsid w:val="6FAF14A2"/>
    <w:rsid w:val="6FB865A9"/>
    <w:rsid w:val="6FE729EA"/>
    <w:rsid w:val="701B62CB"/>
    <w:rsid w:val="701C4FCF"/>
    <w:rsid w:val="702F334F"/>
    <w:rsid w:val="707F0E75"/>
    <w:rsid w:val="708C3DCD"/>
    <w:rsid w:val="709D579F"/>
    <w:rsid w:val="70D14491"/>
    <w:rsid w:val="70DB7CE8"/>
    <w:rsid w:val="71565DE4"/>
    <w:rsid w:val="71757854"/>
    <w:rsid w:val="71D141F3"/>
    <w:rsid w:val="71EA3EFC"/>
    <w:rsid w:val="71F02E49"/>
    <w:rsid w:val="7220072D"/>
    <w:rsid w:val="72513250"/>
    <w:rsid w:val="728361F1"/>
    <w:rsid w:val="72872785"/>
    <w:rsid w:val="72A76461"/>
    <w:rsid w:val="72AE3249"/>
    <w:rsid w:val="72C63249"/>
    <w:rsid w:val="731E2BC7"/>
    <w:rsid w:val="73201D05"/>
    <w:rsid w:val="733C2BD6"/>
    <w:rsid w:val="734E2D80"/>
    <w:rsid w:val="7379604F"/>
    <w:rsid w:val="739014EB"/>
    <w:rsid w:val="739E02E1"/>
    <w:rsid w:val="73B55490"/>
    <w:rsid w:val="73DD1542"/>
    <w:rsid w:val="740E60E4"/>
    <w:rsid w:val="741B0EB4"/>
    <w:rsid w:val="74475895"/>
    <w:rsid w:val="745C4815"/>
    <w:rsid w:val="74BE4A72"/>
    <w:rsid w:val="74E579E9"/>
    <w:rsid w:val="74F01208"/>
    <w:rsid w:val="752130DB"/>
    <w:rsid w:val="753D7A1F"/>
    <w:rsid w:val="75880DCC"/>
    <w:rsid w:val="75C612F4"/>
    <w:rsid w:val="75E023B5"/>
    <w:rsid w:val="75F069C9"/>
    <w:rsid w:val="760D51C1"/>
    <w:rsid w:val="76362B93"/>
    <w:rsid w:val="764838CC"/>
    <w:rsid w:val="764D19B8"/>
    <w:rsid w:val="7657143C"/>
    <w:rsid w:val="765B5641"/>
    <w:rsid w:val="768865A9"/>
    <w:rsid w:val="769247A1"/>
    <w:rsid w:val="76937B7C"/>
    <w:rsid w:val="76A66883"/>
    <w:rsid w:val="76B37A8B"/>
    <w:rsid w:val="76C82ED2"/>
    <w:rsid w:val="76D60124"/>
    <w:rsid w:val="771764C8"/>
    <w:rsid w:val="771A36A5"/>
    <w:rsid w:val="772F5D52"/>
    <w:rsid w:val="7735228D"/>
    <w:rsid w:val="7738164C"/>
    <w:rsid w:val="77807D43"/>
    <w:rsid w:val="77851372"/>
    <w:rsid w:val="778925D9"/>
    <w:rsid w:val="77B84C6C"/>
    <w:rsid w:val="77C04DF9"/>
    <w:rsid w:val="77CA5D6C"/>
    <w:rsid w:val="77DC4DFE"/>
    <w:rsid w:val="7838395E"/>
    <w:rsid w:val="789821DF"/>
    <w:rsid w:val="78E80143"/>
    <w:rsid w:val="78FE426C"/>
    <w:rsid w:val="790A5BC0"/>
    <w:rsid w:val="792F71B0"/>
    <w:rsid w:val="794247FC"/>
    <w:rsid w:val="79500CDA"/>
    <w:rsid w:val="79551993"/>
    <w:rsid w:val="79644C4A"/>
    <w:rsid w:val="79667075"/>
    <w:rsid w:val="798049CD"/>
    <w:rsid w:val="798A6722"/>
    <w:rsid w:val="799A3A9F"/>
    <w:rsid w:val="79B7342D"/>
    <w:rsid w:val="79FD15FF"/>
    <w:rsid w:val="7A0D4354"/>
    <w:rsid w:val="7A1545F8"/>
    <w:rsid w:val="7A3F3915"/>
    <w:rsid w:val="7A582F29"/>
    <w:rsid w:val="7A7B1A42"/>
    <w:rsid w:val="7AC50ED3"/>
    <w:rsid w:val="7AC878BC"/>
    <w:rsid w:val="7AE167CA"/>
    <w:rsid w:val="7B3E234B"/>
    <w:rsid w:val="7B42766E"/>
    <w:rsid w:val="7B8162B9"/>
    <w:rsid w:val="7B826934"/>
    <w:rsid w:val="7C371DE6"/>
    <w:rsid w:val="7C552632"/>
    <w:rsid w:val="7C9760A8"/>
    <w:rsid w:val="7C9E2682"/>
    <w:rsid w:val="7D5B58A7"/>
    <w:rsid w:val="7D821FA4"/>
    <w:rsid w:val="7DA24B10"/>
    <w:rsid w:val="7DB35B49"/>
    <w:rsid w:val="7DC65F9E"/>
    <w:rsid w:val="7DCF7A31"/>
    <w:rsid w:val="7DD4587F"/>
    <w:rsid w:val="7E0E69F7"/>
    <w:rsid w:val="7E112940"/>
    <w:rsid w:val="7E112DD1"/>
    <w:rsid w:val="7E182024"/>
    <w:rsid w:val="7E297DCF"/>
    <w:rsid w:val="7E5623CA"/>
    <w:rsid w:val="7E5C08F4"/>
    <w:rsid w:val="7E617E0B"/>
    <w:rsid w:val="7E682C07"/>
    <w:rsid w:val="7E6D0BB5"/>
    <w:rsid w:val="7E8337E7"/>
    <w:rsid w:val="7EAC151F"/>
    <w:rsid w:val="7EDA3AF6"/>
    <w:rsid w:val="7EE2301E"/>
    <w:rsid w:val="7EFF59AD"/>
    <w:rsid w:val="7F091B95"/>
    <w:rsid w:val="7F1C3C57"/>
    <w:rsid w:val="7F233313"/>
    <w:rsid w:val="7F3545C8"/>
    <w:rsid w:val="7F3C55DB"/>
    <w:rsid w:val="7F6D5E20"/>
    <w:rsid w:val="7F815817"/>
    <w:rsid w:val="7F8F0CE0"/>
    <w:rsid w:val="7FB1091F"/>
    <w:rsid w:val="AFCF0334"/>
    <w:rsid w:val="BDF6C6F4"/>
    <w:rsid w:val="EBFDDCB5"/>
    <w:rsid w:val="F9CDB7C4"/>
    <w:rsid w:val="FABD8FEC"/>
    <w:rsid w:val="FFFF97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84"/>
    <w:qFormat/>
    <w:uiPriority w:val="0"/>
    <w:pPr>
      <w:keepNext/>
      <w:keepLines/>
      <w:spacing w:before="120" w:after="120"/>
      <w:jc w:val="left"/>
      <w:outlineLvl w:val="1"/>
    </w:pPr>
    <w:rPr>
      <w:rFonts w:ascii="宋体" w:hAnsi="宋体"/>
      <w:b/>
      <w:szCs w:val="24"/>
    </w:rPr>
  </w:style>
  <w:style w:type="paragraph" w:styleId="4">
    <w:name w:val="heading 3"/>
    <w:basedOn w:val="1"/>
    <w:next w:val="5"/>
    <w:link w:val="8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87"/>
    <w:qFormat/>
    <w:uiPriority w:val="0"/>
    <w:pPr>
      <w:keepNext/>
      <w:keepLines/>
      <w:spacing w:before="120" w:after="120"/>
      <w:outlineLvl w:val="3"/>
    </w:pPr>
    <w:rPr>
      <w:rFonts w:ascii="Arial" w:hAnsi="Arial" w:eastAsia="黑体"/>
      <w:b/>
      <w:sz w:val="28"/>
    </w:rPr>
  </w:style>
  <w:style w:type="paragraph" w:styleId="7">
    <w:name w:val="heading 5"/>
    <w:basedOn w:val="1"/>
    <w:next w:val="5"/>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71">
    <w:name w:val="Default Paragraph Font"/>
    <w:unhideWhenUsed/>
    <w:qFormat/>
    <w:uiPriority w:val="1"/>
  </w:style>
  <w:style w:type="table" w:default="1" w:styleId="69">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next w:val="1"/>
    <w:qFormat/>
    <w:uiPriority w:val="0"/>
    <w:rPr>
      <w:rFonts w:ascii="楷体_GB2312" w:hAnsi="Arial" w:eastAsia="楷体_GB2312"/>
      <w:sz w:val="28"/>
    </w:rPr>
  </w:style>
  <w:style w:type="paragraph" w:styleId="24">
    <w:name w:val="Body Text Indent"/>
    <w:basedOn w:val="1"/>
    <w:link w:val="95"/>
    <w:qFormat/>
    <w:uiPriority w:val="0"/>
    <w:pPr>
      <w:ind w:firstLine="645"/>
    </w:pPr>
    <w:rPr>
      <w:rFonts w:ascii="楷体_GB2312" w:eastAsia="楷体_GB2312"/>
      <w:sz w:val="32"/>
    </w:rPr>
  </w:style>
  <w:style w:type="paragraph" w:styleId="25">
    <w:name w:val="Block Text"/>
    <w:basedOn w:val="1"/>
    <w:next w:val="23"/>
    <w:qFormat/>
    <w:uiPriority w:val="0"/>
    <w:pPr>
      <w:spacing w:after="120"/>
      <w:ind w:left="1440" w:leftChars="700" w:right="1440" w:rightChars="700"/>
    </w:pPr>
  </w:style>
  <w:style w:type="paragraph" w:styleId="26">
    <w:name w:val="index 4"/>
    <w:basedOn w:val="1"/>
    <w:next w:val="1"/>
    <w:semiHidden/>
    <w:qFormat/>
    <w:uiPriority w:val="0"/>
    <w:pPr>
      <w:ind w:left="1260"/>
    </w:pPr>
  </w:style>
  <w:style w:type="paragraph" w:styleId="27">
    <w:name w:val="toc 5"/>
    <w:basedOn w:val="1"/>
    <w:next w:val="1"/>
    <w:semiHidden/>
    <w:qFormat/>
    <w:uiPriority w:val="0"/>
    <w:pPr>
      <w:ind w:left="840"/>
      <w:jc w:val="left"/>
    </w:pPr>
    <w:rPr>
      <w:sz w:val="18"/>
    </w:rPr>
  </w:style>
  <w:style w:type="paragraph" w:styleId="28">
    <w:name w:val="toc 3"/>
    <w:basedOn w:val="1"/>
    <w:next w:val="1"/>
    <w:semiHidden/>
    <w:qFormat/>
    <w:uiPriority w:val="0"/>
    <w:pPr>
      <w:ind w:left="420"/>
      <w:jc w:val="left"/>
    </w:pPr>
    <w:rPr>
      <w:i/>
      <w:sz w:val="20"/>
    </w:rPr>
  </w:style>
  <w:style w:type="paragraph" w:styleId="29">
    <w:name w:val="Plain Text"/>
    <w:basedOn w:val="1"/>
    <w:link w:val="96"/>
    <w:qFormat/>
    <w:uiPriority w:val="0"/>
    <w:rPr>
      <w:rFonts w:ascii="宋体" w:hAnsi="Courier New"/>
    </w:rPr>
  </w:style>
  <w:style w:type="paragraph" w:styleId="30">
    <w:name w:val="toc 8"/>
    <w:basedOn w:val="1"/>
    <w:next w:val="1"/>
    <w:semiHidden/>
    <w:qFormat/>
    <w:uiPriority w:val="0"/>
    <w:pPr>
      <w:ind w:left="1470"/>
      <w:jc w:val="left"/>
    </w:pPr>
    <w:rPr>
      <w:sz w:val="18"/>
    </w:rPr>
  </w:style>
  <w:style w:type="paragraph" w:styleId="31">
    <w:name w:val="index 3"/>
    <w:basedOn w:val="1"/>
    <w:next w:val="1"/>
    <w:semiHidden/>
    <w:qFormat/>
    <w:uiPriority w:val="0"/>
    <w:pPr>
      <w:ind w:left="840"/>
    </w:pPr>
  </w:style>
  <w:style w:type="paragraph" w:styleId="32">
    <w:name w:val="Date"/>
    <w:basedOn w:val="1"/>
    <w:next w:val="1"/>
    <w:qFormat/>
    <w:uiPriority w:val="0"/>
    <w:pPr>
      <w:ind w:left="100" w:leftChars="2500"/>
    </w:pPr>
    <w:rPr>
      <w:sz w:val="28"/>
    </w:rPr>
  </w:style>
  <w:style w:type="paragraph" w:styleId="33">
    <w:name w:val="Body Text Indent 2"/>
    <w:basedOn w:val="1"/>
    <w:next w:val="34"/>
    <w:link w:val="83"/>
    <w:qFormat/>
    <w:uiPriority w:val="0"/>
    <w:pPr>
      <w:ind w:left="630" w:firstLine="645"/>
    </w:pPr>
    <w:rPr>
      <w:rFonts w:ascii="Arial" w:hAnsi="Arial" w:eastAsia="仿宋_GB2312"/>
      <w:sz w:val="32"/>
    </w:rPr>
  </w:style>
  <w:style w:type="paragraph" w:customStyle="1" w:styleId="34">
    <w:name w:val="xl75"/>
    <w:basedOn w:val="1"/>
    <w:next w:val="35"/>
    <w:qFormat/>
    <w:uiPriority w:val="0"/>
    <w:pPr>
      <w:widowControl/>
      <w:spacing w:before="280" w:after="280"/>
      <w:ind w:left="200" w:firstLine="5320"/>
      <w:jc w:val="center"/>
    </w:pPr>
    <w:rPr>
      <w:rFonts w:ascii="宋体"/>
    </w:rPr>
  </w:style>
  <w:style w:type="paragraph" w:customStyle="1" w:styleId="35">
    <w:name w:val="Test2"/>
    <w:basedOn w:val="3"/>
    <w:next w:val="36"/>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6">
    <w:name w:val="xl59"/>
    <w:basedOn w:val="1"/>
    <w:next w:val="37"/>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7">
    <w:name w:val="方案正文"/>
    <w:basedOn w:val="1"/>
    <w:next w:val="38"/>
    <w:qFormat/>
    <w:uiPriority w:val="0"/>
    <w:pPr>
      <w:spacing w:before="156" w:line="360" w:lineRule="auto"/>
      <w:ind w:firstLine="359" w:firstLineChars="171"/>
      <w:jc w:val="left"/>
    </w:pPr>
    <w:rPr>
      <w:rFonts w:ascii="Arial" w:hAnsi="Arial" w:cs="宋体"/>
      <w:sz w:val="24"/>
      <w:szCs w:val="21"/>
    </w:rPr>
  </w:style>
  <w:style w:type="paragraph" w:customStyle="1" w:styleId="38">
    <w:name w:val="小四 段落 宋体 Char Char Char Char"/>
    <w:basedOn w:val="1"/>
    <w:next w:val="39"/>
    <w:qFormat/>
    <w:uiPriority w:val="0"/>
    <w:pPr>
      <w:spacing w:line="360" w:lineRule="auto"/>
      <w:ind w:right="-33" w:firstLine="480" w:firstLineChars="200"/>
      <w:jc w:val="left"/>
    </w:pPr>
    <w:rPr>
      <w:sz w:val="24"/>
      <w:szCs w:val="24"/>
    </w:rPr>
  </w:style>
  <w:style w:type="paragraph" w:customStyle="1" w:styleId="39">
    <w:name w:val="flType"/>
    <w:basedOn w:val="40"/>
    <w:next w:val="1"/>
    <w:qFormat/>
    <w:uiPriority w:val="0"/>
    <w:pPr>
      <w:spacing w:after="284"/>
    </w:pPr>
    <w:rPr>
      <w:rFonts w:eastAsia="宋体"/>
      <w:b w:val="0"/>
    </w:rPr>
  </w:style>
  <w:style w:type="paragraph" w:customStyle="1" w:styleId="40">
    <w:name w:val="flName"/>
    <w:basedOn w:val="41"/>
    <w:qFormat/>
    <w:uiPriority w:val="0"/>
    <w:pPr>
      <w:spacing w:before="0" w:line="113" w:lineRule="atLeast"/>
    </w:pPr>
  </w:style>
  <w:style w:type="paragraph" w:customStyle="1" w:styleId="41">
    <w:name w:val="flNote"/>
    <w:basedOn w:val="1"/>
    <w:qFormat/>
    <w:uiPriority w:val="0"/>
    <w:pPr>
      <w:adjustRightInd w:val="0"/>
      <w:spacing w:before="567" w:line="360" w:lineRule="atLeast"/>
      <w:jc w:val="center"/>
      <w:textAlignment w:val="baseline"/>
    </w:pPr>
    <w:rPr>
      <w:rFonts w:eastAsia="黑体"/>
      <w:b/>
      <w:kern w:val="0"/>
      <w:sz w:val="24"/>
    </w:rPr>
  </w:style>
  <w:style w:type="paragraph" w:styleId="42">
    <w:name w:val="endnote text"/>
    <w:basedOn w:val="1"/>
    <w:qFormat/>
    <w:uiPriority w:val="0"/>
    <w:pPr>
      <w:snapToGrid w:val="0"/>
      <w:jc w:val="left"/>
    </w:pPr>
    <w:rPr>
      <w:kern w:val="0"/>
      <w:sz w:val="20"/>
      <w:szCs w:val="24"/>
    </w:rPr>
  </w:style>
  <w:style w:type="paragraph" w:styleId="43">
    <w:name w:val="Balloon Text"/>
    <w:basedOn w:val="1"/>
    <w:semiHidden/>
    <w:qFormat/>
    <w:uiPriority w:val="0"/>
    <w:rPr>
      <w:sz w:val="18"/>
      <w:szCs w:val="18"/>
    </w:rPr>
  </w:style>
  <w:style w:type="paragraph" w:styleId="44">
    <w:name w:val="footer"/>
    <w:basedOn w:val="1"/>
    <w:link w:val="97"/>
    <w:qFormat/>
    <w:uiPriority w:val="0"/>
    <w:pPr>
      <w:tabs>
        <w:tab w:val="center" w:pos="4153"/>
        <w:tab w:val="right" w:pos="8306"/>
      </w:tabs>
      <w:snapToGrid w:val="0"/>
      <w:jc w:val="left"/>
    </w:pPr>
    <w:rPr>
      <w:sz w:val="18"/>
    </w:rPr>
  </w:style>
  <w:style w:type="paragraph" w:styleId="45">
    <w:name w:val="envelope return"/>
    <w:basedOn w:val="1"/>
    <w:qFormat/>
    <w:uiPriority w:val="0"/>
    <w:pPr>
      <w:snapToGrid w:val="0"/>
    </w:pPr>
    <w:rPr>
      <w:rFonts w:ascii="Arial" w:hAnsi="Arial"/>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rPr>
  </w:style>
  <w:style w:type="paragraph" w:styleId="47">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8">
    <w:name w:val="toc 1"/>
    <w:basedOn w:val="1"/>
    <w:next w:val="1"/>
    <w:qFormat/>
    <w:uiPriority w:val="39"/>
    <w:pPr>
      <w:spacing w:before="120" w:after="120"/>
      <w:jc w:val="left"/>
    </w:pPr>
    <w:rPr>
      <w:b/>
      <w:caps/>
      <w:sz w:val="20"/>
    </w:rPr>
  </w:style>
  <w:style w:type="paragraph" w:styleId="49">
    <w:name w:val="toc 4"/>
    <w:basedOn w:val="1"/>
    <w:next w:val="1"/>
    <w:semiHidden/>
    <w:qFormat/>
    <w:uiPriority w:val="0"/>
    <w:pPr>
      <w:ind w:left="630"/>
      <w:jc w:val="left"/>
    </w:pPr>
    <w:rPr>
      <w:sz w:val="18"/>
    </w:rPr>
  </w:style>
  <w:style w:type="paragraph" w:styleId="50">
    <w:name w:val="index heading"/>
    <w:basedOn w:val="1"/>
    <w:next w:val="51"/>
    <w:semiHidden/>
    <w:qFormat/>
    <w:uiPriority w:val="0"/>
  </w:style>
  <w:style w:type="paragraph" w:styleId="51">
    <w:name w:val="index 1"/>
    <w:basedOn w:val="1"/>
    <w:next w:val="1"/>
    <w:semiHidden/>
    <w:qFormat/>
    <w:uiPriority w:val="0"/>
    <w:rPr>
      <w:rFonts w:ascii="仿宋_GB2312" w:hAnsi="宋体" w:eastAsia="仿宋_GB2312"/>
      <w:sz w:val="30"/>
      <w:szCs w:val="24"/>
    </w:rPr>
  </w:style>
  <w:style w:type="paragraph" w:styleId="52">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3">
    <w:name w:val="footnote text"/>
    <w:basedOn w:val="1"/>
    <w:qFormat/>
    <w:uiPriority w:val="0"/>
    <w:pPr>
      <w:snapToGrid w:val="0"/>
      <w:jc w:val="left"/>
    </w:pPr>
    <w:rPr>
      <w:sz w:val="18"/>
      <w:szCs w:val="18"/>
    </w:rPr>
  </w:style>
  <w:style w:type="paragraph" w:styleId="54">
    <w:name w:val="toc 6"/>
    <w:basedOn w:val="1"/>
    <w:next w:val="1"/>
    <w:semiHidden/>
    <w:qFormat/>
    <w:uiPriority w:val="0"/>
    <w:pPr>
      <w:ind w:left="1050"/>
      <w:jc w:val="left"/>
    </w:pPr>
    <w:rPr>
      <w:sz w:val="18"/>
    </w:rPr>
  </w:style>
  <w:style w:type="paragraph" w:styleId="55">
    <w:name w:val="Body Text Indent 3"/>
    <w:basedOn w:val="1"/>
    <w:link w:val="98"/>
    <w:qFormat/>
    <w:uiPriority w:val="0"/>
    <w:pPr>
      <w:ind w:left="645" w:firstLine="645"/>
    </w:pPr>
    <w:rPr>
      <w:rFonts w:ascii="Arial" w:hAnsi="Arial" w:eastAsia="仿宋_GB2312"/>
      <w:color w:val="FFFF00"/>
      <w:sz w:val="32"/>
    </w:rPr>
  </w:style>
  <w:style w:type="paragraph" w:styleId="56">
    <w:name w:val="index 7"/>
    <w:basedOn w:val="1"/>
    <w:next w:val="1"/>
    <w:semiHidden/>
    <w:qFormat/>
    <w:uiPriority w:val="0"/>
    <w:pPr>
      <w:ind w:left="2520"/>
    </w:pPr>
  </w:style>
  <w:style w:type="paragraph" w:styleId="57">
    <w:name w:val="index 9"/>
    <w:basedOn w:val="1"/>
    <w:next w:val="1"/>
    <w:semiHidden/>
    <w:qFormat/>
    <w:uiPriority w:val="0"/>
    <w:pPr>
      <w:ind w:left="3360"/>
    </w:pPr>
  </w:style>
  <w:style w:type="paragraph" w:styleId="58">
    <w:name w:val="table of figures"/>
    <w:basedOn w:val="1"/>
    <w:next w:val="1"/>
    <w:semiHidden/>
    <w:qFormat/>
    <w:uiPriority w:val="0"/>
    <w:pPr>
      <w:ind w:left="840" w:hanging="420"/>
    </w:pPr>
  </w:style>
  <w:style w:type="paragraph" w:styleId="59">
    <w:name w:val="toc 2"/>
    <w:basedOn w:val="1"/>
    <w:next w:val="1"/>
    <w:semiHidden/>
    <w:qFormat/>
    <w:uiPriority w:val="0"/>
    <w:pPr>
      <w:ind w:left="210"/>
      <w:jc w:val="left"/>
    </w:pPr>
    <w:rPr>
      <w:smallCaps/>
      <w:sz w:val="20"/>
    </w:rPr>
  </w:style>
  <w:style w:type="paragraph" w:styleId="60">
    <w:name w:val="toc 9"/>
    <w:basedOn w:val="1"/>
    <w:next w:val="1"/>
    <w:semiHidden/>
    <w:qFormat/>
    <w:uiPriority w:val="0"/>
    <w:pPr>
      <w:ind w:left="1680"/>
      <w:jc w:val="left"/>
    </w:pPr>
    <w:rPr>
      <w:sz w:val="18"/>
    </w:rPr>
  </w:style>
  <w:style w:type="paragraph" w:styleId="61">
    <w:name w:val="Body Text 2"/>
    <w:basedOn w:val="1"/>
    <w:qFormat/>
    <w:uiPriority w:val="0"/>
    <w:pPr>
      <w:widowControl/>
      <w:jc w:val="center"/>
    </w:pPr>
    <w:rPr>
      <w:rFonts w:ascii="楷体_GB2312" w:eastAsia="楷体_GB2312"/>
      <w:sz w:val="28"/>
    </w:rPr>
  </w:style>
  <w:style w:type="paragraph" w:styleId="62">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4">
    <w:name w:val="index 2"/>
    <w:basedOn w:val="1"/>
    <w:next w:val="1"/>
    <w:semiHidden/>
    <w:qFormat/>
    <w:uiPriority w:val="0"/>
    <w:pPr>
      <w:ind w:left="420"/>
    </w:pPr>
  </w:style>
  <w:style w:type="paragraph" w:styleId="65">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6">
    <w:name w:val="annotation subject"/>
    <w:basedOn w:val="19"/>
    <w:next w:val="19"/>
    <w:link w:val="101"/>
    <w:semiHidden/>
    <w:qFormat/>
    <w:uiPriority w:val="0"/>
    <w:rPr>
      <w:b/>
      <w:bCs/>
    </w:rPr>
  </w:style>
  <w:style w:type="paragraph" w:styleId="67">
    <w:name w:val="Body Text First Indent"/>
    <w:basedOn w:val="23"/>
    <w:link w:val="102"/>
    <w:qFormat/>
    <w:uiPriority w:val="0"/>
    <w:pPr>
      <w:spacing w:after="120"/>
      <w:ind w:firstLine="420" w:firstLineChars="100"/>
    </w:pPr>
    <w:rPr>
      <w:rFonts w:ascii="Times New Roman" w:hAnsi="Times New Roman" w:eastAsia="宋体"/>
      <w:sz w:val="21"/>
      <w:szCs w:val="24"/>
    </w:rPr>
  </w:style>
  <w:style w:type="paragraph" w:styleId="68">
    <w:name w:val="Body Text First Indent 2"/>
    <w:basedOn w:val="24"/>
    <w:next w:val="1"/>
    <w:qFormat/>
    <w:uiPriority w:val="0"/>
    <w:pPr>
      <w:adjustRightInd w:val="0"/>
      <w:spacing w:line="360" w:lineRule="atLeast"/>
      <w:ind w:firstLine="420" w:firstLineChars="200"/>
      <w:jc w:val="left"/>
      <w:textAlignment w:val="baseline"/>
    </w:pPr>
    <w:rPr>
      <w:rFonts w:ascii="Calibri" w:hAnsi="Calibri" w:eastAsia="宋体" w:cs="Times New Roman"/>
      <w:kern w:val="0"/>
      <w:szCs w:val="24"/>
    </w:rPr>
  </w:style>
  <w:style w:type="table" w:styleId="70">
    <w:name w:val="Table Grid"/>
    <w:basedOn w:val="6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2">
    <w:name w:val="Strong"/>
    <w:qFormat/>
    <w:uiPriority w:val="0"/>
    <w:rPr>
      <w:b/>
      <w:bCs/>
    </w:rPr>
  </w:style>
  <w:style w:type="character" w:styleId="73">
    <w:name w:val="endnote reference"/>
    <w:qFormat/>
    <w:uiPriority w:val="0"/>
    <w:rPr>
      <w:vertAlign w:val="superscript"/>
    </w:rPr>
  </w:style>
  <w:style w:type="character" w:styleId="74">
    <w:name w:val="page number"/>
    <w:qFormat/>
    <w:uiPriority w:val="0"/>
  </w:style>
  <w:style w:type="character" w:styleId="75">
    <w:name w:val="FollowedHyperlink"/>
    <w:qFormat/>
    <w:uiPriority w:val="0"/>
    <w:rPr>
      <w:color w:val="800080"/>
      <w:u w:val="single"/>
    </w:rPr>
  </w:style>
  <w:style w:type="character" w:styleId="76">
    <w:name w:val="Emphasis"/>
    <w:qFormat/>
    <w:uiPriority w:val="0"/>
    <w:rPr>
      <w:b/>
      <w:bCs/>
      <w:i/>
      <w:iCs/>
      <w:spacing w:val="10"/>
      <w:shd w:val="clear" w:color="auto" w:fill="auto"/>
    </w:rPr>
  </w:style>
  <w:style w:type="character" w:styleId="77">
    <w:name w:val="line number"/>
    <w:qFormat/>
    <w:uiPriority w:val="0"/>
  </w:style>
  <w:style w:type="character" w:styleId="78">
    <w:name w:val="HTML Typewriter"/>
    <w:qFormat/>
    <w:uiPriority w:val="0"/>
    <w:rPr>
      <w:rFonts w:ascii="宋体" w:hAnsi="宋体" w:eastAsia="宋体" w:cs="宋体"/>
      <w:sz w:val="24"/>
      <w:szCs w:val="24"/>
    </w:rPr>
  </w:style>
  <w:style w:type="character" w:styleId="79">
    <w:name w:val="Hyperlink"/>
    <w:qFormat/>
    <w:uiPriority w:val="99"/>
    <w:rPr>
      <w:color w:val="0000FF"/>
      <w:u w:val="single"/>
    </w:rPr>
  </w:style>
  <w:style w:type="character" w:styleId="80">
    <w:name w:val="annotation reference"/>
    <w:qFormat/>
    <w:uiPriority w:val="0"/>
    <w:rPr>
      <w:sz w:val="21"/>
    </w:rPr>
  </w:style>
  <w:style w:type="character" w:styleId="81">
    <w:name w:val="footnote reference"/>
    <w:qFormat/>
    <w:uiPriority w:val="0"/>
    <w:rPr>
      <w:vertAlign w:val="superscript"/>
    </w:rPr>
  </w:style>
  <w:style w:type="character" w:styleId="82">
    <w:name w:val="HTML Sample"/>
    <w:qFormat/>
    <w:uiPriority w:val="0"/>
    <w:rPr>
      <w:rFonts w:ascii="Courier New" w:hAnsi="宋体" w:eastAsia="宋体" w:cs="Courier New"/>
    </w:rPr>
  </w:style>
  <w:style w:type="character" w:customStyle="1" w:styleId="83">
    <w:name w:val="正文文本缩进 2 字符"/>
    <w:link w:val="33"/>
    <w:qFormat/>
    <w:uiPriority w:val="0"/>
    <w:rPr>
      <w:rFonts w:ascii="Arial" w:hAnsi="Arial" w:eastAsia="仿宋_GB2312"/>
      <w:kern w:val="2"/>
      <w:sz w:val="32"/>
      <w:lang w:val="en-US" w:eastAsia="zh-CN" w:bidi="ar-SA"/>
    </w:rPr>
  </w:style>
  <w:style w:type="character" w:customStyle="1" w:styleId="84">
    <w:name w:val="标题 2 字符"/>
    <w:link w:val="3"/>
    <w:qFormat/>
    <w:uiPriority w:val="0"/>
    <w:rPr>
      <w:rFonts w:ascii="宋体" w:hAnsi="宋体" w:eastAsia="宋体"/>
      <w:b/>
      <w:kern w:val="2"/>
      <w:sz w:val="21"/>
      <w:szCs w:val="24"/>
      <w:lang w:val="en-US" w:eastAsia="zh-CN" w:bidi="ar-SA"/>
    </w:rPr>
  </w:style>
  <w:style w:type="character" w:customStyle="1" w:styleId="85">
    <w:name w:val="标题 1 字符"/>
    <w:link w:val="2"/>
    <w:qFormat/>
    <w:uiPriority w:val="0"/>
    <w:rPr>
      <w:rFonts w:ascii="黑体" w:eastAsia="黑体"/>
      <w:b/>
      <w:kern w:val="44"/>
      <w:sz w:val="24"/>
      <w:szCs w:val="28"/>
      <w:lang w:val="en-US" w:eastAsia="zh-CN" w:bidi="ar-SA"/>
    </w:rPr>
  </w:style>
  <w:style w:type="character" w:customStyle="1" w:styleId="86">
    <w:name w:val="标题 3 字符"/>
    <w:link w:val="4"/>
    <w:qFormat/>
    <w:uiPriority w:val="0"/>
    <w:rPr>
      <w:rFonts w:ascii="宋体" w:hAnsi="宋体" w:eastAsia="宋体"/>
      <w:b/>
      <w:kern w:val="2"/>
      <w:sz w:val="21"/>
      <w:szCs w:val="21"/>
      <w:shd w:val="clear" w:color="auto" w:fill="FFFFFF"/>
    </w:rPr>
  </w:style>
  <w:style w:type="character" w:customStyle="1" w:styleId="87">
    <w:name w:val="标题 4 字符"/>
    <w:link w:val="6"/>
    <w:qFormat/>
    <w:uiPriority w:val="0"/>
    <w:rPr>
      <w:rFonts w:ascii="Arial" w:hAnsi="Arial" w:eastAsia="黑体"/>
      <w:b/>
      <w:kern w:val="2"/>
      <w:sz w:val="28"/>
      <w:lang w:val="en-US" w:eastAsia="zh-CN" w:bidi="ar-SA"/>
    </w:rPr>
  </w:style>
  <w:style w:type="character" w:customStyle="1" w:styleId="88">
    <w:name w:val="标题 5 字符"/>
    <w:link w:val="7"/>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29"/>
    <w:qFormat/>
    <w:uiPriority w:val="0"/>
    <w:rPr>
      <w:rFonts w:ascii="宋体" w:hAnsi="Courier New" w:eastAsia="宋体"/>
      <w:kern w:val="2"/>
      <w:sz w:val="21"/>
      <w:lang w:val="en-US" w:eastAsia="zh-CN" w:bidi="ar-SA"/>
    </w:rPr>
  </w:style>
  <w:style w:type="character" w:customStyle="1" w:styleId="97">
    <w:name w:val="页脚 字符"/>
    <w:link w:val="44"/>
    <w:qFormat/>
    <w:uiPriority w:val="0"/>
    <w:rPr>
      <w:kern w:val="2"/>
      <w:sz w:val="18"/>
    </w:rPr>
  </w:style>
  <w:style w:type="character" w:customStyle="1" w:styleId="98">
    <w:name w:val="正文文本缩进 3 字符"/>
    <w:link w:val="55"/>
    <w:qFormat/>
    <w:uiPriority w:val="0"/>
    <w:rPr>
      <w:rFonts w:ascii="Arial" w:hAnsi="Arial" w:eastAsia="仿宋_GB2312"/>
      <w:color w:val="FFFF00"/>
      <w:kern w:val="2"/>
      <w:sz w:val="32"/>
      <w:lang w:val="en-US" w:eastAsia="zh-CN" w:bidi="ar-SA"/>
    </w:rPr>
  </w:style>
  <w:style w:type="character" w:customStyle="1" w:styleId="99">
    <w:name w:val="HTML 预设格式 字符"/>
    <w:link w:val="62"/>
    <w:qFormat/>
    <w:uiPriority w:val="0"/>
    <w:rPr>
      <w:rFonts w:ascii="黑体" w:hAnsi="Courier New" w:eastAsia="黑体" w:cs="Courier New"/>
      <w:lang w:val="en-US" w:eastAsia="zh-CN" w:bidi="ar-SA"/>
    </w:rPr>
  </w:style>
  <w:style w:type="character" w:customStyle="1" w:styleId="100">
    <w:name w:val="标题 字符"/>
    <w:link w:val="65"/>
    <w:qFormat/>
    <w:uiPriority w:val="0"/>
    <w:rPr>
      <w:rFonts w:eastAsia="黑体"/>
      <w:b/>
      <w:sz w:val="28"/>
      <w:lang w:val="en-GB" w:eastAsia="zh-CN" w:bidi="ar-SA"/>
    </w:rPr>
  </w:style>
  <w:style w:type="character" w:customStyle="1" w:styleId="101">
    <w:name w:val="批注主题 字符"/>
    <w:link w:val="66"/>
    <w:qFormat/>
    <w:uiPriority w:val="0"/>
    <w:rPr>
      <w:rFonts w:eastAsia="宋体"/>
      <w:b/>
      <w:bCs/>
      <w:kern w:val="2"/>
      <w:sz w:val="21"/>
      <w:lang w:val="en-US" w:eastAsia="zh-CN" w:bidi="ar-SA"/>
    </w:rPr>
  </w:style>
  <w:style w:type="character" w:customStyle="1" w:styleId="102">
    <w:name w:val="正文文本首行缩进 字符"/>
    <w:link w:val="67"/>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customStyle="1"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customStyle="1"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华文仿宋"/>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189"/>
    <w:qFormat/>
    <w:uiPriority w:val="0"/>
    <w:rPr>
      <w:rFonts w:eastAsia="宋体"/>
      <w:lang w:bidi="ar-SA"/>
    </w:rPr>
  </w:style>
  <w:style w:type="paragraph" w:customStyle="1" w:styleId="189">
    <w:name w:val="正文缩进1"/>
    <w:basedOn w:val="1"/>
    <w:link w:val="188"/>
    <w:qFormat/>
    <w:uiPriority w:val="0"/>
    <w:pPr>
      <w:ind w:firstLine="420"/>
    </w:pPr>
    <w:rPr>
      <w:kern w:val="0"/>
      <w:sz w:val="20"/>
    </w:rPr>
  </w:style>
  <w:style w:type="character" w:customStyle="1" w:styleId="190">
    <w:name w:val="纯文本 Char Char"/>
    <w:qFormat/>
    <w:uiPriority w:val="0"/>
    <w:rPr>
      <w:rFonts w:ascii="宋体" w:hAnsi="Courier New" w:eastAsia="宋体"/>
      <w:kern w:val="2"/>
      <w:sz w:val="21"/>
      <w:szCs w:val="21"/>
      <w:lang w:val="en-US" w:eastAsia="zh-CN" w:bidi="ar-SA"/>
    </w:rPr>
  </w:style>
  <w:style w:type="character" w:customStyle="1" w:styleId="191">
    <w:name w:val="引用 字符"/>
    <w:link w:val="192"/>
    <w:qFormat/>
    <w:uiPriority w:val="0"/>
    <w:rPr>
      <w:rFonts w:ascii="Calibri" w:hAnsi="Calibri" w:eastAsia="宋体"/>
      <w:i/>
      <w:iCs/>
      <w:sz w:val="22"/>
      <w:szCs w:val="22"/>
      <w:lang w:val="en-US" w:eastAsia="en-US" w:bidi="en-US"/>
    </w:rPr>
  </w:style>
  <w:style w:type="paragraph" w:customStyle="1" w:styleId="192">
    <w:name w:val="Quote"/>
    <w:basedOn w:val="1"/>
    <w:next w:val="1"/>
    <w:link w:val="191"/>
    <w:qFormat/>
    <w:uiPriority w:val="0"/>
    <w:pPr>
      <w:widowControl/>
      <w:spacing w:before="200" w:line="276" w:lineRule="auto"/>
      <w:ind w:left="360" w:right="360"/>
      <w:jc w:val="left"/>
    </w:pPr>
    <w:rPr>
      <w:i/>
      <w:iCs/>
      <w:kern w:val="0"/>
      <w:sz w:val="22"/>
      <w:szCs w:val="22"/>
      <w:lang w:eastAsia="en-US" w:bidi="en-US"/>
    </w:rPr>
  </w:style>
  <w:style w:type="character" w:customStyle="1" w:styleId="193">
    <w:name w:val="font31"/>
    <w:qFormat/>
    <w:uiPriority w:val="0"/>
    <w:rPr>
      <w:rFonts w:hint="default" w:ascii="MingLiU" w:hAnsi="MingLiU" w:eastAsia="MingLiU" w:cs="MingLiU"/>
      <w:color w:val="000000"/>
      <w:sz w:val="18"/>
      <w:szCs w:val="18"/>
      <w:u w:val="none"/>
    </w:rPr>
  </w:style>
  <w:style w:type="paragraph" w:customStyle="1" w:styleId="194">
    <w:name w:val="Char Char Char Char Char Char Char Char1"/>
    <w:basedOn w:val="1"/>
    <w:qFormat/>
    <w:uiPriority w:val="0"/>
    <w:rPr>
      <w:rFonts w:ascii="Tahoma" w:hAnsi="Tahoma" w:cs="Tahoma"/>
      <w:sz w:val="24"/>
    </w:rPr>
  </w:style>
  <w:style w:type="paragraph" w:customStyle="1" w:styleId="195">
    <w:name w:val="正文 居中"/>
    <w:basedOn w:val="1"/>
    <w:qFormat/>
    <w:uiPriority w:val="0"/>
    <w:pPr>
      <w:spacing w:line="360" w:lineRule="auto"/>
      <w:jc w:val="center"/>
    </w:pPr>
    <w:rPr>
      <w:sz w:val="24"/>
    </w:rPr>
  </w:style>
  <w:style w:type="paragraph" w:customStyle="1" w:styleId="196">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7">
    <w:name w:val="Char Char Char Char Char Char Char Char Char Char Char Char Char1"/>
    <w:basedOn w:val="1"/>
    <w:qFormat/>
    <w:uiPriority w:val="0"/>
    <w:pPr>
      <w:widowControl/>
      <w:spacing w:after="160" w:line="240" w:lineRule="exact"/>
      <w:jc w:val="left"/>
    </w:pPr>
    <w:rPr>
      <w:szCs w:val="24"/>
    </w:rPr>
  </w:style>
  <w:style w:type="paragraph" w:customStyle="1" w:styleId="198">
    <w:name w:val="正文1"/>
    <w:basedOn w:val="1"/>
    <w:qFormat/>
    <w:uiPriority w:val="0"/>
    <w:rPr>
      <w:rFonts w:ascii="Calibri" w:hAnsi="Calibri" w:eastAsia="Calibri" w:cs="宋体"/>
      <w:kern w:val="0"/>
      <w:lang w:val="zh-CN"/>
    </w:rPr>
  </w:style>
  <w:style w:type="paragraph" w:customStyle="1" w:styleId="199">
    <w:name w:val="标题3，章节第三层"/>
    <w:basedOn w:val="1"/>
    <w:next w:val="200"/>
    <w:qFormat/>
    <w:uiPriority w:val="0"/>
    <w:pPr>
      <w:adjustRightInd w:val="0"/>
      <w:snapToGrid w:val="0"/>
      <w:spacing w:before="78" w:line="300" w:lineRule="auto"/>
      <w:outlineLvl w:val="2"/>
    </w:pPr>
    <w:rPr>
      <w:rFonts w:ascii="Arial" w:hAnsi="Arial" w:eastAsia="华文细黑"/>
      <w:sz w:val="30"/>
      <w:szCs w:val="24"/>
    </w:rPr>
  </w:style>
  <w:style w:type="paragraph" w:customStyle="1" w:styleId="20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1">
    <w:name w:val="Char11"/>
    <w:basedOn w:val="1"/>
    <w:qFormat/>
    <w:uiPriority w:val="0"/>
    <w:pPr>
      <w:spacing w:afterLines="50" w:line="360" w:lineRule="auto"/>
    </w:pPr>
    <w:rPr>
      <w:rFonts w:ascii="Tahoma" w:hAnsi="Tahoma"/>
      <w:sz w:val="24"/>
    </w:rPr>
  </w:style>
  <w:style w:type="paragraph" w:customStyle="1" w:styleId="202">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4">
    <w:name w:val="Char Char Char Char Char Char Char Char Char Char Char Char Char Char Char Char Char Char Char Char Char"/>
    <w:basedOn w:val="1"/>
    <w:qFormat/>
    <w:uiPriority w:val="0"/>
    <w:rPr>
      <w:rFonts w:ascii="Tahoma" w:hAnsi="Tahoma"/>
      <w:sz w:val="24"/>
    </w:rPr>
  </w:style>
  <w:style w:type="paragraph" w:customStyle="1" w:styleId="205">
    <w:name w:val="样式"/>
    <w:basedOn w:val="1"/>
    <w:qFormat/>
    <w:uiPriority w:val="0"/>
    <w:pPr>
      <w:autoSpaceDE w:val="0"/>
      <w:autoSpaceDN w:val="0"/>
      <w:snapToGrid w:val="0"/>
      <w:spacing w:before="120" w:after="120" w:line="360" w:lineRule="auto"/>
    </w:pPr>
    <w:rPr>
      <w:rFonts w:ascii="宋体"/>
      <w:sz w:val="24"/>
    </w:rPr>
  </w:style>
  <w:style w:type="paragraph" w:customStyle="1" w:styleId="206">
    <w:name w:val="丁华正文"/>
    <w:basedOn w:val="5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8">
    <w:name w:val="_Style 205"/>
    <w:basedOn w:val="2"/>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 w:val="28"/>
    </w:rPr>
  </w:style>
  <w:style w:type="paragraph" w:customStyle="1" w:styleId="209">
    <w:name w:val="List Paragraph"/>
    <w:basedOn w:val="1"/>
    <w:qFormat/>
    <w:uiPriority w:val="34"/>
    <w:pPr>
      <w:ind w:firstLine="420" w:firstLineChars="200"/>
    </w:pPr>
    <w:rPr>
      <w:szCs w:val="24"/>
    </w:rPr>
  </w:style>
  <w:style w:type="paragraph" w:customStyle="1" w:styleId="210">
    <w:name w:val="列表内容"/>
    <w:basedOn w:val="1"/>
    <w:next w:val="1"/>
    <w:qFormat/>
    <w:uiPriority w:val="0"/>
    <w:pPr>
      <w:widowControl/>
      <w:tabs>
        <w:tab w:val="left" w:pos="840"/>
      </w:tabs>
      <w:ind w:left="840" w:hanging="420"/>
      <w:jc w:val="left"/>
    </w:pPr>
    <w:rPr>
      <w:kern w:val="0"/>
      <w:sz w:val="18"/>
      <w:szCs w:val="24"/>
    </w:rPr>
  </w:style>
  <w:style w:type="paragraph" w:customStyle="1" w:styleId="211">
    <w:name w:val="_Style 2"/>
    <w:basedOn w:val="1"/>
    <w:qFormat/>
    <w:uiPriority w:val="0"/>
    <w:pPr>
      <w:ind w:firstLine="420" w:firstLineChars="200"/>
    </w:pPr>
    <w:rPr>
      <w:rFonts w:ascii="Calibri" w:hAnsi="Calibri"/>
    </w:rPr>
  </w:style>
  <w:style w:type="paragraph" w:customStyle="1" w:styleId="212">
    <w:name w:val="首行缩进"/>
    <w:basedOn w:val="1"/>
    <w:qFormat/>
    <w:uiPriority w:val="0"/>
    <w:pPr>
      <w:ind w:firstLine="480" w:firstLineChars="200"/>
    </w:pPr>
    <w:rPr>
      <w:lang w:val="zh-CN"/>
    </w:rPr>
  </w:style>
  <w:style w:type="paragraph" w:customStyle="1" w:styleId="21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5">
    <w:name w:val="Char Char Char Char Char"/>
    <w:basedOn w:val="1"/>
    <w:qFormat/>
    <w:uiPriority w:val="0"/>
    <w:rPr>
      <w:rFonts w:ascii="Tahoma" w:hAnsi="Tahoma"/>
      <w:sz w:val="24"/>
    </w:rPr>
  </w:style>
  <w:style w:type="paragraph" w:customStyle="1" w:styleId="216">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7">
    <w:name w:val="Char Char Char Char Char Char Char Char Char Char Char Char Char Char Char Char Char Char Char Char Char Char Char"/>
    <w:basedOn w:val="1"/>
    <w:qFormat/>
    <w:uiPriority w:val="0"/>
    <w:rPr>
      <w:rFonts w:ascii="Tahoma" w:hAnsi="Tahoma"/>
      <w:sz w:val="24"/>
    </w:rPr>
  </w:style>
  <w:style w:type="paragraph" w:customStyle="1" w:styleId="2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2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 Char Char Char Char Char Char Char Char Char Char Char"/>
    <w:basedOn w:val="18"/>
    <w:qFormat/>
    <w:uiPriority w:val="0"/>
    <w:rPr>
      <w:rFonts w:ascii="Tahoma" w:hAnsi="Tahoma"/>
      <w:sz w:val="24"/>
      <w:szCs w:val="24"/>
    </w:rPr>
  </w:style>
  <w:style w:type="paragraph" w:customStyle="1" w:styleId="223">
    <w:name w:val="公文标题 2"/>
    <w:basedOn w:val="1"/>
    <w:next w:val="224"/>
    <w:qFormat/>
    <w:uiPriority w:val="0"/>
    <w:pPr>
      <w:outlineLvl w:val="1"/>
    </w:pPr>
    <w:rPr>
      <w:rFonts w:ascii="仿宋_GB2312" w:hAnsi="宋体" w:eastAsia="仿宋_GB2312"/>
      <w:kern w:val="28"/>
      <w:sz w:val="28"/>
      <w:szCs w:val="24"/>
    </w:rPr>
  </w:style>
  <w:style w:type="paragraph" w:customStyle="1" w:styleId="224">
    <w:name w:val="公文正文"/>
    <w:basedOn w:val="24"/>
    <w:qFormat/>
    <w:uiPriority w:val="0"/>
    <w:pPr>
      <w:ind w:firstLine="200" w:firstLineChars="200"/>
    </w:pPr>
    <w:rPr>
      <w:rFonts w:ascii="仿宋_GB2312" w:hAnsi="宋体" w:eastAsia="仿宋_GB2312"/>
      <w:kern w:val="28"/>
      <w:sz w:val="28"/>
      <w:szCs w:val="24"/>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6">
    <w:name w:val="默认段落字体 Para Char"/>
    <w:basedOn w:val="1"/>
    <w:qFormat/>
    <w:uiPriority w:val="0"/>
    <w:rPr>
      <w:sz w:val="24"/>
      <w:szCs w:val="24"/>
    </w:rPr>
  </w:style>
  <w:style w:type="paragraph" w:customStyle="1" w:styleId="22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8">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30">
    <w:name w:val="标题2，章节第二层"/>
    <w:basedOn w:val="1"/>
    <w:next w:val="200"/>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1">
    <w:name w:val="丁华标题1"/>
    <w:basedOn w:val="2"/>
    <w:next w:val="206"/>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2">
    <w:name w:val="正文2"/>
    <w:basedOn w:val="1"/>
    <w:qFormat/>
    <w:uiPriority w:val="0"/>
    <w:pPr>
      <w:spacing w:before="156" w:line="360" w:lineRule="auto"/>
      <w:ind w:firstLine="510" w:firstLineChars="200"/>
    </w:pPr>
    <w:rPr>
      <w:sz w:val="24"/>
    </w:rPr>
  </w:style>
  <w:style w:type="paragraph" w:customStyle="1" w:styleId="233">
    <w:name w:val="论文正文"/>
    <w:basedOn w:val="33"/>
    <w:qFormat/>
    <w:uiPriority w:val="0"/>
    <w:pPr>
      <w:spacing w:line="360" w:lineRule="auto"/>
      <w:ind w:left="0" w:firstLine="200" w:firstLineChars="200"/>
      <w:jc w:val="left"/>
    </w:pPr>
    <w:rPr>
      <w:rFonts w:ascii="Times New Roman" w:hAnsi="Times New Roman"/>
      <w:sz w:val="28"/>
      <w:szCs w:val="24"/>
    </w:rPr>
  </w:style>
  <w:style w:type="paragraph" w:customStyle="1" w:styleId="234">
    <w:name w:val="Char Char2"/>
    <w:basedOn w:val="1"/>
    <w:qFormat/>
    <w:uiPriority w:val="0"/>
    <w:rPr>
      <w:rFonts w:ascii="Tahoma" w:hAnsi="Tahoma"/>
      <w:sz w:val="24"/>
    </w:rPr>
  </w:style>
  <w:style w:type="paragraph" w:customStyle="1" w:styleId="235">
    <w:name w:val="Char Char Char Char Char Char Char Char Char"/>
    <w:basedOn w:val="1"/>
    <w:qFormat/>
    <w:uiPriority w:val="0"/>
    <w:pPr>
      <w:tabs>
        <w:tab w:val="left" w:pos="360"/>
      </w:tabs>
      <w:ind w:left="360" w:hanging="360" w:hangingChars="200"/>
    </w:pPr>
    <w:rPr>
      <w:sz w:val="24"/>
      <w:szCs w:val="24"/>
    </w:rPr>
  </w:style>
  <w:style w:type="paragraph" w:customStyle="1" w:styleId="236">
    <w:name w:val="符号与编号"/>
    <w:basedOn w:val="1"/>
    <w:qFormat/>
    <w:uiPriority w:val="0"/>
    <w:pPr>
      <w:tabs>
        <w:tab w:val="left" w:pos="900"/>
      </w:tabs>
      <w:spacing w:afterLines="50" w:line="400" w:lineRule="atLeast"/>
      <w:ind w:left="900" w:hanging="420"/>
    </w:pPr>
    <w:rPr>
      <w:sz w:val="24"/>
      <w:szCs w:val="24"/>
    </w:rPr>
  </w:style>
  <w:style w:type="paragraph" w:customStyle="1" w:styleId="2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9">
    <w:name w:val="丁华标题3"/>
    <w:basedOn w:val="240"/>
    <w:next w:val="20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40">
    <w:name w:val="丁华标题2"/>
    <w:basedOn w:val="3"/>
    <w:next w:val="206"/>
    <w:qFormat/>
    <w:uiPriority w:val="0"/>
    <w:pPr>
      <w:numPr>
        <w:ilvl w:val="1"/>
        <w:numId w:val="2"/>
      </w:numPr>
      <w:spacing w:line="415" w:lineRule="auto"/>
    </w:pPr>
    <w:rPr>
      <w:rFonts w:ascii="Arial" w:hAnsi="Arial" w:eastAsia="黑体"/>
      <w:b w:val="0"/>
      <w:sz w:val="28"/>
      <w:szCs w:val="20"/>
    </w:rPr>
  </w:style>
  <w:style w:type="paragraph" w:customStyle="1" w:styleId="241">
    <w:name w:val="Char Char Char Char Char Char Char Char Char Char Char Char Char Char Char Char Char Char Char Char Char1"/>
    <w:basedOn w:val="1"/>
    <w:qFormat/>
    <w:uiPriority w:val="0"/>
    <w:rPr>
      <w:rFonts w:ascii="Tahoma" w:hAnsi="Tahoma" w:cs="Tahoma"/>
      <w:sz w:val="24"/>
    </w:rPr>
  </w:style>
  <w:style w:type="paragraph" w:customStyle="1" w:styleId="242">
    <w:name w:val="Char Char Char"/>
    <w:basedOn w:val="18"/>
    <w:qFormat/>
    <w:uiPriority w:val="0"/>
    <w:pPr>
      <w:spacing w:line="436" w:lineRule="exact"/>
    </w:pPr>
    <w:rPr>
      <w:szCs w:val="24"/>
    </w:rPr>
  </w:style>
  <w:style w:type="paragraph" w:customStyle="1" w:styleId="243">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6">
    <w:name w:val="Char Char1"/>
    <w:basedOn w:val="1"/>
    <w:qFormat/>
    <w:uiPriority w:val="0"/>
    <w:rPr>
      <w:rFonts w:ascii="Tahoma" w:hAnsi="Tahoma" w:cs="Tahoma"/>
      <w:sz w:val="24"/>
    </w:rPr>
  </w:style>
  <w:style w:type="paragraph" w:customStyle="1" w:styleId="24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8">
    <w:name w:val="retrait3"/>
    <w:basedOn w:val="1"/>
    <w:qFormat/>
    <w:uiPriority w:val="0"/>
    <w:pPr>
      <w:widowControl/>
      <w:spacing w:before="20" w:after="20"/>
      <w:ind w:left="851"/>
      <w:jc w:val="left"/>
    </w:pPr>
    <w:rPr>
      <w:rFonts w:ascii="Arial" w:hAnsi="Arial"/>
      <w:kern w:val="0"/>
      <w:sz w:val="24"/>
      <w:lang w:val="en-GB"/>
    </w:rPr>
  </w:style>
  <w:style w:type="paragraph" w:customStyle="1" w:styleId="249">
    <w:name w:val="标准小四"/>
    <w:basedOn w:val="1"/>
    <w:qFormat/>
    <w:uiPriority w:val="0"/>
    <w:pPr>
      <w:spacing w:line="360" w:lineRule="auto"/>
      <w:ind w:firstLine="480" w:firstLineChars="200"/>
    </w:pPr>
    <w:rPr>
      <w:rFonts w:ascii="Arial" w:hAnsi="Arial"/>
      <w:sz w:val="24"/>
      <w:szCs w:val="21"/>
    </w:rPr>
  </w:style>
  <w:style w:type="paragraph" w:customStyle="1" w:styleId="250">
    <w:name w:val="Char Char Char Char Char Char Char Char Char Char Char Char Char Char1"/>
    <w:basedOn w:val="1"/>
    <w:qFormat/>
    <w:uiPriority w:val="0"/>
    <w:rPr>
      <w:rFonts w:ascii="Tahoma" w:hAnsi="Tahoma" w:cs="Tahoma"/>
      <w:sz w:val="24"/>
    </w:rPr>
  </w:style>
  <w:style w:type="paragraph" w:customStyle="1" w:styleId="25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Char Char Char Char Char Char Char Char Char1"/>
    <w:basedOn w:val="1"/>
    <w:qFormat/>
    <w:uiPriority w:val="0"/>
    <w:pPr>
      <w:tabs>
        <w:tab w:val="left" w:pos="360"/>
      </w:tabs>
      <w:ind w:left="200" w:hanging="200" w:hangingChars="200"/>
    </w:pPr>
    <w:rPr>
      <w:sz w:val="24"/>
      <w:szCs w:val="24"/>
    </w:rPr>
  </w:style>
  <w:style w:type="paragraph" w:customStyle="1" w:styleId="2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5">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6">
    <w:name w:val="表格1"/>
    <w:basedOn w:val="1"/>
    <w:qFormat/>
    <w:uiPriority w:val="0"/>
    <w:pPr>
      <w:adjustRightInd w:val="0"/>
      <w:textAlignment w:val="baseline"/>
    </w:pPr>
    <w:rPr>
      <w:rFonts w:ascii="宋体"/>
      <w:kern w:val="24"/>
      <w:szCs w:val="21"/>
    </w:rPr>
  </w:style>
  <w:style w:type="paragraph" w:customStyle="1" w:styleId="25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8">
    <w:name w:val="条1"/>
    <w:basedOn w:val="1"/>
    <w:qFormat/>
    <w:uiPriority w:val="0"/>
    <w:pPr>
      <w:tabs>
        <w:tab w:val="left" w:pos="780"/>
      </w:tabs>
      <w:spacing w:before="156" w:line="360" w:lineRule="auto"/>
      <w:ind w:left="780" w:hanging="360"/>
    </w:pPr>
    <w:rPr>
      <w:rFonts w:eastAsia="黑体"/>
      <w:sz w:val="24"/>
    </w:rPr>
  </w:style>
  <w:style w:type="paragraph" w:customStyle="1" w:styleId="259">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60">
    <w:name w:val="Default Text"/>
    <w:basedOn w:val="1"/>
    <w:qFormat/>
    <w:uiPriority w:val="0"/>
    <w:pPr>
      <w:widowControl/>
      <w:jc w:val="left"/>
    </w:pPr>
    <w:rPr>
      <w:kern w:val="0"/>
      <w:sz w:val="24"/>
      <w:lang w:eastAsia="en-US"/>
    </w:rPr>
  </w:style>
  <w:style w:type="paragraph" w:customStyle="1" w:styleId="261">
    <w:name w:val="Char Char Char Char Char Char Char Char Char Char Char"/>
    <w:basedOn w:val="1"/>
    <w:qFormat/>
    <w:uiPriority w:val="0"/>
    <w:rPr>
      <w:rFonts w:ascii="Tahoma" w:hAnsi="Tahoma" w:cs="Tahoma"/>
      <w:sz w:val="24"/>
    </w:rPr>
  </w:style>
  <w:style w:type="paragraph" w:customStyle="1" w:styleId="262">
    <w:name w:val="Char12"/>
    <w:basedOn w:val="1"/>
    <w:qFormat/>
    <w:uiPriority w:val="0"/>
    <w:rPr>
      <w:rFonts w:ascii="仿宋_GB2312" w:hAnsi="宋体" w:eastAsia="仿宋_GB2312" w:cs="宋体"/>
      <w:b/>
      <w:sz w:val="32"/>
      <w:szCs w:val="32"/>
    </w:rPr>
  </w:style>
  <w:style w:type="paragraph" w:customStyle="1" w:styleId="263">
    <w:name w:val="Char Char Char1"/>
    <w:basedOn w:val="1"/>
    <w:qFormat/>
    <w:uiPriority w:val="0"/>
    <w:rPr>
      <w:rFonts w:ascii="Tahoma" w:hAnsi="Tahoma"/>
      <w:sz w:val="24"/>
    </w:rPr>
  </w:style>
  <w:style w:type="paragraph" w:customStyle="1" w:styleId="264">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8">
    <w:name w:val="1"/>
    <w:basedOn w:val="1"/>
    <w:next w:val="61"/>
    <w:qFormat/>
    <w:uiPriority w:val="0"/>
    <w:pPr>
      <w:spacing w:line="360" w:lineRule="auto"/>
    </w:pPr>
    <w:rPr>
      <w:rFonts w:eastAsia="仿宋_GB2312"/>
      <w:sz w:val="24"/>
      <w:szCs w:val="24"/>
    </w:rPr>
  </w:style>
  <w:style w:type="paragraph" w:customStyle="1" w:styleId="269">
    <w:name w:val="_Style 42"/>
    <w:basedOn w:val="1"/>
    <w:next w:val="23"/>
    <w:qFormat/>
    <w:uiPriority w:val="0"/>
    <w:rPr>
      <w:rFonts w:ascii="楷体_GB2312" w:hAnsi="Arial" w:eastAsia="楷体_GB2312"/>
      <w:sz w:val="28"/>
    </w:rPr>
  </w:style>
  <w:style w:type="paragraph" w:customStyle="1" w:styleId="27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1">
    <w:name w:val="font11"/>
    <w:basedOn w:val="1"/>
    <w:qFormat/>
    <w:uiPriority w:val="0"/>
    <w:pPr>
      <w:widowControl/>
      <w:spacing w:before="100" w:beforeAutospacing="1" w:after="100" w:afterAutospacing="1"/>
      <w:jc w:val="left"/>
    </w:pPr>
    <w:rPr>
      <w:b/>
      <w:bCs/>
      <w:kern w:val="0"/>
      <w:sz w:val="18"/>
      <w:szCs w:val="18"/>
    </w:rPr>
  </w:style>
  <w:style w:type="paragraph" w:customStyle="1" w:styleId="272">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3">
    <w:name w:val="Char Char Char Char Char Char Char Char Char Char Char1"/>
    <w:basedOn w:val="1"/>
    <w:qFormat/>
    <w:uiPriority w:val="0"/>
    <w:rPr>
      <w:rFonts w:ascii="Tahoma" w:hAnsi="Tahoma"/>
      <w:sz w:val="24"/>
    </w:rPr>
  </w:style>
  <w:style w:type="paragraph" w:customStyle="1" w:styleId="274">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5">
    <w:name w:val="马刚标题4"/>
    <w:basedOn w:val="276"/>
    <w:next w:val="1"/>
    <w:qFormat/>
    <w:uiPriority w:val="0"/>
    <w:pPr>
      <w:tabs>
        <w:tab w:val="left" w:pos="567"/>
        <w:tab w:val="left" w:pos="735"/>
        <w:tab w:val="left" w:pos="1050"/>
      </w:tabs>
      <w:spacing w:before="100" w:after="40"/>
      <w:outlineLvl w:val="3"/>
    </w:pPr>
    <w:rPr>
      <w:b w:val="0"/>
    </w:rPr>
  </w:style>
  <w:style w:type="paragraph" w:customStyle="1" w:styleId="2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8">
    <w:name w:val="正文11"/>
    <w:basedOn w:val="1"/>
    <w:next w:val="1"/>
    <w:qFormat/>
    <w:uiPriority w:val="0"/>
    <w:pPr>
      <w:spacing w:before="156" w:line="360" w:lineRule="auto"/>
      <w:ind w:firstLine="510" w:firstLineChars="200"/>
    </w:pPr>
    <w:rPr>
      <w:sz w:val="24"/>
    </w:rPr>
  </w:style>
  <w:style w:type="paragraph" w:customStyle="1" w:styleId="279">
    <w:name w:val="Char Char11"/>
    <w:basedOn w:val="1"/>
    <w:qFormat/>
    <w:uiPriority w:val="0"/>
    <w:rPr>
      <w:rFonts w:ascii="Tahoma" w:hAnsi="Tahoma"/>
      <w:sz w:val="24"/>
    </w:rPr>
  </w:style>
  <w:style w:type="paragraph" w:customStyle="1" w:styleId="280">
    <w:name w:val="Char Char1 Char Char Char Char Char Char Char"/>
    <w:basedOn w:val="1"/>
    <w:qFormat/>
    <w:uiPriority w:val="0"/>
    <w:rPr>
      <w:rFonts w:ascii="Tahoma" w:hAnsi="Tahoma" w:cs="Tahoma"/>
      <w:sz w:val="24"/>
    </w:rPr>
  </w:style>
  <w:style w:type="paragraph" w:customStyle="1" w:styleId="281">
    <w:name w:val="文档正文"/>
    <w:basedOn w:val="1"/>
    <w:qFormat/>
    <w:uiPriority w:val="0"/>
    <w:pPr>
      <w:spacing w:line="360" w:lineRule="auto"/>
    </w:pPr>
    <w:rPr>
      <w:rFonts w:ascii="宋体" w:hAnsi="宋体"/>
      <w:b/>
      <w:bCs/>
      <w:szCs w:val="24"/>
    </w:rPr>
  </w:style>
  <w:style w:type="paragraph" w:customStyle="1" w:styleId="28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3">
    <w:name w:val="章标题"/>
    <w:next w:val="284"/>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7">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8">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0">
    <w:name w:val="Other|1"/>
    <w:basedOn w:val="1"/>
    <w:qFormat/>
    <w:uiPriority w:val="0"/>
    <w:rPr>
      <w:rFonts w:ascii="宋体" w:hAnsi="宋体" w:cs="宋体"/>
      <w:sz w:val="19"/>
      <w:szCs w:val="19"/>
      <w:lang w:val="zh-TW" w:eastAsia="zh-TW" w:bidi="zh-TW"/>
    </w:rPr>
  </w:style>
  <w:style w:type="paragraph" w:customStyle="1" w:styleId="29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2">
    <w:name w:val="纯文本1"/>
    <w:basedOn w:val="1"/>
    <w:qFormat/>
    <w:uiPriority w:val="0"/>
    <w:pPr>
      <w:adjustRightInd w:val="0"/>
      <w:textAlignment w:val="baseline"/>
    </w:pPr>
    <w:rPr>
      <w:rFonts w:ascii="宋体" w:hAnsi="宋体" w:eastAsia="楷体_GB2312" w:cs="宋体"/>
      <w:sz w:val="28"/>
    </w:rPr>
  </w:style>
  <w:style w:type="paragraph" w:customStyle="1" w:styleId="293">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6">
    <w:name w:val="表头_5"/>
    <w:basedOn w:val="1"/>
    <w:qFormat/>
    <w:uiPriority w:val="0"/>
    <w:pPr>
      <w:adjustRightInd w:val="0"/>
      <w:spacing w:line="360" w:lineRule="auto"/>
      <w:textAlignment w:val="baseline"/>
    </w:pPr>
    <w:rPr>
      <w:b/>
      <w:bCs/>
      <w:sz w:val="28"/>
      <w:szCs w:val="21"/>
    </w:rPr>
  </w:style>
  <w:style w:type="paragraph" w:customStyle="1" w:styleId="297">
    <w:name w:val="Char Char"/>
    <w:basedOn w:val="1"/>
    <w:qFormat/>
    <w:uiPriority w:val="0"/>
    <w:rPr>
      <w:rFonts w:ascii="Tahoma" w:hAnsi="Tahoma" w:cs="Tahoma"/>
      <w:sz w:val="24"/>
    </w:rPr>
  </w:style>
  <w:style w:type="paragraph" w:customStyle="1" w:styleId="298">
    <w:name w:val="符号与编号 Char"/>
    <w:basedOn w:val="1"/>
    <w:qFormat/>
    <w:uiPriority w:val="0"/>
    <w:pPr>
      <w:tabs>
        <w:tab w:val="left" w:pos="720"/>
      </w:tabs>
      <w:spacing w:afterLines="50" w:line="400" w:lineRule="atLeast"/>
      <w:ind w:left="720"/>
    </w:pPr>
    <w:rPr>
      <w:sz w:val="24"/>
      <w:szCs w:val="24"/>
    </w:rPr>
  </w:style>
  <w:style w:type="paragraph" w:customStyle="1" w:styleId="2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00">
    <w:name w:val="正文表标题"/>
    <w:next w:val="2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1">
    <w:name w:val="Char Char Char Char Char Char Char Char"/>
    <w:basedOn w:val="1"/>
    <w:qFormat/>
    <w:uiPriority w:val="0"/>
    <w:rPr>
      <w:rFonts w:ascii="Tahoma" w:hAnsi="Tahoma"/>
      <w:sz w:val="24"/>
    </w:rPr>
  </w:style>
  <w:style w:type="paragraph" w:customStyle="1" w:styleId="302">
    <w:name w:val="7"/>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303">
    <w:name w:val="tableau"/>
    <w:basedOn w:val="1"/>
    <w:qFormat/>
    <w:uiPriority w:val="0"/>
    <w:pPr>
      <w:widowControl/>
      <w:spacing w:before="20" w:after="20"/>
      <w:jc w:val="center"/>
    </w:pPr>
    <w:rPr>
      <w:rFonts w:ascii="Arial" w:hAnsi="Arial"/>
      <w:kern w:val="0"/>
      <w:sz w:val="16"/>
      <w:lang w:val="en-GB" w:eastAsia="en-US"/>
    </w:rPr>
  </w:style>
  <w:style w:type="paragraph" w:customStyle="1" w:styleId="304">
    <w:name w:val="小四 段落 宋体"/>
    <w:basedOn w:val="16"/>
    <w:qFormat/>
    <w:uiPriority w:val="0"/>
    <w:pPr>
      <w:tabs>
        <w:tab w:val="clear" w:pos="2952"/>
      </w:tabs>
      <w:spacing w:line="360" w:lineRule="auto"/>
      <w:ind w:left="113" w:right="113" w:firstLine="425"/>
      <w:jc w:val="left"/>
    </w:pPr>
    <w:rPr>
      <w:sz w:val="24"/>
    </w:rPr>
  </w:style>
  <w:style w:type="paragraph" w:customStyle="1" w:styleId="305">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7">
    <w:name w:val="Char Char Char Char Char Char"/>
    <w:basedOn w:val="1"/>
    <w:qFormat/>
    <w:uiPriority w:val="0"/>
    <w:rPr>
      <w:rFonts w:ascii="Tahoma" w:hAnsi="Tahoma" w:cs="Tahoma"/>
      <w:sz w:val="24"/>
    </w:rPr>
  </w:style>
  <w:style w:type="paragraph" w:customStyle="1" w:styleId="308">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9">
    <w:name w:val="Normal1"/>
    <w:basedOn w:val="1"/>
    <w:qFormat/>
    <w:uiPriority w:val="0"/>
    <w:rPr>
      <w:rFonts w:ascii="Calibri" w:hAnsi="Calibri" w:eastAsia="Calibri" w:cs="宋体"/>
      <w:kern w:val="0"/>
      <w:lang w:val="zh-CN"/>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3">
    <w:name w:val="样式 标题 3H3sect1.2.3BOD 0Heading 3 - oldh3l3CTLevel 3 Head..."/>
    <w:basedOn w:val="4"/>
    <w:qFormat/>
    <w:uiPriority w:val="0"/>
    <w:pPr>
      <w:spacing w:beforeLines="50" w:afterLines="50"/>
      <w:jc w:val="left"/>
    </w:pPr>
    <w:rPr>
      <w:rFonts w:cs="宋体"/>
      <w:bCs/>
      <w:sz w:val="30"/>
    </w:rPr>
  </w:style>
  <w:style w:type="paragraph" w:customStyle="1" w:styleId="31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5">
    <w:name w:val="Normal_0"/>
    <w:qFormat/>
    <w:uiPriority w:val="1"/>
    <w:pPr>
      <w:widowControl w:val="0"/>
    </w:pPr>
    <w:rPr>
      <w:rFonts w:ascii="Calibri" w:hAnsi="Calibri" w:eastAsia="宋体" w:cs="Times New Roman"/>
      <w:sz w:val="22"/>
      <w:szCs w:val="22"/>
      <w:lang w:val="en-US" w:eastAsia="en-US" w:bidi="ar-SA"/>
    </w:rPr>
  </w:style>
  <w:style w:type="paragraph" w:customStyle="1" w:styleId="31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8">
    <w:name w:val="正文 首行缩进:  2 字符 Char"/>
    <w:basedOn w:val="1"/>
    <w:qFormat/>
    <w:uiPriority w:val="0"/>
    <w:pPr>
      <w:spacing w:line="360" w:lineRule="auto"/>
      <w:ind w:firstLine="480"/>
    </w:pPr>
    <w:rPr>
      <w:rFonts w:cs="宋体"/>
      <w:sz w:val="24"/>
    </w:rPr>
  </w:style>
  <w:style w:type="paragraph" w:customStyle="1" w:styleId="319">
    <w:name w:val="中等深浅网格 1 - 强调文字颜色 21"/>
    <w:basedOn w:val="1"/>
    <w:qFormat/>
    <w:uiPriority w:val="0"/>
    <w:pPr>
      <w:ind w:firstLine="420" w:firstLineChars="200"/>
    </w:pPr>
    <w:rPr>
      <w:rFonts w:ascii="Calibri" w:hAnsi="Calibri"/>
      <w:szCs w:val="22"/>
    </w:rPr>
  </w:style>
  <w:style w:type="paragraph" w:customStyle="1" w:styleId="320">
    <w:name w:val="二级条标题"/>
    <w:basedOn w:val="1"/>
    <w:next w:val="284"/>
    <w:qFormat/>
    <w:uiPriority w:val="0"/>
    <w:pPr>
      <w:widowControl/>
      <w:tabs>
        <w:tab w:val="left" w:pos="2240"/>
      </w:tabs>
      <w:ind w:hanging="420"/>
      <w:outlineLvl w:val="3"/>
    </w:pPr>
    <w:rPr>
      <w:rFonts w:eastAsia="黑体"/>
      <w:kern w:val="0"/>
    </w:rPr>
  </w:style>
  <w:style w:type="paragraph" w:customStyle="1" w:styleId="32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3">
    <w:name w:val="Char Char Char Char Char Char Char1 Char"/>
    <w:basedOn w:val="1"/>
    <w:qFormat/>
    <w:uiPriority w:val="0"/>
    <w:rPr>
      <w:rFonts w:ascii="Tahoma" w:hAnsi="Tahoma" w:cs="Tahoma"/>
      <w:sz w:val="24"/>
    </w:rPr>
  </w:style>
  <w:style w:type="paragraph" w:customStyle="1" w:styleId="324">
    <w:name w:val="Char"/>
    <w:basedOn w:val="1"/>
    <w:semiHidden/>
    <w:qFormat/>
    <w:uiPriority w:val="0"/>
    <w:rPr>
      <w:rFonts w:ascii="Tahoma" w:hAnsi="Tahoma" w:cs="仿宋_GB2312"/>
      <w:sz w:val="24"/>
      <w:szCs w:val="28"/>
    </w:rPr>
  </w:style>
  <w:style w:type="paragraph" w:customStyle="1" w:styleId="3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6">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7">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9">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3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1">
    <w:name w:val="标题3"/>
    <w:basedOn w:val="4"/>
    <w:qFormat/>
    <w:uiPriority w:val="0"/>
    <w:pPr>
      <w:keepNext w:val="0"/>
      <w:keepLines w:val="0"/>
      <w:spacing w:line="360" w:lineRule="auto"/>
    </w:pPr>
    <w:rPr>
      <w:rFonts w:eastAsia="仿宋_GB2312"/>
      <w:b w:val="0"/>
      <w:bCs/>
      <w:kern w:val="0"/>
      <w:sz w:val="30"/>
      <w:szCs w:val="32"/>
    </w:rPr>
  </w:style>
  <w:style w:type="paragraph" w:customStyle="1" w:styleId="3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4">
    <w:name w:val="段落"/>
    <w:basedOn w:val="1"/>
    <w:qFormat/>
    <w:uiPriority w:val="0"/>
    <w:pPr>
      <w:spacing w:line="460" w:lineRule="exact"/>
      <w:ind w:firstLine="480"/>
    </w:pPr>
    <w:rPr>
      <w:sz w:val="24"/>
    </w:rPr>
  </w:style>
  <w:style w:type="paragraph" w:customStyle="1" w:styleId="335">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7">
    <w:name w:val="样式1"/>
    <w:basedOn w:val="1"/>
    <w:qFormat/>
    <w:uiPriority w:val="0"/>
    <w:pPr>
      <w:spacing w:line="300" w:lineRule="auto"/>
      <w:ind w:firstLine="480" w:firstLineChars="200"/>
    </w:pPr>
    <w:rPr>
      <w:sz w:val="24"/>
      <w:szCs w:val="24"/>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9">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40">
    <w:name w:val="Char Char Char Char Char Char Char Char Char Char Char Char Char Char"/>
    <w:basedOn w:val="1"/>
    <w:qFormat/>
    <w:uiPriority w:val="0"/>
    <w:rPr>
      <w:rFonts w:ascii="Tahoma" w:hAnsi="Tahoma"/>
      <w:sz w:val="24"/>
    </w:rPr>
  </w:style>
  <w:style w:type="paragraph" w:customStyle="1" w:styleId="341">
    <w:name w:val="默认段落字体 Para Char Char Char Char Char Char Char Char Char1 Char Char Char Char Char Char Char"/>
    <w:basedOn w:val="18"/>
    <w:qFormat/>
    <w:uiPriority w:val="0"/>
  </w:style>
  <w:style w:type="paragraph" w:customStyle="1" w:styleId="342">
    <w:name w:val="插图"/>
    <w:basedOn w:val="1"/>
    <w:qFormat/>
    <w:uiPriority w:val="0"/>
    <w:pPr>
      <w:tabs>
        <w:tab w:val="left" w:pos="1620"/>
      </w:tabs>
      <w:adjustRightInd w:val="0"/>
      <w:jc w:val="center"/>
    </w:pPr>
    <w:rPr>
      <w:bCs/>
      <w:color w:val="000000"/>
      <w:szCs w:val="22"/>
    </w:rPr>
  </w:style>
  <w:style w:type="paragraph" w:customStyle="1" w:styleId="343">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4">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6">
    <w:name w:val="华宇段落1 Char"/>
    <w:basedOn w:val="1"/>
    <w:qFormat/>
    <w:uiPriority w:val="0"/>
    <w:pPr>
      <w:spacing w:line="360" w:lineRule="auto"/>
      <w:ind w:firstLine="200" w:firstLineChars="200"/>
    </w:pPr>
    <w:rPr>
      <w:bCs/>
      <w:sz w:val="24"/>
      <w:szCs w:val="24"/>
    </w:rPr>
  </w:style>
  <w:style w:type="paragraph" w:customStyle="1" w:styleId="347">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1">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5">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6">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7">
    <w:name w:val="正文文本缩进1"/>
    <w:basedOn w:val="1"/>
    <w:qFormat/>
    <w:uiPriority w:val="0"/>
    <w:pPr>
      <w:spacing w:after="120"/>
      <w:ind w:left="420" w:leftChars="200"/>
    </w:pPr>
    <w:rPr>
      <w:szCs w:val="24"/>
    </w:rPr>
  </w:style>
  <w:style w:type="paragraph" w:customStyle="1" w:styleId="358">
    <w:name w:val="样式3"/>
    <w:basedOn w:val="1"/>
    <w:next w:val="1"/>
    <w:qFormat/>
    <w:uiPriority w:val="0"/>
    <w:pPr>
      <w:spacing w:line="360" w:lineRule="auto"/>
    </w:pPr>
  </w:style>
  <w:style w:type="paragraph" w:customStyle="1" w:styleId="35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0">
    <w:name w:val="Char Char Char Char Char1"/>
    <w:basedOn w:val="1"/>
    <w:qFormat/>
    <w:uiPriority w:val="0"/>
    <w:rPr>
      <w:rFonts w:ascii="Tahoma" w:hAnsi="Tahoma" w:cs="Tahoma"/>
      <w:sz w:val="24"/>
    </w:rPr>
  </w:style>
  <w:style w:type="paragraph" w:customStyle="1" w:styleId="3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2">
    <w:name w:val="Char Char Char Char Char Char Char1"/>
    <w:basedOn w:val="1"/>
    <w:qFormat/>
    <w:uiPriority w:val="0"/>
    <w:rPr>
      <w:rFonts w:ascii="Tahoma" w:hAnsi="Tahoma"/>
      <w:sz w:val="24"/>
    </w:rPr>
  </w:style>
  <w:style w:type="paragraph" w:customStyle="1" w:styleId="363">
    <w:name w:val="Char1 Char Char Char1"/>
    <w:basedOn w:val="1"/>
    <w:qFormat/>
    <w:uiPriority w:val="0"/>
    <w:rPr>
      <w:rFonts w:ascii="Tahoma" w:hAnsi="Tahoma" w:cs="Tahoma"/>
      <w:sz w:val="24"/>
    </w:rPr>
  </w:style>
  <w:style w:type="paragraph" w:customStyle="1" w:styleId="3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6">
    <w:name w:val="项目符号：一级"/>
    <w:basedOn w:val="200"/>
    <w:next w:val="200"/>
    <w:qFormat/>
    <w:uiPriority w:val="0"/>
    <w:pPr>
      <w:ind w:right="-134" w:rightChars="-64"/>
    </w:pPr>
    <w:rPr>
      <w:bCs w:val="0"/>
    </w:rPr>
  </w:style>
  <w:style w:type="paragraph" w:customStyle="1" w:styleId="367">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70">
    <w:name w:val="表格内文字"/>
    <w:basedOn w:val="1"/>
    <w:qFormat/>
    <w:uiPriority w:val="0"/>
    <w:pPr>
      <w:spacing w:line="300" w:lineRule="atLeast"/>
    </w:pPr>
    <w:rPr>
      <w:sz w:val="18"/>
      <w:szCs w:val="24"/>
    </w:rPr>
  </w:style>
  <w:style w:type="paragraph" w:customStyle="1" w:styleId="371">
    <w:name w:val="项目符号，一级"/>
    <w:basedOn w:val="200"/>
    <w:next w:val="200"/>
    <w:qFormat/>
    <w:uiPriority w:val="0"/>
    <w:pPr>
      <w:tabs>
        <w:tab w:val="left" w:pos="1320"/>
      </w:tabs>
      <w:spacing w:line="240" w:lineRule="atLeast"/>
      <w:ind w:left="376" w:leftChars="179" w:firstLine="0"/>
    </w:pPr>
    <w:rPr>
      <w:bCs w:val="0"/>
      <w:color w:val="000000"/>
      <w:szCs w:val="24"/>
    </w:rPr>
  </w:style>
  <w:style w:type="paragraph" w:customStyle="1" w:styleId="372">
    <w:name w:val="普通文字"/>
    <w:basedOn w:val="1"/>
    <w:next w:val="1"/>
    <w:qFormat/>
    <w:uiPriority w:val="0"/>
    <w:rPr>
      <w:rFonts w:ascii="宋体" w:hAnsi="宋体" w:cs="宋体"/>
      <w:kern w:val="0"/>
      <w:sz w:val="24"/>
      <w:u w:color="000000"/>
    </w:rPr>
  </w:style>
  <w:style w:type="paragraph" w:customStyle="1" w:styleId="37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6">
    <w:name w:val="Char Char Char Char"/>
    <w:basedOn w:val="18"/>
    <w:qFormat/>
    <w:uiPriority w:val="0"/>
    <w:pPr>
      <w:adjustRightInd w:val="0"/>
      <w:snapToGrid w:val="0"/>
      <w:spacing w:line="360" w:lineRule="auto"/>
    </w:pPr>
    <w:rPr>
      <w:rFonts w:ascii="Tahoma" w:hAnsi="Tahoma"/>
      <w:sz w:val="24"/>
      <w:szCs w:val="24"/>
    </w:rPr>
  </w:style>
  <w:style w:type="paragraph" w:customStyle="1" w:styleId="37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8">
    <w:name w:val="正文 + 宋体"/>
    <w:basedOn w:val="1"/>
    <w:qFormat/>
    <w:uiPriority w:val="0"/>
    <w:pPr>
      <w:spacing w:line="360" w:lineRule="auto"/>
      <w:ind w:firstLine="420" w:firstLineChars="200"/>
    </w:pPr>
    <w:rPr>
      <w:szCs w:val="24"/>
    </w:rPr>
  </w:style>
  <w:style w:type="paragraph" w:customStyle="1" w:styleId="379">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8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1">
    <w:name w:val="font14"/>
    <w:basedOn w:val="1"/>
    <w:qFormat/>
    <w:uiPriority w:val="0"/>
    <w:pPr>
      <w:widowControl/>
      <w:spacing w:before="100" w:beforeAutospacing="1" w:after="100" w:afterAutospacing="1"/>
      <w:jc w:val="left"/>
    </w:pPr>
    <w:rPr>
      <w:kern w:val="0"/>
      <w:sz w:val="36"/>
      <w:szCs w:val="36"/>
    </w:rPr>
  </w:style>
  <w:style w:type="paragraph" w:customStyle="1" w:styleId="382">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4">
    <w:name w:val="标题1，章节第一层"/>
    <w:basedOn w:val="200"/>
    <w:next w:val="200"/>
    <w:qFormat/>
    <w:uiPriority w:val="0"/>
    <w:pPr>
      <w:tabs>
        <w:tab w:val="left" w:pos="693"/>
      </w:tabs>
      <w:spacing w:beforeLines="0"/>
      <w:ind w:left="482"/>
      <w:outlineLvl w:val="0"/>
    </w:pPr>
    <w:rPr>
      <w:color w:val="000000"/>
      <w:sz w:val="24"/>
      <w:szCs w:val="24"/>
    </w:rPr>
  </w:style>
  <w:style w:type="paragraph" w:customStyle="1" w:styleId="385">
    <w:name w:val="font13"/>
    <w:basedOn w:val="1"/>
    <w:qFormat/>
    <w:uiPriority w:val="0"/>
    <w:pPr>
      <w:widowControl/>
      <w:spacing w:before="100" w:beforeAutospacing="1" w:after="100" w:afterAutospacing="1"/>
      <w:jc w:val="left"/>
    </w:pPr>
    <w:rPr>
      <w:i/>
      <w:iCs/>
      <w:kern w:val="0"/>
      <w:sz w:val="36"/>
      <w:szCs w:val="36"/>
    </w:rPr>
  </w:style>
  <w:style w:type="paragraph" w:customStyle="1" w:styleId="386">
    <w:name w:val="项目符号，二级"/>
    <w:basedOn w:val="200"/>
    <w:next w:val="200"/>
    <w:qFormat/>
    <w:uiPriority w:val="0"/>
    <w:pPr>
      <w:tabs>
        <w:tab w:val="left" w:pos="567"/>
        <w:tab w:val="left" w:pos="1211"/>
        <w:tab w:val="left" w:pos="1337"/>
      </w:tabs>
      <w:ind w:left="1337" w:right="-27" w:firstLine="480"/>
    </w:pPr>
    <w:rPr>
      <w:bCs w:val="0"/>
      <w:color w:val="000000"/>
      <w:sz w:val="24"/>
      <w:szCs w:val="24"/>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8">
    <w:name w:val="表格"/>
    <w:basedOn w:val="1"/>
    <w:qFormat/>
    <w:uiPriority w:val="0"/>
    <w:pPr>
      <w:snapToGrid w:val="0"/>
      <w:ind w:firstLine="21" w:firstLineChars="21"/>
    </w:pPr>
    <w:rPr>
      <w:rFonts w:ascii="宋体" w:hAnsi="宋体" w:cs="宋体"/>
      <w:kern w:val="0"/>
      <w:sz w:val="20"/>
    </w:rPr>
  </w:style>
  <w:style w:type="paragraph" w:customStyle="1" w:styleId="389">
    <w:name w:val="样式 样式 首行缩进:  2 字符 + 行距: 1.5 倍行距"/>
    <w:basedOn w:val="1"/>
    <w:qFormat/>
    <w:uiPriority w:val="0"/>
    <w:pPr>
      <w:spacing w:line="360" w:lineRule="auto"/>
      <w:ind w:firstLine="470" w:firstLineChars="196"/>
    </w:pPr>
    <w:rPr>
      <w:sz w:val="24"/>
    </w:rPr>
  </w:style>
  <w:style w:type="paragraph" w:customStyle="1" w:styleId="390">
    <w:name w:val="font9"/>
    <w:basedOn w:val="1"/>
    <w:qFormat/>
    <w:uiPriority w:val="0"/>
    <w:pPr>
      <w:widowControl/>
      <w:spacing w:before="100" w:beforeAutospacing="1" w:after="100" w:afterAutospacing="1"/>
      <w:jc w:val="left"/>
    </w:pPr>
    <w:rPr>
      <w:b/>
      <w:bCs/>
      <w:kern w:val="0"/>
      <w:sz w:val="20"/>
    </w:rPr>
  </w:style>
  <w:style w:type="paragraph" w:customStyle="1" w:styleId="391">
    <w:name w:val="样式2"/>
    <w:basedOn w:val="1"/>
    <w:qFormat/>
    <w:uiPriority w:val="0"/>
    <w:pPr>
      <w:spacing w:line="360" w:lineRule="auto"/>
      <w:ind w:left="200" w:leftChars="200"/>
    </w:pPr>
    <w:rPr>
      <w:rFonts w:ascii="宋体" w:hAnsi="宋体"/>
      <w:b/>
      <w:sz w:val="24"/>
      <w:szCs w:val="24"/>
    </w:rPr>
  </w:style>
  <w:style w:type="paragraph" w:customStyle="1" w:styleId="39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3">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4">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5">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6">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7">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8">
    <w:name w:val="正文lzq"/>
    <w:basedOn w:val="1"/>
    <w:qFormat/>
    <w:uiPriority w:val="0"/>
    <w:pPr>
      <w:adjustRightInd w:val="0"/>
      <w:spacing w:line="360" w:lineRule="auto"/>
      <w:ind w:firstLine="480"/>
      <w:textAlignment w:val="baseline"/>
    </w:pPr>
    <w:rPr>
      <w:kern w:val="0"/>
      <w:sz w:val="24"/>
    </w:rPr>
  </w:style>
  <w:style w:type="paragraph" w:customStyle="1" w:styleId="39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400">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2">
    <w:name w:val="默认段落字体 Para Char Char Char Char Char Char Char"/>
    <w:basedOn w:val="1"/>
    <w:qFormat/>
    <w:uiPriority w:val="0"/>
  </w:style>
  <w:style w:type="paragraph" w:customStyle="1" w:styleId="403">
    <w:name w:val="Char Char1 Char Char Char Char1 Char Char Char Char Char Char"/>
    <w:basedOn w:val="1"/>
    <w:qFormat/>
    <w:uiPriority w:val="0"/>
    <w:rPr>
      <w:rFonts w:ascii="Tahoma" w:hAnsi="Tahoma"/>
      <w:sz w:val="24"/>
    </w:rPr>
  </w:style>
  <w:style w:type="paragraph" w:customStyle="1" w:styleId="404">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5">
    <w:name w:val="Char1 Char Char Char"/>
    <w:basedOn w:val="1"/>
    <w:qFormat/>
    <w:uiPriority w:val="0"/>
    <w:rPr>
      <w:rFonts w:ascii="Tahoma" w:hAnsi="Tahoma"/>
      <w:sz w:val="24"/>
    </w:rPr>
  </w:style>
  <w:style w:type="paragraph" w:customStyle="1" w:styleId="406">
    <w:name w:val="标准文本"/>
    <w:basedOn w:val="1"/>
    <w:qFormat/>
    <w:uiPriority w:val="0"/>
    <w:pPr>
      <w:spacing w:line="360" w:lineRule="auto"/>
      <w:ind w:firstLine="480" w:firstLineChars="200"/>
    </w:pPr>
    <w:rPr>
      <w:rFonts w:cs="宋体"/>
      <w:sz w:val="24"/>
      <w:szCs w:val="24"/>
    </w:rPr>
  </w:style>
  <w:style w:type="paragraph" w:customStyle="1" w:styleId="40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10">
    <w:name w:val="Table Normal"/>
    <w:unhideWhenUsed/>
    <w:qFormat/>
    <w:uiPriority w:val="0"/>
    <w:tblPr>
      <w:tblCellMar>
        <w:top w:w="0" w:type="dxa"/>
        <w:left w:w="0" w:type="dxa"/>
        <w:bottom w:w="0" w:type="dxa"/>
        <w:right w:w="0" w:type="dxa"/>
      </w:tblCellMar>
    </w:tblPr>
  </w:style>
  <w:style w:type="paragraph" w:customStyle="1" w:styleId="411">
    <w:name w:val="null15"/>
    <w:hidden/>
    <w:qFormat/>
    <w:uiPriority w:val="0"/>
    <w:rPr>
      <w:rFonts w:hint="eastAsia" w:ascii="宋体" w:hAnsi="宋体" w:eastAsia="宋体" w:cs="宋体"/>
      <w:sz w:val="24"/>
      <w:szCs w:val="24"/>
      <w:lang w:val="en-US" w:eastAsia="zh-Hans" w:bidi="ar-SA"/>
    </w:rPr>
  </w:style>
  <w:style w:type="paragraph" w:customStyle="1" w:styleId="412">
    <w:name w:val="Normal_1"/>
    <w:qFormat/>
    <w:uiPriority w:val="0"/>
    <w:rPr>
      <w:rFonts w:ascii="Times New Roman" w:hAnsi="Times New Roman" w:eastAsia="宋体" w:cs="Times New Roman"/>
      <w:sz w:val="24"/>
      <w:szCs w:val="24"/>
      <w:lang w:val="en-US" w:eastAsia="zh-CN" w:bidi="ar-SA"/>
    </w:rPr>
  </w:style>
  <w:style w:type="paragraph" w:customStyle="1" w:styleId="413">
    <w:name w:val="Normal_2"/>
    <w:qFormat/>
    <w:uiPriority w:val="0"/>
    <w:rPr>
      <w:rFonts w:ascii="Times New Roman" w:hAnsi="Times New Roman" w:eastAsia="宋体" w:cs="Times New Roman"/>
      <w:sz w:val="24"/>
      <w:szCs w:val="24"/>
      <w:lang w:val="en-US" w:eastAsia="zh-CN" w:bidi="ar-SA"/>
    </w:rPr>
  </w:style>
  <w:style w:type="paragraph" w:customStyle="1" w:styleId="414">
    <w:name w:val="_Style 1"/>
    <w:basedOn w:val="1"/>
    <w:qFormat/>
    <w:uiPriority w:val="34"/>
    <w:pPr>
      <w:ind w:left="720"/>
      <w:contextualSpacing/>
    </w:pPr>
    <w:rPr>
      <w:rFonts w:ascii="Calibri" w:hAnsi="Calibri" w:eastAsia="Calibri" w:cs="宋体"/>
      <w:kern w:val="0"/>
      <w:sz w:val="20"/>
      <w:lang w:val="zh-CN"/>
    </w:rPr>
  </w:style>
  <w:style w:type="paragraph" w:customStyle="1" w:styleId="415">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11628</Words>
  <Characters>12455</Characters>
  <Lines>498</Lines>
  <Paragraphs>357</Paragraphs>
  <TotalTime>9</TotalTime>
  <ScaleCrop>false</ScaleCrop>
  <LinksUpToDate>false</LinksUpToDate>
  <CharactersWithSpaces>12669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2025-11-11T04:17:00Z</dcterms:created>
  <dc:creator>Administrator</dc:creator>
  <cp:lastModifiedBy>昭彤影</cp:lastModifiedBy>
  <cp:lastPrinted>2026-05-19T18:56:00Z</cp:lastPrinted>
  <dcterms:modified xsi:type="dcterms:W3CDTF">2026-06-18T08:32:12Z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vt:r8>
  </property>
  <property fmtid="{D5CDD505-2E9C-101B-9397-08002B2CF9AE}" pid="4" name="ICV">
    <vt:lpwstr>F198CADAC29740969D95A54F0BA3C3DC_13</vt:lpwstr>
  </property>
  <property fmtid="{D5CDD505-2E9C-101B-9397-08002B2CF9AE}" pid="5" name="KSOTemplateDocerSaveRecord">
    <vt:lpwstr>eyJoZGlkIjoiZTRiNzI5Y2M5NTRkYmU4N2IwOWJkYTk3OTAzOWE3MGYiLCJ1c2VySWQiOiI4NDY2MzQ4NDAifQ==</vt:lpwstr>
  </property>
</Properties>
</file>