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ascii="Arial" w:hAnsi="Arial" w:eastAsia="黑体" w:cs="黑体"/>
          <w:b/>
          <w:color w:val="auto"/>
          <w:sz w:val="84"/>
          <w:szCs w:val="24"/>
          <w:highlight w:val="none"/>
          <w:lang w:bidi="ar"/>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jc w:val="left"/>
        <w:rPr>
          <w:rFonts w:ascii="Times New Roman" w:hAnsi="Times New Roman"/>
          <w:b/>
          <w:color w:val="auto"/>
          <w:sz w:val="30"/>
          <w:szCs w:val="30"/>
          <w:highlight w:val="none"/>
          <w:lang w:bidi="ar"/>
        </w:rPr>
      </w:pPr>
      <w:r>
        <w:rPr>
          <w:rFonts w:hint="eastAsia" w:ascii="Times New Roman" w:hAnsi="Times New Roman" w:cs="宋体"/>
          <w:b/>
          <w:color w:val="auto"/>
          <w:sz w:val="30"/>
          <w:szCs w:val="30"/>
          <w:highlight w:val="none"/>
          <w:lang w:bidi="ar"/>
        </w:rPr>
        <w:t xml:space="preserve">项目名称：</w:t>
      </w:r>
      <w:r>
        <w:rPr>
          <w:rFonts w:hint="eastAsia" w:ascii="Times New Roman" w:hAnsi="Times New Roman"/>
          <w:b/>
          <w:color w:val="auto"/>
          <w:sz w:val="30"/>
          <w:szCs w:val="30"/>
          <w:highlight w:val="none"/>
          <w:lang w:bidi="ar"/>
        </w:rPr>
        <w:t xml:space="preserve">泗洪县城区学校门口交通安全设施建设项目</w:t>
      </w:r>
      <w:r/>
    </w:p>
    <w:p>
      <w:pPr>
        <w:ind w:firstLine="1506"/>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项目编号：JSZC-321324-JSCW-G2026-0017</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center"/>
        <w:spacing w:before="120" w:after="120" w:line="360" w:lineRule="auto"/>
        <w:rPr>
          <w:rFonts w:ascii="Times New Roman" w:hAnsi="Times New Roman"/>
          <w:b/>
          <w:color w:val="auto"/>
          <w:sz w:val="30"/>
          <w:szCs w:val="30"/>
          <w:highlight w:val="none"/>
        </w:rPr>
      </w:pPr>
      <w:r>
        <w:rPr>
          <w:rFonts w:ascii="Times New Roman" w:hAnsi="Times New Roman"/>
          <w:b/>
          <w:bCs/>
          <w:color w:val="auto"/>
          <w:sz w:val="32"/>
          <w:szCs w:val="24"/>
          <w:highlight w:val="none"/>
        </w:rPr>
        <w:t xml:space="preserve">（</w:t>
      </w:r>
      <w:r>
        <w:rPr>
          <w:rFonts w:ascii="Times New Roman" w:hAnsi="Times New Roman"/>
          <w:b/>
          <w:bCs/>
          <w:color w:val="auto"/>
          <w:sz w:val="32"/>
          <w:szCs w:val="24"/>
          <w:highlight w:val="none"/>
          <w:u w:val="single"/>
        </w:rPr>
        <w:t xml:space="preserve">货物</w:t>
      </w:r>
      <w:r>
        <w:rPr>
          <w:rFonts w:ascii="Times New Roman" w:hAnsi="Times New Roman"/>
          <w:b/>
          <w:bCs/>
          <w:color w:val="auto"/>
          <w:sz w:val="32"/>
          <w:szCs w:val="24"/>
          <w:highlight w:val="none"/>
        </w:rPr>
        <w:t xml:space="preserve">类项目，</w:t>
      </w:r>
      <w:r>
        <w:rPr>
          <w:rFonts w:hint="eastAsia" w:ascii="Times New Roman" w:hAnsi="Times New Roman"/>
          <w:b/>
          <w:bCs/>
          <w:color w:val="auto"/>
          <w:sz w:val="32"/>
          <w:szCs w:val="24"/>
          <w:highlight w:val="none"/>
        </w:rPr>
        <w:t xml:space="preserve">本项目</w:t>
      </w:r>
      <w:r>
        <w:rPr>
          <w:rFonts w:ascii="Times New Roman" w:hAnsi="Times New Roman"/>
          <w:b/>
          <w:bCs/>
          <w:color w:val="auto"/>
          <w:sz w:val="32"/>
          <w:szCs w:val="24"/>
          <w:highlight w:val="none"/>
          <w:u w:val="single"/>
        </w:rPr>
        <w:t xml:space="preserve">专门</w:t>
      </w:r>
      <w:r>
        <w:rPr>
          <w:rFonts w:ascii="Times New Roman" w:hAnsi="Times New Roman"/>
          <w:b/>
          <w:bCs/>
          <w:color w:val="auto"/>
          <w:sz w:val="32"/>
          <w:szCs w:val="24"/>
          <w:highlight w:val="none"/>
        </w:rPr>
        <w:t xml:space="preserve">面向中小企业）</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34"/>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江苏春为全过程工程咨询有限公司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 </w:t>
      </w:r>
      <w:r/>
    </w:p>
    <w:p>
      <w:pPr>
        <w:ind w:firstLine="964"/>
        <w:jc w:val="left"/>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bidi="ar"/>
        </w:rPr>
        <w:t xml:space="preserve">6</w:t>
      </w:r>
      <w:r>
        <w:rPr>
          <w:rFonts w:hint="eastAsia" w:ascii="Arial" w:hAnsi="Arial" w:cs="宋体"/>
          <w:b/>
          <w:color w:val="auto"/>
          <w:sz w:val="32"/>
          <w:szCs w:val="24"/>
          <w:highlight w:val="none"/>
          <w:lang w:bidi="ar"/>
        </w:rPr>
        <w:t xml:space="preserve">年06月</w:t>
      </w:r>
      <w:r>
        <w:rPr>
          <w:rFonts w:hint="eastAsia" w:ascii="Arial" w:hAnsi="Arial" w:cs="宋体"/>
          <w:b/>
          <w:color w:val="auto"/>
          <w:sz w:val="32"/>
          <w:szCs w:val="24"/>
          <w:highlight w:val="none"/>
          <w:lang w:val="en-US" w:eastAsia="zh-CN" w:bidi="ar"/>
        </w:rPr>
        <w:t xml:space="preserve">05</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47"/>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8"/>
        <w:numPr>
          <w:ilvl w:val="0"/>
          <w:numId w:val="3"/>
        </w:numPr>
        <w:jc w:val="center"/>
        <w:spacing w:before="200"/>
        <w:rPr>
          <w:rFonts w:eastAsia="黑体"/>
          <w:color w:val="auto"/>
          <w:sz w:val="36"/>
          <w:szCs w:val="36"/>
          <w:highlight w:val="none"/>
        </w:rPr>
      </w:pPr>
      <w:r/>
      <w:bookmarkStart w:id="4" w:name="_Toc30943"/>
      <w:r/>
      <w:bookmarkStart w:id="5" w:name="_Toc10813"/>
      <w:r/>
      <w:bookmarkStart w:id="6" w:name="_Toc25722"/>
      <w:r>
        <w:rPr>
          <w:rFonts w:hint="eastAsia" w:eastAsia="黑体"/>
          <w:color w:val="auto"/>
          <w:sz w:val="36"/>
          <w:szCs w:val="36"/>
          <w:highlight w:val="none"/>
        </w:rPr>
        <w:t xml:space="preserve"> 投标邀请</w:t>
      </w:r>
      <w:bookmarkEnd w:id="2"/>
      <w:r/>
      <w:bookmarkEnd w:id="3"/>
      <w:r/>
      <w:bookmarkEnd w:id="4"/>
      <w:r/>
      <w:bookmarkEnd w:id="5"/>
      <w:r/>
      <w:bookmarkEnd w:id="6"/>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泗洪县城区学校门口交通安全设施建设项目JSZC-321324-JSCW-G2026-0017</w:t>
      </w:r>
      <w:r>
        <w:rPr>
          <w:rFonts w:hint="eastAsia" w:ascii="宋体" w:hAnsi="宋体" w:cs="宋体"/>
          <w:color w:val="auto"/>
          <w:sz w:val="24"/>
          <w:szCs w:val="24"/>
          <w:highlight w:val="none"/>
        </w:rPr>
        <w:t xml:space="preserve">招标项目的潜在投标人应在投标人应在招标文件提供的时间内，通过“苏采云“系统 （网址：http://jszfcg.jsczt.cn) 找到本项目获取招标文件，并于</w:t>
      </w:r>
      <w:r>
        <w:rPr>
          <w:rFonts w:hint="eastAsia" w:ascii="宋体" w:hAnsi="宋体" w:cs="宋体"/>
          <w:color w:val="ff0000"/>
          <w:sz w:val="24"/>
          <w:szCs w:val="24"/>
          <w:highlight w:val="none"/>
        </w:rPr>
        <w:t xml:space="preserve">2026年</w:t>
      </w:r>
      <w:r>
        <w:rPr>
          <w:rFonts w:hint="eastAsia" w:ascii="宋体" w:hAnsi="宋体" w:cs="宋体"/>
          <w:color w:val="ff0000"/>
          <w:sz w:val="24"/>
          <w:szCs w:val="24"/>
          <w:highlight w:val="none"/>
          <w:lang w:val="en-US" w:eastAsia="zh-CN"/>
        </w:rPr>
        <w:t xml:space="preserve">7</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日09时00分</w:t>
      </w:r>
      <w:r>
        <w:rPr>
          <w:rFonts w:hint="eastAsia" w:ascii="宋体" w:hAnsi="宋体" w:cs="宋体"/>
          <w:color w:val="auto"/>
          <w:sz w:val="24"/>
          <w:szCs w:val="24"/>
          <w:highlight w:val="none"/>
        </w:rPr>
        <w:t xml:space="preserve">（北京时间）前递交投标文件。</w:t>
      </w:r>
      <w:r/>
    </w:p>
    <w:p>
      <w:pPr>
        <w:pStyle w:val="789"/>
        <w:ind w:firstLine="482"/>
        <w:spacing w:before="120" w:after="0" w:line="480" w:lineRule="exact"/>
        <w:rPr>
          <w:rFonts w:ascii="宋体" w:hAnsi="宋体" w:eastAsia="宋体" w:cs="宋体"/>
          <w:bCs/>
          <w:color w:val="auto"/>
          <w:sz w:val="24"/>
          <w:szCs w:val="24"/>
          <w:highlight w:val="none"/>
        </w:rPr>
      </w:pPr>
      <w:r/>
      <w:bookmarkStart w:id="7" w:name="_Toc28359002"/>
      <w:r/>
      <w:bookmarkStart w:id="8" w:name="_Toc2584"/>
      <w:r/>
      <w:bookmarkStart w:id="9" w:name="_Toc35393790"/>
      <w:r/>
      <w:bookmarkStart w:id="10" w:name="_Toc38985263"/>
      <w:r/>
      <w:bookmarkStart w:id="11" w:name="_Toc28359079"/>
      <w:r/>
      <w:bookmarkStart w:id="12" w:name="_Toc35393621"/>
      <w:r/>
      <w:bookmarkStart w:id="13" w:name="_Hlk24379207"/>
      <w:r>
        <w:rPr>
          <w:rFonts w:hint="eastAsia" w:ascii="宋体" w:hAnsi="宋体" w:eastAsia="宋体" w:cs="宋体"/>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1.项目编号：JSZC-321324-JSCW-G2026-0017</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bookmarkEnd w:id="13"/>
      <w:r>
        <w:rPr>
          <w:rFonts w:hint="eastAsia" w:ascii="宋体" w:hAnsi="宋体" w:cs="宋体"/>
          <w:color w:val="auto"/>
          <w:sz w:val="24"/>
          <w:szCs w:val="24"/>
          <w:highlight w:val="none"/>
        </w:rPr>
        <w:t xml:space="preserve">泗洪县城区学校门口交通安全设施建设项目</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3.预算金额：372.8534 万元</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4.最高限价（如有）：本项目设定最高限价，最高限价为</w:t>
      </w:r>
      <w:bookmarkStart w:id="14" w:name="EB6c1f3d39c6914ae1bada8ccaa777b37a"/>
      <w:r>
        <w:rPr>
          <w:rFonts w:hint="eastAsia" w:ascii="宋体" w:hAnsi="宋体" w:cs="宋体"/>
          <w:color w:val="auto"/>
          <w:sz w:val="24"/>
          <w:szCs w:val="24"/>
          <w:highlight w:val="none"/>
        </w:rPr>
        <w:t xml:space="preserve">336.8573万元，高于此最高限价为无效标。</w:t>
      </w:r>
      <w:bookmarkEnd w:id="14"/>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5.采购需求：为了进一步强化校园及周边交通安全管理和秩序维护，泗洪县教育局拟进行城区学校门口交通安全设施建设，详细内容见本招标文件第四章采购需求。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6.合同履行期限：合同签订后90日历天内安装完毕并交付使用。</w:t>
      </w:r>
      <w:r/>
    </w:p>
    <w:p>
      <w:pPr>
        <w:ind w:firstLine="480"/>
        <w:spacing w:line="480" w:lineRule="exact"/>
        <w:rPr>
          <w:rFonts w:ascii="宋体" w:hAnsi="宋体" w:cs="宋体"/>
          <w:color w:val="auto"/>
          <w:sz w:val="24"/>
          <w:szCs w:val="24"/>
          <w:highlight w:val="none"/>
        </w:rPr>
      </w:pPr>
      <w:r/>
      <w:bookmarkStart w:id="15" w:name="_Toc35393791"/>
      <w:r/>
      <w:bookmarkStart w:id="16" w:name="_Toc35393622"/>
      <w:r/>
      <w:bookmarkStart w:id="17" w:name="_Toc27291"/>
      <w:r/>
      <w:bookmarkStart w:id="18" w:name="_Toc28359003"/>
      <w:r/>
      <w:bookmarkStart w:id="19" w:name="_Toc38985264"/>
      <w:r/>
      <w:bookmarkStart w:id="20" w:name="_Toc28359080"/>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联合体投标。</w:t>
      </w:r>
      <w:r/>
    </w:p>
    <w:p>
      <w:pPr>
        <w:pStyle w:val="789"/>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（一）满足《中华人民共和国政府采购法》第二十二条规定：</w:t>
      </w:r>
      <w:bookmarkStart w:id="21" w:name="_Toc38985265"/>
      <w:r/>
      <w:bookmarkStart w:id="22" w:name="_Toc35393792"/>
      <w:r/>
      <w:bookmarkStart w:id="23" w:name="_Toc28359081"/>
      <w:r/>
      <w:bookmarkStart w:id="24" w:name="_Toc28359004"/>
      <w:r/>
      <w:bookmarkStart w:id="25" w:name="_Toc35393623"/>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3.投标人代理人(授权委托人)必须为本单位正式员工，并在投标文件中提供投标截止日前6个月内由本单位为其缴纳的任意1个月社会养老保险证明资料电子件。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（二）落实政府采购政策需满足的资格要求：本项目专门面向中小企业（含监狱企业、残疾人福利企业）采购的项目，所投</w:t>
      </w:r>
      <w:r>
        <w:rPr>
          <w:rFonts w:hint="eastAsia" w:ascii="宋体" w:hAnsi="宋体" w:cs="宋体"/>
          <w:color w:val="auto"/>
          <w:sz w:val="24"/>
          <w:szCs w:val="24"/>
          <w:highlight w:val="none"/>
          <w:lang w:val="en-US" w:eastAsia="zh-CN"/>
        </w:rPr>
        <w:t xml:space="preserve">货物类</w:t>
      </w:r>
      <w:r>
        <w:rPr>
          <w:rFonts w:hint="eastAsia" w:ascii="宋体" w:hAnsi="宋体" w:cs="宋体"/>
          <w:color w:val="auto"/>
          <w:sz w:val="24"/>
          <w:szCs w:val="24"/>
          <w:highlight w:val="none"/>
        </w:rPr>
        <w:t xml:space="preserve">产品制造商</w:t>
      </w:r>
      <w:r>
        <w:rPr>
          <w:rFonts w:hint="eastAsia" w:ascii="宋体" w:hAnsi="宋体" w:cs="宋体"/>
          <w:color w:val="auto"/>
          <w:sz w:val="24"/>
          <w:szCs w:val="24"/>
          <w:highlight w:val="none"/>
          <w:lang w:val="en-US" w:eastAsia="zh-CN"/>
        </w:rPr>
        <w:t xml:space="preserve">和工程类承接商</w:t>
      </w:r>
      <w:r>
        <w:rPr>
          <w:rFonts w:hint="eastAsia" w:ascii="宋体" w:hAnsi="宋体" w:cs="宋体"/>
          <w:color w:val="auto"/>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注：单位负责人为同一人或者存在直接控股、管理关系的不同供应商，不得参加同一合同项下的政府采购活动。否则，相关投标均无效。</w:t>
      </w:r>
      <w:r/>
    </w:p>
    <w:p>
      <w:pPr>
        <w:pStyle w:val="789"/>
        <w:ind w:firstLine="482"/>
        <w:spacing w:before="0" w:after="0" w:line="480" w:lineRule="exact"/>
        <w:rPr>
          <w:rFonts w:ascii="宋体" w:hAnsi="宋体" w:eastAsia="宋体" w:cs="宋体"/>
          <w:bCs/>
          <w:color w:val="auto"/>
          <w:sz w:val="24"/>
          <w:szCs w:val="24"/>
          <w:highlight w:val="none"/>
        </w:rPr>
      </w:pPr>
      <w:r/>
      <w:bookmarkStart w:id="26" w:name="_Toc22204"/>
      <w:r>
        <w:rPr>
          <w:rFonts w:hint="eastAsia" w:ascii="宋体" w:hAnsi="宋体" w:eastAsia="宋体" w:cs="宋体"/>
          <w:bCs/>
          <w:color w:val="auto"/>
          <w:sz w:val="24"/>
          <w:szCs w:val="24"/>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82"/>
      <w:r/>
      <w:bookmarkStart w:id="28" w:name="_Toc28359005"/>
      <w:r/>
      <w:bookmarkStart w:id="29" w:name="_Toc19148"/>
      <w:r/>
      <w:bookmarkStart w:id="30" w:name="_Toc38985266"/>
      <w:r/>
      <w:bookmarkStart w:id="31" w:name="_Toc35393793"/>
      <w:r/>
      <w:bookmarkStart w:id="32" w:name="_Toc35393624"/>
      <w:r>
        <w:rPr>
          <w:rFonts w:hint="eastAsia" w:ascii="宋体" w:hAnsi="宋体" w:cs="宋体"/>
          <w:color w:val="auto"/>
          <w:sz w:val="24"/>
          <w:szCs w:val="24"/>
          <w:highlight w:val="none"/>
        </w:rPr>
        <w:t xml:space="preserve">时间：自招标文件公告发布之日起5个工作日。</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地点：</w:t>
      </w:r>
      <w:bookmarkStart w:id="33" w:name="OLE_LINK32"/>
      <w:r>
        <w:rPr>
          <w:rFonts w:hint="eastAsia" w:ascii="宋体" w:hAnsi="宋体" w:cs="宋体"/>
          <w:color w:val="auto"/>
          <w:sz w:val="24"/>
          <w:szCs w:val="24"/>
          <w:highlight w:val="none"/>
        </w:rPr>
        <w:t xml:space="preserve">招标文件提供的时间内，通过“苏采云“系统（网址： http://jszfcg.jsczt.cn)找到本项目。</w:t>
      </w:r>
      <w:bookmarkEnd w:id="33"/>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方式：投标人应在招标文件提供的时间内，通过“苏采云”系统（网址： http://jszfcg.jsczt.cn/），使用CA锁登录系统后，找到本项目获取招标文件（后缀名为“.kedt”）。</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售价：0.00元</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本项目共分一个包。投标人参与多个采购包投标的，应按采购包分别获取招标文件。投标人未按要求获取招标文件导致无法投标的，后果自负（其投标文件不予接受）。 </w:t>
      </w:r>
      <w:r/>
    </w:p>
    <w:p>
      <w:pPr>
        <w:pStyle w:val="789"/>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w:t>
      </w:r>
      <w:bookmarkEnd w:id="27"/>
      <w:r/>
      <w:bookmarkEnd w:id="28"/>
      <w:r>
        <w:rPr>
          <w:rFonts w:hint="eastAsia" w:ascii="宋体" w:hAnsi="宋体" w:eastAsia="宋体" w:cs="宋体"/>
          <w:bCs/>
          <w:color w:val="auto"/>
          <w:sz w:val="24"/>
          <w:szCs w:val="24"/>
          <w:highlight w:val="none"/>
        </w:rPr>
        <w:t xml:space="preserve">截止时间、开标时间和地点</w:t>
      </w:r>
      <w:bookmarkEnd w:id="29"/>
      <w:r/>
      <w:bookmarkEnd w:id="30"/>
      <w:r/>
      <w:bookmarkEnd w:id="31"/>
      <w:r/>
      <w:bookmarkEnd w:id="3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ff0000"/>
          <w:sz w:val="24"/>
          <w:szCs w:val="24"/>
          <w:highlight w:val="none"/>
        </w:rPr>
        <w:t xml:space="preserve">2026年</w:t>
      </w:r>
      <w:r>
        <w:rPr>
          <w:rFonts w:hint="eastAsia" w:ascii="宋体" w:hAnsi="宋体" w:cs="宋体"/>
          <w:color w:val="ff0000"/>
          <w:sz w:val="24"/>
          <w:szCs w:val="24"/>
          <w:highlight w:val="none"/>
          <w:lang w:val="en-US" w:eastAsia="zh-CN"/>
        </w:rPr>
        <w:t xml:space="preserve">7</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6</w:t>
      </w:r>
      <w:bookmarkStart w:id="174" w:name="_GoBack"/>
      <w:r/>
      <w:bookmarkEnd w:id="174"/>
      <w:r>
        <w:rPr>
          <w:rFonts w:hint="eastAsia" w:ascii="宋体" w:hAnsi="宋体" w:cs="宋体"/>
          <w:color w:val="ff0000"/>
          <w:sz w:val="24"/>
          <w:szCs w:val="24"/>
          <w:highlight w:val="none"/>
        </w:rPr>
        <w:t xml:space="preserve">日09点00分</w:t>
      </w:r>
      <w:r>
        <w:rPr>
          <w:rFonts w:hint="eastAsia" w:ascii="宋体" w:hAnsi="宋体" w:cs="宋体"/>
          <w:color w:val="auto"/>
          <w:sz w:val="24"/>
          <w:szCs w:val="24"/>
          <w:highlight w:val="none"/>
        </w:rPr>
        <w:t xml:space="preserve">（北京时间）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pStyle w:val="789"/>
        <w:ind w:firstLine="482"/>
        <w:spacing w:before="0" w:after="0" w:line="480" w:lineRule="exact"/>
        <w:rPr>
          <w:rFonts w:ascii="宋体" w:hAnsi="宋体" w:eastAsia="宋体" w:cs="宋体"/>
          <w:bCs/>
          <w:color w:val="auto"/>
          <w:sz w:val="24"/>
          <w:szCs w:val="24"/>
          <w:highlight w:val="none"/>
        </w:rPr>
      </w:pPr>
      <w:r/>
      <w:bookmarkStart w:id="34" w:name="_Toc38985267"/>
      <w:r/>
      <w:bookmarkStart w:id="35" w:name="_Toc35393794"/>
      <w:r/>
      <w:bookmarkStart w:id="36" w:name="_Toc35393625"/>
      <w:r/>
      <w:bookmarkStart w:id="37" w:name="_Toc28359084"/>
      <w:r/>
      <w:bookmarkStart w:id="38" w:name="_Toc28359007"/>
      <w:r/>
      <w:bookmarkStart w:id="39" w:name="_Toc24820"/>
      <w:r>
        <w:rPr>
          <w:rFonts w:hint="eastAsia" w:ascii="宋体" w:hAnsi="宋体" w:eastAsia="宋体" w:cs="宋体"/>
          <w:bCs/>
          <w:color w:val="auto"/>
          <w:sz w:val="24"/>
          <w:szCs w:val="24"/>
          <w:highlight w:val="none"/>
        </w:rPr>
        <w:t xml:space="preserve">五、公告期限</w:t>
      </w:r>
      <w:bookmarkEnd w:id="34"/>
      <w:r/>
      <w:bookmarkEnd w:id="35"/>
      <w:r/>
      <w:bookmarkEnd w:id="36"/>
      <w:r/>
      <w:bookmarkEnd w:id="37"/>
      <w:r/>
      <w:bookmarkEnd w:id="38"/>
      <w:r/>
      <w:bookmarkEnd w:id="39"/>
      <w:r/>
      <w:r/>
    </w:p>
    <w:p>
      <w:pPr>
        <w:ind w:firstLine="480"/>
        <w:spacing w:line="480" w:lineRule="exact"/>
        <w:rPr>
          <w:rFonts w:ascii="宋体" w:hAnsi="宋体" w:cs="宋体"/>
          <w:color w:val="auto"/>
          <w:sz w:val="24"/>
          <w:szCs w:val="24"/>
          <w:highlight w:val="none"/>
        </w:rPr>
      </w:pPr>
      <w:r/>
      <w:bookmarkStart w:id="40" w:name="_Toc35393795"/>
      <w:r/>
      <w:bookmarkStart w:id="41" w:name="_Toc35393626"/>
      <w:r/>
      <w:bookmarkStart w:id="42" w:name="_Toc38985268"/>
      <w:r>
        <w:rPr>
          <w:rFonts w:hint="eastAsia" w:ascii="宋体" w:hAnsi="宋体" w:cs="宋体"/>
          <w:color w:val="auto"/>
          <w:sz w:val="24"/>
          <w:szCs w:val="24"/>
          <w:highlight w:val="none"/>
        </w:rPr>
        <w:t xml:space="preserve">自本公告发布之日起5个工作日。</w:t>
      </w:r>
      <w:r/>
    </w:p>
    <w:p>
      <w:pPr>
        <w:pStyle w:val="789"/>
        <w:ind w:firstLine="482"/>
        <w:spacing w:before="0" w:after="0" w:line="480" w:lineRule="exact"/>
        <w:rPr>
          <w:rFonts w:ascii="宋体" w:hAnsi="宋体" w:eastAsia="宋体" w:cs="宋体"/>
          <w:bCs/>
          <w:color w:val="auto"/>
          <w:sz w:val="24"/>
          <w:szCs w:val="24"/>
          <w:highlight w:val="none"/>
        </w:rPr>
      </w:pPr>
      <w:r/>
      <w:bookmarkStart w:id="43" w:name="_Toc13415"/>
      <w:r>
        <w:rPr>
          <w:rFonts w:hint="eastAsia" w:ascii="宋体" w:hAnsi="宋体" w:eastAsia="宋体" w:cs="宋体"/>
          <w:bCs/>
          <w:color w:val="auto"/>
          <w:sz w:val="24"/>
          <w:szCs w:val="24"/>
          <w:highlight w:val="none"/>
        </w:rPr>
        <w:t xml:space="preserve">六、其他补充事宜</w:t>
      </w:r>
      <w:bookmarkEnd w:id="40"/>
      <w:r/>
      <w:bookmarkEnd w:id="41"/>
      <w:r/>
      <w:bookmarkEnd w:id="42"/>
      <w:r/>
      <w:bookmarkEnd w:id="43"/>
      <w:r/>
      <w:r/>
    </w:p>
    <w:p>
      <w:pPr>
        <w:ind w:firstLine="480"/>
        <w:spacing w:line="480" w:lineRule="exact"/>
        <w:rPr>
          <w:rFonts w:ascii="宋体" w:hAnsi="宋体" w:cs="宋体"/>
          <w:color w:val="auto"/>
          <w:sz w:val="24"/>
          <w:szCs w:val="24"/>
          <w:highlight w:val="none"/>
        </w:rPr>
      </w:pPr>
      <w:r/>
      <w:bookmarkStart w:id="44" w:name="_Toc35393627"/>
      <w:r/>
      <w:bookmarkStart w:id="45" w:name="_Toc28359085"/>
      <w:r/>
      <w:bookmarkStart w:id="46" w:name="_Toc29049"/>
      <w:r/>
      <w:bookmarkStart w:id="47" w:name="_Toc28359008"/>
      <w:r/>
      <w:bookmarkStart w:id="48" w:name="_Toc38985269"/>
      <w:r/>
      <w:bookmarkStart w:id="49" w:name="_Toc35393796"/>
      <w:r>
        <w:rPr>
          <w:rFonts w:hint="eastAsia" w:ascii="宋体" w:hAnsi="宋体" w:cs="宋体"/>
          <w:color w:val="auto"/>
          <w:sz w:val="24"/>
          <w:szCs w:val="24"/>
          <w:highlight w:val="none"/>
        </w:rPr>
        <w:t xml:space="preserve">1.财政部门监督电话：0527-88359233。</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3.宿迁地区“苏采云”技术支持客服电话：0527-84363067、0519-86722806。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4.投标人通过苏采云系统参与政府采购项目，相关操作手册详见链接：http://www.ccgp-jiangsu.gov.cn/jiangsu/zlxz/ee/ee3a4bc5a3454aa2b0d9312230633ce9.html。</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6.有关本次招标的事项若存在变动或修改，敬请及时关注“宿迁市政府采购网”等平台更正公告。</w:t>
      </w:r>
      <w:r/>
    </w:p>
    <w:p>
      <w:pPr>
        <w:pStyle w:val="789"/>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44"/>
      <w:r/>
      <w:bookmarkEnd w:id="45"/>
      <w:r/>
      <w:bookmarkEnd w:id="46"/>
      <w:r/>
      <w:bookmarkEnd w:id="47"/>
      <w:r/>
      <w:bookmarkEnd w:id="48"/>
      <w:r/>
      <w:bookmarkEnd w:id="49"/>
      <w:r/>
      <w:r/>
    </w:p>
    <w:p>
      <w:pPr>
        <w:ind w:firstLine="480"/>
        <w:jc w:val="left"/>
        <w:spacing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名称：泗洪县教育局</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地址：泗洪县洪泽湖路东大街</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联系人：吴利祥</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50" w:name="_Toc28359086"/>
      <w:r/>
      <w:bookmarkStart w:id="51" w:name="_Toc28359009"/>
      <w:r>
        <w:rPr>
          <w:rFonts w:hint="eastAsia" w:ascii="宋体" w:hAnsi="宋体" w:cs="宋体"/>
          <w:color w:val="auto"/>
          <w:sz w:val="24"/>
          <w:szCs w:val="24"/>
          <w:highlight w:val="none"/>
        </w:rPr>
        <w:t xml:space="preserve">13809094632</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50"/>
      <w:r/>
      <w:bookmarkEnd w:id="51"/>
      <w:r>
        <w:rPr>
          <w:rFonts w:hint="eastAsia" w:ascii="宋体" w:hAnsi="宋体" w:cs="宋体"/>
          <w:color w:val="auto"/>
          <w:sz w:val="24"/>
          <w:szCs w:val="24"/>
          <w:highlight w:val="none"/>
        </w:rPr>
        <w:t xml:space="preserve">采购代理机构信息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名称：江苏春为全过程工程咨询有限公司</w:t>
      </w:r>
      <w:r/>
    </w:p>
    <w:p>
      <w:pPr>
        <w:ind w:firstLine="480"/>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地址：泗洪县明德紫郡东门商铺往南50米</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联系方式：18851398356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 话：18851398356  </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tabs>
          <w:tab w:val="left" w:pos="9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1.有关本次采购的事项若存在变动或修改，敬请及时关注“宿迁市政府采购网”等平台更正公告。</w:t>
      </w:r>
      <w:r/>
    </w:p>
    <w:p>
      <w:pPr>
        <w:ind w:firstLine="480"/>
        <w:spacing w:line="480" w:lineRule="exact"/>
        <w:tabs>
          <w:tab w:val="left" w:pos="90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2.本次招标不收取投标保证金。</w:t>
      </w:r>
      <w:r/>
    </w:p>
    <w:p>
      <w:pPr>
        <w:ind w:firstLine="480"/>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2" w:name="_Toc81575153"/>
      <w:r/>
      <w:bookmarkStart w:id="53" w:name="_Toc81575190"/>
      <w:r/>
      <w:bookmarkStart w:id="54" w:name="_Toc15265"/>
      <w:r/>
      <w:bookmarkStart w:id="55" w:name="_Toc9425"/>
      <w:r/>
      <w:bookmarkStart w:id="56" w:name="_Toc11687"/>
      <w:r>
        <w:rPr>
          <w:rFonts w:hint="eastAsia" w:eastAsia="黑体"/>
          <w:color w:val="auto"/>
          <w:sz w:val="36"/>
          <w:szCs w:val="36"/>
          <w:highlight w:val="none"/>
        </w:rPr>
        <w:t xml:space="preserve">第二章  投标人须知</w:t>
      </w:r>
      <w:bookmarkEnd w:id="52"/>
      <w:r/>
      <w:bookmarkEnd w:id="53"/>
      <w:r/>
      <w:bookmarkEnd w:id="54"/>
      <w:r/>
      <w:bookmarkEnd w:id="55"/>
      <w:r/>
      <w:bookmarkEnd w:id="56"/>
      <w:r/>
      <w:r/>
    </w:p>
    <w:p>
      <w:pPr>
        <w:pStyle w:val="789"/>
        <w:ind w:firstLine="482"/>
        <w:spacing w:before="0" w:after="0" w:line="480" w:lineRule="exact"/>
        <w:rPr>
          <w:rFonts w:ascii="宋体" w:hAnsi="宋体" w:eastAsia="宋体" w:cs="宋体"/>
          <w:bCs/>
          <w:color w:val="auto"/>
          <w:sz w:val="24"/>
          <w:szCs w:val="24"/>
          <w:highlight w:val="none"/>
        </w:rPr>
      </w:pPr>
      <w:r/>
      <w:bookmarkStart w:id="57" w:name="_Toc4529"/>
      <w:r>
        <w:rPr>
          <w:rFonts w:hint="eastAsia" w:ascii="宋体" w:hAnsi="宋体" w:eastAsia="宋体" w:cs="宋体"/>
          <w:bCs/>
          <w:color w:val="auto"/>
          <w:sz w:val="24"/>
          <w:szCs w:val="24"/>
          <w:highlight w:val="none"/>
        </w:rPr>
        <w:t xml:space="preserve">投标人须知前附表：</w:t>
      </w:r>
      <w:bookmarkEnd w:id="57"/>
      <w:r/>
      <w:r/>
    </w:p>
    <w:tbl>
      <w:tblPr>
        <w:tblStyle w:val="734"/>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spacing w:line="400" w:lineRule="exact"/>
              <w:rPr>
                <w:rFonts w:ascii="宋体" w:hAnsi="宋体" w:cs="宋体"/>
                <w:b/>
                <w:color w:val="auto"/>
                <w:sz w:val="24"/>
                <w:szCs w:val="24"/>
                <w:highlight w:val="none"/>
              </w:rPr>
            </w:pPr>
            <w:r/>
            <w:bookmarkStart w:id="58" w:name="_Toc29262"/>
            <w:r/>
            <w:bookmarkStart w:id="59" w:name="_Toc81575154"/>
            <w:r/>
            <w:bookmarkStart w:id="60" w:name="_Toc81575191"/>
            <w:r>
              <w:rPr>
                <w:rFonts w:hint="eastAsia" w:ascii="宋体" w:hAnsi="宋体" w:cs="宋体"/>
                <w:b/>
                <w:color w:val="auto"/>
                <w:sz w:val="24"/>
                <w:szCs w:val="24"/>
                <w:highlight w:val="none"/>
              </w:rPr>
              <w:t xml:space="preserve">序号</w:t>
            </w:r>
            <w:r/>
          </w:p>
        </w:tc>
        <w:tc>
          <w:tcPr>
            <w:tcW w:w="1772"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579"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w:t>
            </w:r>
            <w:bookmarkStart w:id="61" w:name="EB9a5853ee094f4f0ea6ec3169265f6f2c"/>
            <w:r>
              <w:rPr>
                <w:rFonts w:hint="eastAsia" w:ascii="宋体" w:hAnsi="宋体" w:cs="宋体"/>
                <w:color w:val="auto"/>
                <w:sz w:val="24"/>
                <w:szCs w:val="24"/>
                <w:highlight w:val="none"/>
              </w:rPr>
              <w:t xml:space="preserve">属性按以下第</w:t>
            </w:r>
            <w:bookmarkEnd w:id="61"/>
            <w:r>
              <w:rPr>
                <w:rFonts w:hint="eastAsia" w:ascii="宋体" w:hAnsi="宋体" w:cs="宋体"/>
                <w:color w:val="auto"/>
                <w:sz w:val="24"/>
                <w:szCs w:val="24"/>
                <w:highlight w:val="none"/>
                <w:u w:val="single"/>
              </w:rPr>
              <w:t xml:space="preserve"> 1  </w:t>
            </w:r>
            <w:r>
              <w:rPr>
                <w:rFonts w:hint="eastAsia" w:ascii="宋体" w:hAnsi="宋体" w:cs="宋体"/>
                <w:color w:val="auto"/>
                <w:sz w:val="24"/>
                <w:szCs w:val="24"/>
                <w:highlight w:val="none"/>
              </w:rPr>
              <w:t xml:space="preserve">种确定：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1.货物</w:t>
            </w:r>
            <w:bookmarkStart w:id="62" w:name="EBd5c6c026f9674c39b21b31ecd0c1e7fa"/>
            <w:r>
              <w:rPr>
                <w:rFonts w:hint="eastAsia" w:ascii="宋体" w:hAnsi="宋体" w:cs="宋体"/>
                <w:color w:val="auto"/>
                <w:sz w:val="24"/>
                <w:szCs w:val="24"/>
                <w:highlight w:val="none"/>
              </w:rPr>
              <w:t xml:space="preserve">采购；2.</w:t>
            </w:r>
            <w:bookmarkEnd w:id="62"/>
            <w:r>
              <w:rPr>
                <w:rFonts w:hint="eastAsia" w:ascii="宋体" w:hAnsi="宋体" w:cs="宋体"/>
                <w:color w:val="auto"/>
                <w:sz w:val="24"/>
                <w:szCs w:val="24"/>
                <w:highlight w:val="none"/>
              </w:rPr>
              <w:t xml:space="preserve">服务</w:t>
            </w:r>
            <w:bookmarkStart w:id="63" w:name="EBf7d2a4f44ecb4166a93ea852e73be69f"/>
            <w:r>
              <w:rPr>
                <w:rFonts w:hint="eastAsia" w:ascii="宋体" w:hAnsi="宋体" w:cs="宋体"/>
                <w:color w:val="auto"/>
                <w:sz w:val="24"/>
                <w:szCs w:val="24"/>
                <w:highlight w:val="none"/>
              </w:rPr>
              <w:t xml:space="preserve">采购；3.</w:t>
            </w:r>
            <w:bookmarkEnd w:id="63"/>
            <w:r>
              <w:rPr>
                <w:rFonts w:hint="eastAsia" w:ascii="宋体" w:hAnsi="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4" w:name="EBd40b5fb42f2944a3b45e579ce3941f02"/>
            <w:r/>
            <w:bookmarkEnd w:id="64"/>
            <w:r>
              <w:rPr>
                <w:rFonts w:hint="eastAsia" w:ascii="宋体" w:hAnsi="宋体" w:cs="宋体"/>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提交加密电子投标文件</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具体评标办法详见招标文件第三章。</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1.采购人按规定在评标委员会推荐的中标候选人中确定中标人；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分包要求</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5" w:name="EBebac1462c5d9459fbda8a75065c2455d"/>
            <w:r>
              <w:rPr>
                <w:rFonts w:hint="eastAsia" w:ascii="宋体" w:hAnsi="宋体" w:cs="宋体"/>
                <w:color w:val="auto"/>
                <w:sz w:val="24"/>
                <w:szCs w:val="24"/>
                <w:highlight w:val="none"/>
              </w:rPr>
              <w:t xml:space="preserve">本项目的非主体、非关键性工作是否允许分包</w:t>
            </w:r>
            <w:bookmarkEnd w:id="65"/>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1.允许分包，允许大中型企业向一家或者多家小微企业分包，分包具体内容、金额或比例：施工类。</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分包企业要求：具有建筑工程施工总承包三级及以上资质或市政公用工程施工总承包三级及以上企业资质。</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专家评审劳务报酬支付标准、方式及周期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支付标准:参照《宿迁市政府采购专家评审费发放标准》宿财购[2018]32号支付，(2小时以内200元/人；超过2小时不足8小时的，按100元/人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小时计算；连续评审超过8小时，超出部分按200元/人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w:t>
            </w:r>
            <w:r/>
          </w:p>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支付方式及周期:费用由采购人通过预算一体化系统支付评审费，支付周期不超过评审结束后</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个工作日。</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组织踏勘现场，投标人如对项目现场进行踏勘，费用由投标人自行承担。投标人在投标时应充分考虑现场实际情况及所存在的投标风险，如因投标人未踏勘现场或对项目现场情况考虑不周可能产生的一切费用，</w:t>
            </w:r>
            <w:r>
              <w:rPr>
                <w:rFonts w:hint="eastAsia" w:ascii="宋体" w:hAnsi="宋体" w:cs="宋体"/>
                <w:color w:val="auto"/>
                <w:sz w:val="24"/>
                <w:szCs w:val="24"/>
                <w:highlight w:val="none"/>
                <w:lang w:val="en-US" w:eastAsia="zh-CN"/>
              </w:rPr>
              <w:t xml:space="preserve">由投标人自行承担</w:t>
            </w:r>
            <w:r>
              <w:rPr>
                <w:rFonts w:hint="eastAsia" w:ascii="宋体" w:hAnsi="宋体" w:cs="宋体"/>
                <w:color w:val="auto"/>
                <w:sz w:val="24"/>
                <w:szCs w:val="24"/>
                <w:highlight w:val="none"/>
              </w:rPr>
              <w:t xml:space="preserve">。</w:t>
            </w:r>
            <w:r>
              <w:rPr>
                <w:rFonts w:hint="eastAsia" w:ascii="宋体" w:hAnsi="宋体" w:cs="宋体"/>
                <w:color w:val="ff0000"/>
                <w:sz w:val="24"/>
                <w:szCs w:val="24"/>
                <w:highlight w:val="none"/>
                <w:lang w:val="en-US" w:eastAsia="zh-CN"/>
              </w:rPr>
              <w:t xml:space="preserve">踏勘现场联系人：吴利祥；电话：13809094632。</w:t>
            </w:r>
            <w:r/>
          </w:p>
        </w:tc>
      </w:tr>
    </w:tbl>
    <w:p>
      <w:pPr>
        <w:pStyle w:val="789"/>
        <w:ind w:firstLine="482"/>
        <w:spacing w:before="0" w:after="0" w:line="480" w:lineRule="exact"/>
        <w:rPr>
          <w:rFonts w:ascii="宋体" w:hAnsi="宋体" w:eastAsia="宋体" w:cs="宋体"/>
          <w:bCs/>
          <w:color w:val="auto"/>
          <w:sz w:val="24"/>
          <w:szCs w:val="24"/>
          <w:highlight w:val="none"/>
        </w:rPr>
      </w:pPr>
      <w:r/>
      <w:bookmarkStart w:id="66" w:name="_Toc30953"/>
      <w:r/>
      <w:bookmarkEnd w:id="66"/>
      <w:r/>
      <w:bookmarkStart w:id="67" w:name="_Toc8239"/>
      <w:r/>
      <w:bookmarkEnd w:id="67"/>
      <w:r/>
      <w:bookmarkStart w:id="68" w:name="EB6eaaf474639940df900ef4965d71f450"/>
      <w:r/>
      <w:bookmarkEnd w:id="68"/>
      <w:r/>
      <w:bookmarkStart w:id="69" w:name="_Toc81575155"/>
      <w:r/>
      <w:bookmarkEnd w:id="69"/>
      <w:r/>
      <w:bookmarkStart w:id="70" w:name="_Toc81575192"/>
      <w:r/>
      <w:bookmarkEnd w:id="70"/>
      <w:r/>
      <w:r/>
    </w:p>
    <w:p>
      <w:pPr>
        <w:pStyle w:val="789"/>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一、总 则</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2.2 满足本文件实质性要求的规定。</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3.2 在本项目政府采购活动过程中，如果所执行的标准有更新的，按照最新标准执行。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80" w:lineRule="exact"/>
        <w:rPr>
          <w:rFonts w:ascii="宋体" w:hAnsi="宋体" w:cs="宋体"/>
          <w:color w:val="auto"/>
          <w:sz w:val="24"/>
          <w:highlight w:val="none"/>
        </w:rPr>
      </w:pPr>
      <w:r/>
      <w:bookmarkStart w:id="71" w:name="_Toc81575156"/>
      <w:r/>
      <w:bookmarkStart w:id="72" w:name="_Toc15995"/>
      <w:r/>
      <w:bookmarkStart w:id="73" w:name="_Toc81575193"/>
      <w:r/>
      <w:bookmarkStart w:id="74" w:name="_Toc29306"/>
      <w:r>
        <w:rPr>
          <w:rFonts w:hint="eastAsia" w:ascii="宋体" w:hAnsi="宋体" w:cs="宋体"/>
          <w:color w:val="auto"/>
          <w:sz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4.2 代理费用收取方式及标准：</w:t>
      </w:r>
      <w:r>
        <w:rPr>
          <w:rFonts w:hint="eastAsia" w:ascii="宋体" w:hAnsi="宋体" w:cs="宋体"/>
          <w:color w:val="auto"/>
          <w:sz w:val="24"/>
          <w:highlight w:val="none"/>
          <w:u w:val="single"/>
        </w:rPr>
        <w:t xml:space="preserve">由采购人支付，按照委托代理合同约定支付代理费（可以采用数字人民币支付）。</w:t>
      </w:r>
      <w:r/>
    </w:p>
    <w:p>
      <w:pPr>
        <w:pStyle w:val="789"/>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5、招标文件的约束力</w:t>
      </w:r>
      <w:r/>
    </w:p>
    <w:p>
      <w:pPr>
        <w:pStyle w:val="789"/>
        <w:ind w:firstLine="480"/>
        <w:spacing w:before="0" w:after="0" w:line="480" w:lineRule="exact"/>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 投标人一旦参加本项目采购活动，即被认为接受了本招标文件的规定和约束。</w:t>
      </w:r>
      <w:r/>
    </w:p>
    <w:p>
      <w:pPr>
        <w:pStyle w:val="789"/>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二、招标文件</w:t>
      </w:r>
      <w:bookmarkEnd w:id="71"/>
      <w:r/>
      <w:bookmarkEnd w:id="72"/>
      <w:r/>
      <w:bookmarkEnd w:id="73"/>
      <w:r/>
      <w:bookmarkEnd w:id="7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7、政府采购政策功能落实</w:t>
      </w:r>
      <w:r/>
    </w:p>
    <w:p>
      <w:pPr>
        <w:ind w:firstLine="482"/>
        <w:spacing w:line="480" w:lineRule="exact"/>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7.1、7.2 、7.3、7.4、7.5</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7.1中小企业政策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扣除，用扣除后的价格参加评审。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⑤联合体各方均为小型、微型企业（残疾人福利单位、监狱企业）的，联合体享受/%价格扣除，用扣除后的价格参与评审。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7.2节能产品、环境标志产品</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7.2.2采购人拟采购的产品属于优先采购的节能环保品目清单范围的，按以下条件优先采购：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7.3.1商品包装、快递包装政府采购需求标准（试行）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7.3.2绿色数据中心政府采购需求标准（试行）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7.3.3绿色建材政府采购需求标准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按照财政部住房和城乡建设部工业和信息化部关于印发《关于扩大政府采购支持绿色建材促进建筑品质提升政策实施范围的通知》要求执行。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55"/>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b/>
          <w:bCs/>
          <w:color w:val="auto"/>
          <w:szCs w:val="24"/>
          <w:highlight w:val="none"/>
          <w:shd w:val="clear" w:color="auto" w:fill="ffffff"/>
        </w:rPr>
        <w:t xml:space="preserve">采购本国产品的支持政策</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.3 供应商需按照招标文件的要求提供《关于符合本国产品标准的声明函》（以下简称《声明函》），如不提供将不享受本国产品价格评审优惠。</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7.5</w:t>
      </w:r>
      <w:r>
        <w:rPr>
          <w:rFonts w:hint="eastAsia" w:ascii="宋体" w:hAnsi="宋体" w:cs="宋体"/>
          <w:color w:val="auto"/>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8、招标文件的澄清或修改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8.2招标文件的澄清、修改将在原公告媒体上发布更正公告，澄清、修改文件均作为招标文件的组成部分，并对投标人具有约束力。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8.3投标人应及时登录“苏采云”系统获取澄清答疑文件（修改后的招标文件），如投标人未能及时下载澄清答疑文件，造成的相关责任由投标人承担。</w:t>
      </w:r>
      <w:r/>
    </w:p>
    <w:p>
      <w:pPr>
        <w:pStyle w:val="789"/>
        <w:ind w:firstLine="482"/>
        <w:spacing w:before="0" w:after="0" w:line="480" w:lineRule="exact"/>
        <w:rPr>
          <w:rFonts w:ascii="宋体" w:hAnsi="宋体" w:eastAsia="宋体" w:cs="宋体"/>
          <w:bCs/>
          <w:color w:val="auto"/>
          <w:sz w:val="24"/>
          <w:szCs w:val="24"/>
          <w:highlight w:val="none"/>
        </w:rPr>
      </w:pPr>
      <w:r/>
      <w:bookmarkStart w:id="75" w:name="_Toc81575194"/>
      <w:r/>
      <w:bookmarkStart w:id="76" w:name="_Toc11461"/>
      <w:r/>
      <w:bookmarkStart w:id="77" w:name="_Toc81575157"/>
      <w:r/>
      <w:bookmarkStart w:id="78" w:name="_Toc5574"/>
      <w:r>
        <w:rPr>
          <w:rFonts w:hint="eastAsia" w:ascii="宋体" w:hAnsi="宋体" w:eastAsia="宋体" w:cs="宋体"/>
          <w:bCs/>
          <w:color w:val="auto"/>
          <w:sz w:val="24"/>
          <w:szCs w:val="24"/>
          <w:highlight w:val="none"/>
        </w:rPr>
        <w:t xml:space="preserve">三、投标文件的编制</w:t>
      </w:r>
      <w:bookmarkEnd w:id="75"/>
      <w:r/>
      <w:bookmarkEnd w:id="76"/>
      <w:r/>
      <w:bookmarkEnd w:id="77"/>
      <w:r/>
      <w:bookmarkEnd w:id="7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9、投标文件的编制要求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10、投标文件构成</w:t>
      </w:r>
      <w:r/>
    </w:p>
    <w:p>
      <w:pPr>
        <w:ind w:firstLine="480"/>
        <w:spacing w:line="480" w:lineRule="exact"/>
        <w:rPr>
          <w:rFonts w:ascii="宋体" w:hAnsi="宋体" w:cs="宋体"/>
          <w:bCs/>
          <w:color w:val="auto"/>
          <w:sz w:val="24"/>
          <w:highlight w:val="none"/>
        </w:rPr>
      </w:pPr>
      <w:r>
        <w:rPr>
          <w:rFonts w:hint="eastAsia" w:ascii="宋体" w:hAnsi="宋体" w:cs="宋体"/>
          <w:color w:val="auto"/>
          <w:sz w:val="24"/>
          <w:highlight w:val="none"/>
        </w:rPr>
        <w:t xml:space="preserve">10.1投标文件包括资格证明文件、开标一览表、分项报价表、响应及偏离表、投标函、其他证明文件等部分。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79" w:name="EBc50e2bb832bb43068403b10c1cce6141"/>
      <w:r/>
      <w:r/>
    </w:p>
    <w:p>
      <w:pPr>
        <w:ind w:firstLine="482"/>
        <w:spacing w:line="480" w:lineRule="exact"/>
        <w:rPr>
          <w:rFonts w:ascii="宋体" w:hAnsi="宋体" w:cs="宋体"/>
          <w:bCs/>
          <w:color w:val="auto"/>
          <w:sz w:val="24"/>
          <w:highlight w:val="none"/>
        </w:rPr>
      </w:pPr>
      <w:r>
        <w:rPr>
          <w:rFonts w:hint="eastAsia" w:ascii="宋体" w:hAnsi="宋体" w:cs="宋体"/>
          <w:b/>
          <w:color w:val="auto"/>
          <w:sz w:val="24"/>
          <w:highlight w:val="none"/>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11、投标报价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11.2报价注意事项：投标价格一律以人民币计算，以元为单位标注，最多保留至小数点后两位，招标文件有规定的按招标文件执行。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12、投标保证金</w:t>
      </w:r>
      <w:bookmarkStart w:id="80" w:name="EB183a0bf075204c54a4ff090f1aecaaa7"/>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8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13、投标有效期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9"/>
        <w:ind w:firstLine="482"/>
        <w:spacing w:before="0" w:after="0" w:line="480" w:lineRule="exact"/>
        <w:rPr>
          <w:rFonts w:ascii="宋体" w:hAnsi="宋体" w:eastAsia="宋体" w:cs="宋体"/>
          <w:bCs/>
          <w:color w:val="auto"/>
          <w:sz w:val="24"/>
          <w:szCs w:val="24"/>
          <w:highlight w:val="none"/>
        </w:rPr>
      </w:pPr>
      <w:r/>
      <w:bookmarkStart w:id="81" w:name="_Toc81575158"/>
      <w:r/>
      <w:bookmarkStart w:id="82" w:name="_Toc2773"/>
      <w:r/>
      <w:bookmarkStart w:id="83" w:name="_Toc23443"/>
      <w:r/>
      <w:bookmarkStart w:id="84" w:name="_Toc81575195"/>
      <w:r>
        <w:rPr>
          <w:rFonts w:hint="eastAsia" w:ascii="宋体" w:hAnsi="宋体" w:eastAsia="宋体" w:cs="宋体"/>
          <w:bCs/>
          <w:color w:val="auto"/>
          <w:sz w:val="24"/>
          <w:szCs w:val="24"/>
          <w:highlight w:val="none"/>
        </w:rPr>
        <w:t xml:space="preserve">四、投标文件的提交</w:t>
      </w:r>
      <w:bookmarkEnd w:id="81"/>
      <w:r/>
      <w:bookmarkEnd w:id="82"/>
      <w:r/>
      <w:bookmarkEnd w:id="83"/>
      <w:r/>
      <w:bookmarkEnd w:id="8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14、投标文件的提交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14.2投标文件的修改和撤回：在投标截止时间之前，投标人可以撤回或重新提交投标文件。投标文件以最终完成上传的为准。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15、投标文件被拒绝接收的情形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789"/>
        <w:ind w:firstLine="482"/>
        <w:spacing w:before="0" w:after="0" w:line="480" w:lineRule="exact"/>
        <w:rPr>
          <w:rFonts w:ascii="宋体" w:hAnsi="宋体" w:eastAsia="宋体" w:cs="宋体"/>
          <w:bCs/>
          <w:color w:val="auto"/>
          <w:sz w:val="24"/>
          <w:szCs w:val="24"/>
          <w:highlight w:val="none"/>
        </w:rPr>
      </w:pPr>
      <w:r/>
      <w:bookmarkStart w:id="85" w:name="_Toc81575160"/>
      <w:r/>
      <w:bookmarkStart w:id="86" w:name="_Toc20026"/>
      <w:r/>
      <w:bookmarkStart w:id="87" w:name="_Toc81575197"/>
      <w:r/>
      <w:bookmarkStart w:id="88" w:name="_Toc959"/>
      <w:r>
        <w:rPr>
          <w:rFonts w:hint="eastAsia" w:ascii="宋体" w:hAnsi="宋体" w:eastAsia="宋体" w:cs="宋体"/>
          <w:bCs/>
          <w:color w:val="auto"/>
          <w:sz w:val="24"/>
          <w:szCs w:val="24"/>
          <w:highlight w:val="none"/>
        </w:rPr>
        <w:t xml:space="preserve">五、开标、评标程序</w:t>
      </w:r>
      <w:bookmarkEnd w:id="85"/>
      <w:r/>
      <w:bookmarkEnd w:id="86"/>
      <w:r/>
      <w:bookmarkEnd w:id="87"/>
      <w:r/>
      <w:bookmarkEnd w:id="8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16、开标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16.2开标仪式由采购代理机构组织。“苏采云”系统将自动对项目进行开标，并宣布各投标人名称和投标价格。</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16.5投标人在开、评标全过程中应保持通讯畅通，及时登录“苏采云”系统查阅、答复相关信息。</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17、评标委员会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18、评标程序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18.1资格审查</w:t>
      </w:r>
      <w:bookmarkStart w:id="89" w:name="EBa9c0a2c9e523494487594c65b2a92370"/>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89"/>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18.2符合性检查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90"/>
      <w:r>
        <w:rPr>
          <w:rFonts w:hint="eastAsia" w:ascii="宋体" w:hAnsi="宋体" w:cs="宋体"/>
          <w:color w:val="auto"/>
          <w:sz w:val="24"/>
          <w:highlight w:val="none"/>
        </w:rPr>
        <w:t xml:space="preserve">重大偏离的认定需经过评标委员会以少数服从多数的原则作出结论。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18.5相同品牌产品投标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18.5.3非单一产品采购项目，采购人确定核心产品，并在招标文件中载明。多家投标人提供的核心产品品牌相同的，按前两款规定处理。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18.6有关问题的澄清</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18.6.2投标文件报价出现前后不一致的，除招标文件另有规定外，按照下列规定修正：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18.7异常低价投标审查</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18.7.1 评标过程中出现下列情形之一的，评审委员会应当启动异常低价投标（响应）审查程序：</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相关法律法规对供应商报价有规定的，从其规定。</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18.8比较</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18.9推荐中标候选人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789"/>
        <w:ind w:firstLine="482"/>
        <w:spacing w:before="0" w:after="0" w:line="480" w:lineRule="exact"/>
        <w:rPr>
          <w:rFonts w:ascii="宋体" w:hAnsi="宋体" w:eastAsia="宋体" w:cs="宋体"/>
          <w:bCs/>
          <w:color w:val="auto"/>
          <w:sz w:val="24"/>
          <w:szCs w:val="24"/>
          <w:highlight w:val="none"/>
        </w:rPr>
      </w:pPr>
      <w:r/>
      <w:bookmarkStart w:id="91" w:name="_Toc81575196"/>
      <w:r/>
      <w:bookmarkStart w:id="92" w:name="_Toc8841"/>
      <w:r/>
      <w:bookmarkStart w:id="93" w:name="_Toc8712"/>
      <w:r/>
      <w:bookmarkStart w:id="94" w:name="_Toc81575159"/>
      <w:r>
        <w:rPr>
          <w:rFonts w:hint="eastAsia" w:ascii="宋体" w:hAnsi="宋体" w:eastAsia="宋体" w:cs="宋体"/>
          <w:bCs/>
          <w:color w:val="auto"/>
          <w:sz w:val="24"/>
          <w:szCs w:val="24"/>
          <w:highlight w:val="none"/>
        </w:rPr>
        <w:t xml:space="preserve">六、无效投标、废标、串通投标</w:t>
      </w:r>
      <w:bookmarkEnd w:id="91"/>
      <w:r/>
      <w:bookmarkEnd w:id="92"/>
      <w:r/>
      <w:bookmarkEnd w:id="93"/>
      <w:r/>
      <w:bookmarkEnd w:id="94"/>
      <w:r>
        <w:rPr>
          <w:rFonts w:hint="eastAsia" w:ascii="宋体" w:hAnsi="宋体" w:eastAsia="宋体" w:cs="宋体"/>
          <w:bCs/>
          <w:color w:val="auto"/>
          <w:sz w:val="24"/>
          <w:szCs w:val="24"/>
          <w:highlight w:val="none"/>
        </w:rPr>
        <w:t xml:space="preserve">及取消中标候选人资格情形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19、无效投标情形</w:t>
      </w:r>
      <w:r/>
    </w:p>
    <w:p>
      <w:pPr>
        <w:ind w:firstLine="480"/>
        <w:spacing w:line="480" w:lineRule="exact"/>
        <w:rPr>
          <w:rFonts w:ascii="宋体" w:hAnsi="宋体" w:cs="宋体"/>
          <w:strike/>
          <w:color w:val="auto"/>
          <w:sz w:val="24"/>
          <w:szCs w:val="24"/>
          <w:highlight w:val="none"/>
        </w:rPr>
      </w:pPr>
      <w:r>
        <w:rPr>
          <w:rFonts w:hint="eastAsia" w:ascii="宋体" w:hAnsi="宋体" w:cs="宋体"/>
          <w:color w:val="auto"/>
          <w:sz w:val="24"/>
          <w:szCs w:val="24"/>
          <w:highlight w:val="none"/>
        </w:rPr>
        <w:t xml:space="preserve">19.1投标人同一采购包提交两个（含两个）以上不同的投标报价的。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19.2投标人不符合招标文件规定资格要求的或未按规定提交资质证件的。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19.3投标人的报价超过了采购预算或最高限价的。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19.4投标文件未通过符合性审查的。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19.5投标文件出现重大偏离，不符合招标文件中规定的实质性要求的（★部分为实质性要求）。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19.8投标文件未按照招标文件要求加盖CA电子公章的。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19.9投标人有本招标文件规定的恶意串通投标情形的。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19.10投标文件含有采购人不能接受的附加条件的。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19.11投标人所投标产品不符合招标文件中所列国家强制性标准的。</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19.12其他法律、法规及本招标文件规定的属无效投标的情形。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20、废标情形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20.1符合专业条件的投标人或者对招标文件作实质响应的投标人不足三家的。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20.2出现影响采购公正的违法、违规行为的。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20.3因重大变故，采购任务取消的。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20.4评标委员会认定招标文件存在歧义、重大缺陷导致评审工作无法进行的。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20.5在“苏采云”系统规定时间内成功解密电子投标文件的投标人不足3家的。</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21、投标人不足三家情形处理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22、串通投标情形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有下列情形之一的，属于恶意串通投标：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22.1供应商直接或间接从采购人或采购代理机构处获得其他供应商的投标情况，并修改其投标文件；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22.2评审活动开始前供应商直接或间接从采购人或采购代理机构处获得评标委员会组成人员情况；</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22.3供应商接受采购人或采购代理机构授意撤换、修改投标文件；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22.4供应商之间协商投标报价、技术方案等投标文件实质性内容；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22.5属于同一集团、协会、商会等组织成员的供应商按照该组织要求协同投标；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22.6供应商之间事先约定由某一特定供应商中标、成交；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22.7供应商之间商定部分供应商放弃投标或者放弃中标、成交；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22.8供应商与采购人或采购代理机构之间、供应商相互之间为谋求特定供应商中标成交或者排斥其他供应商的其他串通行为；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有下列情形之一的，视为投标人串通投标，其投标无效：</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22.9不同投标人的投标文件由同一单位或者个人编制；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22.10不同投标人委托同一单位或者个人办理投标事宜；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22.11不同投标人的投标文件载明的项目管理成员或者联系人员为同一人；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22.12不同投标人的投标文件异常一致或者投标报价呈规律性差异；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22.13不同投标人的投标文件相互混装；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22.14不同投标人的投标保证金从同一单位或者个人的账户转出。</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23、</w:t>
      </w:r>
      <w:bookmarkStart w:id="95" w:name="OLE_LINK4"/>
      <w:r>
        <w:rPr>
          <w:rFonts w:hint="eastAsia" w:ascii="宋体" w:hAnsi="宋体" w:cs="宋体"/>
          <w:b/>
          <w:color w:val="auto"/>
          <w:sz w:val="24"/>
          <w:highlight w:val="none"/>
        </w:rPr>
        <w:t xml:space="preserve">取消中标候选人资格情形</w:t>
      </w:r>
      <w:bookmarkEnd w:id="95"/>
      <w:r/>
      <w:r/>
    </w:p>
    <w:p>
      <w:pPr>
        <w:ind w:firstLine="480"/>
        <w:spacing w:line="480" w:lineRule="exact"/>
        <w:rPr>
          <w:rFonts w:ascii="宋体" w:hAnsi="宋体" w:cs="宋体"/>
          <w:color w:val="auto"/>
          <w:sz w:val="24"/>
          <w:szCs w:val="24"/>
          <w:highlight w:val="none"/>
        </w:rPr>
      </w:pPr>
      <w:r/>
      <w:bookmarkStart w:id="96" w:name="_Toc6494"/>
      <w:r/>
      <w:bookmarkStart w:id="97" w:name="_Toc81575198"/>
      <w:r/>
      <w:bookmarkStart w:id="98" w:name="_Toc81575161"/>
      <w:r/>
      <w:bookmarkStart w:id="99" w:name="_Toc2391"/>
      <w:r>
        <w:rPr>
          <w:rFonts w:hint="eastAsia" w:ascii="宋体" w:hAnsi="宋体" w:cs="宋体"/>
          <w:color w:val="auto"/>
          <w:sz w:val="24"/>
          <w:szCs w:val="24"/>
          <w:highlight w:val="none"/>
        </w:rPr>
        <w:t xml:space="preserve">23.1提供虚假材料谋取中标的；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23.2采取不正当手段诋毁、排挤其他投标人的；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23.3与采购人、其他投标人或者采购代理机构恶意串通的；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23.4向采购人、采购代理机构行贿或者提供其他不正当利益的；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23.5未在规定时间内与采购人签订采购合同的；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23.6法律、法规规定的其他情况。</w:t>
      </w:r>
      <w:r/>
    </w:p>
    <w:p>
      <w:pPr>
        <w:ind w:firstLine="482"/>
        <w:spacing w:line="48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七、中标及合同签订</w:t>
      </w:r>
      <w:bookmarkEnd w:id="96"/>
      <w:r/>
      <w:bookmarkEnd w:id="97"/>
      <w:r/>
      <w:bookmarkEnd w:id="98"/>
      <w:r/>
      <w:bookmarkEnd w:id="9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24、确定中标人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24.1采购人应当自收到评审报告之日起5个工作日内在评审报告推荐的中标候选人中按顺序确定中标人。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24.2中标人确定之日起2个工作日内，采购人、采购代理机构将发布中标结果，中标公告的公告期限为1个工作日。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24.3采购人确定正被列为失信被执行人的投标人为中标人的，中标结果无效。</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25、中标通知书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25.2中标通知书发出后，采购人改变中标结果的，或者中标人放弃中标项目的，应当依法承担法律责任。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25.3采用综合评分法评审的，未中标人可于中标结果公告期限届满之日起通过“苏采云”系统查看</w:t>
      </w:r>
      <w:bookmarkStart w:id="100" w:name="OLE_LINK5"/>
      <w:r>
        <w:rPr>
          <w:rFonts w:hint="eastAsia" w:ascii="宋体" w:hAnsi="宋体" w:cs="宋体"/>
          <w:color w:val="auto"/>
          <w:sz w:val="24"/>
          <w:highlight w:val="none"/>
        </w:rPr>
        <w:t xml:space="preserve">自己的评审得分及排序情况。</w:t>
      </w:r>
      <w:bookmarkEnd w:id="10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26、授予合同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26.2采购人在自合同签订之日起2个工作日内，将合同在指定的媒体上公告。</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27、履约保证金</w:t>
      </w:r>
      <w:r/>
    </w:p>
    <w:p>
      <w:pPr>
        <w:ind w:firstLine="480"/>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27.1履约保证金提交形式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履约保证金应</w:t>
      </w:r>
      <w:r>
        <w:rPr>
          <w:rFonts w:hint="eastAsia" w:ascii="宋体" w:hAnsi="宋体" w:cs="宋体"/>
          <w:color w:val="auto"/>
          <w:sz w:val="24"/>
          <w:highlight w:val="none"/>
          <w:lang w:val="zh-CN"/>
        </w:rPr>
        <w:t xml:space="preserve">在中标公告发布之日起7日历天内提交。</w:t>
      </w:r>
      <w:r>
        <w:rPr>
          <w:rFonts w:hint="eastAsia" w:ascii="宋体" w:hAnsi="宋体" w:cs="宋体"/>
          <w:color w:val="auto"/>
          <w:sz w:val="24"/>
          <w:highlight w:val="none"/>
        </w:rPr>
        <w:t xml:space="preserve">除银行电汇、网上银行、数字人民币外，投标人还可选用银行保函、担保公司的保证担保或保险公司的保证保险等多种形式向采购人缴纳。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27.2履约保证金提交金额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cs="宋体"/>
          <w:color w:val="auto"/>
          <w:sz w:val="24"/>
          <w:highlight w:val="none"/>
          <w:u w:val="single"/>
        </w:rPr>
        <w:t xml:space="preserve">1.2</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27.3履约保证金退还方式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27.4履约保证金退还条件，按以下第</w:t>
      </w:r>
      <w:r>
        <w:rPr>
          <w:rFonts w:hint="eastAsia" w:ascii="宋体" w:hAnsi="宋体" w:cs="宋体"/>
          <w:color w:val="auto"/>
          <w:sz w:val="24"/>
          <w:highlight w:val="none"/>
          <w:u w:val="single"/>
        </w:rPr>
        <w:t xml:space="preserve"> a </w:t>
      </w:r>
      <w:r>
        <w:rPr>
          <w:rFonts w:hint="eastAsia" w:ascii="宋体" w:hAnsi="宋体" w:cs="宋体"/>
          <w:color w:val="auto"/>
          <w:sz w:val="24"/>
          <w:highlight w:val="none"/>
        </w:rPr>
        <w:t xml:space="preserve">方式执行：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a、货物类项目，项目验收合格，出具验收报告及履约保证金收据申请退付；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b、服务类项目，项目履约期满评价合格，出具履约评价报告及履约保证金收据申请退付；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c、工程类项目，项目完工验收合格，出具完工证明及履约保证金收据申请退付；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27.5履约保证金退还时间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27.6履约保证金不予退还情形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27.7逾期退还履约保证金违约责任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27.8如中标人未在规定时间内缴纳履约保证金，视为虚假承诺，采购人有权报请财政部门进行处理。</w:t>
      </w:r>
      <w:r/>
    </w:p>
    <w:p>
      <w:pPr>
        <w:ind w:firstLine="482"/>
        <w:spacing w:line="480" w:lineRule="exact"/>
        <w:rPr>
          <w:rFonts w:ascii="宋体" w:hAnsi="宋体" w:cs="宋体"/>
          <w:b/>
          <w:bCs/>
          <w:color w:val="auto"/>
          <w:sz w:val="24"/>
          <w:highlight w:val="none"/>
        </w:rPr>
      </w:pPr>
      <w:r>
        <w:rPr>
          <w:rFonts w:hint="eastAsia" w:ascii="宋体" w:hAnsi="宋体" w:cs="宋体"/>
          <w:b/>
          <w:color w:val="auto"/>
          <w:sz w:val="24"/>
          <w:highlight w:val="none"/>
        </w:rPr>
        <w:t xml:space="preserve">28、</w:t>
      </w:r>
      <w:r>
        <w:rPr>
          <w:rFonts w:hint="eastAsia" w:ascii="宋体" w:hAnsi="宋体" w:cs="宋体"/>
          <w:b/>
          <w:color w:val="auto"/>
          <w:sz w:val="24"/>
          <w:szCs w:val="24"/>
          <w:highlight w:val="none"/>
        </w:rPr>
        <w:t xml:space="preserve">政府采购履约资金扶持政策</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p>
    <w:p>
      <w:pPr>
        <w:ind w:firstLine="482"/>
        <w:spacing w:line="480" w:lineRule="exact"/>
        <w:rPr>
          <w:rFonts w:ascii="宋体" w:hAnsi="宋体" w:cs="宋体"/>
          <w:color w:val="auto"/>
          <w:sz w:val="24"/>
          <w:highlight w:val="none"/>
        </w:rPr>
      </w:pPr>
      <w:r>
        <w:rPr>
          <w:rFonts w:hint="eastAsia" w:ascii="宋体" w:hAnsi="宋体" w:cs="宋体"/>
          <w:b/>
          <w:color w:val="auto"/>
          <w:sz w:val="24"/>
          <w:highlight w:val="none"/>
        </w:rPr>
        <w:t xml:space="preserve">29、合同履行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29.1政府采购合同订立后，合同各方不得擅自变更、中止或者终止合同。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789"/>
        <w:ind w:firstLine="482"/>
        <w:spacing w:before="0" w:after="0" w:line="480" w:lineRule="exact"/>
        <w:rPr>
          <w:rFonts w:ascii="宋体" w:hAnsi="宋体" w:eastAsia="宋体" w:cs="宋体"/>
          <w:bCs/>
          <w:color w:val="auto"/>
          <w:sz w:val="24"/>
          <w:szCs w:val="24"/>
          <w:highlight w:val="none"/>
        </w:rPr>
      </w:pPr>
      <w:r/>
      <w:bookmarkStart w:id="101" w:name="_Toc81575199"/>
      <w:r/>
      <w:bookmarkStart w:id="102" w:name="_Toc22084"/>
      <w:r/>
      <w:bookmarkStart w:id="103" w:name="_Toc7550"/>
      <w:r/>
      <w:bookmarkStart w:id="104" w:name="_Toc81575162"/>
      <w:r>
        <w:rPr>
          <w:rFonts w:hint="eastAsia" w:ascii="宋体" w:hAnsi="宋体" w:eastAsia="宋体" w:cs="宋体"/>
          <w:bCs/>
          <w:color w:val="auto"/>
          <w:sz w:val="24"/>
          <w:szCs w:val="24"/>
          <w:highlight w:val="none"/>
        </w:rPr>
        <w:t xml:space="preserve">八、</w:t>
      </w:r>
      <w:bookmarkEnd w:id="101"/>
      <w:r/>
      <w:bookmarkEnd w:id="102"/>
      <w:r/>
      <w:bookmarkEnd w:id="103"/>
      <w:r/>
      <w:bookmarkEnd w:id="104"/>
      <w:r/>
      <w:bookmarkStart w:id="105" w:name="_Toc12263"/>
      <w:r/>
      <w:bookmarkStart w:id="106" w:name="_Toc81575163"/>
      <w:r/>
      <w:bookmarkStart w:id="107" w:name="_Toc31888"/>
      <w:r/>
      <w:bookmarkStart w:id="108" w:name="_Toc81575200"/>
      <w:r>
        <w:rPr>
          <w:rFonts w:hint="eastAsia" w:ascii="宋体" w:hAnsi="宋体" w:eastAsia="宋体" w:cs="宋体"/>
          <w:bCs/>
          <w:color w:val="auto"/>
          <w:sz w:val="24"/>
          <w:szCs w:val="24"/>
          <w:highlight w:val="none"/>
        </w:rPr>
        <w:t xml:space="preserve">质疑与投诉</w:t>
      </w:r>
      <w:bookmarkEnd w:id="105"/>
      <w:r/>
      <w:bookmarkEnd w:id="106"/>
      <w:r/>
      <w:bookmarkEnd w:id="107"/>
      <w:r/>
      <w:bookmarkEnd w:id="10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30、质疑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本项目接收质疑函的方式：现场接收或邮寄接收。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联系部门：泗洪县教育局、江苏春为全过程工程咨询有限公司</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联系电话：13809094632、18851398356</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通讯地址：泗洪县洪泽湖路东大街、泗洪县明德紫郡东门商铺往南50米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30.2供应商应知其权益受到损害之日，是指：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30.4供应商提出质疑应当提交质疑函和必要的证明材料。质疑函的必备内容：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30.5采购人在收到质疑函后7个工作日内作出答复，并以书面形式通知质疑供应商和其他有关供应商，但质疑答复的内容不涉及商业秘密。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31、投诉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highlight w:val="none"/>
        </w:rPr>
        <w:t xml:space="preserve">质疑供应商对答复不满意或采购人未在规定时间内作出答复的，可在答复期满后15个工作日内向同级财政部门提起投诉。</w:t>
      </w:r>
      <w:r/>
    </w:p>
    <w:p>
      <w:pPr>
        <w:pStyle w:val="788"/>
        <w:jc w:val="center"/>
        <w:spacing w:before="200"/>
        <w:rPr>
          <w:color w:val="auto"/>
          <w:highlight w:val="none"/>
        </w:rPr>
      </w:pPr>
      <w:r/>
      <w:bookmarkStart w:id="109" w:name="EB4d341233595e4bf8ad7006b4bd78d974"/>
      <w:r/>
      <w:bookmarkEnd w:id="109"/>
      <w:r/>
      <w:bookmarkStart w:id="110" w:name="_Toc81575164"/>
      <w:r/>
      <w:bookmarkStart w:id="111" w:name="_Toc81575201"/>
      <w:r/>
      <w:bookmarkStart w:id="112" w:name="_Hlk166141273"/>
      <w:r>
        <w:rPr>
          <w:rFonts w:hint="eastAsia"/>
          <w:color w:val="auto"/>
          <w:highlight w:val="none"/>
        </w:rPr>
        <w:br w:type="page" w:clear="all"/>
      </w:r>
      <w:bookmarkStart w:id="113" w:name="_Toc17996"/>
      <w:r>
        <w:rPr>
          <w:rFonts w:hint="eastAsia" w:ascii="Calibri" w:hAnsi="Calibri" w:eastAsia="宋体" w:cs="Times New Roman"/>
          <w:b/>
          <w:color w:val="auto"/>
          <w:sz w:val="36"/>
          <w:szCs w:val="36"/>
          <w:highlight w:val="none"/>
        </w:rPr>
        <w:t xml:space="preserve">第三章  资格审查及评标</w:t>
      </w:r>
      <w:bookmarkEnd w:id="110"/>
      <w:r/>
      <w:bookmarkEnd w:id="111"/>
      <w:r/>
      <w:bookmarkEnd w:id="113"/>
      <w:r>
        <w:rPr>
          <w:rFonts w:hint="eastAsia" w:ascii="Calibri" w:hAnsi="Calibri" w:eastAsia="宋体" w:cs="Times New Roman"/>
          <w:b/>
          <w:color w:val="auto"/>
          <w:sz w:val="36"/>
          <w:szCs w:val="36"/>
          <w:highlight w:val="none"/>
        </w:rPr>
        <w:t xml:space="preserve">方法</w:t>
      </w:r>
      <w:r/>
    </w:p>
    <w:p>
      <w:pPr>
        <w:ind w:firstLine="482"/>
        <w:jc w:val="left"/>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一、资格审查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资格审查人员按照下列指标对各投标人的资格进行审查，未通过审查的为无效标，不参与评标。</w:t>
      </w:r>
      <w:r/>
    </w:p>
    <w:tbl>
      <w:tblPr>
        <w:tblStyle w:val="734"/>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360" w:lineRule="exact"/>
              <w:rPr>
                <w:rFonts w:ascii="宋体" w:hAnsi="宋体" w:cs="宋体"/>
                <w:color w:val="auto"/>
                <w:sz w:val="24"/>
                <w:szCs w:val="24"/>
                <w:highlight w:val="none"/>
              </w:rPr>
            </w:pPr>
            <w:r/>
            <w:bookmarkStart w:id="114" w:name="EB9af8278fd1df4f8591f0fad951f64ddb"/>
            <w:r>
              <w:rPr>
                <w:rFonts w:hint="eastAsia" w:ascii="宋体" w:hAnsi="宋体" w:cs="宋体"/>
                <w:color w:val="auto"/>
                <w:sz w:val="24"/>
                <w:szCs w:val="24"/>
                <w:highlight w:val="none"/>
              </w:rPr>
              <w:t xml:space="preserve">资格审查因素</w:t>
            </w:r>
            <w:r/>
          </w:p>
        </w:tc>
        <w:tc>
          <w:tcPr>
            <w:tcW w:w="4791"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355"/>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投标声明及承诺函</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bookmarkEnd w:id="114"/>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投标代理人(授权委托人)要求</w:t>
            </w:r>
            <w:r/>
          </w:p>
        </w:tc>
        <w:tc>
          <w:tcPr>
            <w:tcW w:w="4791" w:type="dxa"/>
            <w:vAlign w:val="center"/>
            <w:textDirection w:val="lrTb"/>
            <w:noWrap/>
          </w:tcPr>
          <w:p>
            <w:pPr>
              <w:spacing w:line="360" w:lineRule="exact"/>
              <w:rPr>
                <w:rFonts w:ascii="宋体" w:hAnsi="宋体" w:cs="宋体"/>
                <w:color w:val="auto"/>
                <w:sz w:val="24"/>
                <w:szCs w:val="24"/>
                <w:highlight w:val="none"/>
              </w:rPr>
            </w:pPr>
            <w:r>
              <w:rPr>
                <w:color w:val="auto"/>
                <w:sz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联合体投标</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tc>
      </w:tr>
    </w:tbl>
    <w:p>
      <w:pPr>
        <w:ind w:firstLine="482"/>
        <w:jc w:val="left"/>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155"/>
        <w:ind w:firstLine="482"/>
        <w:spacing w:line="480" w:lineRule="exact"/>
        <w:rPr>
          <w:rFonts w:ascii="宋体" w:hAnsi="宋体" w:cs="宋体"/>
          <w:color w:val="auto"/>
          <w:szCs w:val="24"/>
          <w:highlight w:val="none"/>
        </w:rPr>
        <w:outlineLvl w:val="1"/>
      </w:pPr>
      <w:r/>
      <w:bookmarkStart w:id="115" w:name="_Toc81575205"/>
      <w:r/>
      <w:bookmarkStart w:id="116" w:name="_Toc22314"/>
      <w:r/>
      <w:bookmarkStart w:id="117" w:name="_Toc2916"/>
      <w:r/>
      <w:bookmarkStart w:id="118" w:name="_Toc12255"/>
      <w:r/>
      <w:bookmarkStart w:id="119" w:name="_Toc81575168"/>
      <w:r>
        <w:rPr>
          <w:rFonts w:hint="eastAsia" w:ascii="宋体" w:hAnsi="宋体" w:cs="宋体"/>
          <w:b/>
          <w:bCs/>
          <w:color w:val="auto"/>
          <w:szCs w:val="24"/>
          <w:highlight w:val="none"/>
          <w:shd w:val="clear" w:color="auto" w:fill="ffffff"/>
        </w:rPr>
        <w:t xml:space="preserve">二、评分办法—综合评分法</w:t>
      </w:r>
      <w:r/>
    </w:p>
    <w:p>
      <w:pPr>
        <w:pStyle w:val="1155"/>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1、评标办法：</w:t>
      </w:r>
      <w:r>
        <w:rPr>
          <w:rFonts w:hint="eastAsia" w:ascii="宋体" w:hAnsi="宋体" w:cs="宋体"/>
          <w:color w:val="auto"/>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155"/>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1155"/>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综合评分保留至小数点后两位。 </w:t>
      </w:r>
      <w:r/>
    </w:p>
    <w:p>
      <w:pPr>
        <w:pStyle w:val="1155"/>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2、符合性审查。</w:t>
      </w:r>
      <w:r>
        <w:rPr>
          <w:rFonts w:hint="eastAsia" w:ascii="宋体" w:hAnsi="宋体" w:cs="宋体"/>
          <w:color w:val="auto"/>
          <w:szCs w:val="24"/>
          <w:highlight w:val="none"/>
          <w:shd w:val="clear" w:color="auto" w:fill="ffffff"/>
        </w:rPr>
        <w:t xml:space="preserve">评标委员会首先按照下列指标对各投标人的投标文件进行符合性审查，未通过审查的为无效标，不再参与评审。</w:t>
      </w:r>
      <w:r/>
    </w:p>
    <w:tbl>
      <w:tblPr>
        <w:tblStyle w:val="734"/>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jc w:val="center"/>
              <w:spacing w:line="360" w:lineRule="exact"/>
              <w:rPr>
                <w:rFonts w:ascii="宋体" w:hAnsi="宋体" w:cs="宋体"/>
                <w:color w:val="auto"/>
                <w:sz w:val="24"/>
                <w:szCs w:val="24"/>
                <w:highlight w:val="none"/>
              </w:rPr>
            </w:pPr>
            <w:r/>
            <w:bookmarkStart w:id="120" w:name="EB75d0996a6f1d4348a21f8c3293010436"/>
            <w:r>
              <w:rPr>
                <w:rFonts w:hint="eastAsia" w:ascii="宋体" w:hAnsi="宋体" w:cs="宋体"/>
                <w:color w:val="auto"/>
                <w:sz w:val="24"/>
                <w:szCs w:val="24"/>
                <w:highlight w:val="none"/>
              </w:rPr>
              <w:t xml:space="preserve">符合性审查因素</w:t>
            </w:r>
            <w:r/>
          </w:p>
        </w:tc>
        <w:tc>
          <w:tcPr>
            <w:tcW w:w="4849"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报价符合性审查</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rHeight w:val="250"/>
        </w:trPr>
        <w:tc>
          <w:tcPr>
            <w:tcW w:w="4364"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w:t>
            </w:r>
            <w:r/>
          </w:p>
        </w:tc>
        <w:tc>
          <w:tcPr>
            <w:tcW w:w="4849"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技术标准和要求</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bookmarkEnd w:id="120"/>
            <w:r/>
            <w:r/>
          </w:p>
        </w:tc>
      </w:tr>
    </w:tbl>
    <w:p>
      <w:pPr>
        <w:pStyle w:val="1155"/>
        <w:ind w:firstLine="482"/>
        <w:spacing w:line="480" w:lineRule="exact"/>
        <w:rPr>
          <w:rFonts w:ascii="宋体" w:hAnsi="宋体" w:cs="宋体"/>
          <w:color w:val="auto"/>
          <w:szCs w:val="24"/>
          <w:highlight w:val="none"/>
          <w:shd w:val="clear" w:color="auto" w:fill="ffffff"/>
        </w:rPr>
      </w:pPr>
      <w:r>
        <w:rPr>
          <w:rFonts w:hint="eastAsia" w:ascii="宋体" w:hAnsi="宋体" w:cs="宋体"/>
          <w:b/>
          <w:bCs/>
          <w:color w:val="auto"/>
          <w:szCs w:val="24"/>
          <w:highlight w:val="none"/>
          <w:shd w:val="clear" w:color="auto" w:fill="ffffff"/>
        </w:rPr>
        <w:t xml:space="preserve">3、详细评审。</w:t>
      </w:r>
      <w:r>
        <w:rPr>
          <w:rFonts w:hint="eastAsia" w:ascii="宋体" w:hAnsi="宋体" w:cs="宋体"/>
          <w:color w:val="auto"/>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734"/>
        <w:tblW w:w="9664" w:type="dxa"/>
        <w:tblInd w:w="-472" w:type="dxa"/>
        <w:tblLayout w:type="autofit"/>
        <w:tblCellMar>
          <w:left w:w="108" w:type="dxa"/>
          <w:top w:w="0" w:type="dxa"/>
          <w:right w:w="108" w:type="dxa"/>
          <w:bottom w:w="0" w:type="dxa"/>
        </w:tblCellMar>
        <w:tblLook w:val="04A0" w:firstRow="1" w:lastRow="0" w:firstColumn="1" w:lastColumn="0" w:noHBand="0" w:noVBand="1"/>
      </w:tblPr>
      <w:tblGrid>
        <w:gridCol w:w="848"/>
        <w:gridCol w:w="990"/>
        <w:gridCol w:w="1125"/>
        <w:gridCol w:w="6701"/>
      </w:tblGrid>
      <w:tr>
        <w:trPr>
          <w:trHeight w:val="312"/>
        </w:trPr>
        <w:tc>
          <w:tcPr>
            <w:gridSpan w:val="2"/>
            <w:tcBorders>
              <w:top w:val="single" w:color="000000" w:sz="8" w:space="0"/>
              <w:left w:val="single" w:color="000000" w:sz="8" w:space="0"/>
              <w:bottom w:val="single" w:color="000000" w:sz="4" w:space="0"/>
              <w:right w:val="single" w:color="000000" w:sz="4" w:space="0"/>
            </w:tcBorders>
            <w:tcW w:w="1838"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评审因素</w:t>
            </w:r>
            <w:r/>
          </w:p>
        </w:tc>
        <w:tc>
          <w:tcPr>
            <w:tcBorders>
              <w:top w:val="single" w:color="000000" w:sz="8"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c>
          <w:tcPr>
            <w:tcBorders>
              <w:top w:val="single" w:color="000000" w:sz="8" w:space="0"/>
              <w:left w:val="single" w:color="000000" w:sz="4" w:space="0"/>
              <w:bottom w:val="single" w:color="000000" w:sz="4" w:space="0"/>
              <w:right w:val="single" w:color="000000" w:sz="8" w:space="0"/>
            </w:tcBorders>
            <w:tcW w:w="6701"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报价分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技术参数要求响应</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32.0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针对招标文件“第四部分、采购需求”中的“采购清单及技术参数要求”所列内容进行评分，所投产品技术参数完全满足或优于招标文件技术参数要求的得32分。</w:t>
            </w:r>
            <w:r/>
          </w:p>
          <w:p>
            <w:pPr>
              <w:numPr>
                <w:ilvl w:val="0"/>
                <w:numId w:val="0"/>
              </w:numPr>
              <w:jc w:val="left"/>
              <w:spacing w:line="400" w:lineRule="exact"/>
              <w:widowControl/>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”为实质性响应要求（共1条），不响应为无效标；</w:t>
            </w:r>
            <w:r/>
          </w:p>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标“▲”为重要技术参数（共13条，计13分），每有一项负偏离扣1分，扣完为止。</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、标“＃”为一般参数（共100条，计19分），每有一项负偏离扣0.19分，扣完为止。</w:t>
            </w:r>
            <w:r/>
          </w:p>
          <w:p>
            <w:pPr>
              <w:jc w:val="left"/>
              <w:spacing w:line="40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注：</w:t>
            </w:r>
            <w:r>
              <w:rPr>
                <w:rFonts w:hint="eastAsia" w:ascii="宋体" w:hAnsi="宋体" w:cs="宋体"/>
                <w:color w:val="auto"/>
                <w:sz w:val="24"/>
                <w:szCs w:val="24"/>
                <w:highlight w:val="none"/>
                <w:lang w:val="en-US" w:eastAsia="zh-CN" w:bidi="ar"/>
              </w:rPr>
              <w:t xml:space="preserve">1.标“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1）投标人须详尽真实的提供投标产品的《技术要求响应及偏离表》，且均须在技术要求响应及偏离表内详尽真实的逐条提供偏差情况，否则将视为无效标。（2）有指定证明材料要求的未按指定要求提供相关证明材料的将视为无效标。（3）无指定证明材料要求的以加盖投标人公章的《技术要求响应及偏离表》为准。</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2.标“▲”和</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w:t>
            </w:r>
            <w:r>
              <w:rPr>
                <w:rFonts w:hint="eastAsia" w:ascii="宋体" w:hAnsi="宋体" w:cs="宋体"/>
                <w:color w:val="auto"/>
                <w:sz w:val="24"/>
                <w:szCs w:val="24"/>
                <w:highlight w:val="none"/>
                <w:lang w:bidi="ar"/>
              </w:rPr>
              <w:t xml:space="preserve">（1）投标人</w:t>
            </w:r>
            <w:r>
              <w:rPr>
                <w:rFonts w:hint="eastAsia" w:ascii="宋体" w:hAnsi="宋体" w:cs="宋体"/>
                <w:color w:val="auto"/>
                <w:sz w:val="24"/>
                <w:szCs w:val="24"/>
                <w:highlight w:val="none"/>
                <w:lang w:val="en-US" w:eastAsia="zh-CN" w:bidi="ar"/>
              </w:rPr>
              <w:t xml:space="preserve">须</w:t>
            </w:r>
            <w:r>
              <w:rPr>
                <w:rFonts w:hint="eastAsia" w:ascii="宋体" w:hAnsi="宋体" w:cs="宋体"/>
                <w:color w:val="auto"/>
                <w:sz w:val="24"/>
                <w:szCs w:val="24"/>
                <w:highlight w:val="none"/>
                <w:lang w:bidi="ar"/>
              </w:rPr>
              <w:t xml:space="preserve">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视频演示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ff0000"/>
                <w:sz w:val="24"/>
                <w:szCs w:val="24"/>
                <w:highlight w:val="none"/>
                <w:lang w:bidi="ar"/>
              </w:rPr>
              <w:t xml:space="preserve">采购清单中技术要求前标有“</w:t>
            </w:r>
            <w:r>
              <w:rPr>
                <w:rFonts w:hint="eastAsia" w:ascii="宋体" w:hAnsi="宋体" w:cs="宋体"/>
                <w:b/>
                <w:bCs/>
                <w:color w:val="ff0000"/>
                <w:sz w:val="24"/>
                <w:szCs w:val="24"/>
                <w:highlight w:val="none"/>
                <w:lang w:bidi="ar"/>
              </w:rPr>
              <w:t xml:space="preserve">☆☆</w:t>
            </w:r>
            <w:r>
              <w:rPr>
                <w:rFonts w:hint="eastAsia" w:ascii="宋体" w:hAnsi="宋体" w:cs="宋体"/>
                <w:color w:val="ff0000"/>
                <w:sz w:val="24"/>
                <w:szCs w:val="24"/>
                <w:highlight w:val="none"/>
                <w:lang w:bidi="ar"/>
              </w:rPr>
              <w:t xml:space="preserve">”的技术参数(共2条，每条2分，共计4分)，投标人需提供产品功能演示视频，评标委员会根据投标人提供的产品功能演示视频进行评审:每条演示功能完全覆盖并符合采购需求要求，业务逻辑准确、系统结构清晰，流程顺畅，无任何展示缺失的，得2分；每条演示功能基本符合采购需求要求，在非核心业务流程上存在瑕疵但未导致流程中断，能够完成演示的，得1分；每条演示功能与采购需求存在核心业务上的偏差，或业务逻辑错误或系统结构缺陷导致流程中断无法演示或未提供的，不得分。</w:t>
            </w:r>
            <w:r/>
          </w:p>
        </w:tc>
      </w:tr>
      <w:tr>
        <w:trPr>
          <w:trHeight w:val="1560"/>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投标人自2023年01月01日以来（以合同或者合同协议书签订时间为准）已完成的类似业绩，每提供一个得0.5分，本项最高得2分。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需提供业绩证明材料至投标文件，证明材料原件扫描件需包含中标（或者成交）通知书、合同（或者合同协议书）、采购人履约评价（或者验收合格报告或者验收合格证明），三者缺一不可，未提供或提供不全或模糊不清无法辨认均不予计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（2）合同甲方履约评价中出现“不满意”或“差”或“不合格”或同等意思表达的，该业绩不得分。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（3）投标人提供的企业业绩将随中标结果公告同步公开。</w:t>
            </w:r>
            <w:r/>
          </w:p>
        </w:tc>
      </w:tr>
      <w:tr>
        <w:trPr>
          <w:trHeight w:val="510"/>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lang w:val="en-US" w:eastAsia="zh-CN" w:bidi="ar"/>
              </w:rPr>
              <w:t xml:space="preserve">1、</w:t>
            </w:r>
            <w:r>
              <w:rPr>
                <w:rFonts w:hint="eastAsia" w:ascii="宋体" w:hAnsi="宋体" w:cs="宋体"/>
                <w:color w:val="auto"/>
                <w:sz w:val="24"/>
                <w:szCs w:val="24"/>
                <w:highlight w:val="none"/>
                <w:lang w:bidi="ar"/>
              </w:rPr>
              <w:t xml:space="preserve">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注：1、在投标文件中提供证书原件扫描件；2、如未提供或提供不全或提供不符合要求的均不得分。</w:t>
            </w:r>
            <w:r/>
          </w:p>
        </w:tc>
      </w:tr>
      <w:tr>
        <w:trPr>
          <w:trHeight w:val="1872"/>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项目组人员</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1、投标人针对本项目拟派的项目负责人具有工业和信息化部或人力资源社会保障部颁发的信息系统项目管理师证书的</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得1分。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2、项目组其他人员（不含项目负责人）具有工业和信息化部或人力资源社会保障部颁发的系统集成项目管理工程师、网络工程师证书</w:t>
            </w:r>
            <w:r>
              <w:rPr>
                <w:rFonts w:hint="eastAsia" w:ascii="宋体" w:hAnsi="宋体" w:cs="宋体"/>
                <w:color w:val="auto"/>
                <w:sz w:val="24"/>
                <w:szCs w:val="24"/>
                <w:highlight w:val="none"/>
                <w:lang w:val="en-US" w:eastAsia="zh-CN" w:bidi="ar"/>
              </w:rPr>
              <w:t xml:space="preserve">的</w:t>
            </w:r>
            <w:r>
              <w:rPr>
                <w:rFonts w:hint="eastAsia" w:ascii="宋体" w:hAnsi="宋体" w:cs="宋体"/>
                <w:color w:val="auto"/>
                <w:sz w:val="24"/>
                <w:szCs w:val="24"/>
                <w:highlight w:val="none"/>
                <w:lang w:bidi="ar"/>
              </w:rPr>
              <w:t xml:space="preserve">，每有一个得1分，最高得2分。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上述项目组成员必须为本单位员工，以上项目组成员必须为本单位员工，需提供2025年11月1日以来内任意一个月社会养老保险证明原件扫描件，否则不得分；（2）以上项目组成员的证书均须提供原件扫描件，未提供的本项不得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（3）提供上述项目组成员相关证书原件备查，服务过程中，人员不得</w:t>
            </w:r>
            <w:r>
              <w:rPr>
                <w:rFonts w:hint="eastAsia" w:ascii="宋体" w:hAnsi="宋体" w:cs="宋体"/>
                <w:color w:val="auto"/>
                <w:sz w:val="24"/>
                <w:szCs w:val="24"/>
                <w:highlight w:val="none"/>
                <w:lang w:val="en-US" w:eastAsia="zh-CN" w:bidi="ar"/>
              </w:rPr>
              <w:t xml:space="preserve">随意</w:t>
            </w:r>
            <w:r>
              <w:rPr>
                <w:rFonts w:hint="eastAsia" w:ascii="宋体" w:hAnsi="宋体" w:cs="宋体"/>
                <w:color w:val="auto"/>
                <w:sz w:val="24"/>
                <w:szCs w:val="24"/>
                <w:highlight w:val="none"/>
                <w:lang w:bidi="ar"/>
              </w:rPr>
              <w:t xml:space="preserve">更改。</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（4）以上项目组成员中同一人员具备上述多种证书的，不重复计分；同一证书多人具备的，不重复计分。</w:t>
            </w:r>
            <w:r/>
          </w:p>
        </w:tc>
      </w:tr>
      <w:tr>
        <w:trPr>
          <w:trHeight w:val="90"/>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hint="eastAsia" w:ascii="宋体" w:hAnsi="宋体" w:cs="宋体"/>
                <w:color w:val="ff0000"/>
                <w:sz w:val="24"/>
                <w:szCs w:val="24"/>
                <w:highlight w:val="none"/>
                <w:lang w:bidi="ar"/>
              </w:rPr>
            </w:pPr>
            <w:r>
              <w:rPr>
                <w:rFonts w:hint="eastAsia" w:ascii="宋体" w:hAnsi="宋体" w:cs="宋体"/>
                <w:color w:val="ff0000"/>
                <w:sz w:val="24"/>
                <w:szCs w:val="24"/>
                <w:highlight w:val="none"/>
                <w:lang w:bidi="ar"/>
              </w:rPr>
              <w:t xml:space="preserve">投标人根据招标文件“第四章采购需求—项目实施要求”中“质量保证方案”制定方案内容，评委根据以下标准综合打分：</w:t>
            </w:r>
            <w:r>
              <w:rPr>
                <w:rFonts w:hint="eastAsia" w:ascii="宋体" w:hAnsi="宋体" w:cs="宋体"/>
                <w:color w:val="ff0000"/>
                <w:sz w:val="24"/>
                <w:szCs w:val="24"/>
                <w:highlight w:val="none"/>
              </w:rPr>
              <w:t xml:space="preserve">①方案</w:t>
            </w:r>
            <w:r>
              <w:rPr>
                <w:rFonts w:hint="eastAsia" w:ascii="宋体" w:hAnsi="宋体" w:cs="宋体"/>
                <w:color w:val="ff0000"/>
                <w:sz w:val="24"/>
                <w:szCs w:val="24"/>
                <w:highlight w:val="none"/>
                <w:lang w:val="en-US" w:eastAsia="zh-CN"/>
              </w:rPr>
              <w:t xml:space="preserve">内容详细全面，能够针对采购需求进行细化</w:t>
            </w:r>
            <w:r>
              <w:rPr>
                <w:rFonts w:hint="eastAsia" w:ascii="宋体" w:hAnsi="宋体" w:cs="宋体"/>
                <w:color w:val="ff0000"/>
                <w:sz w:val="24"/>
                <w:szCs w:val="24"/>
                <w:highlight w:val="none"/>
              </w:rPr>
              <w:t xml:space="preserve">且优于采购需求的得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分；②方案</w:t>
            </w:r>
            <w:r>
              <w:rPr>
                <w:rFonts w:hint="eastAsia" w:ascii="宋体" w:hAnsi="宋体" w:cs="宋体"/>
                <w:color w:val="ff0000"/>
                <w:sz w:val="24"/>
                <w:szCs w:val="24"/>
                <w:highlight w:val="none"/>
                <w:lang w:val="en-US" w:eastAsia="zh-CN"/>
              </w:rPr>
              <w:t xml:space="preserve">基本完整</w:t>
            </w:r>
            <w:r>
              <w:rPr>
                <w:rFonts w:hint="eastAsia" w:ascii="宋体" w:hAnsi="宋体" w:cs="宋体"/>
                <w:color w:val="ff0000"/>
                <w:sz w:val="24"/>
                <w:szCs w:val="24"/>
                <w:highlight w:val="none"/>
              </w:rPr>
              <w:t xml:space="preserve">，针对采购需求内容要求而制定，内容表述有一定的偏差，但不影响实质性意思表达，能够满足采购需求的得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培训及技术支持方案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ff0000"/>
                <w:sz w:val="24"/>
                <w:szCs w:val="24"/>
                <w:highlight w:val="none"/>
              </w:rPr>
            </w:pPr>
            <w:r>
              <w:rPr>
                <w:rFonts w:hint="eastAsia" w:ascii="宋体" w:hAnsi="宋体" w:cs="宋体"/>
                <w:color w:val="ff0000"/>
                <w:sz w:val="24"/>
                <w:szCs w:val="24"/>
                <w:highlight w:val="none"/>
              </w:rPr>
              <w:t xml:space="preserve">投标人根据招标文件“第四章、采购需求—项目实施要求”中“培训及技术支持要求”制定方案内容，评委根据以下标准综合打分：①方案</w:t>
            </w:r>
            <w:r>
              <w:rPr>
                <w:rFonts w:hint="eastAsia" w:ascii="宋体" w:hAnsi="宋体" w:cs="宋体"/>
                <w:color w:val="ff0000"/>
                <w:sz w:val="24"/>
                <w:szCs w:val="24"/>
                <w:highlight w:val="none"/>
                <w:lang w:val="en-US" w:eastAsia="zh-CN"/>
              </w:rPr>
              <w:t xml:space="preserve">内容详细，科学</w:t>
            </w:r>
            <w:r>
              <w:rPr>
                <w:rFonts w:hint="eastAsia" w:ascii="宋体" w:hAnsi="宋体" w:cs="宋体"/>
                <w:color w:val="ff0000"/>
                <w:sz w:val="24"/>
                <w:szCs w:val="24"/>
                <w:highlight w:val="none"/>
              </w:rPr>
              <w:t xml:space="preserve">合理</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rPr>
              <w:t xml:space="preserve">能够针对采购需求进行细化且优于采购需求的得5分；②方案内容</w:t>
            </w:r>
            <w:r>
              <w:rPr>
                <w:rFonts w:hint="eastAsia" w:ascii="宋体" w:hAnsi="宋体" w:cs="宋体"/>
                <w:color w:val="ff0000"/>
                <w:sz w:val="24"/>
                <w:szCs w:val="24"/>
                <w:highlight w:val="none"/>
                <w:lang w:val="en-US" w:eastAsia="zh-CN"/>
              </w:rPr>
              <w:t xml:space="preserve">基本完整</w:t>
            </w:r>
            <w:r>
              <w:rPr>
                <w:rFonts w:hint="eastAsia" w:ascii="宋体" w:hAnsi="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内容表述有一定的偏差，但不影响实质性意思表达，能够满足采购需求的得3分</w:t>
            </w:r>
            <w:r>
              <w:rPr>
                <w:rFonts w:hint="eastAsia" w:ascii="宋体" w:hAnsi="宋体" w:cs="宋体"/>
                <w:color w:val="ff0000"/>
                <w:sz w:val="24"/>
                <w:szCs w:val="24"/>
                <w:highlight w:val="none"/>
              </w:rPr>
              <w:t xml:space="preserve">；③方案不完整承诺后期优化能满足采购基本要求的得1分；④未提供内容的，不得分。</w:t>
            </w:r>
            <w:r/>
          </w:p>
        </w:tc>
      </w:tr>
      <w:tr>
        <w:trPr>
          <w:trHeight w:val="1575"/>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设备安装</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交通安全设施安装规划方案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ff0000"/>
                <w:sz w:val="24"/>
                <w:szCs w:val="24"/>
                <w:highlight w:val="none"/>
              </w:rPr>
              <w:t xml:space="preserve">投标人根据招标文件“第四章、采购需求—设备安装要求”制定方案内容，评委根据以下标准综合打分：①方案</w:t>
            </w:r>
            <w:r>
              <w:rPr>
                <w:rFonts w:hint="eastAsia" w:ascii="宋体" w:hAnsi="宋体" w:cs="宋体"/>
                <w:color w:val="ff0000"/>
                <w:sz w:val="24"/>
                <w:szCs w:val="24"/>
                <w:highlight w:val="none"/>
                <w:lang w:val="en-US" w:eastAsia="zh-CN"/>
              </w:rPr>
              <w:t xml:space="preserve">内容详细全面，能够针对采购需求进行细化</w:t>
            </w:r>
            <w:r>
              <w:rPr>
                <w:rFonts w:hint="eastAsia" w:ascii="宋体" w:hAnsi="宋体" w:cs="宋体"/>
                <w:color w:val="ff0000"/>
                <w:sz w:val="24"/>
                <w:szCs w:val="24"/>
                <w:highlight w:val="none"/>
              </w:rPr>
              <w:t xml:space="preserve">且优于采购需求</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图纸设计规范、标注明确、细节清晰</w:t>
            </w:r>
            <w:r>
              <w:rPr>
                <w:rFonts w:hint="eastAsia" w:ascii="宋体" w:hAnsi="宋体" w:cs="宋体"/>
                <w:color w:val="ff0000"/>
                <w:sz w:val="24"/>
                <w:szCs w:val="24"/>
                <w:highlight w:val="none"/>
              </w:rPr>
              <w:t xml:space="preserve">的</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rPr>
              <w:t xml:space="preserve">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分；②方案</w:t>
            </w:r>
            <w:r>
              <w:rPr>
                <w:rFonts w:hint="eastAsia" w:ascii="宋体" w:hAnsi="宋体" w:cs="宋体"/>
                <w:color w:val="ff0000"/>
                <w:sz w:val="24"/>
                <w:szCs w:val="24"/>
                <w:highlight w:val="none"/>
                <w:lang w:val="en-US" w:eastAsia="zh-CN"/>
              </w:rPr>
              <w:t xml:space="preserve">基本完整</w:t>
            </w:r>
            <w:r>
              <w:rPr>
                <w:rFonts w:hint="eastAsia" w:ascii="宋体" w:hAnsi="宋体" w:cs="宋体"/>
                <w:color w:val="ff0000"/>
                <w:sz w:val="24"/>
                <w:szCs w:val="24"/>
                <w:highlight w:val="none"/>
              </w:rPr>
              <w:t xml:space="preserve">，针对采购需求内容要求而制定，内容表述有一定的偏差，但不影响实质性意思表达，能够满足采购需求</w:t>
            </w:r>
            <w:r>
              <w:rPr>
                <w:rFonts w:hint="eastAsia" w:ascii="宋体" w:hAnsi="宋体" w:cs="宋体"/>
                <w:color w:val="ff0000"/>
                <w:sz w:val="24"/>
                <w:szCs w:val="24"/>
                <w:highlight w:val="none"/>
                <w:lang w:eastAsia="zh-CN"/>
              </w:rPr>
              <w:t xml:space="preserve">，核心设计无缺失，标注基本规范，提供</w:t>
            </w:r>
            <w:r>
              <w:rPr>
                <w:rFonts w:hint="eastAsia" w:ascii="宋体" w:hAnsi="宋体" w:cs="宋体"/>
                <w:color w:val="ff0000"/>
                <w:sz w:val="24"/>
                <w:szCs w:val="24"/>
                <w:highlight w:val="none"/>
                <w:lang w:val="en-US" w:eastAsia="zh-CN"/>
              </w:rPr>
              <w:t xml:space="preserve">的图纸</w:t>
            </w:r>
            <w:r>
              <w:rPr>
                <w:rFonts w:hint="eastAsia" w:ascii="宋体" w:hAnsi="宋体" w:cs="宋体"/>
                <w:color w:val="ff0000"/>
                <w:sz w:val="24"/>
                <w:szCs w:val="24"/>
                <w:highlight w:val="none"/>
                <w:lang w:eastAsia="zh-CN"/>
              </w:rPr>
              <w:t xml:space="preserve">能基本呈现</w:t>
            </w:r>
            <w:r>
              <w:rPr>
                <w:rFonts w:hint="eastAsia" w:ascii="宋体" w:hAnsi="宋体" w:cs="宋体"/>
                <w:color w:val="ff0000"/>
                <w:sz w:val="24"/>
                <w:szCs w:val="24"/>
                <w:highlight w:val="none"/>
                <w:lang w:val="en-US" w:eastAsia="zh-CN"/>
              </w:rPr>
              <w:t xml:space="preserve">采购</w:t>
            </w:r>
            <w:r>
              <w:rPr>
                <w:rFonts w:hint="eastAsia" w:ascii="宋体" w:hAnsi="宋体" w:cs="宋体"/>
                <w:color w:val="ff0000"/>
                <w:sz w:val="24"/>
                <w:szCs w:val="24"/>
                <w:highlight w:val="none"/>
                <w:lang w:eastAsia="zh-CN"/>
              </w:rPr>
              <w:t xml:space="preserve">内容</w:t>
            </w:r>
            <w:r>
              <w:rPr>
                <w:rFonts w:hint="eastAsia" w:ascii="宋体" w:hAnsi="宋体" w:cs="宋体"/>
                <w:color w:val="ff0000"/>
                <w:sz w:val="24"/>
                <w:szCs w:val="24"/>
                <w:highlight w:val="none"/>
              </w:rPr>
              <w:t xml:space="preserve">的</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rPr>
              <w:t xml:space="preserve">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AI融合巡检软硬一体化系统与现有校园安全指挥平台对接方案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w:t>
            </w:r>
            <w:r>
              <w:rPr>
                <w:rFonts w:hint="eastAsia" w:ascii="宋体" w:hAnsi="宋体" w:cs="宋体"/>
                <w:color w:val="ff0000"/>
                <w:sz w:val="24"/>
                <w:szCs w:val="24"/>
                <w:highlight w:val="none"/>
              </w:rPr>
              <w:t xml:space="preserve">①方案</w:t>
            </w:r>
            <w:r>
              <w:rPr>
                <w:rFonts w:hint="eastAsia" w:ascii="宋体" w:hAnsi="宋体" w:cs="宋体"/>
                <w:color w:val="ff0000"/>
                <w:sz w:val="24"/>
                <w:szCs w:val="24"/>
                <w:highlight w:val="none"/>
                <w:lang w:val="en-US" w:eastAsia="zh-CN"/>
              </w:rPr>
              <w:t xml:space="preserve">内容详细全面，能够针对采购需求进行细化</w:t>
            </w:r>
            <w:r>
              <w:rPr>
                <w:rFonts w:hint="eastAsia" w:ascii="宋体" w:hAnsi="宋体" w:cs="宋体"/>
                <w:color w:val="ff0000"/>
                <w:sz w:val="24"/>
                <w:szCs w:val="24"/>
                <w:highlight w:val="none"/>
              </w:rPr>
              <w:t xml:space="preserve">且优于采购需求的得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分；②方案</w:t>
            </w:r>
            <w:r>
              <w:rPr>
                <w:rFonts w:hint="eastAsia" w:ascii="宋体" w:hAnsi="宋体" w:cs="宋体"/>
                <w:color w:val="ff0000"/>
                <w:sz w:val="24"/>
                <w:szCs w:val="24"/>
                <w:highlight w:val="none"/>
                <w:lang w:val="en-US" w:eastAsia="zh-CN"/>
              </w:rPr>
              <w:t xml:space="preserve">基本完整</w:t>
            </w:r>
            <w:r>
              <w:rPr>
                <w:rFonts w:hint="eastAsia" w:ascii="宋体" w:hAnsi="宋体" w:cs="宋体"/>
                <w:color w:val="ff0000"/>
                <w:sz w:val="24"/>
                <w:szCs w:val="24"/>
                <w:highlight w:val="none"/>
              </w:rPr>
              <w:t xml:space="preserve">，针对采购需求内容要求而制定，内容表述有一定的偏差，但不影响实质性意思表达，能够满足采购需求的得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新老系统对接方案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ff0000"/>
                <w:sz w:val="24"/>
                <w:szCs w:val="24"/>
                <w:highlight w:val="none"/>
              </w:rPr>
              <w:t xml:space="preserve">投标人根据招标文件“第四章、采购需求—设备安装要求”制定方案内容，评委根据以下标准综合打分：①方案内容详细全面，能够针对采购需求进行细化且优于采购需求的得3分；②方案内容完整，针对采购需求内容要求而制定，内容表述有一定的偏差，但不影响实质性意思表达，能够满足采购需求的得2分；③方案不完整承诺后期优化能满足采购基本要求的得1分；④未提供内容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售后服务方案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ff0000"/>
                <w:sz w:val="24"/>
                <w:szCs w:val="24"/>
                <w:highlight w:val="none"/>
              </w:rPr>
              <w:t xml:space="preserve">投标人根据招标文件“第四章、采购需求—售后服务要求”制定方案内容，评委根据以下标准综合打分：①方案</w:t>
            </w:r>
            <w:r>
              <w:rPr>
                <w:rFonts w:hint="eastAsia" w:ascii="宋体" w:hAnsi="宋体" w:cs="宋体"/>
                <w:color w:val="ff0000"/>
                <w:sz w:val="24"/>
                <w:szCs w:val="24"/>
                <w:highlight w:val="none"/>
                <w:lang w:val="en-US" w:eastAsia="zh-CN"/>
              </w:rPr>
              <w:t xml:space="preserve">内容详细全面，能够针对采购需求进行细化</w:t>
            </w:r>
            <w:r>
              <w:rPr>
                <w:rFonts w:hint="eastAsia" w:ascii="宋体" w:hAnsi="宋体" w:cs="宋体"/>
                <w:color w:val="ff0000"/>
                <w:sz w:val="24"/>
                <w:szCs w:val="24"/>
                <w:highlight w:val="none"/>
              </w:rPr>
              <w:t xml:space="preserve">且优于采购需求的得3分；②方案内容</w:t>
            </w:r>
            <w:r>
              <w:rPr>
                <w:rFonts w:hint="eastAsia" w:ascii="宋体" w:hAnsi="宋体" w:cs="宋体"/>
                <w:color w:val="ff0000"/>
                <w:sz w:val="24"/>
                <w:szCs w:val="24"/>
                <w:highlight w:val="none"/>
                <w:lang w:val="en-US" w:eastAsia="zh-CN"/>
              </w:rPr>
              <w:t xml:space="preserve">基本完整</w:t>
            </w:r>
            <w:r>
              <w:rPr>
                <w:rFonts w:hint="eastAsia" w:ascii="宋体" w:hAnsi="宋体" w:cs="宋体"/>
                <w:color w:val="ff0000"/>
                <w:sz w:val="24"/>
                <w:szCs w:val="24"/>
                <w:highlight w:val="none"/>
              </w:rPr>
              <w:t xml:space="preserve">，针对采购需求内容要求而制定，内容表述有一定的偏差，但不影响实质性意思表达，能够满足采购需求的得2分；③方案不完整承诺后期优化能满足采购基本要求的得1分；④未提供内容的，不得分。</w:t>
            </w:r>
            <w:r/>
          </w:p>
        </w:tc>
      </w:tr>
    </w:tbl>
    <w:p>
      <w:pPr>
        <w:pStyle w:val="1155"/>
        <w:ind w:firstLine="482"/>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4、采购本国产品的支持政策</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1.3 供应商需按照招标文件的要求提供《关于符合本国产品标准的声明函》（以下简称《声明函》），如不提供将不享受本国产品价格评审优惠。</w:t>
      </w:r>
      <w:r/>
    </w:p>
    <w:p>
      <w:pPr>
        <w:pStyle w:val="1155"/>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55"/>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55"/>
        <w:ind w:firstLine="482"/>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（三）评标结果。</w:t>
      </w:r>
      <w:r>
        <w:rPr>
          <w:rFonts w:hint="eastAsia" w:ascii="宋体" w:hAnsi="宋体" w:cs="宋体"/>
          <w:color w:val="auto"/>
          <w:szCs w:val="24"/>
          <w:highlight w:val="none"/>
          <w:shd w:val="clear" w:color="auto" w:fill="ffffff"/>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155"/>
        <w:ind w:left="482"/>
        <w:spacing w:line="440" w:lineRule="exact"/>
        <w:rPr>
          <w:rFonts w:ascii="宋体" w:cs="宋体"/>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cs="宋体"/>
          <w:color w:val="auto"/>
          <w:highlight w:val="none"/>
          <w:shd w:val="clear" w:color="auto" w:fill="ffffff"/>
        </w:rPr>
      </w:r>
      <w:r/>
    </w:p>
    <w:p>
      <w:pPr>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80" w:lineRule="exact"/>
        <w:rPr>
          <w:b/>
          <w:color w:val="auto"/>
          <w:sz w:val="44"/>
          <w:szCs w:val="44"/>
          <w:highlight w:val="none"/>
        </w:rPr>
        <w:sectPr>
          <w:footerReference w:type="default" r:id="rId12"/>
          <w:footnotePr/>
          <w:endnotePr/>
          <w:type w:val="nextPage"/>
          <w:pgSz w:w="11906" w:h="16838" w:orient="portrait"/>
          <w:pgMar w:top="1440" w:right="1304" w:bottom="1440" w:left="1418" w:header="851" w:footer="992" w:gutter="0"/>
          <w:pgNumType w:start="1"/>
          <w:cols w:num="1" w:sep="0" w:space="1701" w:equalWidth="1"/>
          <w:docGrid w:linePitch="360"/>
        </w:sectPr>
      </w:pPr>
      <w:r>
        <w:rPr>
          <w:b/>
          <w:color w:val="auto"/>
          <w:sz w:val="44"/>
          <w:szCs w:val="44"/>
          <w:highlight w:val="none"/>
        </w:rPr>
      </w:r>
      <w:r/>
    </w:p>
    <w:p>
      <w:pPr>
        <w:jc w:val="center"/>
        <w:spacing w:line="480" w:lineRule="exact"/>
        <w:rPr>
          <w:b/>
          <w:color w:val="auto"/>
          <w:sz w:val="36"/>
          <w:szCs w:val="36"/>
          <w:highlight w:val="none"/>
        </w:rPr>
      </w:pPr>
      <w:r>
        <w:rPr>
          <w:rFonts w:hint="eastAsia"/>
          <w:b/>
          <w:color w:val="auto"/>
          <w:sz w:val="36"/>
          <w:szCs w:val="36"/>
          <w:highlight w:val="none"/>
        </w:rPr>
        <w:t xml:space="preserve">第四章</w:t>
      </w:r>
      <w:r>
        <w:rPr>
          <w:b/>
          <w:color w:val="auto"/>
          <w:sz w:val="36"/>
          <w:szCs w:val="36"/>
          <w:highlight w:val="none"/>
        </w:rPr>
        <w:t xml:space="preserve">  </w:t>
      </w:r>
      <w:r>
        <w:rPr>
          <w:rFonts w:hint="eastAsia"/>
          <w:b/>
          <w:color w:val="auto"/>
          <w:sz w:val="36"/>
          <w:szCs w:val="36"/>
          <w:highlight w:val="none"/>
        </w:rPr>
        <w:t xml:space="preserve">采购需求</w:t>
      </w:r>
      <w:bookmarkEnd w:id="112"/>
      <w:r/>
      <w:bookmarkEnd w:id="115"/>
      <w:r/>
      <w:bookmarkEnd w:id="116"/>
      <w:r/>
      <w:bookmarkEnd w:id="117"/>
      <w:r/>
      <w:bookmarkEnd w:id="118"/>
      <w:r/>
      <w:bookmarkEnd w:id="119"/>
      <w:r/>
      <w:r/>
    </w:p>
    <w:p>
      <w:pPr>
        <w:ind w:firstLine="480"/>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项目属性：</w:t>
      </w:r>
      <w:r>
        <w:rPr>
          <w:rFonts w:hint="eastAsia" w:ascii="Times New Roman" w:hAnsi="Times New Roman"/>
          <w:bCs/>
          <w:color w:val="auto"/>
          <w:sz w:val="24"/>
          <w:highlight w:val="none"/>
          <w:u w:val="single"/>
        </w:rPr>
        <w:t xml:space="preserve">货物类项目</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w:t>
      </w:r>
      <w:r>
        <w:rPr>
          <w:rFonts w:hint="eastAsia" w:ascii="Times New Roman" w:hAnsi="Times New Roman"/>
          <w:bCs/>
          <w:color w:val="auto"/>
          <w:sz w:val="24"/>
          <w:highlight w:val="none"/>
          <w:u w:val="single"/>
        </w:rPr>
        <w:t xml:space="preserve">不接受</w:t>
      </w:r>
      <w:r>
        <w:rPr>
          <w:rFonts w:hint="eastAsia" w:ascii="Times New Roman" w:hAnsi="Times New Roman"/>
          <w:bCs/>
          <w:color w:val="auto"/>
          <w:sz w:val="24"/>
          <w:highlight w:val="none"/>
        </w:rPr>
        <w:t xml:space="preserve">（接受/不接受）进口。</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本项目采购标的对应的中小企业划分标准所属行业：</w:t>
      </w:r>
      <w:r/>
    </w:p>
    <w:tbl>
      <w:tblPr>
        <w:tblStyle w:val="734"/>
        <w:tblW w:w="7608" w:type="dxa"/>
        <w:tblInd w:w="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092"/>
        <w:gridCol w:w="3556"/>
      </w:tblGrid>
      <w:tr>
        <w:trPr>
          <w:trHeight w:val="270"/>
        </w:trPr>
        <w:tc>
          <w:tcPr>
            <w:tcW w:w="960" w:type="dxa"/>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W w:w="309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采购标的</w:t>
            </w:r>
            <w:r/>
          </w:p>
        </w:tc>
        <w:tc>
          <w:tcPr>
            <w:tcW w:w="355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对应中小企业划分标准所属行业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一、路段标识标牌标线</w:t>
            </w:r>
            <w:r/>
          </w:p>
        </w:tc>
      </w:tr>
      <w:tr>
        <w:trPr>
          <w:trHeight w:val="2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gridSpan w:val="3"/>
            <w:shd w:val="clear" w:color="auto" w:fill="ffffff"/>
            <w:tcW w:w="7608"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二、隔离减速装置</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12</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减速丘</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隔离护栏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14</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防撞柱</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三、护学岗配套物资</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移动信号灯</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反光背心</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指挥棒</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宣传喇叭</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四、智能前端配套设备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布控球</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枪球一体机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五、后端设备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AI融合巡检软硬一体化系统</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六、施工集成</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建筑业</w:t>
            </w:r>
            <w:r/>
          </w:p>
        </w:tc>
      </w:tr>
    </w:tbl>
    <w:p>
      <w:pPr>
        <w:ind w:firstLine="482"/>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1、项目名称：泗洪县城区学校门口交通安全设施建设项目</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主要内容为：为了进一步强化校园及周边交通安全管理和秩序维护，泗洪县教育局拟进行城区学校门口交通安全设施建设，主要内容包括路段标识标牌标线、隔离减速装置、护学岗配套物资及智能AI巡查系统设备、智能前端配套设备、后端平台设备、等建设内容。</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3、供货地点：采购人指定地点。</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4、合同履行期限：合同签订后90日历天内安装完毕并交付使用。</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5、运行维护期：3年（自验收合格之日起算）。</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6、质量：合格，提供的产品性能及质量有国家标准的应符合国家标准。无国家标准的应符合行业标准或企业标准，并满足招标文件要求，实现投标文件承诺条款。</w:t>
      </w:r>
      <w:r/>
    </w:p>
    <w:p>
      <w:pPr>
        <w:pStyle w:val="738"/>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预付款：</w:t>
      </w:r>
      <w:r>
        <w:rPr>
          <w:rFonts w:hint="eastAsia" w:ascii="宋体" w:hAnsi="宋体" w:cs="宋体"/>
          <w:color w:val="auto"/>
          <w:sz w:val="24"/>
          <w:szCs w:val="24"/>
          <w:highlight w:val="none"/>
          <w:lang w:val="zh-CN"/>
        </w:rPr>
        <w:t xml:space="preserve">签订合同后，自收到</w:t>
      </w:r>
      <w:r>
        <w:rPr>
          <w:rFonts w:hint="eastAsia" w:ascii="宋体" w:hAnsi="宋体" w:cs="宋体"/>
          <w:color w:val="auto"/>
          <w:sz w:val="24"/>
          <w:highlight w:val="none"/>
        </w:rPr>
        <w:t xml:space="preserve">供应商</w:t>
      </w:r>
      <w:r>
        <w:rPr>
          <w:rFonts w:hint="eastAsia" w:ascii="宋体" w:hAnsi="宋体" w:cs="宋体"/>
          <w:color w:val="auto"/>
          <w:sz w:val="24"/>
          <w:szCs w:val="24"/>
          <w:highlight w:val="none"/>
          <w:lang w:val="zh-CN"/>
        </w:rPr>
        <w:t xml:space="preserve">发票后10个工作日内</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支付合同总价款的30%；</w:t>
      </w:r>
      <w:r>
        <w:rPr>
          <w:rFonts w:hint="eastAsia" w:ascii="宋体" w:hAnsi="宋体" w:cs="宋体"/>
          <w:color w:val="auto"/>
          <w:sz w:val="24"/>
          <w:szCs w:val="24"/>
          <w:highlight w:val="none"/>
        </w:rPr>
        <w:t xml:space="preserve"> </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进度款：全部设备安装调试完毕经验收合格且收到供应商发票后10个工作日内付至合同价款的100%。</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（1）可以采用数字人民币支付；</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（2）资金支付的时间：收到供应商发票10个工作日内；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（3）资金支付的条件：满足相应阶段的要求且收到供应商发票；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）在签订合同时，供应商明确表示无需预付款或者主动要求降低预付款比例的，采购人可不适用前述规定。</w:t>
      </w:r>
      <w:r/>
    </w:p>
    <w:p>
      <w:pPr>
        <w:pStyle w:val="1240"/>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三、政府采购中实施本国产品标准及相关政策</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1、本项目对采购本国产品给予政策支持，具体内容见招标文件“第三部分 资格审查及评标办法”。</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40"/>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四、采购清单及技术参数要求</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（一）采购清单及技术参数要求</w:t>
      </w:r>
      <w:r/>
    </w:p>
    <w:p>
      <w:pPr>
        <w:rPr>
          <w:color w:val="auto"/>
          <w:highlight w:val="none"/>
        </w:rPr>
      </w:pPr>
      <w:r>
        <w:rPr>
          <w:color w:val="auto"/>
          <w:highlight w:val="none"/>
        </w:rPr>
      </w:r>
      <w:r/>
    </w:p>
    <w:tbl>
      <w:tblPr>
        <w:tblStyle w:val="734"/>
        <w:tblW w:w="9915" w:type="dxa"/>
        <w:tblInd w:w="-374" w:type="dxa"/>
        <w:tblLayout w:type="fixed"/>
        <w:tblCellMar>
          <w:left w:w="108" w:type="dxa"/>
          <w:top w:w="0" w:type="dxa"/>
          <w:right w:w="108" w:type="dxa"/>
          <w:bottom w:w="0" w:type="dxa"/>
        </w:tblCellMar>
        <w:tblLook w:val="04A0" w:firstRow="1" w:lastRow="0" w:firstColumn="1" w:lastColumn="0" w:noHBand="0" w:noVBand="1"/>
      </w:tblPr>
      <w:tblGrid>
        <w:gridCol w:w="675"/>
        <w:gridCol w:w="1215"/>
        <w:gridCol w:w="6120"/>
        <w:gridCol w:w="915"/>
        <w:gridCol w:w="990"/>
      </w:tblGrid>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一、路段标识标牌标线</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材质、规格尺寸：80cm（L）*80cm(W),铝板厚度≥2.0mm；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材质、规格尺寸：边长90cm三角形状标志牌，铝板厚度≥2.0mm；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材质、规格尺寸：60cm（L）*60cm(W),铝板厚度≥2.0mm；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类型：限速30指示牌；</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材质、规格尺寸：90cm(L)*180cm(W),铝板厚度≥2.0mm；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材质、规格尺寸：60cm圆形标志牌,铝板厚度≥2.0mm；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#1、材质、规格尺寸：60cm圆形标志牌,铝板厚度≥2.0mm；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#2、板面反光膜等级：四类超强反光膜。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杆件:3m高,≥Φ89mm镀锌，壁厚≥2.0mm；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基础：C25混凝土，规格：40cm(L)*40cm(L)*60cm(H)；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预埋件地笼面板240mm（L）*240mm(L)-3mm(T)，对边距160mm*160mm,4根M18-650mm长地脚螺栓。</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硬化路面取芯打孔，直径：100mm,深度：≥25cm。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高度：1.5-2.5mm；宽度：≥45cm。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3957.5</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高度：1.5-2.5mm；宽度：≥15cm。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10834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热熔标线清洗。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二、隔离减速装置</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减速丘</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震荡标线；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基底厚度≥1.8mm，宽度≥40cm；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凸起部分厚度为3-8mm。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3433</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类型：深灰色城市隔离护栏；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规格尺寸：护栏规格:1200mm（H）*3120mm(L)；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立柱:120mm(L)*120mm(W)*1.5mm(T)；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上下横杆：Φ60mm*1.2mm(T)；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两边竖杆: Φ50mm*1.2mm(T)；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内横杆：Φ40mm*1.2mm(T)；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内圆弧：Φ40mm*1.8mm(T)；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水泥底座：≥300*400*150mm。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3967</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防撞柱</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材质、规格尺寸：热镀锌钢管</w:t>
            </w:r>
            <w:r>
              <w:rPr>
                <w:rFonts w:hint="eastAsia" w:ascii="宋体" w:hAnsi="宋体" w:cs="宋体"/>
                <w:color w:val="auto"/>
                <w:szCs w:val="21"/>
                <w:highlight w:val="none"/>
                <w:lang w:eastAsia="zh-CN" w:bidi="ar"/>
              </w:rPr>
              <w:t xml:space="preserve">；</w:t>
            </w:r>
            <w:r/>
          </w:p>
          <w:p>
            <w:pPr>
              <w:jc w:val="left"/>
              <w:spacing w:line="360" w:lineRule="exact"/>
              <w:widowControl/>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直径：165mm高度：85cm；厚度：≥2.0mm </w:t>
            </w:r>
            <w:r>
              <w:rPr>
                <w:rFonts w:hint="eastAsia" w:ascii="宋体" w:hAnsi="宋体" w:cs="宋体"/>
                <w:color w:val="auto"/>
                <w:szCs w:val="21"/>
                <w:highlight w:val="none"/>
                <w:lang w:eastAsia="zh-CN" w:bidi="ar"/>
              </w:rPr>
              <w:t xml:space="preserve">；</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三类高强黄黑反光膜</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 </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柱内C25混凝土灌方；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取芯（硬化路面取芯打孔，直径：180mm,深度：25cm）。</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移动护栏</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类型:深灰色城市隔离护栏；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护栏规格:1200mm（H）*3120mm(L)；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立柱:120mm(L)*120mm(W)*1.5mm(T)；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上下横杆:Φ60mm*1.2mm(T)；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两边竖杆:Φ50mm*1.2mm(T)；</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内横杆:Φ40mm*1.2mm(T)；</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三、护学岗配套物资</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移动信号灯</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#1.出光面直径:≥Φ300mm；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#2.工作电压:DC12V；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#3.胶体电池:12V100AH；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#4.太阳能电池板:单晶硅 ≥50W；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#5.防护等级:≥IP54。</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反光背心</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#1.尺寸:均码；重量:≥150g；</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.布料:针织布；颜色:荧光黄。</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指挥棒</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#1.尺寸:≥50cm；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#2.款式:指挥棒；颜色:绿色；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#3.可视距离:≥800 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宣传喇叭</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#1.录音时长：≥120秒；电池容量：≥2000mAh；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#2.材质：ABS工程材质。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四、智能前端配套设备</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布控球</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不小于200万纯监控双4G便携球套装;</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分辨率高，1080P，图像清晰、细腻，信噪比高，图像画面干净、悦目;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低照度，彩色0.001lux@F1.6，支持MIC、扬声器;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支持自动彩转黑功能，实现昼夜监控；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支持图像宽动态、背光补偿、强光抑制、降噪、透雾、防抖；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可通过设备自身附带小屏显示当前电池电量、GPS状态、4G状态、录像状态、剩余存储时间、蓝牙状态、平台连接状态、WiFi状态；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支持双TF卡存储，单卡最大支持512G；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标配支持单4G模块，可额外扩展4G模块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配置可拆卸电池，单电池可支持不小于9小时连续工作；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底部配置高吸力磁铁，安装便捷；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包含电池*2，交流电源线、适配器、手提箱、三脚架、座充等配件；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支持自动白平衡功能，当使用环境实际色温在2800K ~ 10000K范围内变化时，摄像机应能自动调整白平衡，使输出图像准确重现出观察场景的实际色彩；（提供第三方检测报告原件扫描件）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支持2.4G/5G，可通过WiFi接入无线网络，也可将自身设置为WiFi热点，支持通过手机或PAD直连访问操作；（提供第三方检测报告原件扫描件）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具有电子防抖功能，能通过浏览器设置电子防抖功能开启/关闭。</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bCs/>
                <w:color w:val="auto"/>
                <w:sz w:val="24"/>
                <w:szCs w:val="24"/>
                <w:highlight w:val="none"/>
              </w:rPr>
              <w:t xml:space="preserve">●</w:t>
            </w:r>
            <w:r>
              <w:rPr>
                <w:rFonts w:hint="eastAsia" w:ascii="宋体" w:hAnsi="宋体" w:cs="宋体"/>
                <w:color w:val="auto"/>
                <w:szCs w:val="21"/>
                <w:highlight w:val="none"/>
                <w:lang w:bidi="ar"/>
              </w:rPr>
              <w:t xml:space="preserve">枪球一体机</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设备内置不少于2个全景通道和1个细节通道，细节最大分辨率不小于2560*1440；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支持最低照度可达彩色0.0002lx，黑白0.0001lx；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支持白光补光不小于30米，红外补光不小于100米；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全景支持拼接模式和非拼接模式，在拼接模式下，全景通道支持分辨率不小于3680 × 1656；在不拼接模式下，可输出2个全景通道，支持分辨率不小于1920 × 1632；（提供第三方检测报告原件扫描件）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细节通道支持不小于25倍光学变倍，最大焦距不小于120mm；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全景通道1、2：支持水平:0°-90°，垂直0°-350°，轴心方向0°-350°。细节通道:水平:0°-360°垂直:-10°-90°；（提供第三方检测报告原件扫描件）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镜头、全景1镜头和全景2镜头可分开进行水平垂直方向调节，全景1镜头进行水平、垂直调节时，全景镜头2可保持不动；全景1镜头和全景2镜头进行水平垂直方向调节时，细节镜头可保持不变；（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设备支持不少于300个预置位，可按照所设置的预置位设置不少于8条巡航路径；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支持H.264、H.265、MJPEG视频编码格式，可将H.264、H.265格式设置为High Profile；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可分别或同时对行人、非机动车、机动车进行检测、跟随、抓拍，支持人脸、车牌、非机动车车牌抠图，可将人脸与人体关联显示。支持非机动车逆行、载人、未戴头盔3种属性的报警，可联动语音播报，语音内容可自定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设备支持双安装接口，1个为快速旋转安装接口，1个为多孔稳定安装接口；（提供第三方检测报告原件扫描件）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细节通道支持smart事件、全结构化模式，智能功能可任意选择保存生效；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支持一键拼接功能，可将2个全景画面进行拼接输出，在拼接模式下，设备可输出全景和细节2个视频画面，在非拼接模式下，设备可输出全景通道1、全景通道2和细节通道共3个视频画面；（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1和全景通道2具备锁紧装置，在松开锁紧装置后，全景1通道和全景2通道可以进行水平和垂直调节。在紧固锁紧装置后，全景1通道和全景2通道不可以进行水平和垂直调节；（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全景通道1和全景通道2分别内置1个麦克风，麦克风可随镜头一起进行旋转，旋转范围为：水平：0°～90°，垂直：0°～350°，轴心方向：0°～350°；（提供第三方检测报告原件扫描件）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全景摄像机可输出2个镜头无缝拼接的全景图像，拼接后的全景画面水平视场角应≥175°，垂直视场角≥75°；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设备具有语音对讲设置；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设备支持不少于2路报警输入，不少于1路报警输出，不少于1路音频输入，不少于1路音频输出，不少于2个麦克风，不少于1个扬声器、不少于1个SD卡槽，不少于1个RJ45网口，不少于1个485接口。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材质：采用 Q235B 钢板，等径焊管杆，杆高 4.5m，上口径φ140mm，下口径为φ140mm，主杆壁厚≥3.5mm；底板法兰：320mm*320mm*14mm；横臂：横臂长度 0.5m-1.0m，等径焊管≥φ76mm，横臂壁厚≥2.75mm；整体热镀锌喷塑上色。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地笼：4-M18*800mm；接地-4*40*1200mm(镀锌扁铁）。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C25 砼,基础尽寸：650mm*650mm*800mm，所供杆件设计按照国家《钢结构设计规范》标准，并提供相关图纸。</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工艺要求：加工时清除毛刺，锐边倒钝，焊接保证强度，焊缝均匀牢固，无虚焊、假焊。</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.设备箱</w:t>
            </w:r>
            <w:r>
              <w:rPr>
                <w:rFonts w:hint="eastAsia" w:ascii="宋体" w:hAnsi="宋体" w:cs="宋体"/>
                <w:color w:val="auto"/>
                <w:szCs w:val="21"/>
                <w:highlight w:val="none"/>
                <w:lang w:bidi="ar"/>
              </w:rPr>
              <w:t xml:space="preserve">尺寸：400mm*300mm*200mm；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材质：≥1.2mm镀锌板；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接地铜排</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电源防雷器</w:t>
            </w:r>
            <w:r>
              <w:rPr>
                <w:rFonts w:hint="eastAsia" w:ascii="宋体" w:hAnsi="宋体" w:cs="宋体"/>
                <w:color w:val="auto"/>
                <w:szCs w:val="21"/>
                <w:highlight w:val="none"/>
                <w:lang w:val="en-US" w:eastAsia="zh-CN" w:bidi="ar"/>
              </w:rPr>
              <w:t xml:space="preserve">等配套设备；</w:t>
            </w:r>
            <w:r>
              <w:rPr>
                <w:rFonts w:hint="eastAsia" w:ascii="宋体" w:hAnsi="宋体" w:cs="宋体"/>
                <w:color w:val="auto"/>
                <w:szCs w:val="21"/>
                <w:highlight w:val="none"/>
                <w:lang w:bidi="ar"/>
              </w:rPr>
              <w:t xml:space="preserve">箱门图案根据客户需求打印</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.国标</w:t>
            </w:r>
            <w:r>
              <w:rPr>
                <w:rFonts w:hint="eastAsia" w:ascii="宋体" w:hAnsi="宋体" w:cs="宋体"/>
                <w:color w:val="auto"/>
                <w:szCs w:val="21"/>
                <w:highlight w:val="none"/>
                <w:lang w:bidi="ar"/>
              </w:rPr>
              <w:t xml:space="preserve">2*1.5平方</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提供3C认证证书</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.不低于</w:t>
            </w:r>
            <w:r>
              <w:rPr>
                <w:rFonts w:hint="eastAsia" w:ascii="宋体" w:hAnsi="宋体" w:cs="宋体"/>
                <w:color w:val="auto"/>
                <w:szCs w:val="21"/>
                <w:highlight w:val="none"/>
                <w:lang w:bidi="ar"/>
              </w:rPr>
              <w:t xml:space="preserve">超五类非屏蔽</w:t>
            </w:r>
            <w:r>
              <w:rPr>
                <w:rFonts w:hint="eastAsia" w:ascii="宋体" w:hAnsi="宋体" w:cs="宋体"/>
                <w:color w:val="auto"/>
                <w:szCs w:val="21"/>
                <w:highlight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.长度≤1.5米；具体</w:t>
            </w:r>
            <w:r>
              <w:rPr>
                <w:rFonts w:hint="eastAsia" w:ascii="宋体" w:hAnsi="宋体" w:cs="宋体"/>
                <w:color w:val="auto"/>
                <w:szCs w:val="21"/>
                <w:highlight w:val="none"/>
                <w:lang w:bidi="ar"/>
              </w:rPr>
              <w:t xml:space="preserve">根据现场环境定制</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PE管、水晶头、扎带、防水胶布、相机支架等。</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批</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五、后端设备</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AI融合巡检软硬一体化系统</w:t>
            </w:r>
            <w:r>
              <w:rPr>
                <w:rFonts w:ascii="宋体" w:hAnsi="宋体" w:cs="宋体"/>
                <w:color w:val="auto"/>
                <w:szCs w:val="21"/>
                <w:highlight w:val="none"/>
                <w:lang w:bidi="ar"/>
              </w:rPr>
              <w:br/>
            </w:r>
            <w:r>
              <w:rPr>
                <w:rFonts w:ascii="宋体" w:hAnsi="宋体" w:cs="宋体"/>
                <w:color w:val="auto"/>
                <w:szCs w:val="21"/>
                <w:highlight w:val="none"/>
                <w:lang w:bidi="ar"/>
              </w:rPr>
              <w:b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集成不低于人、车、行为、事件、AIOP 5大类多种算法；</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输入带宽：≥1280Mbps，输出带宽：≥768Mbps；</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引擎状态界面可显示引擎工作温度， 可查看引擎配置及利用率，当平台接收到支持AI算法摄像机给出的报警后，平台会将报警结果发送给具备大模型算法的设备进行二次分析；并将二次分析结果上报给平台；（提供功能演示视频）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实时视频分析：对通道中的视频流进行实时智能分析。 轮巡视频分析：对多个通道中的视频流轮流进行智能分析。 定时抓图分析：对通道中的视频流进行定时抓图并对抓取的图片进行智能分析。 离线图片分析：对从设备界面上传的图片或从平台下发的离线图片/URL链接进行智能分析。 报警图片分析：对前端IPC的抓拍图片进行二次智能分析。 中心流式任务：在业务平台上对下发的取流地址任务进行展示和操作；（提供第三方检测报告原件扫描件）</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支持同一个算法的大小模型嵌入在同一个算法包中，绑定引擎时，在一个界面分配好引擎选择模式后即可自动关联大小模型，无须重复配置，并且规则配置只要配置一次即可实现大小模型协同分析；支持效果增强模式：大小模型协同部署高性能模式：仅部署小模型超高精度模式：仅部署大模型；（提供功能演示视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支持离线模型和在线模型两种模型导入方式，支持第三方算法插件的导入和管理；可显示模型名称、有效期、模型标签及模型版本。</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支持不小于256路H.264、H.265格式高清码流接入；</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支持不少于2个HDMI、1个VGA、4口千兆以太网口、2个USB2.0接口、4个USB3.0接口；</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配置12块不小于6TB硬盘；</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接口类型：SATA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转速：≥5400RPM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缓存：不低于256MB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最大读取速度：180MB/s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接口传输速率（最大值）：6.0Gb/s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平均读写功率（W）：不低于4.5W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加载/卸载周期：不少于300,000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MTBF：不少于1,000,000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年负荷（TB/年）：≥180TB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工作状态温度(°C)：0-65℃</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规格要求：2.5G千兆电接口≥6个，SFP+万兆光口≥2个；（提供官网链接和设备外观截图证明）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性能要求：整机最大吞吐量≥10Gbps，最大并发会话数≥400万，每秒新建会话数≥10万，开启IPS+AV功能，应用吞吐量≥1000Mbps，配置1年防病毒、防攻击、上网行为管理、Web安全防护等增强特性授权；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主要功能要求：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（1）必须支持透明、路由、混合、旁路4种工作模式；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（2）支持VRF路由隔离，可以使不同网络的数据和业务完全隔离；</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（3）VPN用户登录支持双因子认证，包括动态口令、硬件特征码认证手段；</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（4）VXLAN隧道支持大二层网络下的隧道转发，支持指定目的端口；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（5）支持基于IPv4/IPv6的一体化安全策略：在一条策略中可基于设备接口/安全域、源/目的IP地址、服务、应用、用户、时间等属性，配置入侵防护、病毒防护、Web访问策略、应用控制、SSL解密等安全防护功能；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（6）支持IPv4/IPv6策略分析功能，支持检测出冗余策略、隐藏策略、冲突策略、可合并策略、空策略、过期策略，并提供优化建议及图形化分析统计；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（7）支持基于报文有效性检查及用户合法性检查，防止ARP欺骗，支持ARP flood攻击防御，可基于接口设置ARP报文速率；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（8）内置IPS检测引擎，支持命令执行、目录遍历、缓冲溢出、安全绕过、信息泄露等特征类别，特征库数量不少于10000条，兼容CVE/CNCVE，特征库可直接查阅事件名称、CVE ID、受影响的系统、事件详情、处理建议、补丁下载等详细信息，支持事件集自动和手动两种更新方式；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（9）具备对应用程序的识别和控制能力， 产品内置不少于5000种应用特征，基于覆盖平台、流行度、风险等维度内置不少于20种应用分类，如即时通讯、社交网络、电子邮件、在线视频、文件共享、P2P下载、电子商务、炒股软件、网络游戏、搜索引擎、数据库、代理翻墙等，支持在线更新或手动更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▲规格要求：业务插槽≥4个；本次每台机器实配置双主控引擎和千兆电口≥16个，SFP千兆光口≥24个，SFP+万兆光口≥24个，40G QSFP光接口≥4个、双交流电源；（提供官网链接和设备外观截图证明）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▲性能要求：交换容量≥100Tbps，包转发率≥48000Mpps；（提供官网链接和官网截图证明,若官网参数双标，以最小值为准）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主要功能要求：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（1）支持增强型多Vlan子网流量工程功能，可以实现非环网条件下的快速收敛；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（2）支持生成树快速收敛协议，生成树收敛时间（广播收敛时间&lt;35ms，单播收敛时间&lt;10ms），降低拓扑变化对业务的影响；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（3）支持FULL EAPS功能，在网络有环路条件下，FULL EAPS能自动block相关链路，具有防环效果，当拓扑有变化时，能够根据拓扑变化调整端口状态；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（4）支持多进程MSTP，当设备上存在多个mstp进程时，各个进程都能够正确选取根桥、设置端口状态。某个进程中的拓扑环境发生链路震荡，不影响其他进程的mstp状态，提升网络稳定性；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支持RSPAN（远程交换端口分析）功能，即远程端口镜像，突破了镜像源和目的端口必须处于同一交换机的限制，使镜像源端口和镜像目的端口可以在不同的网络设备上，从而方便网管人员对远程交换机设备进行管理。在远程镜像的vlan上不能</w:t>
            </w:r>
            <w:r>
              <w:rPr>
                <w:rFonts w:hint="eastAsia" w:ascii="宋体" w:hAnsi="宋体" w:cs="宋体"/>
                <w:color w:val="auto"/>
                <w:szCs w:val="21"/>
                <w:highlight w:val="none"/>
                <w:lang w:val="en-US" w:eastAsia="zh-CN" w:bidi="ar"/>
              </w:rPr>
              <w:t xml:space="preserve">进行</w:t>
            </w:r>
            <w:r>
              <w:rPr>
                <w:rFonts w:hint="eastAsia" w:ascii="宋体" w:hAnsi="宋体" w:cs="宋体"/>
                <w:color w:val="auto"/>
                <w:szCs w:val="21"/>
                <w:highlight w:val="none"/>
                <w:lang w:bidi="ar"/>
              </w:rPr>
              <w:t xml:space="preserve">业务流的传输。</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9915" w:type="dxa"/>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六、施工集成</w:t>
            </w:r>
            <w:r/>
          </w:p>
        </w:tc>
      </w:tr>
      <w:tr>
        <w:trPr>
          <w:trHeight w:val="9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含破除恢复、施工器械、路段标识标牌标线、隔离减速装置、智能前端配套设备相关施工、安装、调试、综合布线等。</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r>
    </w:tbl>
    <w:p>
      <w:pPr>
        <w:spacing w:line="48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（二）《采购清单及技术参数要求》技术参数说明如下：</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1.标注“★”的为</w:t>
      </w:r>
      <w:r>
        <w:rPr>
          <w:rFonts w:hint="eastAsia" w:ascii="宋体" w:hAnsi="宋体" w:cs="宋体"/>
          <w:bCs/>
          <w:color w:val="auto"/>
          <w:sz w:val="24"/>
          <w:szCs w:val="24"/>
          <w:highlight w:val="none"/>
          <w:lang w:val="en-US" w:eastAsia="zh-CN"/>
        </w:rPr>
        <w:t xml:space="preserve">实质性响应要求</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不响应按无效标处理</w:t>
      </w:r>
      <w:r>
        <w:rPr>
          <w:rFonts w:hint="eastAsia" w:ascii="宋体" w:hAnsi="宋体" w:cs="宋体"/>
          <w:bCs/>
          <w:color w:val="auto"/>
          <w:sz w:val="24"/>
          <w:szCs w:val="24"/>
          <w:highlight w:val="none"/>
        </w:rPr>
        <w:t xml:space="preserve">。</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.标注“●”的为核心产品，不同投标人核心产品标的品牌相同按同品牌投标人处理。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详见投标人须知18.5条）</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标注“▲”的技术参数为重要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.标注“</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”的技术参数，投标人需提供产品功能演示视频，投标人提交的产品演示视频（含功能演示、参数实测、操作展示等），需与实际所投产品技术参数、功能一致。</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标注“＃”号标记的技术参数为一般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.投标人应当对《中小企业声明函》真实性负责，投标人出具的《中小企业声明函》应当对本次采购标的逐一列明制造商且应当与明细报价表内容相对应。</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.除特别标注尺寸偏差、大于、大于等于、小于及小于等于之外，其他固定尺寸允许偏差±2%。</w:t>
      </w:r>
      <w:r/>
    </w:p>
    <w:p>
      <w:pPr>
        <w:ind w:firstLine="480"/>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firstLine="482"/>
        <w:spacing w:line="48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五、项目要求</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（一）供货要求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须提供主要产品生产厂家供货证明书。投标人所供货物若与标书上列明的设备的型号、技术指标等不相符，有造假现象的，采购人有权拒收货物，投标人应承担由此给采购人带来的损失。</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（二）质量保证</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保证提供的货物经过正确安装、正常使用和保养条件下，在其使用寿命内应具有满意的性能。货物最终验收后，在售后服务期内，中标人应对由于设计、工艺或材料的缺陷以及其他由于生产厂家或中标人的原因而发生的任何不足或故障负责，费用由中标人负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（2）根据当地法定检验机构的检验结果或者在售后服务期内，如果货物的质量或规格型号与合同不符，或证明货物是有缺陷的，包括潜在的缺陷或使用不符合要求的材料等，采购人有权向中标人发出索赔通知。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（3）中标人在收到通知后，应在合同所附服务承诺约定的时间内维修、更换有缺陷的货物或部件。</w:t>
      </w:r>
      <w:r/>
    </w:p>
    <w:p>
      <w:pPr>
        <w:ind w:firstLine="480"/>
        <w:spacing w:line="480" w:lineRule="exact"/>
        <w:rPr>
          <w:rFonts w:ascii="宋体" w:hAnsi="宋体" w:cs="宋体"/>
          <w:b/>
          <w:bCs/>
          <w:iCs/>
          <w:color w:val="auto"/>
          <w:sz w:val="24"/>
          <w:szCs w:val="24"/>
          <w:highlight w:val="none"/>
        </w:rPr>
      </w:pPr>
      <w:r>
        <w:rPr>
          <w:rFonts w:hint="eastAsia" w:ascii="宋体" w:hAnsi="宋体" w:cs="宋体"/>
          <w:color w:val="auto"/>
          <w:sz w:val="24"/>
          <w:szCs w:val="24"/>
          <w:highlight w:val="none"/>
        </w:rPr>
        <w:t xml:space="preserve">（4）如果中标人在收到通知后，在合同所附服务承诺约定的时间内没有弥补缺陷，采购人可采取必要的补救措施，但风险和费用将由中标人承担。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（三）货物的包装、发运及运输</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（2）使用说明书、质量检验证明书、随配附件和工具以及清单一并附于货物内。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（3）中标人在货物发运手续办理完毕后24小时内或货到采购人48小时前通知采购人，以准备接货。</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（4）货物在交付采购人前发生的风险均由中标人负责。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（5）货物在规定的交付期限内由中标人送达采购人指定的地点视为交付，中标人同时需通知采购人货物已送达。</w:t>
      </w:r>
      <w:r/>
    </w:p>
    <w:p>
      <w:pPr>
        <w:ind w:firstLine="482"/>
        <w:spacing w:line="480" w:lineRule="exact"/>
        <w:rPr>
          <w:rFonts w:ascii="宋体" w:hAnsi="宋体" w:cs="宋体"/>
          <w:b/>
          <w:bCs/>
          <w:iCs/>
          <w:color w:val="auto"/>
          <w:sz w:val="24"/>
          <w:szCs w:val="24"/>
          <w:highlight w:val="none"/>
        </w:rPr>
      </w:pPr>
      <w:r>
        <w:rPr>
          <w:rFonts w:hint="eastAsia" w:ascii="宋体" w:hAnsi="宋体" w:cs="宋体"/>
          <w:b/>
          <w:bCs/>
          <w:iCs/>
          <w:color w:val="auto"/>
          <w:sz w:val="24"/>
          <w:szCs w:val="24"/>
          <w:highlight w:val="none"/>
        </w:rPr>
        <w:t xml:space="preserve">（四）安装要求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可提前自行踏勘现场，结合项目现场和采购人要求，充分考虑施工、安装涉及的全部事务及费用、相关辅材等。以上相关配件辅材，因考虑不全造成遗漏，均由中标人负责，视同中标人主动让利，不再另计。</w:t>
      </w:r>
      <w:r/>
    </w:p>
    <w:p>
      <w:pPr>
        <w:pStyle w:val="1240"/>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施工注意事项：中标人必须注意施工、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（五）验收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（1）验收标准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按照招标文件、投标文件及相关标准实施。有国家标准的应符合国家标准，无国家标准的应符合行业标准、地方标准或者其他标准、规范，并满足招标文件要求。验收情况作为支付货款的依据。如有质疑，以相关质量技术检验检测机构的检验结果为准，如产生检验费用，则该费用由过失方承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2.采购人对中标人提供的货物在使用前，中标人需负责培训采购人的使用操作人员，直到符合技术要求；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3.验收前中标人必须确保项目设备、功能完全满足国家行业有关质量标准。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人按约定将货物送至采购人指定地点并安装调试完毕，中标人向采购人提交项目初验技术资料以及初验申请单，采购人收到申请后3个工作日内组织初验并按照合同约定以及投标文件中的产品技术标准进行验收无问题后签署初验单。</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（六）节能、环保产品政策</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（七）商品包装、快递包装政府采购需求标准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（八）采购本国货物、工程和服务</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政府采购应当采购本国货物、工程和服务，但有《中华人民共和国政府采购法》第十条规定情形的除外。</w:t>
      </w:r>
      <w:r/>
    </w:p>
    <w:p>
      <w:pPr>
        <w:numPr>
          <w:ilvl w:val="0"/>
          <w:numId w:val="0"/>
        </w:numPr>
        <w:ind w:firstLine="482"/>
        <w:spacing w:line="480" w:lineRule="exact"/>
        <w:rPr>
          <w:rFonts w:hint="eastAsia" w:ascii="宋体" w:hAnsi="宋体" w:cs="宋体"/>
          <w:b/>
          <w:bCs/>
          <w:color w:val="ff0000"/>
          <w:sz w:val="24"/>
          <w:szCs w:val="24"/>
          <w:highlight w:val="none"/>
          <w:lang w:val="en-US" w:eastAsia="zh-CN"/>
        </w:rPr>
      </w:pPr>
      <w:r>
        <w:rPr>
          <w:rFonts w:hint="eastAsia" w:ascii="宋体" w:hAnsi="宋体" w:eastAsia="宋体" w:cs="宋体"/>
          <w:b/>
          <w:bCs/>
          <w:color w:val="ff0000"/>
          <w:sz w:val="24"/>
          <w:szCs w:val="24"/>
          <w:lang w:val="en-US" w:eastAsia="zh-CN" w:bidi="ar-SA"/>
        </w:rPr>
        <w:t xml:space="preserve">（九）</w:t>
      </w:r>
      <w:r>
        <w:rPr>
          <w:rFonts w:hint="eastAsia" w:ascii="宋体" w:hAnsi="宋体" w:cs="宋体"/>
          <w:b/>
          <w:bCs/>
          <w:color w:val="ff0000"/>
          <w:sz w:val="24"/>
          <w:szCs w:val="24"/>
          <w:highlight w:val="none"/>
          <w:lang w:val="en-US" w:eastAsia="zh-CN"/>
        </w:rPr>
        <w:t xml:space="preserve">人员要求</w:t>
      </w:r>
      <w:r/>
    </w:p>
    <w:p>
      <w:pPr>
        <w:ind w:firstLine="480"/>
        <w:spacing w:line="480" w:lineRule="exact"/>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供应商需成立项目管理小组，并组建不少于3人的项目团队，供应商委派项目负责人及成员具备相关安防设备组网，AI系统调试，网络搭建，平台对接等技术能力，配备如下：</w:t>
      </w:r>
      <w:r/>
    </w:p>
    <w:p>
      <w:pPr>
        <w:ind w:firstLine="480"/>
        <w:spacing w:line="480" w:lineRule="exact"/>
        <w:rPr>
          <w:rFonts w:hint="default" w:ascii="宋体" w:hAnsi="宋体" w:cs="宋体"/>
          <w:color w:val="ff0000"/>
          <w:sz w:val="24"/>
          <w:szCs w:val="24"/>
          <w:highlight w:val="none"/>
          <w:lang w:val="en-US" w:eastAsia="zh-CN"/>
        </w:rPr>
      </w:pPr>
      <w:r>
        <w:rPr>
          <w:rFonts w:hint="default" w:ascii="宋体" w:hAnsi="宋体" w:cs="宋体"/>
          <w:color w:val="ff0000"/>
          <w:sz w:val="24"/>
          <w:szCs w:val="24"/>
          <w:highlight w:val="none"/>
          <w:lang w:val="en-US" w:eastAsia="zh-CN"/>
        </w:rPr>
        <w:t xml:space="preserve">①</w:t>
      </w:r>
      <w:r>
        <w:rPr>
          <w:rFonts w:hint="eastAsia" w:ascii="宋体" w:hAnsi="宋体" w:cs="宋体"/>
          <w:color w:val="ff0000"/>
          <w:sz w:val="24"/>
          <w:szCs w:val="24"/>
          <w:highlight w:val="none"/>
          <w:lang w:val="en-US" w:eastAsia="zh-CN"/>
        </w:rPr>
        <w:t xml:space="preserve">项目负责人1名，具备丰富的项目管理经验，负责项目的总体实施工作，建立沟通联系，把控项目总体进度，计划制定等。</w:t>
      </w:r>
      <w:r/>
    </w:p>
    <w:p>
      <w:pPr>
        <w:ind w:firstLine="480"/>
        <w:spacing w:line="480" w:lineRule="exact"/>
        <w:rPr>
          <w:rFonts w:hint="default" w:ascii="宋体" w:hAnsi="宋体" w:cs="宋体"/>
          <w:color w:val="ff0000"/>
          <w:sz w:val="24"/>
          <w:szCs w:val="24"/>
          <w:highlight w:val="none"/>
          <w:lang w:val="en-US" w:eastAsia="zh-CN"/>
        </w:rPr>
      </w:pPr>
      <w:r>
        <w:rPr>
          <w:rFonts w:hint="default" w:ascii="宋体" w:hAnsi="宋体" w:cs="宋体"/>
          <w:color w:val="ff0000"/>
          <w:sz w:val="24"/>
          <w:szCs w:val="24"/>
          <w:highlight w:val="none"/>
          <w:lang w:val="en-US" w:eastAsia="zh-CN"/>
        </w:rPr>
        <w:t xml:space="preserve">②</w:t>
      </w:r>
      <w:r>
        <w:rPr>
          <w:rFonts w:hint="eastAsia" w:ascii="宋体" w:hAnsi="宋体" w:cs="宋体"/>
          <w:color w:val="ff0000"/>
          <w:sz w:val="24"/>
          <w:szCs w:val="24"/>
          <w:highlight w:val="none"/>
          <w:lang w:val="en-US" w:eastAsia="zh-CN"/>
        </w:rPr>
        <w:t xml:space="preserve">项目组其他成员2名，负责安防设备的安装调试，平台对接等技术工作。</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六、项目实施要求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投标人针对本项目提供详细的项目实施方案，内容包括但不限于：质量保证方案、培训及技术支持方案等。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（一）质量保障要求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投标人针对本项目提供详细的质量保证方案，内容包括但不限于：</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（1）详细的质量保障方案，包括但不限于质量保证体系、质量方针和目标、质量管理措施、质量控制措施等方面的内容。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（2）详细的施工进度保障方案，包括但不限于一份详尽的项目进度计划，有明确的时间节点和进度安排，展示项目各阶段的起止时间、关键过程等，且要充分考虑天气影响，避免影响工期。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（3）详细的现场管理要求，包括但不限于现场管理策略、安全生产措施、环境保护措施以及日常现场管理流程等。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（二）培训及技术支持要求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根据日常运行和维护工作情况，投标人结合用户实际情况，在安装过程中或安装结束后，对采购人工程师和操作人员进行现场维修、保养、操作培训并提供快捷操作指南（塑胶封好，挂在设备上）。</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同时投标人需制定适合用户详细、操作性强的培训方案，内容包含但不限于培训目的、培训时间、培训内容、培训对象、培训地点、培训方式及课时安排、培训教材、培训师资等。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（1）培训目的：通过对用户的培训，使其对设备的使用、操作、维护进行培训，并提供安装使用维护说明书，以确保使用单位能够对设备有足够的了解，能够独立进行日常操作、管理和维护。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（3）培训内容：包括但不限于安全知识学习、产品具有的功能学习、产品体系架构学习、安装、调试、操作的培训、产品的日常维护学习、产品的故障紧急处理。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（4）培训对象：本次采购的产品使用者。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（5）培训地点：同交货地点。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（6）培训方式及课时安排：现场培训或线上培训、至少2课时，每课时至少30分钟。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（7）培训教材：免费提供培训教材纸质版或电子版（含使用手册）等。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（8）培训师资：投标人须委派专业技术人员对用户进行培训。</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七、设备安装要求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投标人针对本项目提供详细的设备安装方案，包括但不限于：</w:t>
      </w:r>
      <w:r/>
    </w:p>
    <w:p>
      <w:pPr>
        <w:numPr>
          <w:ilvl w:val="0"/>
          <w:numId w:val="5"/>
        </w:num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交通安全设施安装规划方案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结合城区学校出入口道路及护学岗现状，提供标志标牌、标线、护栏、防撞柱、减速设施、护学岗监控点位等设施的安装规划方案。</w:t>
      </w:r>
      <w:r>
        <w:rPr>
          <w:rFonts w:hint="eastAsia" w:ascii="宋体" w:hAnsi="宋体" w:cs="宋体"/>
          <w:color w:val="ff0000"/>
          <w:sz w:val="24"/>
          <w:szCs w:val="24"/>
          <w:highlight w:val="none"/>
        </w:rPr>
        <w:t xml:space="preserve">方案需包含采购清单内标识标牌标线和隔离减速装置的平面规划设计图；护学岗监控点位规划设计图；满足现场布设、安全防护及智能覆盖要求。安装要做到垂直、水平</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rPr>
        <w:t xml:space="preserve">牢固、金属切割部位要进行防锈处理</w:t>
      </w:r>
      <w:r>
        <w:rPr>
          <w:rFonts w:hint="eastAsia" w:ascii="宋体" w:hAnsi="宋体" w:cs="宋体"/>
          <w:color w:val="ff0000"/>
          <w:sz w:val="24"/>
          <w:szCs w:val="24"/>
          <w:highlight w:val="none"/>
          <w:lang w:val="en-US" w:eastAsia="zh-CN"/>
        </w:rPr>
        <w:t xml:space="preserve">等</w:t>
      </w:r>
      <w:r>
        <w:rPr>
          <w:rFonts w:hint="eastAsia" w:ascii="宋体" w:hAnsi="宋体" w:cs="宋体"/>
          <w:color w:val="auto"/>
          <w:sz w:val="24"/>
          <w:szCs w:val="24"/>
          <w:highlight w:val="none"/>
        </w:rPr>
        <w:t xml:space="preserve">。</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ff0000"/>
          <w:sz w:val="24"/>
          <w:szCs w:val="24"/>
          <w:highlight w:val="none"/>
        </w:rPr>
        <w:t xml:space="preserve">AI融合巡检软硬一体化系统与现有校园安全指挥平台(标准协议接口)对接方案，内容包含但不限于：对使用场景及AI巡检内容项的理解</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rPr>
        <w:t xml:space="preserve">对AI巡检项与现有校园安全平台实现巡检报警功能流程的具体描述，确保实际落地后可以形成有效的业务闭环</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rPr>
        <w:t xml:space="preserve">基于对AI巡检的理解与对安防行业的理解，提供具体的平台对接方案，方案内容包含AI巡检系统的接口项及功能描述，AI巡检系统对接平台的接口数据，报警交互内容描述等。</w:t>
      </w:r>
      <w:r/>
    </w:p>
    <w:p>
      <w:pPr>
        <w:ind w:firstLine="480"/>
        <w:spacing w:line="48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）新老系统对接方案:</w:t>
      </w:r>
      <w:r/>
    </w:p>
    <w:p>
      <w:pPr>
        <w:ind w:firstLine="480"/>
        <w:spacing w:line="48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①汇聚交换机虚拟化集群方案:为确保采购设备的兼容性及后续网络系统的统一管理，要求</w:t>
      </w:r>
      <w:r>
        <w:rPr>
          <w:rFonts w:hint="eastAsia" w:ascii="宋体" w:hAnsi="宋体" w:cs="宋体"/>
          <w:color w:val="ff0000"/>
          <w:sz w:val="24"/>
          <w:szCs w:val="24"/>
          <w:highlight w:val="none"/>
          <w:lang w:val="en-US" w:eastAsia="zh-CN"/>
        </w:rPr>
        <w:t xml:space="preserve">供应商</w:t>
      </w:r>
      <w:r>
        <w:rPr>
          <w:rFonts w:hint="eastAsia" w:ascii="宋体" w:hAnsi="宋体" w:cs="宋体"/>
          <w:color w:val="ff0000"/>
          <w:sz w:val="24"/>
          <w:szCs w:val="24"/>
          <w:highlight w:val="none"/>
        </w:rPr>
        <w:t xml:space="preserve">所投交换机必须能够与采购人现有的教育城域网汇聚交换机组建虚拟化集群并提供切实可行的汇聚交换机虚拟化集群方案。方案内容至少包含集群核心功能：支持硬件级虚拟化集群技术，所投设备可与现有设备完成集群握手、主备协商、数据同步，实现单一IP管理、单一配置视图、统一转发平面，集群内设备配置实时同步、会话表项备份、链路状态联动</w:t>
      </w:r>
      <w:r>
        <w:rPr>
          <w:rFonts w:hint="eastAsia" w:ascii="宋体" w:hAnsi="宋体" w:cs="宋体"/>
          <w:color w:val="ff0000"/>
          <w:sz w:val="24"/>
          <w:szCs w:val="24"/>
          <w:highlight w:val="none"/>
          <w:lang w:val="en-US" w:eastAsia="zh-CN"/>
        </w:rPr>
        <w:t xml:space="preserve">等</w:t>
      </w:r>
      <w:r>
        <w:rPr>
          <w:rFonts w:hint="eastAsia" w:ascii="宋体" w:hAnsi="宋体" w:cs="宋体"/>
          <w:color w:val="ff0000"/>
          <w:sz w:val="24"/>
          <w:szCs w:val="24"/>
          <w:highlight w:val="none"/>
        </w:rPr>
        <w:t xml:space="preserve">。冗余组网功能：支持跨设备链路聚合、跨设备冗余备份，替代传统STP环路协议，消除二层环路，提升链路利用率。BFD快速检测、ERPS环网保护、RLDP链路检测等功能，适配教育城域网现有组网冗余机制。(现有汇聚交换机1套)</w:t>
      </w:r>
      <w:r/>
    </w:p>
    <w:p>
      <w:pPr>
        <w:ind w:firstLine="480"/>
        <w:spacing w:line="480" w:lineRule="exact"/>
        <w:rPr>
          <w:rFonts w:ascii="宋体" w:hAnsi="宋体" w:cs="宋体"/>
          <w:color w:val="ff0000"/>
          <w:sz w:val="24"/>
          <w:szCs w:val="24"/>
          <w:highlight w:val="none"/>
        </w:rPr>
      </w:pPr>
      <w:r>
        <w:rPr>
          <w:rFonts w:hint="eastAsia" w:ascii="宋体" w:hAnsi="宋体" w:cs="宋体"/>
          <w:color w:val="ff0000"/>
          <w:sz w:val="24"/>
          <w:szCs w:val="24"/>
          <w:highlight w:val="none"/>
        </w:rPr>
        <w:t xml:space="preserve">②网络设备平台接入方案:为实现教育城域网网络设备的统一监控、配置、运维与云管理，</w:t>
      </w:r>
      <w:r>
        <w:rPr>
          <w:rFonts w:hint="eastAsia" w:ascii="宋体" w:hAnsi="宋体" w:cs="宋体"/>
          <w:color w:val="ff0000"/>
          <w:sz w:val="24"/>
          <w:szCs w:val="24"/>
          <w:highlight w:val="none"/>
          <w:lang w:val="en-US" w:eastAsia="zh-CN"/>
        </w:rPr>
        <w:t xml:space="preserve">供应商</w:t>
      </w:r>
      <w:r>
        <w:rPr>
          <w:rFonts w:hint="eastAsia" w:ascii="宋体" w:hAnsi="宋体" w:cs="宋体"/>
          <w:color w:val="ff0000"/>
          <w:sz w:val="24"/>
          <w:szCs w:val="24"/>
          <w:highlight w:val="none"/>
        </w:rPr>
        <w:t xml:space="preserve">提供的网络设备能够接入现有的网络资源管理平台并提供切实可行的网</w:t>
      </w:r>
      <w:r>
        <w:rPr>
          <w:rFonts w:hint="eastAsia" w:ascii="宋体" w:hAnsi="宋体" w:cs="宋体"/>
          <w:color w:val="ff0000"/>
          <w:sz w:val="24"/>
          <w:szCs w:val="24"/>
          <w:highlight w:val="none"/>
        </w:rPr>
        <w:t xml:space="preserve">络设备平台接入方案。方案内容至少包含网管平台兼容：新设备需原生适配现有本地网管平台，支持平台对应的SNMP V2/V3协议、设备MIB库、拓扑识别协议，可被网管平台自动发现、识别、上线，设备型号、端口、状态、流量等信息可正常同步展示，无设备不识别、信息缺失、拓扑异常问题。云管平台兼容：完整适配现有云管平台接入协议和认证机制，支持云端自动注册、零配置上线，兼容云平台的设备纳管、状态同步、配置下发、版本管理等能力，两地设备接入流程、适配规格完全一致(现有网管平台1套;云管平台1套)。(请投标人自行踏勘现场查看)</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八、售后服务要求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运行维护期为三年（自验收合格之日起计算），运行维护期内所有设施设备的更换、维修均为免费（包括非故意人为损坏），监测设备费用、网络使用费用以及相关配件的维修、保养费用由中标人免费提供，所有服务产生的费用均不再收取；服务期满后，中标人保证零配件的供给，按投标文件承诺的折扣予以保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2.售后服务保障不力的，采购人有权终止合同，停止支付项目相关费用。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3.提供定期现场巡检和回访。</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故障及时响应。成立专门的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九、演示要求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1.采购清单中技术要求前标有“</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”的技术参数（共2条），投标人需提供产品功能演示视频，投标人提交的产品演示视频（含功能演示、参数实测、操作展示等），需与实际所投产品技术参数、功能一致。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十、报价要求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pStyle w:val="1049"/>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2.供应商报价时应充分考虑所有可能影响到报价的因素，一旦招标结束最终成交，总价将包定，不予调整。如发生漏、缺、少项，都将被认为是成交供应商的报价让利行为，损失自付。</w:t>
      </w:r>
      <w:r/>
    </w:p>
    <w:p>
      <w:pPr>
        <w:pStyle w:val="1050"/>
        <w:rPr>
          <w:rFonts w:ascii="宋体" w:hAnsi="宋体" w:cs="宋体"/>
          <w:color w:val="auto"/>
          <w:sz w:val="24"/>
          <w:szCs w:val="24"/>
          <w:highlight w:val="none"/>
        </w:rPr>
      </w:pPr>
      <w:r>
        <w:rPr>
          <w:rFonts w:ascii="宋体" w:hAnsi="宋体" w:cs="宋体"/>
          <w:color w:val="auto"/>
          <w:sz w:val="24"/>
          <w:szCs w:val="24"/>
          <w:highlight w:val="none"/>
        </w:rPr>
      </w:r>
      <w:r/>
    </w:p>
    <w:p>
      <w:pPr>
        <w:pStyle w:val="1049"/>
        <w:rPr>
          <w:rFonts w:ascii="宋体" w:hAnsi="宋体" w:cs="宋体"/>
          <w:color w:val="auto"/>
          <w:sz w:val="24"/>
          <w:szCs w:val="24"/>
          <w:highlight w:val="none"/>
        </w:rPr>
      </w:pPr>
      <w:r>
        <w:rPr>
          <w:rFonts w:ascii="宋体" w:hAnsi="宋体" w:cs="宋体"/>
          <w:color w:val="auto"/>
          <w:sz w:val="24"/>
          <w:szCs w:val="24"/>
          <w:highlight w:val="none"/>
        </w:rPr>
      </w:r>
      <w:r/>
    </w:p>
    <w:p>
      <w:pPr>
        <w:pStyle w:val="1050"/>
        <w:rPr>
          <w:rFonts w:ascii="宋体" w:hAnsi="宋体" w:cs="宋体"/>
          <w:color w:val="auto"/>
          <w:sz w:val="24"/>
          <w:szCs w:val="24"/>
          <w:highlight w:val="none"/>
        </w:rPr>
      </w:pPr>
      <w:r>
        <w:rPr>
          <w:rFonts w:ascii="宋体" w:hAnsi="宋体" w:cs="宋体"/>
          <w:color w:val="auto"/>
          <w:sz w:val="24"/>
          <w:szCs w:val="24"/>
          <w:highlight w:val="none"/>
        </w:rPr>
      </w:r>
      <w:r/>
    </w:p>
    <w:p>
      <w:pPr>
        <w:pStyle w:val="1049"/>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788"/>
        <w:jc w:val="center"/>
        <w:spacing w:before="200"/>
        <w:rPr>
          <w:rFonts w:ascii="Calibri" w:hAnsi="Calibri" w:eastAsia="宋体" w:cs="Times New Roman"/>
          <w:b/>
          <w:color w:val="auto"/>
          <w:sz w:val="44"/>
          <w:szCs w:val="44"/>
          <w:highlight w:val="none"/>
        </w:rPr>
      </w:pPr>
      <w:r/>
      <w:bookmarkStart w:id="121" w:name="_Toc31499"/>
      <w:r/>
      <w:bookmarkStart w:id="122" w:name="_Toc2513"/>
      <w:r/>
      <w:bookmarkStart w:id="123" w:name="_Toc81575169"/>
      <w:r/>
      <w:bookmarkStart w:id="124" w:name="_Toc81575206"/>
      <w:r/>
      <w:bookmarkStart w:id="125" w:name="_Toc22098"/>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21"/>
      <w:r/>
      <w:bookmarkEnd w:id="122"/>
      <w:r/>
      <w:bookmarkEnd w:id="123"/>
      <w:r/>
      <w:bookmarkEnd w:id="124"/>
      <w:r/>
      <w:bookmarkEnd w:id="125"/>
      <w:r/>
      <w:bookmarkStart w:id="126" w:name="_Toc20823315"/>
      <w:r/>
      <w:bookmarkStart w:id="127" w:name="_Toc513029243"/>
      <w:r/>
      <w:bookmarkStart w:id="128" w:name="_Toc16938559"/>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pStyle w:val="826"/>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26"/>
        <w:jc w:val="center"/>
        <w:rPr>
          <w:rFonts w:ascii="宋体" w:hAnsi="宋体" w:eastAsia="宋体" w:cs="宋体"/>
          <w:b/>
          <w:bCs/>
          <w:color w:val="auto"/>
          <w:spacing w:val="-20"/>
          <w:highlight w:val="none"/>
          <w:lang w:eastAsia="zh-CN"/>
        </w:rPr>
      </w:pPr>
      <w:r/>
      <w:bookmarkStart w:id="129" w:name="_Hlk187856708"/>
      <w:r/>
      <w:r/>
    </w:p>
    <w:p>
      <w:pPr>
        <w:pStyle w:val="826"/>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财政部 政府采购货物买卖合同（试行）</w:t>
      </w:r>
      <w:r/>
    </w:p>
    <w:p>
      <w:pPr>
        <w:pStyle w:val="826"/>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rPr>
          <w:rFonts w:ascii="黑体" w:hAnsi="黑体"/>
          <w:b/>
          <w:color w:val="auto"/>
          <w:sz w:val="28"/>
          <w:szCs w:val="28"/>
          <w:highlight w:val="none"/>
        </w:rPr>
      </w:pPr>
      <w:r>
        <w:rPr>
          <w:rFonts w:ascii="黑体" w:hAnsi="黑体"/>
          <w:b/>
          <w:color w:val="auto"/>
          <w:sz w:val="28"/>
          <w:szCs w:val="28"/>
          <w:highlight w:val="none"/>
        </w:rPr>
      </w:r>
      <w:r/>
    </w:p>
    <w:p>
      <w:pPr>
        <w:pStyle w:val="789"/>
        <w:jc w:val="center"/>
        <w:spacing w:line="400" w:lineRule="exact"/>
        <w:rPr>
          <w:rFonts w:ascii="黑体" w:hAnsi="华文中宋"/>
          <w:b w:val="0"/>
          <w:color w:val="auto"/>
          <w:szCs w:val="32"/>
          <w:highlight w:val="none"/>
        </w:rPr>
      </w:pPr>
      <w:r>
        <w:rPr>
          <w:rFonts w:hint="eastAsia" w:ascii="黑体" w:hAnsi="黑体"/>
          <w:b w:val="0"/>
          <w:color w:val="auto"/>
          <w:szCs w:val="32"/>
          <w:highlight w:val="none"/>
        </w:rPr>
        <w:t xml:space="preserve">第一节 </w:t>
      </w:r>
      <w:r>
        <w:rPr>
          <w:rFonts w:hint="eastAsia" w:ascii="黑体" w:hAnsi="华文中宋"/>
          <w:b w:val="0"/>
          <w:color w:val="auto"/>
          <w:szCs w:val="32"/>
          <w:highlight w:val="none"/>
        </w:rPr>
        <w:t xml:space="preserve">政府采购合同协议书</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（采购人、受采购人委托签订合同的单位或采购文件约定的合同甲方）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bookmarkStart w:id="130" w:name="_Hlk187832913"/>
      <w:r>
        <w:rPr>
          <w:rFonts w:hint="eastAsia" w:ascii="宋体" w:hAnsi="宋体"/>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0"/>
      <w:r/>
      <w:r/>
    </w:p>
    <w:p>
      <w:pPr>
        <w:ind w:firstLine="482"/>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1.项目信息</w:t>
      </w:r>
      <w:r/>
    </w:p>
    <w:p>
      <w:pPr>
        <w:ind w:firstLine="480"/>
        <w:spacing w:line="400" w:lineRule="exact"/>
        <w:rPr>
          <w:rFonts w:ascii="Times New Roman" w:hAnsi="Times New Roman"/>
          <w:color w:val="auto"/>
          <w:sz w:val="24"/>
          <w:szCs w:val="24"/>
          <w:highlight w:val="none"/>
          <w:u w:val="single"/>
        </w:rPr>
      </w:pPr>
      <w:r/>
      <w:bookmarkStart w:id="131" w:name="_Hlk187833240"/>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firstLine="1185"/>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（2）采购计划编号：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采购标的及数量（台/套/个/架/组等）：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采购标的的技术要求、商务要求具体见附件。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涉及信息类产品，请填写该产品关键部件的品牌、型号：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标的名称：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auto"/>
          <w:sz w:val="24"/>
          <w:szCs w:val="24"/>
          <w:highlight w:val="none"/>
        </w:rPr>
      </w:pPr>
      <w:r>
        <w:rPr>
          <w:rFonts w:ascii="Segoe UI Symbol" w:hAnsi="Segoe UI Symbol" w:cs="Segoe UI Symbol"/>
          <w:color w:val="auto"/>
          <w:sz w:val="24"/>
          <w:szCs w:val="24"/>
          <w:highlight w:val="none"/>
        </w:rPr>
        <w:t xml:space="preserve">②</w:t>
      </w:r>
      <w:r>
        <w:rPr>
          <w:rFonts w:ascii="Times New Roman" w:hAnsi="Times New Roman"/>
          <w:color w:val="auto"/>
          <w:sz w:val="24"/>
          <w:szCs w:val="24"/>
          <w:highlight w:val="none"/>
        </w:rPr>
        <w:t xml:space="preserve">涉及车辆采购，请填写是否属于新能源汽车：</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数量：     金额：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分散采购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竞争性磋商</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单一来源</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框架协议</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（注：在框架协议采购的第二阶段，可选择使用该合同文本）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（6）中标采购标的制造商是否为中小企业：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中标采购标的制造商是否为残疾人福利性单位：</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中标采购标的制造商是否为监狱企业：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分包主要内容：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小微型企业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残疾人福利性单位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监狱企业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（8）中标（成交）供应商是否为外商投资企业：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外商投资企业类型：</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全部由外国投资者投资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部分由外国投资者投资</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（9）是否涉及进口产品：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金额：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国别：         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（10）是否涉及节能产品：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是，《节能产品政府采购品目清单》的底级品目名称：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是否涉及环境标志产品：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是，《环境标志产品政府采购品目清单》的底级品目名称：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是否涉及绿色产品：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是，绿色产品政府采购相关政策确定的底级品目名称：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不涉及</w:t>
      </w:r>
      <w:bookmarkEnd w:id="131"/>
      <w:r/>
      <w:r/>
    </w:p>
    <w:p>
      <w:pPr>
        <w:ind w:left="482"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2.合同金额</w:t>
      </w:r>
      <w:r/>
    </w:p>
    <w:p>
      <w:pPr>
        <w:ind w:firstLine="480"/>
        <w:spacing w:line="400" w:lineRule="exact"/>
        <w:rPr>
          <w:rFonts w:ascii="宋体" w:hAnsi="宋体"/>
          <w:color w:val="auto"/>
          <w:sz w:val="24"/>
          <w:szCs w:val="24"/>
          <w:highlight w:val="none"/>
        </w:rPr>
      </w:pPr>
      <w:r/>
      <w:bookmarkStart w:id="132" w:name="_Hlk187833021"/>
      <w:r>
        <w:rPr>
          <w:rFonts w:hint="eastAsia" w:ascii="宋体" w:hAnsi="宋体"/>
          <w:color w:val="auto"/>
          <w:sz w:val="24"/>
          <w:szCs w:val="24"/>
          <w:highlight w:val="none"/>
        </w:rPr>
        <w:t xml:space="preserve">（1）合同金额小写：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bookmarkEnd w:id="132"/>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（注：固定单价合同应填写单价和最高限价）</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本合同价格包括但不限于全部软硬件设备费、人工费、材料、机械、安装、管理、维护、工具、保险、利润、售后服务、税金、安全、政策性文件规定及合同包含的所有风险、责任等各项应有费用，甲方不再支付其他任何费用；</w:t>
      </w:r>
      <w:r/>
    </w:p>
    <w:p>
      <w:pPr>
        <w:ind w:firstLine="480"/>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2.根据现行税法对乙方征收的与本合同有关的一切税费均由乙方承担</w:t>
      </w:r>
      <w:r>
        <w:rPr>
          <w:rFonts w:hint="eastAsia" w:ascii="宋体" w:hAnsi="宋体" w:cs="宋体"/>
          <w:bCs/>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（2）合同定价方式（采用组合定价方式的，可以勾选多项）：</w:t>
      </w:r>
      <w:r/>
    </w:p>
    <w:p>
      <w:pPr>
        <w:ind w:firstLine="480"/>
        <w:spacing w:line="400" w:lineRule="exact"/>
        <w:rPr>
          <w:rFonts w:ascii="宋体" w:hAnsi="宋体"/>
          <w:color w:val="auto"/>
          <w:sz w:val="24"/>
          <w:szCs w:val="24"/>
          <w:highlight w:val="none"/>
        </w:rPr>
      </w:pP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rPr>
          <w:rFonts w:hint="eastAsia" w:ascii="宋体" w:hAnsi="宋体"/>
          <w:color w:val="auto"/>
          <w:sz w:val="24"/>
          <w:szCs w:val="24"/>
          <w:highlight w:val="none"/>
          <w:u w:val="single"/>
        </w:rPr>
        <w:t xml:space="preserve">       </w:t>
      </w:r>
      <w:r/>
    </w:p>
    <w:p>
      <w:pPr>
        <w:pStyle w:val="1178"/>
        <w:ind w:left="0" w:firstLine="480"/>
        <w:spacing w:line="400" w:lineRule="exact"/>
        <w:rPr>
          <w:color w:val="auto"/>
          <w:highlight w:val="none"/>
          <w:lang w:eastAsia="zh-CN"/>
        </w:rPr>
      </w:pPr>
      <w:r>
        <w:rPr>
          <w:rFonts w:hint="eastAsia" w:ascii="宋体" w:hAnsi="宋体"/>
          <w:color w:val="auto"/>
          <w:highlight w:val="none"/>
          <w:lang w:eastAsia="zh-CN"/>
        </w:rPr>
        <w:t xml:space="preserve">（3）付款方式（按项目实际勾选填写）：</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480"/>
        <w:spacing w:line="400" w:lineRule="exact"/>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bookmarkStart w:id="133" w:name="_Hlk187834001"/>
      <w:r>
        <w:rPr>
          <w:rFonts w:hint="eastAsia" w:ascii="宋体" w:hAnsi="宋体" w:cs="Courier New"/>
          <w:color w:val="auto"/>
          <w:sz w:val="24"/>
          <w:szCs w:val="24"/>
          <w:highlight w:val="none"/>
        </w:rPr>
        <w:t xml:space="preserve">（应明确分期支付合同款项的各期比例和支付条件，各期支付条件应与分期履约验收情况挂钩）</w:t>
      </w:r>
      <w:bookmarkEnd w:id="133"/>
      <w:r/>
      <w:r/>
    </w:p>
    <w:p>
      <w:pPr>
        <w:pStyle w:val="910"/>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预付款：签订合同后，自收到供应商发票后10个工作日内采购人支付合同总价款的30%； </w:t>
      </w:r>
      <w:r/>
    </w:p>
    <w:p>
      <w:pPr>
        <w:pStyle w:val="910"/>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进度款：全部设备安装调试完毕经验收合格且收到供应商发票后10个工作日内付至合同价款的100%。</w:t>
      </w:r>
      <w:r/>
    </w:p>
    <w:p>
      <w:pPr>
        <w:pStyle w:val="910"/>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pStyle w:val="910"/>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(1)可以采用数字人民币支付。</w:t>
      </w:r>
      <w:r/>
    </w:p>
    <w:p>
      <w:pPr>
        <w:pStyle w:val="910"/>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(2)资金支付的时间:收到乙方发票后10个工作日内。</w:t>
      </w:r>
      <w:r/>
    </w:p>
    <w:p>
      <w:pPr>
        <w:pStyle w:val="910"/>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(3)资金支付的条件:满足相应阶段的要求且收到乙方发票。</w:t>
      </w:r>
      <w:r/>
    </w:p>
    <w:p>
      <w:pPr>
        <w:ind w:firstLine="480"/>
        <w:spacing w:line="400" w:lineRule="exact"/>
        <w:rPr>
          <w:rFonts w:ascii="宋体" w:hAnsi="宋体" w:cs="Courier New"/>
          <w:color w:val="auto"/>
          <w:sz w:val="24"/>
          <w:szCs w:val="24"/>
          <w:highlight w:val="none"/>
        </w:rPr>
      </w:pPr>
      <w:r>
        <w:rPr>
          <w:rFonts w:hint="eastAsia" w:ascii="宋体" w:hAnsi="宋体" w:cs="宋体"/>
          <w:color w:val="auto"/>
          <w:sz w:val="24"/>
          <w:highlight w:val="none"/>
        </w:rPr>
        <w:t xml:space="preserve">(4)在签订合同时，乙方明确表示无需预付款或者主动要求降低预付款比例的，甲方可不适用前述规定。</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p>
    <w:p>
      <w:pPr>
        <w:ind w:firstLine="480"/>
        <w:spacing w:line="400" w:lineRule="exact"/>
        <w:rPr>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ind w:left="482"/>
        <w:spacing w:line="400" w:lineRule="exact"/>
        <w:rPr>
          <w:rFonts w:ascii="Times New Roman" w:hAnsi="Times New Roman"/>
          <w:b/>
          <w:color w:val="auto"/>
          <w:sz w:val="24"/>
          <w:szCs w:val="24"/>
          <w:highlight w:val="none"/>
          <w:u w:val="single"/>
        </w:rPr>
      </w:pPr>
      <w:r/>
      <w:bookmarkStart w:id="134" w:name="_Hlk187834132"/>
      <w:r>
        <w:rPr>
          <w:rFonts w:ascii="Times New Roman" w:hAnsi="Times New Roman"/>
          <w:b/>
          <w:color w:val="auto"/>
          <w:sz w:val="24"/>
          <w:szCs w:val="24"/>
          <w:highlight w:val="none"/>
        </w:rPr>
        <w:t xml:space="preserve">3.合同履行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（1）起始日期：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日，完成日期：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（2）履约地点</w:t>
      </w:r>
      <w:r>
        <w:rPr>
          <w:rFonts w:ascii="Times New Roman" w:hAnsi="Times New Roman"/>
          <w:bCs/>
          <w:color w:val="auto"/>
          <w:sz w:val="24"/>
          <w:szCs w:val="24"/>
          <w:highlight w:val="none"/>
        </w:rPr>
        <w:t xml:space="preserve">：</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（3）履约担保：</w:t>
      </w:r>
      <w:bookmarkStart w:id="135" w:name="_Hlk187834600"/>
      <w:r>
        <w:rPr>
          <w:rFonts w:ascii="Times New Roman" w:hAnsi="Times New Roman"/>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否(备注：选择否删除以下履约保证金相关条款，招标文件定稿后该备注删除。）</w:t>
      </w:r>
      <w:bookmarkEnd w:id="135"/>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3.1履约保证金提交形式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履约保证金应在中标公告发布之日起7日历天内提交。除银行电汇、网上银行、数字人民币外，乙方还可选用银行保函、担保公司的保证担保或保险公司的保证保险等多种形式向甲方缴纳。</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3.2履约保证金提交金额</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按采购合同总价的2%提交。</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支持和鼓励乙方使用江苏政府采购电子履约保函（保险）代替缴纳履约保证金，乙方如使用江苏政府采购电子履约保函（保险）的，可按采购合同总价的 1.2 %（履约保证金原提交金额的6折）提交。办理流程、偿付等内容见江苏政府采购网“保险保函”模块。</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3.3履约保证金退还方式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3.4履约保证金退还条件，按以下第 a 方式执行：</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a、货物类项目，项目验收合格，出具验收报告及履约保证金收据申请退付；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b、服务类项目，项目履约期满评价合格，出具履约评价报告及履约保证金收据申请退付；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c、工程类项目，项目完工验收合格，出具完工证明及履约保证金收据申请退付；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3.5履约保证金退还时间</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甲方收到乙方退付申请后5个工作日内退还。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3.6履约保证金不予退还情形</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除不可抗力外，乙方不履行与甲方订立的采购合同的，履约保证金不予退还，给甲方造成的损失超过履约保证金数额的，还应对超过部分予以赔偿。</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3.7逾期退还履约保证金违约责任</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3.8如乙方未在规定时间内缴纳履约保证金，视为虚假承诺，甲方有权报请财政部门进行处理。</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（4）分期履行要求：</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u w:val="single"/>
        </w:rPr>
      </w:pPr>
      <w:r>
        <w:rPr>
          <w:rFonts w:ascii="Times New Roman" w:hAnsi="Times New Roman"/>
          <w:bCs/>
          <w:color w:val="auto"/>
          <w:sz w:val="24"/>
          <w:szCs w:val="24"/>
          <w:highlight w:val="none"/>
        </w:rPr>
        <w:t xml:space="preserve">（5）风险处置措施和替代方案：</w:t>
      </w:r>
      <w:r>
        <w:rPr>
          <w:rFonts w:ascii="Times New Roman" w:hAnsi="Times New Roman"/>
          <w:color w:val="auto"/>
          <w:sz w:val="24"/>
          <w:szCs w:val="24"/>
          <w:highlight w:val="none"/>
          <w:u w:val="single"/>
        </w:rPr>
        <w:t xml:space="preserve">                                           </w:t>
      </w:r>
      <w:bookmarkEnd w:id="134"/>
      <w:r/>
      <w:r/>
    </w:p>
    <w:p>
      <w:pPr>
        <w:ind w:left="482"/>
        <w:spacing w:line="400" w:lineRule="exact"/>
        <w:rPr>
          <w:rFonts w:ascii="宋体" w:hAnsi="宋体"/>
          <w:b/>
          <w:color w:val="auto"/>
          <w:sz w:val="24"/>
          <w:szCs w:val="24"/>
          <w:highlight w:val="none"/>
        </w:rPr>
      </w:pPr>
      <w:r/>
      <w:bookmarkStart w:id="136" w:name="_Hlk187834828"/>
      <w:r>
        <w:rPr>
          <w:rFonts w:hint="eastAsia" w:ascii="宋体" w:hAnsi="宋体"/>
          <w:b/>
          <w:color w:val="auto"/>
          <w:sz w:val="24"/>
          <w:szCs w:val="24"/>
          <w:highlight w:val="none"/>
        </w:rPr>
        <w:t xml:space="preserve">4.合同验收</w:t>
      </w:r>
      <w:r/>
    </w:p>
    <w:p>
      <w:pPr>
        <w:numPr>
          <w:ilvl w:val="0"/>
          <w:numId w:val="7"/>
        </w:num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委托第三方组织</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主体：</w:t>
      </w:r>
      <w:r>
        <w:rPr>
          <w:rFonts w:ascii="Times New Roman" w:hAnsi="Times New Roman"/>
          <w:bCs/>
          <w:color w:val="auto"/>
          <w:sz w:val="24"/>
          <w:szCs w:val="24"/>
          <w:highlight w:val="none"/>
          <w:u w:val="single"/>
        </w:rPr>
        <w:t xml:space="preserve">                  </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是，抽查比例：</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w:t>
      </w:r>
      <w:r>
        <w:rPr>
          <w:rFonts w:ascii="Times New Roman" w:hAnsi="Times New Roman"/>
          <w:bCs/>
          <w:color w:val="auto"/>
          <w:sz w:val="24"/>
          <w:szCs w:val="24"/>
          <w:highlight w:val="none"/>
          <w:u w:val="single"/>
        </w:rPr>
        <w:t xml:space="preserve">（应明确对被破坏的检测产品的处理方式）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验收组织的其他事项：</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（2）履约验收时间：</w:t>
      </w:r>
      <w:r>
        <w:rPr>
          <w:rFonts w:ascii="Times New Roman" w:hAnsi="Times New Roman"/>
          <w:bCs/>
          <w:color w:val="auto"/>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（3）履约验收方式：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一次性验收 </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分期/分项验收：</w:t>
      </w:r>
      <w:r>
        <w:rPr>
          <w:rFonts w:ascii="Times New Roman" w:hAnsi="Times New Roman"/>
          <w:bCs/>
          <w:color w:val="auto"/>
          <w:sz w:val="24"/>
          <w:szCs w:val="24"/>
          <w:highlight w:val="none"/>
          <w:u w:val="single"/>
        </w:rPr>
        <w:t xml:space="preserve">（应明确分期</w:t>
      </w:r>
      <w:r>
        <w:rPr>
          <w:rFonts w:ascii="Times New Roman" w:hAnsi="Times New Roman"/>
          <w:bCs/>
          <w:color w:val="auto"/>
          <w:sz w:val="24"/>
          <w:szCs w:val="24"/>
          <w:highlight w:val="none"/>
          <w:u w:val="single"/>
          <w:lang w:val="en"/>
        </w:rPr>
        <w:t xml:space="preserve">/分项验收的工作安排</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（4）履约验收程序：</w:t>
      </w:r>
      <w:r/>
    </w:p>
    <w:p>
      <w:pPr>
        <w:ind w:firstLine="480"/>
        <w:spacing w:line="400" w:lineRule="exact"/>
        <w:rPr>
          <w:rFonts w:ascii="Times New Roman" w:hAnsi="Times New Roman"/>
          <w:bCs/>
          <w:color w:val="auto"/>
          <w:sz w:val="24"/>
          <w:szCs w:val="24"/>
          <w:highlight w:val="none"/>
          <w:u w:val="single"/>
        </w:rPr>
      </w:pPr>
      <w:r>
        <w:rPr>
          <w:rFonts w:hint="eastAsia" w:ascii="Times New Roman" w:hAnsi="Times New Roman"/>
          <w:bCs/>
          <w:color w:val="auto"/>
          <w:sz w:val="24"/>
          <w:szCs w:val="24"/>
          <w:highlight w:val="none"/>
        </w:rPr>
        <w:t xml:space="preserve">履约验收条件达到时，采购人在5个工作日内启动履约验收工作，并向供应商发出《政府采购履约验收通知单》。</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（5）履约验收的内容：</w:t>
      </w:r>
      <w:r>
        <w:rPr>
          <w:rFonts w:ascii="Times New Roman" w:hAnsi="Times New Roman"/>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（6）履约验收标准：</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（8）履约验收其他事项：</w:t>
      </w:r>
      <w:r>
        <w:rPr>
          <w:rFonts w:ascii="Times New Roman" w:hAnsi="Times New Roman"/>
          <w:bCs/>
          <w:color w:val="auto"/>
          <w:sz w:val="24"/>
          <w:szCs w:val="24"/>
          <w:highlight w:val="none"/>
          <w:u w:val="single"/>
        </w:rPr>
        <w:t xml:space="preserve">      （产权过户登记等）          </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5.组成合同的文件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（1）政府采购合同协议书及其变更、补充协议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（2）政府采购合同专用条款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（3）政府采购合同通用条款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（4）中标通知书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（5）投标文件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（6）采购文件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（7）有关技术文件，图纸</w:t>
      </w:r>
      <w:r/>
    </w:p>
    <w:p>
      <w:pPr>
        <w:pStyle w:val="1228"/>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生效。</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w:t>
      </w:r>
      <w:r>
        <w:rPr>
          <w:rFonts w:hint="eastAsia" w:ascii="宋体" w:hAnsi="宋体"/>
          <w:b/>
          <w:bCs/>
          <w:color w:val="auto"/>
          <w:sz w:val="24"/>
          <w:szCs w:val="24"/>
          <w:highlight w:val="none"/>
        </w:rPr>
        <w:t xml:space="preserve">纸质合同和双方在“苏采云”系统签订的电子合同</w:t>
      </w:r>
      <w:r>
        <w:rPr>
          <w:rFonts w:hint="eastAsia" w:ascii="宋体" w:hAnsi="宋体"/>
          <w:color w:val="auto"/>
          <w:sz w:val="24"/>
          <w:szCs w:val="24"/>
          <w:highlight w:val="none"/>
        </w:rPr>
        <w:t xml:space="preserve">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bookmarkEnd w:id="136"/>
      <w:r/>
      <w:r/>
    </w:p>
    <w:p>
      <w:pPr>
        <w:ind w:firstLine="480"/>
        <w:spacing w:line="400" w:lineRule="exact"/>
        <w:rPr>
          <w:color w:val="auto"/>
          <w:sz w:val="24"/>
          <w:szCs w:val="24"/>
          <w:highlight w:val="none"/>
        </w:rPr>
      </w:pPr>
      <w:r/>
      <w:bookmarkStart w:id="137" w:name="_Hlk187835227"/>
      <w:r>
        <w:rPr>
          <w:rFonts w:hint="eastAsia" w:ascii="宋体" w:hAnsi="宋体"/>
          <w:color w:val="auto"/>
          <w:sz w:val="24"/>
          <w:szCs w:val="24"/>
          <w:highlight w:val="none"/>
        </w:rPr>
        <w:t xml:space="preserve">附件：具体标的及其技术要求和商务要求、联合协议、分包意向协议等</w:t>
      </w:r>
      <w:r/>
    </w:p>
    <w:p>
      <w:pPr>
        <w:spacing w:line="400" w:lineRule="exact"/>
        <w:rPr>
          <w:color w:val="auto"/>
          <w:sz w:val="24"/>
          <w:szCs w:val="24"/>
          <w:highlight w:val="none"/>
        </w:rPr>
      </w:pPr>
      <w:r>
        <w:rPr>
          <w:color w:val="auto"/>
          <w:sz w:val="24"/>
          <w:szCs w:val="24"/>
          <w:highlight w:val="none"/>
        </w:rPr>
      </w:r>
      <w:r/>
    </w:p>
    <w:tbl>
      <w:tblPr>
        <w:tblStyle w:val="734"/>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224"/>
        <w:gridCol w:w="1122"/>
        <w:gridCol w:w="2976"/>
      </w:tblGrid>
      <w:tr>
        <w:trPr>
          <w:trHeight w:val="490"/>
        </w:trPr>
        <w:tc>
          <w:tcPr>
            <w:gridSpan w:val="2"/>
            <w:tcW w:w="474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（供应商）</w:t>
            </w:r>
            <w:r/>
          </w:p>
        </w:tc>
      </w:tr>
      <w:tr>
        <w:trPr>
          <w:trHeight w:val="917"/>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ind w:firstLine="115"/>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43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259"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拥有者性别</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开户名称</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开户银行</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银行账号</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586"/>
        </w:trPr>
        <w:tc>
          <w:tcPr>
            <w:gridSpan w:val="4"/>
            <w:tcW w:w="9263" w:type="dxa"/>
            <w:vAlign w:val="center"/>
            <w:textDirection w:val="lrTb"/>
            <w:noWrap w:val="false"/>
          </w:tcPr>
          <w:p>
            <w:pPr>
              <w:pStyle w:val="827"/>
              <w:spacing w:before="120" w:line="360" w:lineRule="auto"/>
              <w:rPr>
                <w:rFonts w:ascii="宋体" w:hAnsi="宋体" w:eastAsia="宋体"/>
                <w:color w:val="auto"/>
                <w:spacing w:val="20"/>
                <w:sz w:val="24"/>
                <w:szCs w:val="24"/>
                <w:highlight w:val="none"/>
              </w:rPr>
            </w:pPr>
            <w:r>
              <w:rPr>
                <w:rFonts w:hint="eastAsia" w:ascii="宋体" w:hAnsi="宋体" w:eastAsia="宋体"/>
                <w:color w:val="auto"/>
                <w:sz w:val="24"/>
                <w:szCs w:val="24"/>
                <w:highlight w:val="none"/>
              </w:rPr>
              <w:t xml:space="preserve">注：涉及联合体或其他合同主体的信息应按上表格式加列。</w:t>
            </w:r>
            <w:bookmarkEnd w:id="137"/>
            <w:r/>
            <w:r/>
          </w:p>
        </w:tc>
      </w:tr>
    </w:tbl>
    <w:p>
      <w:pPr>
        <w:rPr>
          <w:color w:val="auto"/>
          <w:highlight w:val="none"/>
        </w:rPr>
      </w:pPr>
      <w:r>
        <w:rPr>
          <w:color w:val="auto"/>
          <w:highlight w:val="none"/>
        </w:rPr>
      </w:r>
      <w:r/>
    </w:p>
    <w:p>
      <w:pPr>
        <w:rPr>
          <w:color w:val="auto"/>
          <w:highlight w:val="none"/>
        </w:rPr>
      </w:pPr>
      <w:r>
        <w:rPr>
          <w:color w:val="auto"/>
          <w:highlight w:val="none"/>
        </w:rPr>
      </w:r>
      <w:r/>
    </w:p>
    <w:p>
      <w:pPr>
        <w:pStyle w:val="789"/>
        <w:jc w:val="center"/>
        <w:spacing w:line="400" w:lineRule="exact"/>
        <w:rPr>
          <w:rFonts w:ascii="黑体" w:hAnsi="黑体"/>
          <w:b w:val="0"/>
          <w:color w:val="auto"/>
          <w:szCs w:val="32"/>
          <w:highlight w:val="none"/>
        </w:rPr>
      </w:pPr>
      <w:r>
        <w:rPr>
          <w:rFonts w:hint="eastAsia" w:ascii="黑体" w:hAnsi="黑体"/>
          <w:b w:val="0"/>
          <w:color w:val="auto"/>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1. </w:t>
      </w:r>
      <w:r>
        <w:rPr>
          <w:rFonts w:ascii="Times New Roman" w:hAnsi="Times New Roman"/>
          <w:b/>
          <w:bCs/>
          <w:color w:val="auto"/>
          <w:sz w:val="24"/>
          <w:szCs w:val="24"/>
          <w:highlight w:val="none"/>
        </w:rPr>
        <w:t xml:space="preserve">定义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1.1合同当事人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（3）其他合同主体是指除采购人和供应商以外，</w:t>
      </w:r>
      <w:r>
        <w:rPr>
          <w:rFonts w:ascii="Times New Roman" w:hAnsi="Times New Roman"/>
          <w:bCs/>
          <w:color w:val="auto"/>
          <w:sz w:val="24"/>
          <w:szCs w:val="24"/>
          <w:highlight w:val="none"/>
        </w:rPr>
        <w:t xml:space="preserve">依法参与合同缔结或履行，享有权利、承担义务的合同当事人</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1.2本合同下列术语应解释为：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（1）“合同”系指</w:t>
      </w:r>
      <w:r>
        <w:rPr>
          <w:rFonts w:ascii="Times New Roman" w:hAnsi="Times New Roman"/>
          <w:bCs/>
          <w:color w:val="auto"/>
          <w:sz w:val="24"/>
          <w:szCs w:val="24"/>
          <w:highlight w:val="none"/>
        </w:rPr>
        <w:t xml:space="preserve">合同当事人意思表示达成一致的任何协议，包括签署的</w:t>
      </w:r>
      <w:r>
        <w:rPr>
          <w:rFonts w:ascii="Times New Roman" w:hAnsi="Times New Roman"/>
          <w:color w:val="auto"/>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宋体" w:hAnsi="宋体"/>
          <w:color w:val="auto"/>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备品备件、工具、手册及</w:t>
      </w:r>
      <w:r>
        <w:rPr>
          <w:rFonts w:ascii="宋体" w:hAnsi="宋体"/>
          <w:color w:val="auto"/>
          <w:sz w:val="24"/>
          <w:szCs w:val="24"/>
          <w:highlight w:val="none"/>
          <w:lang w:val="en"/>
        </w:rPr>
        <w:t xml:space="preserve">其他</w:t>
      </w:r>
      <w:r>
        <w:rPr>
          <w:rFonts w:ascii="宋体" w:hAnsi="宋体"/>
          <w:color w:val="auto"/>
          <w:sz w:val="24"/>
          <w:szCs w:val="24"/>
          <w:highlight w:val="none"/>
        </w:rPr>
        <w:t xml:space="preserve">技术资料</w:t>
      </w:r>
      <w:r>
        <w:rPr>
          <w:rFonts w:ascii="Times New Roman" w:hAnsi="Times New Roman"/>
          <w:color w:val="auto"/>
          <w:sz w:val="24"/>
          <w:szCs w:val="24"/>
          <w:highlight w:val="none"/>
        </w:rPr>
        <w:t xml:space="preserve">和材料等。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（4）“相关服务”系指根据合同规定，乙方应提供的与货物有关的技术、管理和</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（7）其他术语解释，见【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numPr>
          <w:ilvl w:val="0"/>
          <w:numId w:val="8"/>
        </w:numPr>
        <w:ind w:firstLine="482"/>
        <w:spacing w:line="400" w:lineRule="exact"/>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合同标的及金额</w:t>
      </w:r>
      <w:r/>
    </w:p>
    <w:p>
      <w:pPr>
        <w:ind w:firstLine="480"/>
        <w:spacing w:line="400" w:lineRule="exact"/>
        <w:rPr>
          <w:rFonts w:ascii="Times New Roman" w:hAnsi="Times New Roman"/>
          <w:b/>
          <w:bCs/>
          <w:i/>
          <w:iCs/>
          <w:color w:val="auto"/>
          <w:sz w:val="24"/>
          <w:szCs w:val="24"/>
          <w:highlight w:val="none"/>
        </w:rPr>
      </w:pPr>
      <w:r>
        <w:rPr>
          <w:rFonts w:ascii="Times New Roman" w:hAnsi="Times New Roman"/>
          <w:color w:val="auto"/>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任何费用。</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3. 履行合同的时间、地点和方式</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4. 甲方的权利和义务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auto"/>
          <w:sz w:val="24"/>
          <w:szCs w:val="24"/>
          <w:highlight w:val="none"/>
        </w:rPr>
      </w:pPr>
      <w:r>
        <w:rPr>
          <w:rFonts w:ascii="Times New Roman" w:hAnsi="Times New Roman"/>
          <w:color w:val="auto"/>
          <w:sz w:val="24"/>
          <w:szCs w:val="24"/>
          <w:highlight w:val="none"/>
        </w:rPr>
        <w:t xml:space="preserve">4.4 甲方应当按照合同约定及时对交付的货物进行验收，未在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4.6 国家法律法规规定及</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约定应由甲方承担的其他义务和责任。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5. 乙方的权利和义务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5.3乙方有权根据合同约定向甲方收取合同价款。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5.4国家法律法规规定及</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约定应由乙方承担的其他义务和责任。</w:t>
      </w:r>
      <w:r/>
    </w:p>
    <w:p>
      <w:pPr>
        <w:numPr>
          <w:ilvl w:val="0"/>
          <w:numId w:val="9"/>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 甲乙双方应当按照</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7. 货物包装、运输、保险和交付要求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本合同</w:t>
      </w:r>
      <w:r>
        <w:rPr>
          <w:rFonts w:ascii="Times New Roman" w:hAnsi="Times New Roman"/>
          <w:bCs/>
          <w:color w:val="auto"/>
          <w:sz w:val="24"/>
          <w:szCs w:val="24"/>
          <w:highlight w:val="none"/>
        </w:rPr>
        <w:t xml:space="preserve">涉及商品包装、快递包装的，</w:t>
      </w:r>
      <w:r>
        <w:rPr>
          <w:rFonts w:ascii="Times New Roman" w:hAnsi="Times New Roman"/>
          <w:color w:val="auto"/>
          <w:sz w:val="24"/>
          <w:szCs w:val="24"/>
          <w:highlight w:val="none"/>
        </w:rPr>
        <w:t xml:space="preserve">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包装应适应远距离运输、防潮、防震、防锈和防野蛮装卸等要求，确保货物安全无损地运抵</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约定的</w:t>
      </w:r>
      <w:r>
        <w:rPr>
          <w:rFonts w:ascii="Times New Roman" w:hAnsi="Times New Roman"/>
          <w:color w:val="auto"/>
          <w:sz w:val="24"/>
          <w:szCs w:val="24"/>
          <w:highlight w:val="none"/>
        </w:rPr>
        <w:t xml:space="preserve">指定现场。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7.2 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货物保险要求按</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规定执行</w:t>
      </w:r>
      <w:r>
        <w:rPr>
          <w:rFonts w:ascii="Times New Roman" w:hAnsi="Times New Roman"/>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7.5 乙方在运输到达之前应提前通知甲方，并提示货物运输装卸的注意事项，甲方配合乙方做好货物的接收工作。</w:t>
      </w:r>
      <w:r/>
    </w:p>
    <w:p>
      <w:pPr>
        <w:pStyle w:val="1228"/>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8. 质量标准和保证</w:t>
      </w:r>
      <w:r/>
    </w:p>
    <w:p>
      <w:pPr>
        <w:pStyle w:val="832"/>
        <w:ind w:firstLine="480"/>
        <w:spacing w:line="400" w:lineRule="exact"/>
        <w:rPr>
          <w:rFonts w:ascii="Times New Roman" w:hAnsi="Times New Roman" w:cs="Times New Roman"/>
          <w:b/>
          <w:color w:val="auto"/>
          <w:sz w:val="24"/>
          <w:szCs w:val="24"/>
          <w:highlight w:val="none"/>
        </w:rPr>
      </w:pPr>
      <w:r>
        <w:rPr>
          <w:rFonts w:ascii="Times New Roman" w:hAnsi="Times New Roman" w:cs="Times New Roman"/>
          <w:color w:val="auto"/>
          <w:sz w:val="24"/>
          <w:szCs w:val="24"/>
          <w:highlight w:val="none"/>
        </w:rPr>
        <w:t xml:space="preserve">8.1 质量标准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2"/>
        <w:ind w:firstLine="480"/>
        <w:spacing w:line="4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（2）采用中华人民共和国法定计量单位。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保证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（3）乙方收到通知后，应在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9. 权利瑕疵担保</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 乙方保证对其出售的货物享有合法的权利。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9.2 乙方保证在交付的货物上不存在抵押权等担保物权。</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10. 知识产权保护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11. 保密义务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12. 合同价款支付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color w:val="auto"/>
          <w:sz w:val="24"/>
          <w:szCs w:val="24"/>
          <w:highlight w:val="none"/>
        </w:rPr>
        <w:t xml:space="preserve">延迟</w:t>
      </w:r>
      <w:r>
        <w:rPr>
          <w:rFonts w:ascii="Times New Roman" w:hAnsi="Times New Roman"/>
          <w:color w:val="auto"/>
          <w:sz w:val="24"/>
          <w:szCs w:val="24"/>
          <w:highlight w:val="none"/>
        </w:rPr>
        <w:t xml:space="preserve">付款，不得将采购文件和合同中未规定的义务作为向乙方付款的条件。具体合同价款支付时间在【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13. 履约保证金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13.2 如果乙方出现</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甲方在项目通过验收后按照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规定的时间内将履约保证金退还乙方；逾期退还的，乙方</w:t>
      </w:r>
      <w:r>
        <w:rPr>
          <w:rFonts w:hint="eastAsia" w:ascii="Times New Roman" w:hAnsi="Times New Roman"/>
          <w:color w:val="auto"/>
          <w:sz w:val="24"/>
          <w:szCs w:val="24"/>
          <w:highlight w:val="none"/>
        </w:rPr>
        <w:t xml:space="preserve">可以</w:t>
      </w:r>
      <w:r>
        <w:rPr>
          <w:rFonts w:ascii="Times New Roman" w:hAnsi="Times New Roman"/>
          <w:color w:val="auto"/>
          <w:sz w:val="24"/>
          <w:szCs w:val="24"/>
          <w:highlight w:val="none"/>
        </w:rPr>
        <w:t xml:space="preserve">要求甲方支付违约金，违约金按照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规定支付。</w:t>
      </w:r>
      <w:r/>
    </w:p>
    <w:p>
      <w:pPr>
        <w:ind w:firstLine="482"/>
        <w:spacing w:line="400" w:lineRule="exact"/>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14. </w:t>
      </w:r>
      <w:r>
        <w:rPr>
          <w:rFonts w:ascii="Times New Roman" w:hAnsi="Times New Roman"/>
          <w:b/>
          <w:color w:val="auto"/>
          <w:sz w:val="24"/>
          <w:szCs w:val="24"/>
          <w:highlight w:val="none"/>
        </w:rPr>
        <w:t xml:space="preserve">售后服务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（1）货物的现场移动、安装、调试、启动监督及技术支持；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（2）提供货物组装和维修所需的专用工具和辅助材料；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（4）在制造商所在地或指定现场就货物的安装、启动、运营、维护、废弃处置等对甲方操作人员进行培训；</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（5）依照法律、行政法规的规定或者按照</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规定由乙方提供的其他服务。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15. 违约责任</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15.1质量瑕疵的违约责任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乙方提供的产品不符合合同约定的质量标准或存在产品质量缺陷，甲方有权要求乙方根据</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要求</w:t>
      </w:r>
      <w:r>
        <w:rPr>
          <w:rFonts w:ascii="Times New Roman" w:hAnsi="Times New Roman"/>
          <w:color w:val="auto"/>
          <w:sz w:val="24"/>
          <w:szCs w:val="24"/>
          <w:highlight w:val="none"/>
        </w:rPr>
        <w:t xml:space="preserve">及时修理、重作、更换，并承担由此给甲方造成的损失。</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15.2 迟延交货的违约责任</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15.3 迟延支付的违约责任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甲方存在迟延支付乙方合同款项的，应当承担</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规定的逾期付款利息。</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15.4其他违约责任根据项目实际需要按</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规定执行。</w:t>
      </w:r>
      <w:r/>
    </w:p>
    <w:p>
      <w:pPr>
        <w:numPr>
          <w:ilvl w:val="0"/>
          <w:numId w:val="10"/>
        </w:num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合同变更、中止与终止</w:t>
      </w:r>
      <w:r/>
    </w:p>
    <w:p>
      <w:pPr>
        <w:ind w:left="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16.1合同的变更</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16.2合同的中止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8"/>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16.3合同的终止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228"/>
        <w:ind w:firstLine="480"/>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16.4 </w:t>
      </w:r>
      <w:r>
        <w:rPr>
          <w:rFonts w:ascii="Times New Roman" w:hAnsi="Times New Roman" w:eastAsia="宋体" w:cs="Times New Roman"/>
          <w:color w:val="auto"/>
          <w:sz w:val="24"/>
          <w:szCs w:val="24"/>
          <w:highlight w:val="none"/>
        </w:rPr>
        <w:t xml:space="preserve">涉及国家利益、社会公共利益的情形</w:t>
      </w:r>
      <w:r/>
    </w:p>
    <w:p>
      <w:pPr>
        <w:pStyle w:val="1228"/>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17. 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18. 不可抗力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19. 解决争议的方法</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19.2 选择仲裁的，应在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中明确仲裁机构及仲裁地；通过诉讼方式解决的，可以在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中进一步约定选择与争议有实际联系的地点的人民法院管辖，但管辖法院的约定不得违反级别管辖和专属管辖的规定。</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auto"/>
          <w:sz w:val="24"/>
          <w:szCs w:val="24"/>
          <w:highlight w:val="none"/>
        </w:rPr>
      </w:pPr>
      <w:r>
        <w:rPr>
          <w:rFonts w:ascii="Times New Roman" w:hAnsi="Times New Roman"/>
          <w:b/>
          <w:color w:val="auto"/>
          <w:sz w:val="24"/>
          <w:szCs w:val="24"/>
          <w:highlight w:val="none"/>
        </w:rPr>
        <w:t xml:space="preserve">20. 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20.1 </w:t>
      </w:r>
      <w:r>
        <w:rPr>
          <w:rFonts w:ascii="Times New Roman" w:hAnsi="Times New Roman"/>
          <w:color w:val="auto"/>
          <w:sz w:val="24"/>
          <w:szCs w:val="24"/>
          <w:highlight w:val="none"/>
          <w:lang w:val="en-GB"/>
        </w:rPr>
        <w:t xml:space="preserve">本合同按照规定执行政府采购政策。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20.2 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21. 法律适用</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 本合同的订立、生效、解释、履行及与本合同有关的争议解决，均适用法律、行政法规。</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22. 通知</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28"/>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22.4通知以送达之日或通知书中规定的生效之日起生效，两者中以较迟之日为准。</w:t>
      </w:r>
      <w:r/>
    </w:p>
    <w:p>
      <w:pPr>
        <w:numPr>
          <w:ilvl w:val="0"/>
          <w:numId w:val="11"/>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合同未尽事项</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23.1合同未尽事项见</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23.2 合同附件与合同正文具有同等的法律效力。</w:t>
      </w:r>
      <w:r/>
    </w:p>
    <w:p>
      <w:pPr>
        <w:spacing w:line="400" w:lineRule="exact"/>
        <w:rPr>
          <w:rFonts w:ascii="黑体" w:hAnsi="华文中宋" w:eastAsia="黑体"/>
          <w:color w:val="auto"/>
          <w:sz w:val="24"/>
          <w:szCs w:val="24"/>
          <w:highlight w:val="none"/>
        </w:rPr>
      </w:pPr>
      <w:r>
        <w:rPr>
          <w:rFonts w:ascii="黑体" w:hAnsi="华文中宋" w:eastAsia="黑体"/>
          <w:color w:val="auto"/>
          <w:sz w:val="24"/>
          <w:szCs w:val="24"/>
          <w:highlight w:val="none"/>
        </w:rPr>
      </w:r>
      <w:r/>
    </w:p>
    <w:p>
      <w:pPr>
        <w:pStyle w:val="789"/>
        <w:jc w:val="center"/>
        <w:rPr>
          <w:rFonts w:ascii="黑体" w:hAnsi="华文中宋"/>
          <w:b w:val="0"/>
          <w:color w:val="auto"/>
          <w:szCs w:val="32"/>
          <w:highlight w:val="none"/>
        </w:rPr>
      </w:pPr>
      <w:r>
        <w:rPr>
          <w:rFonts w:hint="eastAsia" w:ascii="黑体" w:hAnsi="华文中宋"/>
          <w:b w:val="0"/>
          <w:color w:val="auto"/>
          <w:szCs w:val="32"/>
          <w:highlight w:val="none"/>
        </w:rPr>
        <w:t xml:space="preserve">第三节 政府采购合同专用条款</w:t>
      </w:r>
      <w:r/>
    </w:p>
    <w:tbl>
      <w:tblPr>
        <w:tblStyle w:val="734"/>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012"/>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见招标文件</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收到验收申请后5个工作日</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6012" w:type="dxa"/>
            <w:vAlign w:val="center"/>
            <w:textDirection w:val="lrTb"/>
            <w:noWrap w:val="false"/>
          </w:tcPr>
          <w:p>
            <w:pPr>
              <w:jc w:val="left"/>
              <w:rPr>
                <w:color w:val="auto"/>
                <w:highlight w:val="none"/>
              </w:rPr>
            </w:pPr>
            <w:r>
              <w:rPr>
                <w:rFonts w:hint="eastAsia" w:ascii="宋体" w:hAnsi="宋体" w:cs="宋体"/>
                <w:color w:val="auto"/>
                <w:sz w:val="24"/>
                <w:szCs w:val="24"/>
                <w:highlight w:val="none"/>
              </w:rPr>
              <w:t xml:space="preserve">根据采购人要求。</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无</w:t>
            </w:r>
            <w:r/>
          </w:p>
        </w:tc>
      </w:tr>
      <w:tr>
        <w:trPr>
          <w:trHeight w:val="665"/>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货物在交付甲方前发生的风险均由乙方负责</w:t>
            </w:r>
            <w:r/>
          </w:p>
        </w:tc>
      </w:tr>
      <w:tr>
        <w:trPr>
          <w:trHeight w:val="258"/>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3年。一年内发现设备缺陷等质量问题，乙方负责无条件维修或调换；乙方货物经过双方检验认可后，签署验收报告，按国家及相关部门的 “三包”要求（特别要求的按特别要求执行），免费维护期自货物最终交付验收合格之日起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601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售后服务期内</w:t>
            </w:r>
            <w:r>
              <w:rPr>
                <w:rFonts w:hint="eastAsia" w:ascii="宋体" w:hAnsi="宋体"/>
                <w:color w:val="auto"/>
                <w:highlight w:val="none"/>
              </w:rPr>
              <w:t xml:space="preserve">，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jc w:val="left"/>
              <w:rPr>
                <w:rFonts w:ascii="宋体" w:hAnsi="宋体"/>
                <w:color w:val="auto"/>
                <w:szCs w:val="21"/>
                <w:highlight w:val="none"/>
              </w:rPr>
            </w:pPr>
            <w:r>
              <w:rPr>
                <w:rFonts w:hint="eastAsia" w:ascii="宋体" w:hAnsi="宋体"/>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1228"/>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预付款：签订合同后，自收到供应商发票后10个工作日内采购人支付合同总价款的30%； </w:t>
            </w:r>
            <w:r/>
          </w:p>
          <w:p>
            <w:pPr>
              <w:jc w:val="left"/>
              <w:rPr>
                <w:rFonts w:ascii="宋体" w:hAnsi="宋体"/>
                <w:color w:val="auto"/>
                <w:szCs w:val="21"/>
                <w:highlight w:val="none"/>
              </w:rPr>
            </w:pPr>
            <w:r>
              <w:rPr>
                <w:rFonts w:hint="eastAsia" w:ascii="宋体" w:hAnsi="宋体"/>
                <w:color w:val="auto"/>
                <w:szCs w:val="21"/>
                <w:highlight w:val="none"/>
              </w:rPr>
              <w:t xml:space="preserve">进度款：全部设备安装调试完毕经验收合格且收到供应商发票后10个工作日内付至合同价款的100%。</w:t>
            </w:r>
            <w:r/>
          </w:p>
          <w:p>
            <w:pPr>
              <w:jc w:val="left"/>
              <w:rPr>
                <w:rFonts w:ascii="宋体" w:hAnsi="宋体"/>
                <w:color w:val="auto"/>
                <w:szCs w:val="21"/>
                <w:highlight w:val="none"/>
              </w:rPr>
            </w:pPr>
            <w:r>
              <w:rPr>
                <w:rFonts w:hint="eastAsia" w:ascii="宋体" w:hAnsi="宋体"/>
                <w:color w:val="auto"/>
                <w:szCs w:val="21"/>
                <w:highlight w:val="none"/>
              </w:rPr>
              <w:t xml:space="preserve">备注:</w:t>
            </w:r>
            <w:r/>
          </w:p>
          <w:p>
            <w:pPr>
              <w:jc w:val="left"/>
              <w:rPr>
                <w:rFonts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ascii="宋体" w:hAnsi="宋体"/>
                <w:color w:val="auto"/>
                <w:szCs w:val="21"/>
                <w:highlight w:val="none"/>
              </w:rPr>
            </w:pPr>
            <w:r>
              <w:rPr>
                <w:rFonts w:hint="eastAsia" w:ascii="宋体" w:hAnsi="宋体"/>
                <w:color w:val="auto"/>
                <w:szCs w:val="21"/>
                <w:highlight w:val="none"/>
              </w:rPr>
              <w:t xml:space="preserve">(4)在签订合同时，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明确表示无需预付款或者主动要求降低预付款比例的，甲方可不适用前述规定。</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6012" w:type="dxa"/>
            <w:vAlign w:val="center"/>
            <w:textDirection w:val="lrTb"/>
            <w:noWrap w:val="false"/>
          </w:tcPr>
          <w:p>
            <w:pPr>
              <w:jc w:val="left"/>
              <w:rPr>
                <w:rFonts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rPr>
              <w:t xml:space="preserve">甲方</w:t>
            </w:r>
            <w:r>
              <w:rPr>
                <w:rFonts w:hint="eastAsia" w:ascii="宋体" w:hAnsi="宋体"/>
                <w:color w:val="auto"/>
                <w:highlight w:val="none"/>
                <w:lang w:val="zh-CN"/>
              </w:rPr>
              <w:t xml:space="preserve">收到</w:t>
            </w:r>
            <w:r>
              <w:rPr>
                <w:rFonts w:hint="eastAsia" w:ascii="宋体" w:hAnsi="宋体"/>
                <w:color w:val="auto"/>
                <w:highlight w:val="none"/>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货物交付前应试运行，试运行时间包含在项目供货期内，试运行结束后乙方应当提交试运行报告作为验收资料组成，项目运行维护期3年</w:t>
            </w:r>
            <w:r>
              <w:rPr>
                <w:rFonts w:hint="eastAsia"/>
                <w:color w:val="auto"/>
                <w:highlight w:val="none"/>
              </w:rPr>
              <w:t xml:space="preserve">（自货物最终交付验收合格后起算）</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6012"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（2）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泗洪县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bookmarkEnd w:id="126"/>
            <w:r/>
            <w:bookmarkEnd w:id="127"/>
            <w:r/>
            <w:bookmarkEnd w:id="128"/>
            <w:r/>
            <w:r/>
          </w:p>
        </w:tc>
        <w:tc>
          <w:tcPr>
            <w:tcW w:w="6012"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jc w:val="center"/>
        <w:keepLines/>
        <w:keepNext/>
        <w:pageBreakBefore/>
        <w:rPr>
          <w:b/>
          <w:color w:val="auto"/>
          <w:sz w:val="44"/>
          <w:szCs w:val="44"/>
          <w:highlight w:val="none"/>
        </w:rPr>
        <w:outlineLvl w:val="0"/>
      </w:pPr>
      <w:r/>
      <w:bookmarkStart w:id="138" w:name="_Toc81575170"/>
      <w:r/>
      <w:bookmarkStart w:id="139" w:name="_Toc19649"/>
      <w:r/>
      <w:bookmarkStart w:id="140" w:name="_Toc22853"/>
      <w:r/>
      <w:bookmarkStart w:id="141" w:name="_Toc12937"/>
      <w:r/>
      <w:bookmarkStart w:id="142" w:name="_Toc81575207"/>
      <w:r/>
      <w:bookmarkStart w:id="143" w:name="_Toc9003"/>
      <w:r>
        <w:rPr>
          <w:rFonts w:hint="eastAsia"/>
          <w:b/>
          <w:color w:val="auto"/>
          <w:sz w:val="44"/>
          <w:szCs w:val="44"/>
          <w:highlight w:val="none"/>
        </w:rPr>
        <w:t xml:space="preserve">第六章  投标文件格式</w:t>
      </w:r>
      <w:bookmarkEnd w:id="138"/>
      <w:r/>
      <w:bookmarkEnd w:id="139"/>
      <w:r/>
      <w:bookmarkEnd w:id="140"/>
      <w:r/>
      <w:bookmarkEnd w:id="141"/>
      <w:r/>
      <w:bookmarkEnd w:id="142"/>
      <w:r/>
      <w:bookmarkEnd w:id="143"/>
      <w:r/>
      <w:r/>
    </w:p>
    <w:p>
      <w:pPr>
        <w:rPr>
          <w:color w:val="auto"/>
          <w:highlight w:val="none"/>
        </w:rPr>
      </w:pPr>
      <w:r/>
      <w:bookmarkStart w:id="144" w:name="EB819316f773b24a75aef829f9b72900c0"/>
      <w:r/>
      <w:r/>
    </w:p>
    <w:p>
      <w:pPr>
        <w:rPr>
          <w:rFonts w:ascii="Times New Roman" w:hAnsi="Times New Roman"/>
          <w:b/>
          <w:color w:val="auto"/>
          <w:sz w:val="72"/>
          <w:highlight w:val="none"/>
        </w:rPr>
      </w:pPr>
      <w:r/>
      <w:bookmarkStart w:id="14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5"/>
      <w:r/>
      <w:r/>
    </w:p>
    <w:p>
      <w:pPr>
        <w:pStyle w:val="1053"/>
        <w:rPr>
          <w:rFonts w:ascii="宋体" w:hAnsi="宋体" w:eastAsia="宋体" w:cs="宋体"/>
          <w:color w:val="auto"/>
          <w:highlight w:val="none"/>
        </w:rPr>
      </w:pPr>
      <w:r>
        <w:rPr>
          <w:rFonts w:ascii="宋体" w:hAnsi="宋体" w:eastAsia="宋体" w:cs="宋体"/>
          <w:color w:val="auto"/>
          <w:highlight w:val="none"/>
        </w:rPr>
      </w:r>
      <w:r/>
    </w:p>
    <w:p>
      <w:pPr>
        <w:pStyle w:val="1053"/>
        <w:rPr>
          <w:rFonts w:ascii="宋体" w:hAnsi="宋体" w:eastAsia="宋体" w:cs="宋体"/>
          <w:color w:val="auto"/>
          <w:highlight w:val="none"/>
        </w:rPr>
      </w:pPr>
      <w:r>
        <w:rPr>
          <w:rFonts w:ascii="宋体" w:hAnsi="宋体" w:eastAsia="宋体" w:cs="宋体"/>
          <w:color w:val="auto"/>
          <w:highlight w:val="none"/>
        </w:rPr>
      </w:r>
      <w:r/>
    </w:p>
    <w:p>
      <w:pPr>
        <w:pStyle w:val="1053"/>
        <w:rPr>
          <w:rFonts w:ascii="宋体" w:hAnsi="宋体" w:eastAsia="宋体" w:cs="宋体"/>
          <w:color w:val="auto"/>
          <w:highlight w:val="none"/>
        </w:rPr>
      </w:pPr>
      <w:r>
        <w:rPr>
          <w:rFonts w:ascii="宋体" w:hAnsi="宋体" w:eastAsia="宋体" w:cs="宋体"/>
          <w:color w:val="auto"/>
          <w:highlight w:val="none"/>
        </w:rPr>
      </w:r>
      <w:bookmarkEnd w:id="144"/>
      <w:r/>
    </w:p>
    <w:p>
      <w:pPr>
        <w:pStyle w:val="1053"/>
        <w:rPr>
          <w:rFonts w:ascii="宋体" w:hAnsi="宋体" w:eastAsia="宋体" w:cs="宋体"/>
          <w:color w:val="auto"/>
          <w:highlight w:val="none"/>
        </w:rPr>
      </w:pPr>
      <w:r>
        <w:rPr>
          <w:rFonts w:ascii="宋体" w:hAnsi="宋体" w:eastAsia="宋体" w:cs="宋体"/>
          <w:color w:val="auto"/>
          <w:highlight w:val="none"/>
        </w:rPr>
      </w:r>
      <w:r/>
    </w:p>
    <w:p>
      <w:pPr>
        <w:pStyle w:val="1053"/>
        <w:rPr>
          <w:rFonts w:ascii="宋体" w:hAnsi="宋体" w:eastAsia="宋体" w:cs="宋体"/>
          <w:color w:val="auto"/>
          <w:highlight w:val="none"/>
        </w:rPr>
      </w:pPr>
      <w:r>
        <w:rPr>
          <w:rFonts w:ascii="宋体" w:hAnsi="宋体" w:eastAsia="宋体" w:cs="宋体"/>
          <w:color w:val="auto"/>
          <w:highlight w:val="none"/>
        </w:rPr>
      </w:r>
      <w:r/>
    </w:p>
    <w:p>
      <w:pPr>
        <w:pStyle w:val="1053"/>
        <w:rPr>
          <w:rFonts w:ascii="宋体" w:hAnsi="宋体" w:eastAsia="宋体" w:cs="宋体"/>
          <w:color w:val="auto"/>
          <w:highlight w:val="none"/>
        </w:rPr>
      </w:pPr>
      <w:r>
        <w:rPr>
          <w:rFonts w:ascii="宋体" w:hAnsi="宋体" w:eastAsia="宋体" w:cs="宋体"/>
          <w:color w:val="auto"/>
          <w:highlight w:val="none"/>
        </w:rPr>
      </w:r>
      <w:r/>
    </w:p>
    <w:p>
      <w:pPr>
        <w:pStyle w:val="1053"/>
        <w:rPr>
          <w:rFonts w:ascii="宋体" w:hAnsi="宋体" w:eastAsia="宋体" w:cs="宋体"/>
          <w:color w:val="auto"/>
          <w:highlight w:val="none"/>
        </w:rPr>
      </w:pPr>
      <w:r>
        <w:rPr>
          <w:rFonts w:ascii="宋体" w:hAnsi="宋体" w:eastAsia="宋体" w:cs="宋体"/>
          <w:color w:val="auto"/>
          <w:highlight w:val="none"/>
        </w:rPr>
      </w:r>
      <w:r/>
    </w:p>
    <w:p>
      <w:pPr>
        <w:pStyle w:val="105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53"/>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53"/>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ascii="Times New Roman" w:hAnsi="Times New Roman"/>
          <w:color w:val="auto"/>
          <w:sz w:val="28"/>
          <w:szCs w:val="28"/>
          <w:highlight w:val="none"/>
        </w:rPr>
      </w:pPr>
      <w:r/>
      <w:bookmarkStart w:id="146" w:name="_Toc26005"/>
      <w:r/>
      <w:bookmarkStart w:id="147" w:name="_Toc20577"/>
      <w:r>
        <w:rPr>
          <w:rFonts w:hint="eastAsia" w:ascii="Times New Roman" w:hAnsi="Times New Roman"/>
          <w:color w:val="auto"/>
          <w:sz w:val="28"/>
          <w:szCs w:val="28"/>
          <w:highlight w:val="none"/>
        </w:rPr>
        <w:t xml:space="preserve">一、投标人响应承诺函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二、投标人基本情况</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三、满足特定资格要求的证明文件（如果设置特定资格要求，则需要提供）</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六、投标分项报价表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七、中小微企业声明函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八、技术要求响应及偏离表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九、项目组成员</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十、企业业绩</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十一、项目实施方案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十二、设备安装方案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十三、售后服务方案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十四、关于符合本国产品标准的声明函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十五、演示</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十六、投标所需其他材料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3"/>
        <w:rPr>
          <w:b w:val="0"/>
          <w:bCs/>
          <w:color w:val="auto"/>
          <w:highlight w:val="none"/>
        </w:rPr>
        <w:outlineLvl w:val="1"/>
      </w:pPr>
      <w:r/>
      <w:bookmarkStart w:id="148" w:name="_Toc8978"/>
      <w:r>
        <w:rPr>
          <w:rFonts w:hint="eastAsia"/>
          <w:b w:val="0"/>
          <w:bCs/>
          <w:color w:val="auto"/>
          <w:highlight w:val="none"/>
        </w:rPr>
        <w:t xml:space="preserve">一</w:t>
      </w:r>
      <w:r>
        <w:rPr>
          <w:b w:val="0"/>
          <w:bCs/>
          <w:color w:val="auto"/>
          <w:highlight w:val="none"/>
        </w:rPr>
        <w:t xml:space="preserve">、投标函</w:t>
      </w:r>
      <w:bookmarkEnd w:id="146"/>
      <w:r/>
      <w:bookmarkEnd w:id="147"/>
      <w:r/>
      <w:bookmarkEnd w:id="148"/>
      <w:r/>
      <w:r/>
    </w:p>
    <w:p>
      <w:pPr>
        <w:pStyle w:val="1064"/>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6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64"/>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64"/>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四、如果我方的投标文件被接受，我方将按照《中华人民共和国民法典（第三编合同）》及其他有关法律、法规的规定，按期、按质、按量交付采购单位，全面做到履约守信；</w:t>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六、我方同意采购人、采购代理机构将本函上网公开。</w:t>
      </w:r>
      <w:r/>
    </w:p>
    <w:p>
      <w:pPr>
        <w:pStyle w:val="1064"/>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64"/>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6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64"/>
        <w:ind w:firstLine="480"/>
        <w:rPr>
          <w:rFonts w:ascii="宋体" w:hAnsi="宋体"/>
          <w:color w:val="auto"/>
          <w:sz w:val="24"/>
          <w:szCs w:val="24"/>
          <w:highlight w:val="none"/>
        </w:rPr>
      </w:pPr>
      <w:r>
        <w:rPr>
          <w:rFonts w:ascii="宋体" w:hAnsi="宋体"/>
          <w:color w:val="auto"/>
          <w:sz w:val="24"/>
          <w:szCs w:val="24"/>
          <w:highlight w:val="none"/>
        </w:rPr>
      </w:r>
      <w:r/>
    </w:p>
    <w:p>
      <w:pPr>
        <w:pStyle w:val="1064"/>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53"/>
        <w:spacing w:line="440" w:lineRule="exact"/>
        <w:rPr>
          <w:rFonts w:ascii="宋体" w:eastAsia="宋体" w:cs="宋体"/>
          <w:color w:val="auto"/>
          <w:highlight w:val="none"/>
        </w:rPr>
        <w:outlineLvl w:val="1"/>
      </w:pPr>
      <w:r>
        <w:rPr>
          <w:rFonts w:hint="eastAsia" w:ascii="宋体" w:eastAsia="宋体" w:cs="宋体"/>
          <w:b/>
          <w:color w:val="auto"/>
          <w:highlight w:val="none"/>
        </w:rPr>
        <w:t xml:space="preserve">二、投标人基本情况</w:t>
      </w:r>
      <w:r/>
    </w:p>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投标人基本情况表</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投标人名称</w:t>
            </w:r>
            <w:r/>
          </w:p>
        </w:tc>
        <w:tc>
          <w:tcPr>
            <w:gridSpan w:val="3"/>
            <w:tcW w:w="699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法定代表人</w:t>
            </w:r>
            <w:r/>
          </w:p>
        </w:tc>
        <w:tc>
          <w:tcPr>
            <w:tcW w:w="311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注册地区</w:t>
            </w:r>
            <w:r/>
          </w:p>
        </w:tc>
        <w:tc>
          <w:tcPr>
            <w:tcW w:w="2604"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地址</w:t>
            </w:r>
            <w:r/>
          </w:p>
        </w:tc>
        <w:tc>
          <w:tcPr>
            <w:tcW w:w="311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邮政编码</w:t>
            </w:r>
            <w:r/>
          </w:p>
        </w:tc>
        <w:tc>
          <w:tcPr>
            <w:tcW w:w="2604"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成立时间</w:t>
            </w:r>
            <w:r/>
          </w:p>
        </w:tc>
        <w:tc>
          <w:tcPr>
            <w:tcW w:w="311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单位性质</w:t>
            </w:r>
            <w:r/>
          </w:p>
        </w:tc>
        <w:tc>
          <w:tcPr>
            <w:tcW w:w="2604"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注册号或社会信用代码</w:t>
            </w:r>
            <w:r/>
          </w:p>
        </w:tc>
        <w:tc>
          <w:tcPr>
            <w:tcW w:w="311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注册资本（万元）</w:t>
            </w:r>
            <w:r/>
          </w:p>
        </w:tc>
        <w:tc>
          <w:tcPr>
            <w:tcW w:w="2604"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投标人类别</w:t>
            </w:r>
            <w:r/>
          </w:p>
        </w:tc>
        <w:tc>
          <w:tcPr>
            <w:gridSpan w:val="3"/>
            <w:tcW w:w="699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开户银行</w:t>
            </w:r>
            <w:r/>
          </w:p>
        </w:tc>
        <w:tc>
          <w:tcPr>
            <w:tcW w:w="311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账号</w:t>
            </w:r>
            <w:r/>
          </w:p>
        </w:tc>
        <w:tc>
          <w:tcPr>
            <w:tcW w:w="2604"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联系人</w:t>
            </w:r>
            <w:r/>
          </w:p>
        </w:tc>
        <w:tc>
          <w:tcPr>
            <w:tcW w:w="3118"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联系电话</w:t>
            </w:r>
            <w:r/>
          </w:p>
        </w:tc>
        <w:tc>
          <w:tcPr>
            <w:tcW w:w="2604" w:type="dxa"/>
            <w:vAlign w:val="center"/>
            <w:textDirection w:val="lrTb"/>
            <w:noWrap/>
          </w:tcPr>
          <w:p>
            <w:pPr>
              <w:pStyle w:val="1049"/>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046"/>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经营范围</w:t>
            </w:r>
            <w:r/>
          </w:p>
        </w:tc>
        <w:tc>
          <w:tcPr>
            <w:gridSpan w:val="3"/>
            <w:tcW w:w="6998" w:type="dxa"/>
            <w:textDirection w:val="lrTb"/>
            <w:noWrap/>
          </w:tcPr>
          <w:p>
            <w:pPr>
              <w:pStyle w:val="1049"/>
              <w:ind w:firstLine="1432"/>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134"/>
        </w:trPr>
        <w:tc>
          <w:tcPr>
            <w:tcW w:w="1526" w:type="dxa"/>
            <w:vAlign w:val="center"/>
            <w:textDirection w:val="lrTb"/>
            <w:noWrap/>
          </w:tcPr>
          <w:p>
            <w:pPr>
              <w:pStyle w:val="1049"/>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备注</w:t>
            </w:r>
            <w:r/>
          </w:p>
        </w:tc>
        <w:tc>
          <w:tcPr>
            <w:gridSpan w:val="3"/>
            <w:tcW w:w="6998" w:type="dxa"/>
            <w:vAlign w:val="center"/>
            <w:textDirection w:val="lrTb"/>
            <w:noWrap/>
          </w:tcPr>
          <w:p>
            <w:pPr>
              <w:pStyle w:val="1049"/>
              <w:spacing w:line="440" w:lineRule="exact"/>
              <w:rPr>
                <w:rFonts w:ascii="宋体" w:cs="宋体"/>
                <w:color w:val="auto"/>
                <w:sz w:val="24"/>
                <w:szCs w:val="24"/>
                <w:highlight w:val="none"/>
              </w:rPr>
            </w:pPr>
            <w:r>
              <w:rPr>
                <w:rFonts w:hint="eastAsia" w:ascii="宋体" w:cs="宋体"/>
                <w:color w:val="auto"/>
                <w:sz w:val="24"/>
                <w:szCs w:val="24"/>
                <w:highlight w:val="none"/>
              </w:rPr>
              <w:t xml:space="preserve">附营业执照</w:t>
            </w:r>
            <w:r/>
          </w:p>
        </w:tc>
      </w:tr>
    </w:tbl>
    <w:p>
      <w:pPr>
        <w:ind w:firstLine="480"/>
        <w:spacing w:line="440" w:lineRule="exact"/>
        <w:rPr>
          <w:rFonts w:ascii="宋体" w:cs="宋体"/>
          <w:color w:val="auto"/>
          <w:sz w:val="24"/>
          <w:highlight w:val="none"/>
        </w:rPr>
      </w:pPr>
      <w:r>
        <w:rPr>
          <w:rFonts w:ascii="宋体" w:cs="宋体"/>
          <w:color w:val="auto"/>
          <w:sz w:val="24"/>
          <w:highlight w:val="none"/>
        </w:rPr>
      </w:r>
      <w:r/>
    </w:p>
    <w:p>
      <w:pPr>
        <w:ind w:firstLine="480"/>
        <w:spacing w:line="440" w:lineRule="exact"/>
        <w:rPr>
          <w:rFonts w:ascii="宋体" w:cs="宋体"/>
          <w:color w:val="auto"/>
          <w:sz w:val="24"/>
          <w:highlight w:val="none"/>
        </w:rPr>
      </w:pPr>
      <w:r>
        <w:rPr>
          <w:rFonts w:ascii="宋体" w:cs="宋体"/>
          <w:color w:val="auto"/>
          <w:sz w:val="24"/>
          <w:highlight w:val="none"/>
        </w:rPr>
      </w:r>
      <w:r/>
    </w:p>
    <w:p>
      <w:pPr>
        <w:spacing w:line="440" w:lineRule="exact"/>
        <w:rPr>
          <w:rFonts w:ascii="宋体" w:cs="宋体"/>
          <w:i/>
          <w:color w:val="auto"/>
          <w:sz w:val="24"/>
          <w:highlight w:val="none"/>
          <w:u w:val="single"/>
        </w:rPr>
        <w:outlineLvl w:val="1"/>
      </w:pPr>
      <w:r>
        <w:rPr>
          <w:rFonts w:hint="eastAsia" w:ascii="宋体" w:cs="宋体"/>
          <w:b/>
          <w:color w:val="auto"/>
          <w:sz w:val="24"/>
          <w:highlight w:val="none"/>
        </w:rPr>
        <w:t xml:space="preserve">三、特定资格要求的证明文件</w:t>
      </w:r>
      <w:r/>
    </w:p>
    <w:p>
      <w:pPr>
        <w:spacing w:line="440" w:lineRule="exact"/>
        <w:rPr>
          <w:rFonts w:ascii="宋体" w:cs="宋体"/>
          <w:bCs/>
          <w:color w:val="auto"/>
          <w:sz w:val="24"/>
          <w:highlight w:val="none"/>
        </w:rPr>
      </w:pPr>
      <w:r>
        <w:rPr>
          <w:rFonts w:hint="eastAsia" w:ascii="宋体" w:cs="宋体"/>
          <w:color w:val="auto"/>
          <w:sz w:val="24"/>
          <w:highlight w:val="none"/>
        </w:rPr>
        <w:t xml:space="preserve">    如果本项目申请人的特定资格要求中要求提供的，必须提供。</w:t>
      </w:r>
      <w:r/>
    </w:p>
    <w:p>
      <w:pPr>
        <w:ind w:firstLine="420"/>
        <w:spacing w:line="440" w:lineRule="exact"/>
        <w:rPr>
          <w:rFonts w:ascii="宋体" w:cs="宋体"/>
          <w:bCs/>
          <w:color w:val="auto"/>
          <w:sz w:val="24"/>
          <w:highlight w:val="none"/>
        </w:rPr>
      </w:pPr>
      <w:r>
        <w:rPr>
          <w:rFonts w:ascii="宋体" w:cs="宋体"/>
          <w:bCs/>
          <w:color w:val="auto"/>
          <w:sz w:val="24"/>
          <w:highlight w:val="none"/>
        </w:rPr>
      </w:r>
      <w:r/>
    </w:p>
    <w:p>
      <w:pPr>
        <w:rPr>
          <w:color w:val="auto"/>
          <w:highlight w:val="none"/>
        </w:rPr>
        <w:outlineLvl w:val="1"/>
      </w:pPr>
      <w:r>
        <w:rPr>
          <w:rFonts w:hint="eastAsia"/>
          <w:color w:val="auto"/>
          <w:highlight w:val="none"/>
        </w:rPr>
        <w:br w:type="page" w:clear="all"/>
      </w:r>
      <w:bookmarkStart w:id="149" w:name="_Toc29506"/>
      <w:r/>
      <w:bookmarkStart w:id="150" w:name="_Toc3680"/>
      <w:r/>
      <w:bookmarkStart w:id="151" w:name="_Toc27409"/>
      <w:r>
        <w:rPr>
          <w:rFonts w:hint="eastAsia" w:ascii="黑体" w:hAnsi="黑体" w:eastAsia="黑体" w:cs="黑体"/>
          <w:bCs/>
          <w:color w:val="auto"/>
          <w:sz w:val="32"/>
          <w:szCs w:val="24"/>
          <w:highlight w:val="none"/>
        </w:rPr>
        <w:t xml:space="preserve">四、</w:t>
      </w:r>
      <w:bookmarkEnd w:id="149"/>
      <w:r/>
      <w:bookmarkEnd w:id="150"/>
      <w:r>
        <w:rPr>
          <w:rFonts w:hint="eastAsia" w:ascii="黑体" w:hAnsi="黑体" w:eastAsia="黑体" w:cs="黑体"/>
          <w:bCs/>
          <w:color w:val="auto"/>
          <w:sz w:val="32"/>
          <w:szCs w:val="24"/>
          <w:highlight w:val="none"/>
        </w:rPr>
        <w:t xml:space="preserve">法人授权书</w:t>
      </w:r>
      <w:bookmarkEnd w:id="151"/>
      <w:r/>
      <w:r/>
    </w:p>
    <w:p>
      <w:pPr>
        <w:pStyle w:val="1064"/>
        <w:jc w:val="center"/>
        <w:rPr>
          <w:rFonts w:ascii="方正小标宋_GBK" w:eastAsia="方正小标宋_GBK"/>
          <w:bCs/>
          <w:color w:val="auto"/>
          <w:sz w:val="32"/>
          <w:szCs w:val="32"/>
          <w:highlight w:val="none"/>
        </w:rPr>
      </w:pPr>
      <w:r/>
      <w:bookmarkStart w:id="152" w:name="OLE_LINK6"/>
      <w:r>
        <w:rPr>
          <w:rFonts w:hint="eastAsia" w:ascii="方正小标宋_GBK" w:eastAsia="方正小标宋_GBK"/>
          <w:bCs/>
          <w:color w:val="auto"/>
          <w:sz w:val="32"/>
          <w:szCs w:val="32"/>
          <w:highlight w:val="none"/>
        </w:rPr>
        <w:t xml:space="preserve">法人授权书</w:t>
      </w:r>
      <w:bookmarkEnd w:id="152"/>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采购活动的合法代理人，以本单位名义全权处理一切与该项目采购有关的事务。</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本授权书于______年____月____日起生效，特此声明。</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被授权人联系电话：（手机）</w:t>
      </w:r>
      <w:r>
        <w:rPr>
          <w:rFonts w:hint="eastAsia" w:ascii="宋体" w:hAnsi="宋体" w:cs="宋体"/>
          <w:color w:val="auto"/>
          <w:sz w:val="24"/>
          <w:highlight w:val="none"/>
          <w:u w:val="single"/>
        </w:rPr>
        <w:t xml:space="preserve">          </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授权单位名称：</w:t>
      </w:r>
      <w:r>
        <w:rPr>
          <w:rFonts w:hint="eastAsia" w:ascii="宋体" w:hAnsi="宋体" w:cs="宋体"/>
          <w:color w:val="auto"/>
          <w:sz w:val="24"/>
          <w:highlight w:val="none"/>
          <w:u w:val="single"/>
        </w:rPr>
        <w:t xml:space="preserve">（加盖CA电子公章）</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单位地址：</w:t>
      </w:r>
      <w:r>
        <w:rPr>
          <w:rFonts w:hint="eastAsia" w:ascii="宋体" w:hAnsi="宋体" w:cs="宋体"/>
          <w:color w:val="auto"/>
          <w:sz w:val="24"/>
          <w:highlight w:val="none"/>
          <w:u w:val="single"/>
        </w:rPr>
        <w:t xml:space="preserve">                  </w:t>
      </w:r>
      <w:r/>
    </w:p>
    <w:p>
      <w:pPr>
        <w:spacing w:line="55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p>
    <w:p>
      <w:pPr>
        <w:pStyle w:val="1066"/>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ind w:firstLine="480"/>
        <w:spacing w:line="49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p>
    <w:p>
      <w:pPr>
        <w:pStyle w:val="1069"/>
        <w:rPr>
          <w:color w:val="auto"/>
          <w:highlight w:val="none"/>
        </w:rPr>
        <w:outlineLvl w:val="1"/>
      </w:pPr>
      <w:r>
        <w:rPr>
          <w:color w:val="auto"/>
          <w:highlight w:val="none"/>
        </w:rPr>
        <w:br w:type="page" w:clear="all"/>
      </w:r>
      <w:bookmarkStart w:id="153" w:name="_Toc30543"/>
      <w:r/>
      <w:bookmarkStart w:id="154" w:name="_Toc13550"/>
      <w:r/>
      <w:bookmarkStart w:id="155" w:name="_Toc27199"/>
      <w:r>
        <w:rPr>
          <w:rFonts w:hint="eastAsia"/>
          <w:b w:val="0"/>
          <w:bCs/>
          <w:color w:val="auto"/>
          <w:highlight w:val="none"/>
        </w:rPr>
        <w:t xml:space="preserve">五</w:t>
      </w:r>
      <w:r>
        <w:rPr>
          <w:b w:val="0"/>
          <w:bCs/>
          <w:color w:val="auto"/>
          <w:highlight w:val="none"/>
        </w:rPr>
        <w:t xml:space="preserve">、开标一览表</w:t>
      </w:r>
      <w:bookmarkEnd w:id="153"/>
      <w:r/>
      <w:bookmarkEnd w:id="154"/>
      <w:r/>
      <w:bookmarkEnd w:id="155"/>
      <w:r/>
      <w:r/>
    </w:p>
    <w:p>
      <w:pPr>
        <w:pStyle w:val="1070"/>
        <w:rPr>
          <w:rFonts w:ascii="宋体" w:hAnsi="宋体" w:eastAsia="宋体" w:cs="宋体"/>
          <w:color w:val="auto"/>
          <w:highlight w:val="none"/>
        </w:rPr>
      </w:pPr>
      <w:r>
        <w:rPr>
          <w:rFonts w:ascii="宋体" w:hAnsi="宋体" w:eastAsia="宋体" w:cs="宋体"/>
          <w:color w:val="auto"/>
          <w:highlight w:val="none"/>
        </w:rPr>
      </w:r>
      <w:r/>
    </w:p>
    <w:p>
      <w:pPr>
        <w:pStyle w:val="1070"/>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9400"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          </w:t>
            </w:r>
            <w:r>
              <w:rPr>
                <w:rFonts w:ascii="宋体" w:hAnsi="宋体" w:cs="宋体"/>
                <w:color w:val="auto"/>
                <w:sz w:val="24"/>
                <w:szCs w:val="24"/>
                <w:highlight w:val="none"/>
              </w:rPr>
              <w:t xml:space="preserve">（人民币：元）</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总价（大写）：</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（人民币：元）</w:t>
            </w:r>
            <w:r/>
          </w:p>
        </w:tc>
      </w:tr>
    </w:tbl>
    <w:p>
      <w:pP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6"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6"/>
      <w:r/>
      <w:r/>
    </w:p>
    <w:p>
      <w:pPr>
        <w:pStyle w:val="1072"/>
        <w:rPr>
          <w:color w:val="auto"/>
          <w:highlight w:val="none"/>
        </w:rPr>
        <w:outlineLvl w:val="1"/>
      </w:pPr>
      <w:r>
        <w:rPr>
          <w:color w:val="auto"/>
          <w:highlight w:val="none"/>
        </w:rPr>
        <w:br w:type="page" w:clear="all"/>
      </w:r>
      <w:bookmarkStart w:id="157" w:name="_Toc956"/>
      <w:r/>
      <w:bookmarkStart w:id="158" w:name="_Toc26543"/>
      <w:r/>
      <w:bookmarkStart w:id="159" w:name="_Toc12614"/>
      <w:r>
        <w:rPr>
          <w:rFonts w:hint="eastAsia"/>
          <w:color w:val="auto"/>
          <w:highlight w:val="none"/>
        </w:rPr>
        <w:t xml:space="preserve">六</w:t>
      </w:r>
      <w:r>
        <w:rPr>
          <w:b w:val="0"/>
          <w:bCs/>
          <w:color w:val="auto"/>
          <w:highlight w:val="none"/>
        </w:rPr>
        <w:t xml:space="preserve">、</w:t>
      </w:r>
      <w:bookmarkEnd w:id="157"/>
      <w:r/>
      <w:bookmarkEnd w:id="158"/>
      <w:r>
        <w:rPr>
          <w:rFonts w:hint="eastAsia"/>
          <w:b w:val="0"/>
          <w:bCs/>
          <w:color w:val="auto"/>
          <w:highlight w:val="none"/>
        </w:rPr>
        <w:t xml:space="preserve">分项报价表</w:t>
      </w:r>
      <w:bookmarkEnd w:id="159"/>
      <w:r/>
      <w:r/>
    </w:p>
    <w:p>
      <w:pPr>
        <w:pStyle w:val="106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tbl>
      <w:tblPr>
        <w:tblStyle w:val="73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pct"/>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88"/>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96"/>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u w:val="single"/>
              </w:rPr>
            </w:pPr>
            <w:r>
              <w:rPr>
                <w:rFonts w:ascii="宋体" w:hAnsi="宋体"/>
                <w:color w:val="auto"/>
                <w:sz w:val="24"/>
                <w:szCs w:val="24"/>
                <w:highlight w:val="none"/>
                <w:u w:val="singl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gridSpan w:val="3"/>
            <w:tcW w:w="1155" w:type="pct"/>
            <w:vAlign w:val="center"/>
            <w:textDirection w:val="lrTb"/>
            <w:noWrap w:val="false"/>
          </w:tcPr>
          <w:p>
            <w:pPr>
              <w:pStyle w:val="1160"/>
              <w:jc w:val="left"/>
              <w:spacing w:line="500" w:lineRule="exact"/>
              <w:rPr>
                <w:rFonts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3844" w:type="pct"/>
            <w:vAlign w:val="center"/>
            <w:textDirection w:val="lrTb"/>
            <w:noWrap w:val="false"/>
          </w:tcPr>
          <w:p>
            <w:pPr>
              <w:pStyle w:val="1160"/>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60"/>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r>
        <w:trPr>
          <w:cantSplit/>
          <w:trHeight w:val="677"/>
        </w:trPr>
        <w:tc>
          <w:tcPr>
            <w:gridSpan w:val="10"/>
            <w:tcW w:w="5000" w:type="pct"/>
            <w:vAlign w:val="center"/>
            <w:textDirection w:val="lrTb"/>
            <w:noWrap w:val="false"/>
          </w:tcPr>
          <w:p>
            <w:pPr>
              <w:pStyle w:val="1160"/>
              <w:jc w:val="left"/>
              <w:spacing w:line="500" w:lineRule="exact"/>
              <w:rPr>
                <w:rFonts w:ascii="宋体" w:hAnsi="宋体"/>
                <w:b/>
                <w:bCs/>
                <w:color w:val="auto"/>
                <w:sz w:val="24"/>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备注：1.“投标总报价”数额应当与“开标一览表”中“投标总报价”数额一致。</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3.投标人需认真填写本表，尤其注意设备品牌型号的准确填写。投标人须提供所供设备产品品牌、规格型号、</w:t>
      </w:r>
      <w:r>
        <w:rPr>
          <w:rFonts w:hint="eastAsia" w:ascii="宋体" w:hAnsi="宋体" w:cs="宋体"/>
          <w:bCs/>
          <w:color w:val="ff0000"/>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4.符合报价折扣情形的请将此表填报上传至“企业报价折扣证明”一栏中。</w:t>
      </w:r>
      <w:r/>
    </w:p>
    <w:p>
      <w:pPr>
        <w:spacing w:line="400" w:lineRule="exact"/>
        <w:rPr>
          <w:rFonts w:ascii="仿宋" w:hAnsi="仿宋" w:eastAsia="仿宋" w:cs="仿宋"/>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24"/>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r/>
    </w:p>
    <w:p>
      <w:pPr>
        <w:pStyle w:val="885"/>
        <w:rPr>
          <w:rFonts w:ascii="仿宋" w:hAnsi="仿宋" w:eastAsia="仿宋" w:cs="仿宋"/>
          <w:color w:val="auto"/>
          <w:szCs w:val="32"/>
          <w:highlight w:val="none"/>
        </w:rPr>
        <w:outlineLvl w:val="1"/>
      </w:pPr>
      <w:r>
        <w:rPr>
          <w:rFonts w:hint="eastAsia" w:ascii="仿宋" w:hAnsi="仿宋" w:eastAsia="仿宋" w:cs="仿宋"/>
          <w:color w:val="auto"/>
          <w:highlight w:val="none"/>
        </w:rPr>
        <w:t xml:space="preserve">七、中小微企业声明函</w:t>
      </w:r>
      <w:r/>
    </w:p>
    <w:p>
      <w:pPr>
        <w:ind w:firstLine="360"/>
        <w:jc w:val="center"/>
        <w:spacing w:line="560" w:lineRule="exact"/>
        <w:rPr>
          <w:rFonts w:ascii="仿宋" w:hAnsi="仿宋" w:eastAsia="仿宋" w:cs="仿宋"/>
          <w:color w:val="auto"/>
          <w:sz w:val="24"/>
          <w:highlight w:val="none"/>
        </w:rPr>
      </w:pPr>
      <w:r>
        <w:rPr>
          <w:rFonts w:hint="eastAsia" w:ascii="仿宋" w:hAnsi="仿宋" w:eastAsia="仿宋" w:cs="仿宋"/>
          <w:b/>
          <w:color w:val="auto"/>
          <w:sz w:val="32"/>
          <w:szCs w:val="24"/>
          <w:highlight w:val="none"/>
        </w:rPr>
        <w:t xml:space="preserve">中小微企业声明函（货物）</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泗洪县教育局（单位名称）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rPr>
        <w:t xml:space="preserve">  JSZC-321324-JSCW-G2026-0017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泗洪县城区学校门口交通安全设施建设项目（采购包号：JSZC-321324-JSCW-G2026-0017）</w:t>
      </w:r>
      <w:r>
        <w:rPr>
          <w:rFonts w:hint="eastAsia" w:ascii="仿宋" w:hAnsi="仿宋" w:eastAsia="仿宋" w:cs="仿宋"/>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人行横道标志牌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路面凸起标志牌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调头标志牌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学校区域限速牌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机非分离组合标志牌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靠右行驶标志牌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减速丘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u w:val="single"/>
        </w:rPr>
        <w:t xml:space="preserve"> 隔离护栏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u w:val="single"/>
        </w:rPr>
        <w:t xml:space="preserve"> 防撞柱</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u w:val="single"/>
        </w:rPr>
        <w:t xml:space="preserve"> 移动护栏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u w:val="single"/>
        </w:rPr>
        <w:t xml:space="preserve"> 移动信号灯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u w:val="single"/>
        </w:rPr>
        <w:t xml:space="preserve"> 反光背心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u w:val="single"/>
        </w:rPr>
        <w:t xml:space="preserve"> 指挥棒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u w:val="single"/>
        </w:rPr>
        <w:t xml:space="preserve"> 宣传喇叭</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u w:val="single"/>
        </w:rPr>
        <w:t xml:space="preserve"> 布控球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u w:val="single"/>
        </w:rPr>
        <w:t xml:space="preserve"> 枪球一体机</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u w:val="single"/>
        </w:rPr>
        <w:t xml:space="preserve"> 设备箱及配套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u w:val="single"/>
        </w:rPr>
        <w:t xml:space="preserve"> 电源线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u w:val="single"/>
        </w:rPr>
        <w:t xml:space="preserve"> 网线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u w:val="single"/>
        </w:rPr>
        <w:t xml:space="preserve"> 挑臂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u w:val="single"/>
        </w:rPr>
        <w:t xml:space="preserve"> 辅材</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u w:val="single"/>
        </w:rPr>
        <w:t xml:space="preserve"> AI融合巡检软硬一体化系统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u w:val="single"/>
        </w:rPr>
        <w:t xml:space="preserve"> 安全网关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u w:val="single"/>
        </w:rPr>
        <w:t xml:space="preserve"> 交换机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highlight w:val="none"/>
        </w:rPr>
        <w:t xml:space="preserve">。</w:t>
      </w:r>
      <w:r/>
    </w:p>
    <w:p>
      <w:pPr>
        <w:ind w:right="180" w:firstLine="360"/>
        <w:jc w:val="righ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   年  月  日</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3.此声明函将随中标结果同时公告，接收社会监督。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ind w:firstLine="241"/>
        <w:jc w:val="center"/>
        <w:spacing w:line="55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highlight w:val="none"/>
        </w:rPr>
        <w:t xml:space="preserve"> </w:t>
      </w:r>
      <w:r>
        <w:rPr>
          <w:rFonts w:hint="eastAsia" w:ascii="仿宋" w:hAnsi="仿宋" w:eastAsia="仿宋" w:cs="仿宋"/>
          <w:b/>
          <w:color w:val="auto"/>
          <w:sz w:val="32"/>
          <w:szCs w:val="24"/>
          <w:highlight w:val="none"/>
        </w:rPr>
        <w:t xml:space="preserve">中小微企业声明函（服务/工程类项目）</w:t>
      </w:r>
      <w:r/>
    </w:p>
    <w:p>
      <w:pPr>
        <w:pStyle w:val="1080"/>
        <w:rPr>
          <w:rFonts w:ascii="宋体" w:hAnsi="宋体" w:cs="宋体"/>
          <w:b/>
          <w:color w:val="auto"/>
          <w:sz w:val="32"/>
          <w:szCs w:val="32"/>
          <w:highlight w:val="none"/>
        </w:rPr>
      </w:pPr>
      <w:r>
        <w:rPr>
          <w:rFonts w:ascii="宋体" w:hAnsi="宋体" w:cs="宋体"/>
          <w:b/>
          <w:color w:val="auto"/>
          <w:sz w:val="32"/>
          <w:szCs w:val="32"/>
          <w:highlight w:val="none"/>
        </w:rPr>
      </w:r>
      <w:r/>
    </w:p>
    <w:p>
      <w:pPr>
        <w:pStyle w:val="108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auto"/>
          <w:sz w:val="24"/>
          <w:highlight w:val="none"/>
          <w:u w:val="single"/>
        </w:rPr>
        <w:t xml:space="preserve">JSZC-321324-JSCW-G2026-0017</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采购包号：</w:t>
      </w:r>
      <w:r>
        <w:rPr>
          <w:rFonts w:hint="eastAsia" w:ascii="仿宋" w:hAnsi="仿宋" w:eastAsia="仿宋" w:cs="仿宋"/>
          <w:color w:val="auto"/>
          <w:sz w:val="24"/>
          <w:highlight w:val="none"/>
          <w:u w:val="single"/>
        </w:rPr>
        <w:t xml:space="preserve">JSZC-321324-JSCW-G2026-0017</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highlight w:val="none"/>
          <w:u w:val="single"/>
        </w:rPr>
        <w:t xml:space="preserve">泗洪县城区学校门口交通安全设施建设项目</w:t>
      </w:r>
      <w:r>
        <w:rPr>
          <w:rFonts w:hint="eastAsia" w:ascii="仿宋" w:hAnsi="仿宋" w:eastAsia="仿宋" w:cs="仿宋"/>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硬化路面取芯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人行横道线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禁停网状线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清洗旧标线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立杆杆件、预埋件、基础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施工集成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0"/>
        <w:ind w:left="543"/>
        <w:jc w:val="lef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650"/>
        <w:spacing w:line="400" w:lineRule="atLeast"/>
        <w:rPr>
          <w:rFonts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pStyle w:val="108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08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日</w:t>
      </w:r>
      <w:r/>
    </w:p>
    <w:p>
      <w:pPr>
        <w:ind w:firstLine="3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3.此声明函将随中标结果同时公告，接收社会监督。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br w:type="page" w:clear="all"/>
      </w:r>
      <w:bookmarkStart w:id="160" w:name="_Toc158133337"/>
      <w:r/>
      <w:bookmarkStart w:id="161" w:name="_Toc158281568"/>
      <w:r/>
      <w:bookmarkStart w:id="162" w:name="_Toc158125008"/>
      <w:r/>
      <w:bookmarkStart w:id="163" w:name="_Toc18617"/>
      <w:r/>
      <w:r/>
    </w:p>
    <w:p>
      <w:pPr>
        <w:jc w:val="center"/>
        <w:spacing w:line="360" w:lineRule="auto"/>
        <w:rPr>
          <w:rFonts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残疾人福利性单位声明函</w:t>
      </w:r>
      <w:bookmarkEnd w:id="160"/>
      <w:r/>
      <w:bookmarkEnd w:id="161"/>
      <w:r/>
      <w:bookmarkEnd w:id="162"/>
      <w:r/>
      <w:bookmarkEnd w:id="163"/>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highlight w:val="none"/>
          <w:u w:val="single"/>
        </w:rPr>
        <w:t xml:space="preserve">项目编号为：        </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u w:val="single"/>
        </w:rPr>
        <w:t xml:space="preserve">（项目名称：    ）</w:t>
      </w:r>
      <w:r>
        <w:rPr>
          <w:rFonts w:hint="eastAsia" w:ascii="仿宋" w:hAnsi="仿宋" w:eastAsia="仿宋" w:cs="仿宋"/>
          <w:color w:val="auto"/>
          <w:sz w:val="24"/>
          <w:highlight w:val="none"/>
          <w:u w:val="single"/>
        </w:rPr>
        <w:t xml:space="preserve">（采购包号：    ）</w:t>
      </w:r>
      <w:r>
        <w:rPr>
          <w:rFonts w:hint="eastAsia" w:ascii="仿宋" w:hAnsi="仿宋" w:eastAsia="仿宋" w:cs="仿宋"/>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 非专门面向中小微型企业采购的项目，供应商如不提供此声明函，价格将不做相应扣除。</w:t>
      </w:r>
      <w:r/>
    </w:p>
    <w:p>
      <w:pPr>
        <w:ind w:firstLine="624"/>
        <w:spacing w:line="360" w:lineRule="auto"/>
        <w:rPr>
          <w:rFonts w:ascii="仿宋" w:hAnsi="仿宋" w:eastAsia="仿宋" w:cs="仿宋"/>
          <w:color w:val="auto"/>
          <w:spacing w:val="6"/>
          <w:sz w:val="30"/>
          <w:szCs w:val="30"/>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pStyle w:val="1208"/>
        <w:spacing w:line="360" w:lineRule="auto"/>
        <w:rPr>
          <w:rFonts w:ascii="仿宋" w:hAnsi="仿宋" w:eastAsia="仿宋" w:cs="仿宋"/>
          <w:color w:val="auto"/>
          <w:highlight w:val="none"/>
        </w:rPr>
      </w:pPr>
      <w:r>
        <w:rPr>
          <w:rFonts w:ascii="仿宋" w:hAnsi="仿宋" w:eastAsia="仿宋" w:cs="仿宋"/>
          <w:color w:val="auto"/>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年___月___日</w:t>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pStyle w:val="108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440" w:lineRule="exact"/>
        <w:rPr>
          <w:rFonts w:asci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auto"/>
          <w:sz w:val="24"/>
          <w:highlight w:val="none"/>
        </w:rPr>
      </w:r>
      <w:r/>
    </w:p>
    <w:p>
      <w:pPr>
        <w:jc w:val="left"/>
        <w:spacing w:line="440" w:lineRule="exact"/>
        <w:rPr>
          <w:rFonts w:ascii="宋体" w:cs="宋体"/>
          <w:b/>
          <w:color w:val="auto"/>
          <w:sz w:val="24"/>
          <w:highlight w:val="none"/>
        </w:rPr>
        <w:outlineLvl w:val="1"/>
      </w:pPr>
      <w:r>
        <w:rPr>
          <w:rFonts w:hint="eastAsia" w:ascii="宋体" w:cs="宋体"/>
          <w:b/>
          <w:color w:val="auto"/>
          <w:sz w:val="24"/>
          <w:highlight w:val="none"/>
        </w:rPr>
        <w:t xml:space="preserve">八、响应及偏离表</w:t>
      </w:r>
      <w:r/>
    </w:p>
    <w:p>
      <w:pPr>
        <w:ind w:firstLine="1446"/>
        <w:rPr>
          <w:rFonts w:asci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rPr>
        <w:t xml:space="preserve">实质性要求响应及偏离表（采购包号：）</w:t>
      </w:r>
      <w:r/>
    </w:p>
    <w:tbl>
      <w:tblPr>
        <w:tblStyle w:val="73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1.投标人必须对技术要求和商务要求中的实质性要求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rPr>
          <w:rFonts w:hint="eastAsia" w:asci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3.投标人未对实质性要求逐条作出明确响应的，或未按招标文件要求提供证明材料的，该采购包作无效标处理。</w:t>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技术要求响应及偏离表（采购包号：）</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1.投标人需对技术要求（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宋体" w:cs="宋体"/>
          <w:color w:val="auto"/>
          <w:sz w:val="24"/>
          <w:highlight w:val="none"/>
        </w:rPr>
      </w:pPr>
      <w:r>
        <w:rPr>
          <w:rFonts w:hint="eastAsia" w:ascii="宋体" w:cs="宋体"/>
          <w:color w:val="auto"/>
          <w:sz w:val="24"/>
          <w:highlight w:val="none"/>
        </w:rPr>
        <w:t xml:space="preserve">2.如果招标文件要求提供证明材料，投标人需将证明材料列于该表之下。</w:t>
      </w:r>
      <w:r/>
    </w:p>
    <w:p>
      <w:pPr>
        <w:spacing w:line="400" w:lineRule="exact"/>
        <w:rPr>
          <w:rFonts w:ascii="宋体" w:cs="宋体"/>
          <w:color w:val="auto"/>
          <w:sz w:val="24"/>
          <w:highlight w:val="none"/>
        </w:rPr>
      </w:pPr>
      <w:r>
        <w:rPr>
          <w:rFonts w:ascii="宋体" w:cs="宋体"/>
          <w:color w:val="auto"/>
          <w:sz w:val="24"/>
          <w:highlight w:val="none"/>
        </w:rPr>
      </w:r>
      <w:r/>
    </w:p>
    <w:p>
      <w:pPr>
        <w:pStyle w:val="1098"/>
        <w:rPr>
          <w:rFonts w:ascii="宋体" w:eastAsia="宋体" w:cs="宋体"/>
          <w:color w:val="auto"/>
          <w:highlight w:val="none"/>
        </w:rPr>
      </w:pPr>
      <w:r>
        <w:rPr>
          <w:rFonts w:ascii="宋体" w:eastAsia="宋体" w:cs="宋体"/>
          <w:color w:val="auto"/>
          <w:highlight w:val="none"/>
        </w:rPr>
      </w:r>
      <w:r/>
    </w:p>
    <w:p>
      <w:pPr>
        <w:jc w:val="left"/>
        <w:spacing w:line="360" w:lineRule="auto"/>
        <w:rPr>
          <w:rFonts w:ascii="宋体" w:cs="宋体"/>
          <w:b/>
          <w:color w:val="auto"/>
          <w:sz w:val="32"/>
          <w:highlight w:val="none"/>
        </w:rPr>
      </w:pPr>
      <w:r>
        <w:rPr>
          <w:rFonts w:ascii="宋体" w:cs="宋体"/>
          <w:b/>
          <w:color w:val="auto"/>
          <w:sz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商务要求响应及偏离表（采购包号：    ）</w:t>
      </w:r>
      <w:r/>
    </w:p>
    <w:tbl>
      <w:tblPr>
        <w:tblStyle w:val="734"/>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1.投标人需对商务要求（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Times New Roman" w:hAnsi="Times New Roman"/>
          <w:color w:val="auto"/>
          <w:sz w:val="24"/>
          <w:szCs w:val="21"/>
          <w:highlight w:val="none"/>
        </w:rPr>
      </w:pPr>
      <w:r>
        <w:rPr>
          <w:rFonts w:hint="eastAsia" w:ascii="宋体" w:cs="宋体"/>
          <w:color w:val="auto"/>
          <w:sz w:val="24"/>
          <w:highlight w:val="none"/>
        </w:rPr>
        <w:t xml:space="preserve">2.如果招标文件要求提供证明材料，投标人需将证明材料列于该表之下。</w:t>
      </w:r>
      <w:r/>
    </w:p>
    <w:p>
      <w:pPr>
        <w:rPr>
          <w:rFonts w:ascii="宋体" w:hAnsi="宋体" w:cs="宋体"/>
          <w:color w:val="auto"/>
          <w:highlight w:val="none"/>
        </w:rPr>
      </w:pPr>
      <w:r>
        <w:rPr>
          <w:rFonts w:hint="eastAsia" w:ascii="宋体" w:hAnsi="宋体" w:cs="宋体"/>
          <w:bCs/>
          <w:color w:val="auto"/>
          <w:highlight w:val="none"/>
        </w:rPr>
        <w:br w:type="page" w:clear="all"/>
      </w:r>
      <w:r/>
    </w:p>
    <w:p>
      <w:pPr>
        <w:pStyle w:val="789"/>
        <w:rPr>
          <w:rFonts w:ascii="宋体" w:hAnsi="宋体" w:eastAsia="宋体" w:cs="宋体"/>
          <w:color w:val="auto"/>
          <w:highlight w:val="none"/>
        </w:rPr>
      </w:pPr>
      <w:r/>
      <w:bookmarkStart w:id="164" w:name="_Toc25337"/>
      <w:r/>
      <w:bookmarkStart w:id="165" w:name="_Toc15871"/>
      <w:r>
        <w:rPr>
          <w:rFonts w:hint="eastAsia" w:ascii="宋体" w:hAnsi="宋体" w:eastAsia="宋体" w:cs="宋体"/>
          <w:bCs/>
          <w:color w:val="auto"/>
          <w:highlight w:val="none"/>
        </w:rPr>
        <w:t xml:space="preserve">九、项目组人员</w:t>
      </w:r>
      <w:r/>
    </w:p>
    <w:tbl>
      <w:tblPr>
        <w:tblStyle w:val="734"/>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68"/>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68"/>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68"/>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68"/>
              <w:ind w:firstLine="280"/>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68"/>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68"/>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27"/>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68"/>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注：如投标人中标，项目组成员按本表承诺人员操作，不得随意更换。按招标文件要求附相关人员证书。</w:t>
      </w:r>
      <w:bookmarkStart w:id="166" w:name="_格式2__法定代表人授权书"/>
      <w:r/>
      <w:bookmarkEnd w:id="166"/>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pStyle w:val="1098"/>
        <w:ind w:left="210"/>
        <w:rPr>
          <w:rFonts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十、企业业绩</w:t>
      </w:r>
      <w:bookmarkEnd w:id="164"/>
      <w:r/>
      <w:bookmarkEnd w:id="165"/>
      <w:r/>
      <w:r/>
    </w:p>
    <w:p>
      <w:pPr>
        <w:pStyle w:val="1106"/>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7"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月</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日以来承担</w:t>
      </w:r>
      <w:r/>
    </w:p>
    <w:p>
      <w:pPr>
        <w:pStyle w:val="1106"/>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7"/>
      <w:r/>
      <w:r/>
    </w:p>
    <w:tbl>
      <w:tblPr>
        <w:tblStyle w:val="73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0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0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0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0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0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06"/>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w:t>
      </w:r>
      <w:r>
        <w:rPr>
          <w:rFonts w:ascii="宋体" w:hAnsi="宋体"/>
          <w:bCs/>
          <w:color w:val="auto"/>
          <w:highlight w:val="none"/>
        </w:rPr>
        <w:br w:type="page" w:clear="all"/>
      </w:r>
      <w:bookmarkStart w:id="168" w:name="_Toc9275"/>
      <w:r/>
      <w:bookmarkStart w:id="169" w:name="_Toc26048"/>
      <w:r>
        <w:rPr>
          <w:rFonts w:hint="eastAsia" w:ascii="宋体" w:hAnsi="黑体" w:eastAsia="黑体" w:cs="黑体"/>
          <w:color w:val="auto"/>
          <w:sz w:val="32"/>
          <w:szCs w:val="32"/>
          <w:highlight w:val="none"/>
        </w:rPr>
        <w:t xml:space="preserve">十一、项目实施方案</w:t>
      </w:r>
      <w:r/>
    </w:p>
    <w:p>
      <w:pPr>
        <w:spacing w:line="480" w:lineRule="exact"/>
        <w:rPr>
          <w:color w:val="auto"/>
          <w:sz w:val="24"/>
          <w:szCs w:val="24"/>
          <w:highlight w:val="none"/>
        </w:rPr>
        <w:outlineLvl w:val="1"/>
      </w:pPr>
      <w:r>
        <w:rPr>
          <w:rFonts w:hint="eastAsia"/>
          <w:color w:val="auto"/>
          <w:sz w:val="24"/>
          <w:szCs w:val="24"/>
          <w:highlight w:val="none"/>
        </w:rPr>
        <w:t xml:space="preserve">根据评分办法自行编制</w:t>
      </w:r>
      <w:r/>
    </w:p>
    <w:p>
      <w:pPr>
        <w:spacing w:line="480" w:lineRule="exact"/>
        <w:rPr>
          <w:color w:val="auto"/>
          <w:sz w:val="24"/>
          <w:szCs w:val="24"/>
          <w:highlight w:val="none"/>
        </w:rPr>
        <w:outlineLvl w:val="1"/>
      </w:pPr>
      <w:r>
        <w:rPr>
          <w:color w:val="auto"/>
          <w:sz w:val="24"/>
          <w:szCs w:val="24"/>
          <w:highlight w:val="none"/>
        </w:rPr>
      </w:r>
      <w:r/>
    </w:p>
    <w:p>
      <w:pPr>
        <w:spacing w:line="480" w:lineRule="exact"/>
        <w:rPr>
          <w:color w:val="auto"/>
          <w:sz w:val="24"/>
          <w:szCs w:val="24"/>
          <w:highlight w:val="none"/>
        </w:rPr>
        <w:outlineLvl w:val="1"/>
      </w:pPr>
      <w:r>
        <w:rPr>
          <w:color w:val="auto"/>
          <w:sz w:val="24"/>
          <w:szCs w:val="24"/>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十二、设备安装方案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十三、售后服务方案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cs="宋体"/>
          <w:b/>
          <w:color w:val="auto"/>
          <w:sz w:val="24"/>
          <w:szCs w:val="24"/>
          <w:highlight w:val="none"/>
        </w:rPr>
        <w:outlineLvl w:val="1"/>
      </w:pPr>
      <w:r>
        <w:rPr>
          <w:rFonts w:hint="eastAsia" w:ascii="宋体" w:cs="宋体"/>
          <w:b/>
          <w:color w:val="auto"/>
          <w:sz w:val="24"/>
          <w:szCs w:val="24"/>
          <w:highlight w:val="none"/>
        </w:rPr>
        <w:t xml:space="preserve">十四、关于符合本国产品标准的声明函（采购包号：**）</w:t>
      </w:r>
      <w:r/>
    </w:p>
    <w:p>
      <w:pPr>
        <w:spacing w:line="480" w:lineRule="exact"/>
        <w:rPr>
          <w:rFonts w:ascii="宋体" w:hAnsi="宋体" w:eastAsia="黑体" w:cs="黑体"/>
          <w:color w:val="auto"/>
          <w:sz w:val="32"/>
          <w:szCs w:val="32"/>
          <w:highlight w:val="none"/>
        </w:rPr>
      </w:pPr>
      <w:r>
        <w:rPr>
          <w:rFonts w:ascii="宋体" w:hAnsi="宋体" w:eastAsia="黑体" w:cs="黑体"/>
          <w:color w:val="auto"/>
          <w:sz w:val="32"/>
          <w:szCs w:val="32"/>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1"/>
        </w:numPr>
        <w:ind w:firstLine="480"/>
        <w:jc w:val="left"/>
        <w:spacing w:line="480" w:lineRule="exact"/>
        <w:widowControl/>
        <w:rPr>
          <w:rFonts w:ascii="宋体" w:cs="宋体"/>
          <w:color w:val="auto"/>
          <w:sz w:val="24"/>
          <w:szCs w:val="24"/>
          <w:highlight w:val="none"/>
          <w:shd w:val="clear" w:color="auto" w:fill="ffffff"/>
        </w:rPr>
      </w:pPr>
      <w:r>
        <w:rPr>
          <w:rStyle w:val="1244"/>
          <w:rFonts w:hint="eastAsia" w:ascii="宋体" w:cs="宋体"/>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，生产厂为</w:t>
      </w:r>
      <w:r>
        <w:rPr>
          <w:rStyle w:val="1244"/>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44"/>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Fonts w:hint="eastAsia" w:ascii="宋体" w:cs="宋体"/>
          <w:color w:val="auto"/>
          <w:sz w:val="24"/>
          <w:szCs w:val="24"/>
          <w:highlight w:val="none"/>
          <w:u w:val="single"/>
          <w:shd w:val="clear" w:color="auto" w:fill="ffffff"/>
        </w:rPr>
        <w:t xml:space="preserve"> </w:t>
      </w:r>
      <w:r>
        <w:rPr>
          <w:rStyle w:val="1244"/>
          <w:rFonts w:hint="eastAsia" w:ascii="宋体" w:cs="宋体"/>
          <w:strike/>
          <w:color w:val="auto"/>
          <w:sz w:val="24"/>
          <w:szCs w:val="24"/>
          <w:highlight w:val="none"/>
          <w:u w:val="single"/>
          <w:shd w:val="clear" w:color="auto" w:fill="ffffff"/>
        </w:rPr>
        <w:t xml:space="preserve">（产品名称1）</w:t>
      </w:r>
      <w:r>
        <w:rPr>
          <w:rStyle w:val="1244"/>
          <w:rFonts w:hint="eastAsia" w:ascii="宋体" w:cs="宋体"/>
          <w:color w:val="auto"/>
          <w:sz w:val="24"/>
          <w:szCs w:val="24"/>
          <w:highlight w:val="none"/>
          <w:u w:val="single"/>
          <w:shd w:val="clear" w:color="auto" w:fill="ffffff"/>
        </w:rPr>
        <w:t xml:space="preserve"> </w:t>
      </w:r>
      <w:r>
        <w:rPr>
          <w:rFonts w:hint="eastAsia" w:ascii="宋体" w:cs="宋体"/>
          <w:color w:val="auto"/>
          <w:sz w:val="24"/>
          <w:szCs w:val="24"/>
          <w:highlight w:val="none"/>
          <w:shd w:val="clear" w:color="auto" w:fill="ffffff"/>
        </w:rPr>
        <w:t xml:space="preserve">的中国境内生产的组件成本占比≥</w:t>
      </w:r>
      <w:r>
        <w:rPr>
          <w:rStyle w:val="1244"/>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44"/>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44"/>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44"/>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44"/>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w:t>
      </w:r>
      <w:r>
        <w:rPr>
          <w:rStyle w:val="1244"/>
          <w:rFonts w:hint="eastAsia" w:ascii="宋体" w:cs="宋体"/>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，生产厂为</w:t>
      </w:r>
      <w:r>
        <w:rPr>
          <w:rStyle w:val="1244"/>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44"/>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Style w:val="1244"/>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的中国境内生产的组件成本占比≥</w:t>
      </w:r>
      <w:r>
        <w:rPr>
          <w:rStyle w:val="1244"/>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44"/>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44"/>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44"/>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44"/>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cs="宋体"/>
          <w:color w:val="auto"/>
          <w:sz w:val="24"/>
          <w:szCs w:val="24"/>
          <w:highlight w:val="none"/>
        </w:rPr>
      </w:pPr>
      <w:r>
        <w:rPr>
          <w:rFonts w:ascii="宋体" w:cs="宋体"/>
          <w:color w:val="auto"/>
          <w:sz w:val="24"/>
          <w:szCs w:val="24"/>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公司（单位）名称（盖章）：　        </w:t>
      </w:r>
      <w:r/>
    </w:p>
    <w:p>
      <w:pPr>
        <w:ind w:firstLine="480"/>
        <w:jc w:val="center"/>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                                日期：　   年　  月　  日         </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1.产品如有型号，请在“产品名称”栏一并填写。</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2.生产厂名与厂址应与生产厂营业执照载明的相关信息保持一致。</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4.该产品的关键组件要求实施前，“关键组件”栏可不填，下同。</w:t>
      </w:r>
      <w:r/>
    </w:p>
    <w:p>
      <w:pPr>
        <w:ind w:firstLine="480"/>
        <w:jc w:val="left"/>
        <w:spacing w:line="480" w:lineRule="exact"/>
        <w:widowControl/>
        <w:rPr>
          <w:rFonts w:ascii="宋体" w:cs="宋体"/>
          <w:color w:val="auto"/>
          <w:sz w:val="24"/>
          <w:szCs w:val="24"/>
          <w:highlight w:val="none"/>
          <w:shd w:val="clear" w:color="auto" w:fill="ffffff"/>
        </w:rPr>
      </w:pPr>
      <w:r>
        <w:rPr>
          <w:rFonts w:hint="eastAsia" w:ascii="宋体" w:cs="宋体"/>
          <w:color w:val="auto"/>
          <w:sz w:val="24"/>
          <w:szCs w:val="24"/>
          <w:highlight w:val="none"/>
          <w:shd w:val="clear" w:color="auto" w:fill="ffffff"/>
        </w:rPr>
        <w:t xml:space="preserve">5.该产品的关键工序要求实施前，“关键工序”栏可不填，下同。</w:t>
      </w:r>
      <w:r/>
    </w:p>
    <w:p>
      <w:pPr>
        <w:pStyle w:val="885"/>
        <w:ind w:firstLine="480"/>
        <w:spacing w:line="440" w:lineRule="exact"/>
        <w:rPr>
          <w:rFonts w:ascii="宋体" w:eastAsia="宋体" w:cs="宋体"/>
          <w:b w:val="0"/>
          <w:color w:val="auto"/>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auto"/>
          <w:sz w:val="24"/>
          <w:highlight w:val="none"/>
          <w:shd w:val="clear" w:color="auto" w:fill="ffffff"/>
        </w:rPr>
        <w:t xml:space="preserve">6.用线划除的地方无需填写。</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十五、演示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演示要求</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上传视频演示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（1）投标人需按照招标文件规定的演示内容制作演示视频文件，视频文件的格式为</w:t>
      </w:r>
      <w:r>
        <w:rPr>
          <w:rFonts w:ascii="宋体" w:hAnsi="宋体" w:cs="宋体"/>
          <w:color w:val="auto"/>
          <w:sz w:val="22"/>
          <w:highlight w:val="none"/>
        </w:rPr>
        <w:t xml:space="preserve">*</w:t>
      </w:r>
      <w:r>
        <w:rPr>
          <w:rFonts w:hint="eastAsia" w:ascii="宋体" w:hAnsi="宋体" w:cs="宋体"/>
          <w:color w:val="auto"/>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（2）演示内容如下：</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③……</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十六、投标所需其他材料</w:t>
      </w:r>
      <w:bookmarkEnd w:id="168"/>
      <w:r/>
      <w:bookmarkEnd w:id="169"/>
      <w:r/>
      <w:r/>
    </w:p>
    <w:p>
      <w:pPr>
        <w:pStyle w:val="1110"/>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85"/>
        <w:jc w:val="center"/>
        <w:rPr>
          <w:rFonts w:ascii="仿宋" w:hAnsi="仿宋" w:eastAsia="仿宋" w:cs="仿宋"/>
          <w:bCs/>
          <w:color w:val="auto"/>
          <w:sz w:val="24"/>
          <w:highlight w:val="none"/>
        </w:rPr>
        <w:sectPr>
          <w:footnotePr/>
          <w:endnotePr/>
          <w:type w:val="nextPage"/>
          <w:pgSz w:w="11906" w:h="16838" w:orient="portrait"/>
          <w:pgMar w:top="1440" w:right="1304" w:bottom="1440" w:left="1418" w:header="851" w:footer="992" w:gutter="0"/>
          <w:pgNumType w:start="1"/>
          <w:cols w:num="1" w:sep="0" w:space="1701" w:equalWidth="1"/>
          <w:docGrid w:linePitch="360"/>
        </w:sectPr>
        <w:outlineLvl w:val="1"/>
      </w:pPr>
      <w:r>
        <w:rPr>
          <w:rFonts w:ascii="仿宋" w:hAnsi="仿宋" w:eastAsia="仿宋" w:cs="仿宋"/>
          <w:bCs/>
          <w:color w:val="auto"/>
          <w:sz w:val="24"/>
          <w:highlight w:val="none"/>
        </w:rPr>
      </w:r>
      <w:r/>
    </w:p>
    <w:p>
      <w:pPr>
        <w:pStyle w:val="885"/>
        <w:jc w:val="center"/>
        <w:rPr>
          <w:rFonts w:ascii="仿宋" w:hAnsi="仿宋" w:eastAsia="仿宋" w:cs="仿宋"/>
          <w:bCs/>
          <w:color w:val="auto"/>
          <w:sz w:val="24"/>
          <w:highlight w:val="none"/>
        </w:rPr>
        <w:outlineLvl w:val="1"/>
      </w:pPr>
      <w:r>
        <w:rPr>
          <w:rFonts w:hint="eastAsia" w:ascii="仿宋" w:hAnsi="仿宋" w:eastAsia="仿宋" w:cs="仿宋"/>
          <w:bCs/>
          <w:color w:val="auto"/>
          <w:sz w:val="24"/>
          <w:highlight w:val="none"/>
        </w:rPr>
        <w:t xml:space="preserve">分包意向协议书</w:t>
      </w:r>
      <w:r/>
    </w:p>
    <w:p>
      <w:pPr>
        <w:pStyle w:val="1186"/>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立约方：</w:t>
      </w:r>
      <w:r>
        <w:rPr>
          <w:rFonts w:ascii="仿宋" w:hAnsi="仿宋" w:eastAsia="仿宋" w:cs="仿宋"/>
          <w:color w:val="auto"/>
          <w:sz w:val="24"/>
          <w:szCs w:val="24"/>
          <w:highlight w:val="none"/>
          <w:u w:val="single"/>
        </w:rPr>
        <w:t xml:space="preserve">（甲公司全称）</w:t>
      </w:r>
      <w:r/>
    </w:p>
    <w:p>
      <w:pPr>
        <w:pStyle w:val="1186"/>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（乙公司全称）</w:t>
      </w:r>
      <w:r/>
    </w:p>
    <w:p>
      <w:pPr>
        <w:pStyle w:val="1186"/>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（……公司全称）</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（甲公司全称）、（乙公司全称）、（……公司全称）</w:t>
      </w:r>
      <w:r>
        <w:rPr>
          <w:rFonts w:ascii="仿宋" w:hAnsi="仿宋" w:eastAsia="仿宋" w:cs="仿宋"/>
          <w:color w:val="auto"/>
          <w:sz w:val="24"/>
          <w:szCs w:val="24"/>
          <w:highlight w:val="none"/>
        </w:rPr>
        <w:t xml:space="preserve">自愿达成分包意向，参加</w:t>
      </w:r>
      <w:r>
        <w:rPr>
          <w:rFonts w:ascii="仿宋" w:hAnsi="仿宋" w:eastAsia="仿宋" w:cs="仿宋"/>
          <w:color w:val="auto"/>
          <w:sz w:val="24"/>
          <w:szCs w:val="24"/>
          <w:highlight w:val="none"/>
          <w:u w:val="single"/>
        </w:rPr>
        <w:t xml:space="preserve">（采购项目名称：）（采购项目编号：）（分包号：）</w:t>
      </w:r>
      <w:r>
        <w:rPr>
          <w:rFonts w:ascii="仿宋" w:hAnsi="仿宋" w:eastAsia="仿宋" w:cs="仿宋"/>
          <w:color w:val="auto"/>
          <w:sz w:val="24"/>
          <w:szCs w:val="24"/>
          <w:highlight w:val="none"/>
        </w:rPr>
        <w:t xml:space="preserve">的响应活动。经各方充分协商一致，就项目的响应和合同实施阶段的有关事务协商一致订立意向如下：</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一、分包意向各方关系</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（甲公司全称）为投标方、（乙公司全称）、（……公司全称）</w:t>
      </w:r>
      <w:r>
        <w:rPr>
          <w:rFonts w:ascii="仿宋" w:hAnsi="仿宋" w:eastAsia="仿宋" w:cs="仿宋"/>
          <w:color w:val="auto"/>
          <w:sz w:val="24"/>
          <w:szCs w:val="24"/>
          <w:highlight w:val="none"/>
        </w:rPr>
        <w:t xml:space="preserve">为分包意向供应商，</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二、有关事项约定如下：</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1.如中标，分包供应商分别与</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签订合同书，并就中标项目分包部分向采购人负责有连带的和各自的法律责任；</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1（公司全称）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 （具体分包内容）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3.分包意向供应商</w:t>
      </w:r>
      <w:r>
        <w:rPr>
          <w:rFonts w:ascii="仿宋" w:hAnsi="仿宋" w:eastAsia="仿宋" w:cs="仿宋"/>
          <w:color w:val="auto"/>
          <w:sz w:val="24"/>
          <w:szCs w:val="24"/>
          <w:highlight w:val="none"/>
          <w:u w:val="single"/>
        </w:rPr>
        <w:t xml:space="preserve">2（公司全称）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三、接受分包的企业与分包企业之间的关系：</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1.分包意向供应商</w:t>
      </w:r>
      <w:r>
        <w:rPr>
          <w:rFonts w:ascii="仿宋" w:hAnsi="仿宋" w:eastAsia="仿宋" w:cs="仿宋"/>
          <w:color w:val="auto"/>
          <w:sz w:val="24"/>
          <w:szCs w:val="24"/>
          <w:highlight w:val="none"/>
          <w:u w:val="single"/>
        </w:rPr>
        <w:t xml:space="preserve"> 1（公司全称）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 2（公司全称）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四、如因违约过失责任而导致采购人经济损失或被索赔时，</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同意无条件优先清偿采购人的一切债务和经济赔偿。</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五、如中标，分包意向供应商不得以任何理由提出终止本意向协议。</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六、本意向书在自签署之日起生效，有效期内有效，如获中标资格，有效期延续至合同履行完毕之日。</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七、本意向书正本一式</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份，随投标文件装订</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份，（甲公司全称）及各分包意向供应商各一份。</w:t>
      </w:r>
      <w:r/>
    </w:p>
    <w:p>
      <w:pPr>
        <w:pStyle w:val="1186"/>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甲公司全称：（盖章）</w:t>
      </w:r>
      <w:r/>
    </w:p>
    <w:p>
      <w:pPr>
        <w:pStyle w:val="1186"/>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86"/>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w:t>
      </w:r>
      <w:r/>
    </w:p>
    <w:p>
      <w:pPr>
        <w:pStyle w:val="1186"/>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乙公司全称：（盖章）</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 </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年 月 日</w:t>
      </w:r>
      <w:r/>
    </w:p>
    <w:p>
      <w:pPr>
        <w:pStyle w:val="1186"/>
        <w:ind w:firstLine="400"/>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……公司全称（盖章）</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 </w:t>
      </w:r>
      <w:r/>
    </w:p>
    <w:p>
      <w:pPr>
        <w:pStyle w:val="1186"/>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pStyle w:val="1186"/>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注：</w:t>
      </w:r>
      <w:r/>
    </w:p>
    <w:p>
      <w:pPr>
        <w:pStyle w:val="1186"/>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1．各方成员应在本意向书上共同盖章确认。 </w:t>
      </w:r>
      <w:r/>
    </w:p>
    <w:p>
      <w:pPr>
        <w:ind w:firstLine="482"/>
        <w:rPr>
          <w:rFonts w:ascii="仿宋" w:hAnsi="仿宋" w:eastAsia="仿宋" w:cs="仿宋"/>
          <w:color w:val="auto"/>
          <w:sz w:val="24"/>
          <w:highlight w:val="none"/>
        </w:rPr>
      </w:pPr>
      <w:r>
        <w:rPr>
          <w:rFonts w:hint="eastAsia" w:ascii="仿宋" w:hAnsi="仿宋" w:eastAsia="仿宋" w:cs="仿宋"/>
          <w:b/>
          <w:bCs/>
          <w:color w:val="auto"/>
          <w:sz w:val="24"/>
          <w:szCs w:val="24"/>
          <w:highlight w:val="none"/>
        </w:rPr>
        <w:t xml:space="preserve">2.本意向书内容将作为签订合同的附件之一。</w:t>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83"/>
        <w:ind w:firstLine="0"/>
        <w:spacing w:line="440" w:lineRule="exact"/>
        <w:rPr>
          <w:rFonts w:ascii="仿宋" w:hAnsi="仿宋" w:eastAsia="仿宋" w:cs="仿宋"/>
          <w:color w:val="auto"/>
          <w:highlight w:val="none"/>
        </w:rPr>
      </w:pPr>
      <w:r/>
      <w:bookmarkStart w:id="170" w:name="_Hlt26609389"/>
      <w:r/>
      <w:bookmarkEnd w:id="170"/>
      <w:r/>
      <w:bookmarkStart w:id="171" w:name="_Hlt26671374"/>
      <w:r/>
      <w:bookmarkEnd w:id="171"/>
      <w:r/>
      <w:bookmarkStart w:id="172" w:name="_Hlt26955066"/>
      <w:r/>
      <w:bookmarkEnd w:id="172"/>
      <w:r/>
      <w:bookmarkStart w:id="173" w:name="_Toc462564146"/>
      <w:r/>
      <w:bookmarkEnd w:id="173"/>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53"/>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53"/>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t xml:space="preserve">— </w:t>
                          </w:r>
                          <w:r>
                            <w:fldChar w:fldCharType="begin"/>
                          </w:r>
                          <w:r>
                            <w:instrText xml:space="preserve"> PAGE  \* MERGEFORMAT </w:instrText>
                          </w:r>
                          <w:r>
                            <w:fldChar w:fldCharType="separate"/>
                          </w:r>
                          <w:r>
                            <w:t xml:space="preserve">34</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t xml:space="preserve">— </w:t>
                    </w:r>
                    <w:r>
                      <w:fldChar w:fldCharType="begin"/>
                    </w:r>
                    <w:r>
                      <w:instrText xml:space="preserve"> PAGE  \* MERGEFORMAT </w:instrText>
                    </w:r>
                    <w:r>
                      <w:fldChar w:fldCharType="separate"/>
                    </w:r>
                    <w:r>
                      <w:t xml:space="preserve">34</w:t>
                    </w:r>
                    <w:r>
                      <w:fldChar w:fldCharType="end"/>
                    </w:r>
                    <w:r>
                      <w:t xml:space="preserve"> —</w:t>
                    </w:r>
                    <w:r/>
                  </w:p>
                </w:txbxContent>
              </v:textbox>
            </v:shape>
          </w:pict>
        </mc:Fallback>
      </mc:AlternateContent>
    </w:r>
    <w:r/>
  </w:p>
  <w:p>
    <w:pPr>
      <w:pStyle w:val="8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19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7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8"/>
  </w:num>
  <w:num w:numId="6">
    <w:abstractNumId w:val="1"/>
  </w:num>
  <w:num w:numId="7">
    <w:abstractNumId w:val="6"/>
  </w:num>
  <w:num w:numId="8">
    <w:abstractNumId w:val="7"/>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next w:val="723"/>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uiPriority w:val="9"/>
    <w:unhideWhenUsed/>
    <w:qFormat/>
    <w:pPr>
      <w:keepLines/>
      <w:keepNext/>
      <w:spacing w:before="320" w:after="200"/>
      <w:outlineLvl w:val="5"/>
    </w:pPr>
    <w:rPr>
      <w:rFonts w:ascii="Arial" w:hAnsi="Arial" w:eastAsia="Arial" w:cs="Arial"/>
      <w:b/>
      <w:bCs/>
      <w:sz w:val="22"/>
    </w:rPr>
  </w:style>
  <w:style w:type="paragraph" w:styleId="730">
    <w:name w:val="Heading 7"/>
    <w:basedOn w:val="723"/>
    <w:next w:val="723"/>
    <w:uiPriority w:val="9"/>
    <w:unhideWhenUsed/>
    <w:qFormat/>
    <w:pPr>
      <w:keepLines/>
      <w:keepNext/>
      <w:spacing w:before="320" w:after="200"/>
      <w:outlineLvl w:val="6"/>
    </w:pPr>
    <w:rPr>
      <w:rFonts w:ascii="Arial" w:hAnsi="Arial" w:eastAsia="Arial" w:cs="Arial"/>
      <w:b/>
      <w:bCs/>
      <w:i/>
      <w:iCs/>
      <w:sz w:val="22"/>
    </w:rPr>
  </w:style>
  <w:style w:type="paragraph" w:styleId="731">
    <w:name w:val="Heading 8"/>
    <w:basedOn w:val="723"/>
    <w:next w:val="723"/>
    <w:uiPriority w:val="9"/>
    <w:unhideWhenUsed/>
    <w:qFormat/>
    <w:pPr>
      <w:keepLines/>
      <w:keepNext/>
      <w:spacing w:before="320" w:after="200"/>
      <w:outlineLvl w:val="7"/>
    </w:pPr>
    <w:rPr>
      <w:rFonts w:ascii="Arial" w:hAnsi="Arial" w:eastAsia="Arial" w:cs="Arial"/>
      <w:i/>
      <w:iCs/>
      <w:sz w:val="22"/>
    </w:rPr>
  </w:style>
  <w:style w:type="paragraph" w:styleId="732">
    <w:name w:val="Heading 9"/>
    <w:basedOn w:val="723"/>
    <w:next w:val="723"/>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Normal Indent"/>
    <w:basedOn w:val="723"/>
    <w:next w:val="723"/>
    <w:uiPriority w:val="99"/>
    <w:qFormat/>
    <w:pPr>
      <w:ind w:firstLine="420"/>
    </w:pPr>
  </w:style>
  <w:style w:type="paragraph" w:styleId="737">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Body Text"/>
    <w:basedOn w:val="723"/>
    <w:next w:val="736"/>
    <w:uiPriority w:val="0"/>
    <w:qFormat/>
    <w:rPr>
      <w:rFonts w:ascii="楷体_GB2312" w:hAnsi="Arial" w:eastAsia="楷体_GB2312"/>
      <w:sz w:val="28"/>
      <w:szCs w:val="28"/>
    </w:rPr>
  </w:style>
  <w:style w:type="paragraph" w:styleId="739">
    <w:name w:val="Body Text Indent"/>
    <w:basedOn w:val="723"/>
    <w:next w:val="723"/>
    <w:uiPriority w:val="0"/>
    <w:qFormat/>
    <w:pPr>
      <w:ind w:firstLine="645"/>
    </w:pPr>
    <w:rPr>
      <w:rFonts w:ascii="楷体_GB2312" w:eastAsia="楷体_GB2312"/>
      <w:sz w:val="32"/>
      <w:szCs w:val="32"/>
    </w:rPr>
  </w:style>
  <w:style w:type="paragraph" w:styleId="740">
    <w:name w:val="toc 5"/>
    <w:basedOn w:val="723"/>
    <w:next w:val="723"/>
    <w:uiPriority w:val="39"/>
    <w:unhideWhenUsed/>
    <w:qFormat/>
    <w:pPr>
      <w:ind w:left="1134"/>
      <w:spacing w:after="57"/>
    </w:pPr>
  </w:style>
  <w:style w:type="paragraph" w:styleId="741">
    <w:name w:val="toc 3"/>
    <w:basedOn w:val="723"/>
    <w:next w:val="723"/>
    <w:uiPriority w:val="39"/>
    <w:unhideWhenUsed/>
    <w:qFormat/>
    <w:pPr>
      <w:ind w:left="567"/>
      <w:spacing w:after="57"/>
    </w:pPr>
  </w:style>
  <w:style w:type="paragraph" w:styleId="742">
    <w:name w:val="toc 8"/>
    <w:basedOn w:val="723"/>
    <w:next w:val="723"/>
    <w:uiPriority w:val="39"/>
    <w:unhideWhenUsed/>
    <w:qFormat/>
    <w:pPr>
      <w:ind w:left="1984"/>
      <w:spacing w:after="57"/>
    </w:pPr>
  </w:style>
  <w:style w:type="paragraph" w:styleId="743">
    <w:name w:val="endnote text"/>
    <w:basedOn w:val="723"/>
    <w:uiPriority w:val="99"/>
    <w:semiHidden/>
    <w:unhideWhenUsed/>
    <w:qFormat/>
    <w:rPr>
      <w:sz w:val="20"/>
    </w:rPr>
  </w:style>
  <w:style w:type="paragraph" w:styleId="744">
    <w:name w:val="Footer"/>
    <w:basedOn w:val="723"/>
    <w:uiPriority w:val="99"/>
    <w:unhideWhenUsed/>
    <w:qFormat/>
    <w:pPr>
      <w:tabs>
        <w:tab w:val="center" w:pos="7143" w:leader="none"/>
        <w:tab w:val="right" w:pos="14287" w:leader="none"/>
      </w:tabs>
    </w:pPr>
  </w:style>
  <w:style w:type="paragraph" w:styleId="745">
    <w:name w:val="Header"/>
    <w:basedOn w:val="723"/>
    <w:uiPriority w:val="99"/>
    <w:unhideWhenUsed/>
    <w:qFormat/>
    <w:pPr>
      <w:tabs>
        <w:tab w:val="center" w:pos="7143" w:leader="none"/>
        <w:tab w:val="right" w:pos="14287" w:leader="none"/>
      </w:tabs>
    </w:pPr>
  </w:style>
  <w:style w:type="paragraph" w:styleId="746">
    <w:name w:val="toc 1"/>
    <w:basedOn w:val="723"/>
    <w:next w:val="723"/>
    <w:uiPriority w:val="39"/>
    <w:unhideWhenUsed/>
    <w:qFormat/>
    <w:pPr>
      <w:spacing w:after="57"/>
    </w:pPr>
  </w:style>
  <w:style w:type="paragraph" w:styleId="747">
    <w:name w:val="toc 4"/>
    <w:basedOn w:val="723"/>
    <w:next w:val="723"/>
    <w:uiPriority w:val="39"/>
    <w:unhideWhenUsed/>
    <w:qFormat/>
    <w:pPr>
      <w:ind w:left="850"/>
      <w:spacing w:after="57"/>
    </w:pPr>
  </w:style>
  <w:style w:type="paragraph" w:styleId="748">
    <w:name w:val="Subtitle"/>
    <w:basedOn w:val="723"/>
    <w:next w:val="723"/>
    <w:uiPriority w:val="11"/>
    <w:qFormat/>
    <w:pPr>
      <w:spacing w:before="200" w:after="200"/>
    </w:pPr>
    <w:rPr>
      <w:sz w:val="24"/>
      <w:szCs w:val="24"/>
    </w:rPr>
  </w:style>
  <w:style w:type="paragraph" w:styleId="749">
    <w:name w:val="footnote text"/>
    <w:basedOn w:val="723"/>
    <w:uiPriority w:val="99"/>
    <w:semiHidden/>
    <w:unhideWhenUsed/>
    <w:qFormat/>
    <w:pPr>
      <w:spacing w:after="40"/>
    </w:pPr>
    <w:rPr>
      <w:sz w:val="18"/>
    </w:rPr>
  </w:style>
  <w:style w:type="paragraph" w:styleId="750">
    <w:name w:val="toc 6"/>
    <w:basedOn w:val="723"/>
    <w:next w:val="723"/>
    <w:uiPriority w:val="39"/>
    <w:unhideWhenUsed/>
    <w:qFormat/>
    <w:pPr>
      <w:ind w:left="1417"/>
      <w:spacing w:after="57"/>
    </w:pPr>
  </w:style>
  <w:style w:type="paragraph" w:styleId="751">
    <w:name w:val="table of figures"/>
    <w:basedOn w:val="723"/>
    <w:next w:val="723"/>
    <w:uiPriority w:val="99"/>
    <w:unhideWhenUsed/>
    <w:qFormat/>
  </w:style>
  <w:style w:type="paragraph" w:styleId="752">
    <w:name w:val="toc 2"/>
    <w:basedOn w:val="723"/>
    <w:next w:val="723"/>
    <w:uiPriority w:val="39"/>
    <w:unhideWhenUsed/>
    <w:qFormat/>
    <w:pPr>
      <w:ind w:left="283"/>
      <w:spacing w:after="57"/>
    </w:pPr>
  </w:style>
  <w:style w:type="paragraph" w:styleId="753">
    <w:name w:val="toc 9"/>
    <w:basedOn w:val="723"/>
    <w:next w:val="723"/>
    <w:uiPriority w:val="39"/>
    <w:unhideWhenUsed/>
    <w:qFormat/>
    <w:pPr>
      <w:ind w:left="2268"/>
      <w:spacing w:after="57"/>
    </w:pPr>
  </w:style>
  <w:style w:type="paragraph" w:styleId="754">
    <w:name w:val="Normal (Web)"/>
    <w:basedOn w:val="723"/>
    <w:uiPriority w:val="99"/>
    <w:qFormat/>
    <w:pPr>
      <w:jc w:val="left"/>
      <w:spacing w:before="100" w:beforeAutospacing="1" w:after="100" w:afterAutospacing="1"/>
      <w:widowControl/>
    </w:pPr>
    <w:rPr>
      <w:rFonts w:ascii="宋体" w:hAnsi="宋体" w:cs="宋体"/>
      <w:sz w:val="24"/>
      <w:szCs w:val="24"/>
    </w:rPr>
  </w:style>
  <w:style w:type="paragraph" w:styleId="755">
    <w:name w:val="Title"/>
    <w:basedOn w:val="723"/>
    <w:next w:val="739"/>
    <w:uiPriority w:val="10"/>
    <w:qFormat/>
    <w:pPr>
      <w:contextualSpacing/>
      <w:spacing w:before="300" w:after="200"/>
    </w:pPr>
    <w:rPr>
      <w:sz w:val="48"/>
      <w:szCs w:val="48"/>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Emphasis"/>
    <w:uiPriority w:val="0"/>
    <w:qFormat/>
    <w:rPr>
      <w:i/>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table" w:styleId="761"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正文文本11"/>
    <w:basedOn w:val="782"/>
    <w:next w:val="783"/>
    <w:uiPriority w:val="0"/>
    <w:qFormat/>
    <w:pPr>
      <w:spacing w:after="120"/>
    </w:pPr>
  </w:style>
  <w:style w:type="paragraph" w:styleId="782" w:customStyle="1">
    <w:name w:val="正文12"/>
    <w:next w:val="78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3" w:customStyle="1">
    <w:name w:val="正文缩进1"/>
    <w:basedOn w:val="723"/>
    <w:next w:val="723"/>
    <w:uiPriority w:val="0"/>
    <w:qFormat/>
    <w:pPr>
      <w:ind w:firstLine="420"/>
      <w:jc w:val="left"/>
    </w:pPr>
    <w:rPr>
      <w:rFonts w:ascii="宋体"/>
      <w:sz w:val="24"/>
    </w:rPr>
  </w:style>
  <w:style w:type="paragraph" w:styleId="784">
    <w:name w:val="List Paragraph"/>
    <w:basedOn w:val="723"/>
    <w:uiPriority w:val="34"/>
    <w:qFormat/>
    <w:pPr>
      <w:contextualSpacing/>
      <w:ind w:left="720"/>
    </w:pPr>
  </w:style>
  <w:style w:type="paragraph" w:styleId="785">
    <w:name w:val="No Spacing"/>
    <w:uiPriority w:val="1"/>
    <w:qFormat/>
    <w:rPr>
      <w:rFonts w:hint="default" w:ascii="Times New Roman" w:hAnsi="Times New Roman" w:eastAsia="宋体" w:cs="Times New Roman"/>
      <w:lang w:val="en-US" w:eastAsia="zh-CN" w:bidi="ar-SA"/>
    </w:rPr>
  </w:style>
  <w:style w:type="paragraph" w:styleId="786">
    <w:name w:val="Quote"/>
    <w:basedOn w:val="723"/>
    <w:next w:val="723"/>
    <w:uiPriority w:val="29"/>
    <w:qFormat/>
    <w:pPr>
      <w:ind w:left="720" w:right="720"/>
    </w:pPr>
    <w:rPr>
      <w:i/>
    </w:rPr>
  </w:style>
  <w:style w:type="paragraph" w:styleId="787">
    <w:name w:val="Intense Quote"/>
    <w:basedOn w:val="723"/>
    <w:next w:val="7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customStyle="1">
    <w:name w:val="标题 11"/>
    <w:basedOn w:val="723"/>
    <w:next w:val="723"/>
    <w:link w:val="807"/>
    <w:uiPriority w:val="0"/>
    <w:qFormat/>
    <w:pPr>
      <w:keepLines/>
      <w:keepNext/>
      <w:spacing w:before="480" w:after="200"/>
      <w:outlineLvl w:val="0"/>
    </w:pPr>
    <w:rPr>
      <w:rFonts w:ascii="Arial" w:hAnsi="Arial" w:eastAsia="Arial" w:cs="Arial"/>
      <w:sz w:val="40"/>
      <w:szCs w:val="40"/>
    </w:rPr>
  </w:style>
  <w:style w:type="paragraph" w:styleId="789" w:customStyle="1">
    <w:name w:val="标题 211"/>
    <w:basedOn w:val="723"/>
    <w:next w:val="790"/>
    <w:link w:val="808"/>
    <w:uiPriority w:val="0"/>
    <w:qFormat/>
    <w:pPr>
      <w:keepLines/>
      <w:keepNext/>
      <w:spacing w:before="260" w:after="260" w:line="413" w:lineRule="auto"/>
      <w:outlineLvl w:val="1"/>
    </w:pPr>
    <w:rPr>
      <w:rFonts w:ascii="Arial" w:hAnsi="Arial" w:eastAsia="黑体"/>
      <w:b/>
      <w:sz w:val="32"/>
      <w:szCs w:val="20"/>
    </w:rPr>
  </w:style>
  <w:style w:type="paragraph" w:styleId="790" w:customStyle="1">
    <w:name w:val="正文缩进11"/>
    <w:basedOn w:val="723"/>
    <w:next w:val="723"/>
    <w:link w:val="809"/>
    <w:uiPriority w:val="0"/>
    <w:qFormat/>
    <w:pPr>
      <w:ind w:firstLine="420"/>
    </w:pPr>
    <w:rPr>
      <w:rFonts w:ascii="宋体"/>
      <w:color w:val="000000"/>
      <w:sz w:val="24"/>
      <w:szCs w:val="20"/>
    </w:rPr>
  </w:style>
  <w:style w:type="paragraph" w:styleId="791" w:customStyle="1">
    <w:name w:val="标题 311"/>
    <w:basedOn w:val="792"/>
    <w:next w:val="793"/>
    <w:link w:val="810"/>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正文1"/>
    <w:next w:val="795"/>
    <w:uiPriority w:val="0"/>
    <w:qFormat/>
    <w:rPr>
      <w:rFonts w:hint="default" w:ascii="Times New Roman" w:hAnsi="Times New Roman" w:eastAsia="Times New Roman" w:cs="Times New Roman"/>
      <w:sz w:val="24"/>
      <w:szCs w:val="24"/>
      <w:lang w:val="en-US" w:eastAsia="zh-CN" w:bidi="ar-SA"/>
    </w:rPr>
  </w:style>
  <w:style w:type="paragraph" w:styleId="795" w:customStyle="1">
    <w:name w:val="Body Text First Indent1"/>
    <w:basedOn w:val="796"/>
    <w:uiPriority w:val="99"/>
    <w:unhideWhenUsed/>
    <w:qFormat/>
    <w:pPr>
      <w:ind w:firstLine="420"/>
    </w:pPr>
  </w:style>
  <w:style w:type="paragraph" w:styleId="796" w:customStyle="1">
    <w:name w:val="Body Text1"/>
    <w:basedOn w:val="797"/>
    <w:uiPriority w:val="99"/>
    <w:unhideWhenUsed/>
    <w:qFormat/>
    <w:pPr>
      <w:spacing w:after="120"/>
    </w:pPr>
  </w:style>
  <w:style w:type="paragraph" w:styleId="797"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8" w:customStyle="1">
    <w:name w:val="标题 411"/>
    <w:basedOn w:val="723"/>
    <w:next w:val="723"/>
    <w:link w:val="811"/>
    <w:uiPriority w:val="0"/>
    <w:qFormat/>
    <w:pPr>
      <w:jc w:val="center"/>
      <w:keepNext/>
      <w:outlineLvl w:val="3"/>
    </w:pPr>
    <w:rPr>
      <w:rFonts w:eastAsia="新宋体"/>
      <w:sz w:val="30"/>
      <w:szCs w:val="21"/>
    </w:rPr>
  </w:style>
  <w:style w:type="paragraph" w:styleId="799" w:customStyle="1">
    <w:name w:val="标题 51"/>
    <w:basedOn w:val="723"/>
    <w:next w:val="723"/>
    <w:link w:val="812"/>
    <w:uiPriority w:val="0"/>
    <w:qFormat/>
    <w:pPr>
      <w:keepLines/>
      <w:keepNext/>
      <w:spacing w:before="320" w:after="200"/>
      <w:outlineLvl w:val="4"/>
    </w:pPr>
    <w:rPr>
      <w:rFonts w:ascii="Arial" w:hAnsi="Arial" w:eastAsia="Arial" w:cs="Arial"/>
      <w:b/>
      <w:bCs/>
      <w:sz w:val="24"/>
      <w:szCs w:val="24"/>
    </w:rPr>
  </w:style>
  <w:style w:type="paragraph" w:styleId="800" w:customStyle="1">
    <w:name w:val="标题 61"/>
    <w:basedOn w:val="723"/>
    <w:next w:val="723"/>
    <w:link w:val="813"/>
    <w:uiPriority w:val="0"/>
    <w:qFormat/>
    <w:pPr>
      <w:keepLines/>
      <w:keepNext/>
      <w:spacing w:before="320" w:after="200"/>
      <w:outlineLvl w:val="5"/>
    </w:pPr>
    <w:rPr>
      <w:rFonts w:ascii="Arial" w:hAnsi="Arial" w:eastAsia="Arial" w:cs="Arial"/>
      <w:b/>
      <w:bCs/>
      <w:sz w:val="22"/>
    </w:rPr>
  </w:style>
  <w:style w:type="paragraph" w:styleId="801" w:customStyle="1">
    <w:name w:val="标题 71"/>
    <w:basedOn w:val="723"/>
    <w:next w:val="723"/>
    <w:link w:val="814"/>
    <w:uiPriority w:val="0"/>
    <w:qFormat/>
    <w:pPr>
      <w:keepLines/>
      <w:keepNext/>
      <w:spacing w:before="320" w:after="200"/>
      <w:outlineLvl w:val="6"/>
    </w:pPr>
    <w:rPr>
      <w:rFonts w:ascii="Arial" w:hAnsi="Arial" w:eastAsia="Arial" w:cs="Arial"/>
      <w:b/>
      <w:bCs/>
      <w:i/>
      <w:iCs/>
      <w:sz w:val="22"/>
    </w:rPr>
  </w:style>
  <w:style w:type="paragraph" w:styleId="802" w:customStyle="1">
    <w:name w:val="标题 81"/>
    <w:basedOn w:val="723"/>
    <w:next w:val="723"/>
    <w:link w:val="815"/>
    <w:uiPriority w:val="0"/>
    <w:qFormat/>
    <w:pPr>
      <w:keepLines/>
      <w:keepNext/>
      <w:spacing w:before="320" w:after="200"/>
      <w:outlineLvl w:val="7"/>
    </w:pPr>
    <w:rPr>
      <w:rFonts w:ascii="Arial" w:hAnsi="Arial" w:eastAsia="Arial" w:cs="Arial"/>
      <w:i/>
      <w:iCs/>
      <w:sz w:val="22"/>
    </w:rPr>
  </w:style>
  <w:style w:type="paragraph" w:styleId="803" w:customStyle="1">
    <w:name w:val="标题 91"/>
    <w:basedOn w:val="723"/>
    <w:next w:val="723"/>
    <w:link w:val="816"/>
    <w:uiPriority w:val="0"/>
    <w:qFormat/>
    <w:pPr>
      <w:keepLines/>
      <w:keepNext/>
      <w:spacing w:before="320" w:after="200"/>
      <w:outlineLvl w:val="8"/>
    </w:pPr>
    <w:rPr>
      <w:rFonts w:ascii="Arial" w:hAnsi="Arial" w:eastAsia="Arial" w:cs="Arial"/>
      <w:i/>
      <w:iCs/>
      <w:szCs w:val="21"/>
    </w:rPr>
  </w:style>
  <w:style w:type="character" w:styleId="804" w:customStyle="1">
    <w:name w:val="默认段落字体11"/>
    <w:uiPriority w:val="1"/>
    <w:unhideWhenUsed/>
    <w:qFormat/>
  </w:style>
  <w:style w:type="table" w:styleId="805" w:customStyle="1">
    <w:name w:val="普通表格1"/>
    <w:uiPriority w:val="99"/>
    <w:unhideWhenUsed/>
    <w:qFormat/>
    <w:tblPr>
      <w:tblCellMar>
        <w:left w:w="0" w:type="dxa"/>
        <w:top w:w="0" w:type="dxa"/>
        <w:right w:w="0" w:type="dxa"/>
        <w:bottom w:w="0" w:type="dxa"/>
      </w:tblCellMar>
    </w:tblPr>
  </w:style>
  <w:style w:type="character" w:styleId="806" w:customStyle="1">
    <w:name w:val="页码1"/>
    <w:uiPriority w:val="0"/>
    <w:qFormat/>
    <w:rPr>
      <w:rFonts w:ascii="Calibri" w:hAnsi="Calibri"/>
      <w:sz w:val="21"/>
      <w:szCs w:val="22"/>
      <w:lang w:val="en-US" w:eastAsia="zh-CN" w:bidi="ar-SA"/>
    </w:rPr>
  </w:style>
  <w:style w:type="character" w:styleId="807" w:customStyle="1">
    <w:name w:val="标题 1 字符"/>
    <w:link w:val="788"/>
    <w:uiPriority w:val="0"/>
    <w:qFormat/>
    <w:rPr>
      <w:rFonts w:ascii="Arial" w:hAnsi="Arial" w:eastAsia="Arial" w:cs="Arial"/>
      <w:sz w:val="40"/>
      <w:szCs w:val="40"/>
    </w:rPr>
  </w:style>
  <w:style w:type="character" w:styleId="808" w:customStyle="1">
    <w:name w:val="标题 2 字符"/>
    <w:link w:val="789"/>
    <w:uiPriority w:val="0"/>
    <w:qFormat/>
    <w:rPr>
      <w:rFonts w:ascii="Arial" w:hAnsi="Arial" w:eastAsia="Arial" w:cs="Arial"/>
      <w:sz w:val="34"/>
    </w:rPr>
  </w:style>
  <w:style w:type="character" w:styleId="809" w:customStyle="1">
    <w:name w:val="正文缩进 字符"/>
    <w:link w:val="790"/>
    <w:uiPriority w:val="0"/>
    <w:qFormat/>
    <w:rPr>
      <w:rFonts w:ascii="宋体" w:hAnsi="Calibri"/>
      <w:color w:val="000000"/>
      <w:sz w:val="24"/>
    </w:rPr>
  </w:style>
  <w:style w:type="character" w:styleId="810" w:customStyle="1">
    <w:name w:val="标题 3 字符"/>
    <w:link w:val="791"/>
    <w:uiPriority w:val="0"/>
    <w:qFormat/>
    <w:rPr>
      <w:rFonts w:ascii="Arial" w:hAnsi="Arial" w:eastAsia="Arial" w:cs="Arial"/>
      <w:sz w:val="30"/>
      <w:szCs w:val="30"/>
    </w:rPr>
  </w:style>
  <w:style w:type="character" w:styleId="811" w:customStyle="1">
    <w:name w:val="标题 4 字符"/>
    <w:link w:val="798"/>
    <w:uiPriority w:val="0"/>
    <w:qFormat/>
    <w:rPr>
      <w:rFonts w:ascii="Arial" w:hAnsi="Arial" w:eastAsia="Arial" w:cs="Arial"/>
      <w:b/>
      <w:bCs/>
      <w:sz w:val="26"/>
      <w:szCs w:val="26"/>
    </w:rPr>
  </w:style>
  <w:style w:type="character" w:styleId="812" w:customStyle="1">
    <w:name w:val="标题 5 字符"/>
    <w:link w:val="799"/>
    <w:uiPriority w:val="0"/>
    <w:qFormat/>
    <w:rPr>
      <w:rFonts w:ascii="Arial" w:hAnsi="Arial" w:eastAsia="Arial" w:cs="Arial"/>
      <w:b/>
      <w:bCs/>
      <w:sz w:val="24"/>
      <w:szCs w:val="24"/>
    </w:rPr>
  </w:style>
  <w:style w:type="character" w:styleId="813" w:customStyle="1">
    <w:name w:val="标题 6 字符"/>
    <w:link w:val="800"/>
    <w:uiPriority w:val="0"/>
    <w:qFormat/>
    <w:rPr>
      <w:rFonts w:ascii="Arial" w:hAnsi="Arial" w:eastAsia="Arial" w:cs="Arial"/>
      <w:b/>
      <w:bCs/>
      <w:sz w:val="22"/>
      <w:szCs w:val="22"/>
    </w:rPr>
  </w:style>
  <w:style w:type="character" w:styleId="814" w:customStyle="1">
    <w:name w:val="标题 7 字符"/>
    <w:link w:val="801"/>
    <w:uiPriority w:val="0"/>
    <w:qFormat/>
    <w:rPr>
      <w:rFonts w:ascii="Arial" w:hAnsi="Arial" w:eastAsia="Arial" w:cs="Arial"/>
      <w:b/>
      <w:bCs/>
      <w:i/>
      <w:iCs/>
      <w:sz w:val="22"/>
      <w:szCs w:val="22"/>
    </w:rPr>
  </w:style>
  <w:style w:type="character" w:styleId="815" w:customStyle="1">
    <w:name w:val="标题 8 字符"/>
    <w:link w:val="802"/>
    <w:uiPriority w:val="0"/>
    <w:qFormat/>
    <w:rPr>
      <w:rFonts w:ascii="Arial" w:hAnsi="Arial" w:eastAsia="Arial" w:cs="Arial"/>
      <w:i/>
      <w:iCs/>
      <w:sz w:val="22"/>
      <w:szCs w:val="22"/>
    </w:rPr>
  </w:style>
  <w:style w:type="character" w:styleId="816" w:customStyle="1">
    <w:name w:val="标题 9 字符"/>
    <w:link w:val="803"/>
    <w:uiPriority w:val="0"/>
    <w:qFormat/>
    <w:rPr>
      <w:rFonts w:ascii="Arial" w:hAnsi="Arial" w:eastAsia="Arial" w:cs="Arial"/>
      <w:i/>
      <w:iCs/>
      <w:sz w:val="21"/>
      <w:szCs w:val="21"/>
    </w:rPr>
  </w:style>
  <w:style w:type="paragraph" w:styleId="817" w:customStyle="1">
    <w:name w:val="列表 31"/>
    <w:basedOn w:val="723"/>
    <w:uiPriority w:val="0"/>
    <w:qFormat/>
    <w:pPr>
      <w:ind w:left="100" w:hanging="200"/>
    </w:pPr>
    <w:rPr>
      <w:rFonts w:ascii="Times New Roman" w:hAnsi="Times New Roman"/>
      <w:szCs w:val="21"/>
    </w:rPr>
  </w:style>
  <w:style w:type="paragraph" w:styleId="818" w:customStyle="1">
    <w:name w:val="目录 71"/>
    <w:basedOn w:val="723"/>
    <w:next w:val="723"/>
    <w:uiPriority w:val="0"/>
    <w:unhideWhenUsed/>
    <w:qFormat/>
    <w:pPr>
      <w:ind w:left="1701"/>
      <w:spacing w:after="57"/>
    </w:pPr>
  </w:style>
  <w:style w:type="paragraph" w:styleId="819" w:customStyle="1">
    <w:name w:val="题注1"/>
    <w:basedOn w:val="723"/>
    <w:next w:val="723"/>
    <w:uiPriority w:val="35"/>
    <w:qFormat/>
    <w:pPr>
      <w:spacing w:line="276" w:lineRule="auto"/>
    </w:pPr>
    <w:rPr>
      <w:b/>
      <w:bCs/>
      <w:color w:val="5b9bd5"/>
      <w:sz w:val="18"/>
      <w:szCs w:val="18"/>
    </w:rPr>
  </w:style>
  <w:style w:type="paragraph" w:styleId="820" w:customStyle="1">
    <w:name w:val="文档结构图1"/>
    <w:basedOn w:val="723"/>
    <w:link w:val="821"/>
    <w:uiPriority w:val="0"/>
    <w:semiHidden/>
    <w:qFormat/>
    <w:pPr>
      <w:shd w:val="clear" w:color="auto" w:fill="000080"/>
    </w:pPr>
    <w:rPr>
      <w:rFonts w:ascii="Times New Roman" w:hAnsi="Times New Roman"/>
      <w:szCs w:val="21"/>
    </w:rPr>
  </w:style>
  <w:style w:type="character" w:styleId="821" w:customStyle="1">
    <w:name w:val="文档结构图 字符"/>
    <w:link w:val="820"/>
    <w:uiPriority w:val="0"/>
    <w:semiHidden/>
    <w:qFormat/>
    <w:rPr>
      <w:sz w:val="21"/>
      <w:szCs w:val="21"/>
      <w:shd w:val="clear" w:color="auto" w:fill="000080"/>
    </w:rPr>
  </w:style>
  <w:style w:type="paragraph" w:styleId="822" w:customStyle="1">
    <w:name w:val="批注文字1"/>
    <w:basedOn w:val="723"/>
    <w:link w:val="823"/>
    <w:uiPriority w:val="0"/>
    <w:semiHidden/>
    <w:qFormat/>
    <w:pPr>
      <w:jc w:val="left"/>
    </w:pPr>
    <w:rPr>
      <w:rFonts w:ascii="Times New Roman" w:hAnsi="Times New Roman"/>
      <w:szCs w:val="21"/>
    </w:rPr>
  </w:style>
  <w:style w:type="character" w:styleId="823" w:customStyle="1">
    <w:name w:val="批注文字 字符"/>
    <w:link w:val="822"/>
    <w:uiPriority w:val="0"/>
    <w:semiHidden/>
    <w:qFormat/>
    <w:rPr>
      <w:sz w:val="21"/>
      <w:szCs w:val="21"/>
    </w:rPr>
  </w:style>
  <w:style w:type="paragraph" w:styleId="824" w:customStyle="1">
    <w:name w:val="正文文本 31"/>
    <w:basedOn w:val="723"/>
    <w:link w:val="825"/>
    <w:uiPriority w:val="0"/>
    <w:qFormat/>
    <w:rPr>
      <w:rFonts w:ascii="仿宋_GB2312" w:hAnsi="Arial" w:eastAsia="仿宋_GB2312"/>
      <w:sz w:val="32"/>
      <w:szCs w:val="32"/>
    </w:rPr>
  </w:style>
  <w:style w:type="character" w:styleId="825" w:customStyle="1">
    <w:name w:val="正文文本 3 字符"/>
    <w:link w:val="824"/>
    <w:uiPriority w:val="0"/>
    <w:qFormat/>
    <w:rPr>
      <w:rFonts w:ascii="仿宋_GB2312" w:hAnsi="Arial" w:eastAsia="仿宋_GB2312"/>
      <w:sz w:val="32"/>
      <w:szCs w:val="32"/>
    </w:rPr>
  </w:style>
  <w:style w:type="paragraph" w:styleId="826" w:customStyle="1">
    <w:name w:val="正文文本111"/>
    <w:basedOn w:val="723"/>
    <w:uiPriority w:val="0"/>
    <w:semiHidden/>
    <w:qFormat/>
    <w:rPr>
      <w:rFonts w:ascii="仿宋" w:hAnsi="仿宋" w:eastAsia="仿宋" w:cs="仿宋"/>
      <w:sz w:val="32"/>
      <w:szCs w:val="32"/>
      <w:lang w:eastAsia="en-US"/>
    </w:rPr>
  </w:style>
  <w:style w:type="paragraph" w:styleId="827" w:customStyle="1">
    <w:name w:val="正文文本缩进111"/>
    <w:basedOn w:val="723"/>
    <w:link w:val="828"/>
    <w:uiPriority w:val="0"/>
    <w:qFormat/>
    <w:pPr>
      <w:ind w:firstLine="225"/>
    </w:pPr>
    <w:rPr>
      <w:rFonts w:ascii="仿宋_GB2312" w:eastAsia="仿宋_GB2312"/>
      <w:sz w:val="32"/>
    </w:rPr>
  </w:style>
  <w:style w:type="character" w:styleId="828" w:customStyle="1">
    <w:name w:val="正文文本缩进 字符1"/>
    <w:link w:val="827"/>
    <w:uiPriority w:val="0"/>
    <w:qFormat/>
    <w:rPr>
      <w:rFonts w:ascii="仿宋_GB2312" w:hAnsi="Calibri" w:eastAsia="仿宋_GB2312"/>
      <w:sz w:val="32"/>
      <w:szCs w:val="22"/>
    </w:rPr>
  </w:style>
  <w:style w:type="paragraph" w:styleId="829" w:customStyle="1">
    <w:name w:val="列表 21"/>
    <w:basedOn w:val="723"/>
    <w:uiPriority w:val="0"/>
    <w:qFormat/>
    <w:pPr>
      <w:ind w:left="100" w:hanging="200"/>
    </w:pPr>
    <w:rPr>
      <w:rFonts w:ascii="Times New Roman" w:hAnsi="Times New Roman"/>
      <w:szCs w:val="21"/>
    </w:rPr>
  </w:style>
  <w:style w:type="paragraph" w:styleId="830" w:customStyle="1">
    <w:name w:val="目录 51"/>
    <w:basedOn w:val="723"/>
    <w:next w:val="723"/>
    <w:uiPriority w:val="0"/>
    <w:unhideWhenUsed/>
    <w:qFormat/>
    <w:pPr>
      <w:ind w:left="1134"/>
      <w:spacing w:after="57"/>
    </w:pPr>
  </w:style>
  <w:style w:type="paragraph" w:styleId="831" w:customStyle="1">
    <w:name w:val="目录 31"/>
    <w:basedOn w:val="723"/>
    <w:next w:val="723"/>
    <w:uiPriority w:val="0"/>
    <w:unhideWhenUsed/>
    <w:qFormat/>
    <w:pPr>
      <w:ind w:left="567"/>
      <w:spacing w:after="57"/>
    </w:pPr>
  </w:style>
  <w:style w:type="paragraph" w:styleId="832" w:customStyle="1">
    <w:name w:val="纯文本11"/>
    <w:basedOn w:val="723"/>
    <w:link w:val="833"/>
    <w:uiPriority w:val="0"/>
    <w:qFormat/>
    <w:rPr>
      <w:rFonts w:ascii="宋体" w:hAnsi="Courier New" w:cs="Courier New"/>
      <w:szCs w:val="21"/>
    </w:rPr>
  </w:style>
  <w:style w:type="character" w:styleId="833" w:customStyle="1">
    <w:name w:val="纯文本 字符"/>
    <w:link w:val="832"/>
    <w:uiPriority w:val="0"/>
    <w:qFormat/>
    <w:rPr>
      <w:rFonts w:ascii="宋体" w:hAnsi="Courier New" w:cs="Courier New"/>
      <w:sz w:val="21"/>
      <w:szCs w:val="21"/>
    </w:rPr>
  </w:style>
  <w:style w:type="paragraph" w:styleId="834" w:customStyle="1">
    <w:name w:val="目录 81"/>
    <w:basedOn w:val="723"/>
    <w:next w:val="723"/>
    <w:uiPriority w:val="0"/>
    <w:unhideWhenUsed/>
    <w:qFormat/>
    <w:pPr>
      <w:ind w:left="1984"/>
      <w:spacing w:after="57"/>
    </w:pPr>
  </w:style>
  <w:style w:type="paragraph" w:styleId="835" w:customStyle="1">
    <w:name w:val="日期1"/>
    <w:basedOn w:val="723"/>
    <w:next w:val="723"/>
    <w:link w:val="836"/>
    <w:uiPriority w:val="0"/>
    <w:qFormat/>
    <w:rPr>
      <w:rFonts w:ascii="Times New Roman" w:hAnsi="Times New Roman"/>
      <w:sz w:val="24"/>
      <w:szCs w:val="24"/>
    </w:rPr>
  </w:style>
  <w:style w:type="character" w:styleId="836" w:customStyle="1">
    <w:name w:val="日期 字符"/>
    <w:link w:val="835"/>
    <w:uiPriority w:val="0"/>
    <w:qFormat/>
    <w:rPr>
      <w:sz w:val="24"/>
      <w:szCs w:val="24"/>
    </w:rPr>
  </w:style>
  <w:style w:type="paragraph" w:styleId="837" w:customStyle="1">
    <w:name w:val="正文文本缩进 21"/>
    <w:basedOn w:val="723"/>
    <w:link w:val="838"/>
    <w:uiPriority w:val="0"/>
    <w:qFormat/>
    <w:pPr>
      <w:ind w:left="630" w:firstLine="645"/>
    </w:pPr>
    <w:rPr>
      <w:rFonts w:ascii="Arial" w:hAnsi="Arial" w:eastAsia="仿宋_GB2312" w:cs="Arial"/>
      <w:sz w:val="32"/>
      <w:szCs w:val="32"/>
    </w:rPr>
  </w:style>
  <w:style w:type="character" w:styleId="838" w:customStyle="1">
    <w:name w:val="正文文本缩进 2 字符"/>
    <w:link w:val="837"/>
    <w:uiPriority w:val="0"/>
    <w:qFormat/>
    <w:rPr>
      <w:rFonts w:ascii="Arial" w:hAnsi="Arial" w:eastAsia="仿宋_GB2312" w:cs="Arial"/>
      <w:sz w:val="32"/>
      <w:szCs w:val="32"/>
    </w:rPr>
  </w:style>
  <w:style w:type="paragraph" w:styleId="839" w:customStyle="1">
    <w:name w:val="尾注文本1"/>
    <w:basedOn w:val="723"/>
    <w:link w:val="840"/>
    <w:uiPriority w:val="99"/>
    <w:unhideWhenUsed/>
    <w:qFormat/>
    <w:rPr>
      <w:sz w:val="20"/>
    </w:rPr>
  </w:style>
  <w:style w:type="character" w:styleId="840" w:customStyle="1">
    <w:name w:val="尾注文本 字符"/>
    <w:link w:val="839"/>
    <w:uiPriority w:val="99"/>
    <w:qFormat/>
    <w:rPr>
      <w:sz w:val="20"/>
    </w:rPr>
  </w:style>
  <w:style w:type="paragraph" w:styleId="841" w:customStyle="1">
    <w:name w:val="批注框文本1"/>
    <w:basedOn w:val="723"/>
    <w:link w:val="842"/>
    <w:uiPriority w:val="0"/>
    <w:qFormat/>
    <w:rPr>
      <w:rFonts w:ascii="Times New Roman" w:hAnsi="Times New Roman"/>
      <w:sz w:val="18"/>
      <w:szCs w:val="18"/>
    </w:rPr>
  </w:style>
  <w:style w:type="character" w:styleId="842" w:customStyle="1">
    <w:name w:val="批注框文本 字符"/>
    <w:link w:val="841"/>
    <w:uiPriority w:val="0"/>
    <w:qFormat/>
    <w:rPr>
      <w:sz w:val="18"/>
      <w:szCs w:val="18"/>
    </w:rPr>
  </w:style>
  <w:style w:type="paragraph" w:styleId="843" w:customStyle="1">
    <w:name w:val="页脚11"/>
    <w:basedOn w:val="723"/>
    <w:link w:val="844"/>
    <w:uiPriority w:val="99"/>
    <w:qFormat/>
    <w:pPr>
      <w:jc w:val="left"/>
      <w:tabs>
        <w:tab w:val="center" w:pos="4153" w:leader="none"/>
        <w:tab w:val="right" w:pos="8306" w:leader="none"/>
      </w:tabs>
    </w:pPr>
    <w:rPr>
      <w:sz w:val="18"/>
      <w:szCs w:val="18"/>
    </w:rPr>
  </w:style>
  <w:style w:type="character" w:styleId="844" w:customStyle="1">
    <w:name w:val="页脚 字符"/>
    <w:link w:val="843"/>
    <w:uiPriority w:val="99"/>
    <w:qFormat/>
  </w:style>
  <w:style w:type="paragraph" w:styleId="845" w:customStyle="1">
    <w:name w:val="页眉11"/>
    <w:basedOn w:val="723"/>
    <w:link w:val="846"/>
    <w:uiPriority w:val="0"/>
    <w:qFormat/>
    <w:pPr>
      <w:jc w:val="center"/>
      <w:tabs>
        <w:tab w:val="center" w:pos="4153" w:leader="none"/>
        <w:tab w:val="right" w:pos="8306" w:leader="none"/>
      </w:tabs>
    </w:pPr>
    <w:rPr>
      <w:sz w:val="18"/>
      <w:szCs w:val="18"/>
    </w:rPr>
  </w:style>
  <w:style w:type="character" w:styleId="846" w:customStyle="1">
    <w:name w:val="页眉 字符"/>
    <w:link w:val="845"/>
    <w:uiPriority w:val="0"/>
    <w:qFormat/>
    <w:rPr>
      <w:rFonts w:ascii="Calibri" w:hAnsi="Calibri"/>
      <w:sz w:val="18"/>
      <w:szCs w:val="18"/>
    </w:rPr>
  </w:style>
  <w:style w:type="paragraph" w:styleId="847" w:customStyle="1">
    <w:name w:val="目录 11"/>
    <w:basedOn w:val="723"/>
    <w:next w:val="723"/>
    <w:uiPriority w:val="0"/>
    <w:qFormat/>
    <w:pPr>
      <w:jc w:val="left"/>
      <w:spacing w:before="120" w:after="120"/>
    </w:pPr>
    <w:rPr>
      <w:rFonts w:cs="Calibri"/>
      <w:b/>
      <w:bCs/>
      <w:caps/>
      <w:sz w:val="20"/>
      <w:szCs w:val="20"/>
    </w:rPr>
  </w:style>
  <w:style w:type="paragraph" w:styleId="848" w:customStyle="1">
    <w:name w:val="目录 41"/>
    <w:basedOn w:val="723"/>
    <w:next w:val="723"/>
    <w:uiPriority w:val="0"/>
    <w:unhideWhenUsed/>
    <w:qFormat/>
    <w:pPr>
      <w:ind w:left="850"/>
      <w:spacing w:after="57"/>
    </w:pPr>
  </w:style>
  <w:style w:type="paragraph" w:styleId="849" w:customStyle="1">
    <w:name w:val="副标题1"/>
    <w:basedOn w:val="723"/>
    <w:next w:val="723"/>
    <w:link w:val="850"/>
    <w:uiPriority w:val="11"/>
    <w:qFormat/>
    <w:pPr>
      <w:spacing w:before="200" w:after="200"/>
    </w:pPr>
    <w:rPr>
      <w:sz w:val="24"/>
      <w:szCs w:val="24"/>
    </w:rPr>
  </w:style>
  <w:style w:type="character" w:styleId="850" w:customStyle="1">
    <w:name w:val="副标题 字符"/>
    <w:link w:val="849"/>
    <w:uiPriority w:val="11"/>
    <w:qFormat/>
    <w:rPr>
      <w:sz w:val="24"/>
      <w:szCs w:val="24"/>
    </w:rPr>
  </w:style>
  <w:style w:type="paragraph" w:styleId="851" w:customStyle="1">
    <w:name w:val="列表1"/>
    <w:basedOn w:val="723"/>
    <w:uiPriority w:val="0"/>
    <w:qFormat/>
    <w:pPr>
      <w:ind w:left="200" w:hanging="200"/>
    </w:pPr>
    <w:rPr>
      <w:rFonts w:ascii="Times New Roman" w:hAnsi="Times New Roman"/>
      <w:szCs w:val="21"/>
    </w:rPr>
  </w:style>
  <w:style w:type="paragraph" w:styleId="852" w:customStyle="1">
    <w:name w:val="脚注文本11"/>
    <w:basedOn w:val="723"/>
    <w:link w:val="853"/>
    <w:uiPriority w:val="99"/>
    <w:unhideWhenUsed/>
    <w:qFormat/>
    <w:pPr>
      <w:spacing w:after="40"/>
    </w:pPr>
    <w:rPr>
      <w:sz w:val="18"/>
    </w:rPr>
  </w:style>
  <w:style w:type="character" w:styleId="853" w:customStyle="1">
    <w:name w:val="脚注文本 字符"/>
    <w:link w:val="852"/>
    <w:uiPriority w:val="99"/>
    <w:qFormat/>
    <w:rPr>
      <w:sz w:val="18"/>
    </w:rPr>
  </w:style>
  <w:style w:type="paragraph" w:styleId="854" w:customStyle="1">
    <w:name w:val="目录 61"/>
    <w:basedOn w:val="723"/>
    <w:next w:val="723"/>
    <w:uiPriority w:val="0"/>
    <w:unhideWhenUsed/>
    <w:qFormat/>
    <w:pPr>
      <w:ind w:left="1417"/>
      <w:spacing w:after="57"/>
    </w:pPr>
  </w:style>
  <w:style w:type="paragraph" w:styleId="855" w:customStyle="1">
    <w:name w:val="正文文本缩进 31"/>
    <w:basedOn w:val="723"/>
    <w:link w:val="856"/>
    <w:uiPriority w:val="0"/>
    <w:qFormat/>
    <w:pPr>
      <w:ind w:left="645" w:firstLine="645"/>
    </w:pPr>
    <w:rPr>
      <w:rFonts w:ascii="Arial" w:hAnsi="Arial" w:eastAsia="仿宋_GB2312" w:cs="Arial"/>
      <w:color w:val="ffff00"/>
      <w:sz w:val="32"/>
      <w:szCs w:val="32"/>
    </w:rPr>
  </w:style>
  <w:style w:type="character" w:styleId="856" w:customStyle="1">
    <w:name w:val="正文文本缩进 3 字符"/>
    <w:link w:val="855"/>
    <w:uiPriority w:val="0"/>
    <w:qFormat/>
    <w:rPr>
      <w:rFonts w:ascii="Arial" w:hAnsi="Arial" w:eastAsia="仿宋_GB2312" w:cs="Arial"/>
      <w:color w:val="ffff00"/>
      <w:sz w:val="32"/>
      <w:szCs w:val="32"/>
    </w:rPr>
  </w:style>
  <w:style w:type="paragraph" w:styleId="857" w:customStyle="1">
    <w:name w:val="图表目录1"/>
    <w:basedOn w:val="723"/>
    <w:next w:val="723"/>
    <w:uiPriority w:val="0"/>
    <w:unhideWhenUsed/>
    <w:qFormat/>
  </w:style>
  <w:style w:type="paragraph" w:styleId="858" w:customStyle="1">
    <w:name w:val="目录 21"/>
    <w:basedOn w:val="723"/>
    <w:next w:val="723"/>
    <w:uiPriority w:val="0"/>
    <w:qFormat/>
    <w:pPr>
      <w:ind w:left="210"/>
      <w:jc w:val="left"/>
    </w:pPr>
    <w:rPr>
      <w:rFonts w:cs="Calibri"/>
      <w:smallCaps/>
      <w:sz w:val="20"/>
      <w:szCs w:val="20"/>
    </w:rPr>
  </w:style>
  <w:style w:type="paragraph" w:styleId="859" w:customStyle="1">
    <w:name w:val="目录 91"/>
    <w:basedOn w:val="723"/>
    <w:next w:val="723"/>
    <w:uiPriority w:val="0"/>
    <w:unhideWhenUsed/>
    <w:qFormat/>
    <w:pPr>
      <w:ind w:left="2268"/>
      <w:spacing w:after="57"/>
    </w:pPr>
  </w:style>
  <w:style w:type="paragraph" w:styleId="860" w:customStyle="1">
    <w:name w:val="正文文本 21"/>
    <w:basedOn w:val="723"/>
    <w:link w:val="861"/>
    <w:uiPriority w:val="0"/>
    <w:qFormat/>
    <w:pPr>
      <w:jc w:val="center"/>
      <w:widowControl/>
    </w:pPr>
    <w:rPr>
      <w:rFonts w:ascii="楷体_GB2312" w:hAnsi="Times New Roman" w:eastAsia="楷体_GB2312"/>
      <w:sz w:val="28"/>
      <w:szCs w:val="28"/>
    </w:rPr>
  </w:style>
  <w:style w:type="character" w:styleId="861" w:customStyle="1">
    <w:name w:val="正文文本 2 字符"/>
    <w:link w:val="860"/>
    <w:uiPriority w:val="0"/>
    <w:qFormat/>
    <w:rPr>
      <w:rFonts w:ascii="楷体_GB2312" w:eastAsia="楷体_GB2312"/>
      <w:sz w:val="28"/>
      <w:szCs w:val="28"/>
    </w:rPr>
  </w:style>
  <w:style w:type="paragraph" w:styleId="862" w:customStyle="1">
    <w:name w:val="HTML 预设格式1"/>
    <w:basedOn w:val="723"/>
    <w:link w:val="8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3" w:customStyle="1">
    <w:name w:val="HTML 预设格式 字符"/>
    <w:link w:val="862"/>
    <w:uiPriority w:val="99"/>
    <w:qFormat/>
    <w:rPr>
      <w:rFonts w:ascii="宋体" w:hAnsi="宋体"/>
      <w:sz w:val="24"/>
      <w:szCs w:val="24"/>
    </w:rPr>
  </w:style>
  <w:style w:type="paragraph" w:styleId="864" w:customStyle="1">
    <w:name w:val="普通(网站)111"/>
    <w:basedOn w:val="723"/>
    <w:uiPriority w:val="99"/>
    <w:qFormat/>
    <w:pPr>
      <w:jc w:val="left"/>
      <w:spacing w:before="100" w:beforeAutospacing="1" w:after="100" w:afterAutospacing="1"/>
      <w:widowControl/>
    </w:pPr>
    <w:rPr>
      <w:rFonts w:ascii="宋体" w:hAnsi="宋体" w:cs="宋体"/>
      <w:sz w:val="24"/>
      <w:szCs w:val="24"/>
    </w:rPr>
  </w:style>
  <w:style w:type="paragraph" w:styleId="865" w:customStyle="1">
    <w:name w:val="索引 11"/>
    <w:basedOn w:val="723"/>
    <w:next w:val="723"/>
    <w:uiPriority w:val="0"/>
    <w:semiHidden/>
    <w:qFormat/>
    <w:pPr>
      <w:spacing w:line="240" w:lineRule="atLeast"/>
    </w:pPr>
    <w:rPr>
      <w:rFonts w:ascii="Times New Roman" w:hAnsi="Times New Roman"/>
      <w:b/>
      <w:bCs/>
      <w:szCs w:val="21"/>
    </w:rPr>
  </w:style>
  <w:style w:type="paragraph" w:styleId="866" w:customStyle="1">
    <w:name w:val="标题11"/>
    <w:basedOn w:val="723"/>
    <w:next w:val="723"/>
    <w:link w:val="867"/>
    <w:uiPriority w:val="10"/>
    <w:qFormat/>
    <w:pPr>
      <w:contextualSpacing/>
      <w:spacing w:before="300" w:after="200"/>
    </w:pPr>
    <w:rPr>
      <w:sz w:val="48"/>
      <w:szCs w:val="48"/>
    </w:rPr>
  </w:style>
  <w:style w:type="character" w:styleId="867" w:customStyle="1">
    <w:name w:val="标题 字符"/>
    <w:link w:val="866"/>
    <w:uiPriority w:val="10"/>
    <w:qFormat/>
    <w:rPr>
      <w:sz w:val="48"/>
      <w:szCs w:val="48"/>
    </w:rPr>
  </w:style>
  <w:style w:type="paragraph" w:styleId="868" w:customStyle="1">
    <w:name w:val="批注主题1"/>
    <w:basedOn w:val="822"/>
    <w:next w:val="822"/>
    <w:link w:val="869"/>
    <w:uiPriority w:val="0"/>
    <w:semiHidden/>
    <w:qFormat/>
    <w:rPr>
      <w:b/>
      <w:bCs/>
    </w:rPr>
  </w:style>
  <w:style w:type="character" w:styleId="869" w:customStyle="1">
    <w:name w:val="批注主题 字符"/>
    <w:link w:val="868"/>
    <w:uiPriority w:val="0"/>
    <w:semiHidden/>
    <w:qFormat/>
    <w:rPr>
      <w:b/>
      <w:bCs/>
      <w:sz w:val="21"/>
      <w:szCs w:val="21"/>
    </w:rPr>
  </w:style>
  <w:style w:type="paragraph" w:styleId="870" w:customStyle="1">
    <w:name w:val="正文首行缩进 2111"/>
    <w:basedOn w:val="827"/>
    <w:link w:val="871"/>
    <w:uiPriority w:val="0"/>
    <w:qFormat/>
    <w:pPr>
      <w:ind w:firstLine="420"/>
      <w:spacing w:line="360" w:lineRule="auto"/>
    </w:pPr>
    <w:rPr>
      <w:rFonts w:ascii="宋体" w:hAnsi="宋体" w:eastAsia="宋体"/>
      <w:sz w:val="21"/>
      <w:szCs w:val="20"/>
    </w:rPr>
  </w:style>
  <w:style w:type="character" w:styleId="871" w:customStyle="1">
    <w:name w:val="正文文本首行缩进 2 字符"/>
    <w:link w:val="870"/>
    <w:uiPriority w:val="0"/>
    <w:qFormat/>
    <w:rPr>
      <w:rFonts w:ascii="宋体" w:hAnsi="宋体" w:eastAsia="仿宋_GB2312"/>
      <w:sz w:val="21"/>
      <w:szCs w:val="22"/>
    </w:rPr>
  </w:style>
  <w:style w:type="table" w:styleId="872" w:customStyle="1">
    <w:name w:val="网格型1"/>
    <w:basedOn w:val="805"/>
    <w:uiPriority w:val="0"/>
    <w:qFormat/>
    <w:pPr>
      <w:jc w:val="both"/>
      <w:widowControl w:val="off"/>
    </w:pPr>
    <w:tblPr/>
  </w:style>
  <w:style w:type="character" w:styleId="873" w:customStyle="1">
    <w:name w:val="要点1"/>
    <w:uiPriority w:val="0"/>
    <w:qFormat/>
    <w:rPr>
      <w:b/>
      <w:bCs/>
    </w:rPr>
  </w:style>
  <w:style w:type="character" w:styleId="874" w:customStyle="1">
    <w:name w:val="尾注引用1"/>
    <w:uiPriority w:val="99"/>
    <w:unhideWhenUsed/>
    <w:qFormat/>
    <w:rPr>
      <w:vertAlign w:val="superscript"/>
    </w:rPr>
  </w:style>
  <w:style w:type="character" w:styleId="875" w:customStyle="1">
    <w:name w:val="页码2"/>
    <w:uiPriority w:val="0"/>
    <w:qFormat/>
  </w:style>
  <w:style w:type="character" w:styleId="876" w:customStyle="1">
    <w:name w:val="已访问的超链接1"/>
    <w:uiPriority w:val="0"/>
    <w:qFormat/>
    <w:rPr>
      <w:color w:val="800080"/>
      <w:u w:val="single"/>
    </w:rPr>
  </w:style>
  <w:style w:type="character" w:styleId="877" w:customStyle="1">
    <w:name w:val="超链接1"/>
    <w:uiPriority w:val="0"/>
    <w:qFormat/>
    <w:rPr>
      <w:color w:val="0000ff"/>
      <w:u w:val="single"/>
    </w:rPr>
  </w:style>
  <w:style w:type="character" w:styleId="878" w:customStyle="1">
    <w:name w:val="批注引用1"/>
    <w:uiPriority w:val="0"/>
    <w:semiHidden/>
    <w:qFormat/>
    <w:rPr>
      <w:sz w:val="21"/>
      <w:szCs w:val="21"/>
    </w:rPr>
  </w:style>
  <w:style w:type="character" w:styleId="879" w:customStyle="1">
    <w:name w:val="脚注引用1"/>
    <w:uiPriority w:val="99"/>
    <w:unhideWhenUsed/>
    <w:qFormat/>
    <w:rPr>
      <w:vertAlign w:val="superscript"/>
    </w:rPr>
  </w:style>
  <w:style w:type="paragraph" w:styleId="880" w:customStyle="1">
    <w:name w:val="标题二、"/>
    <w:basedOn w:val="723"/>
    <w:uiPriority w:val="99"/>
    <w:qFormat/>
    <w:pPr>
      <w:ind w:firstLine="200"/>
      <w:spacing w:line="360" w:lineRule="auto"/>
      <w:outlineLvl w:val="2"/>
    </w:pPr>
    <w:rPr>
      <w:rFonts w:ascii="宋体" w:hAnsi="宋体"/>
      <w:b/>
    </w:rPr>
  </w:style>
  <w:style w:type="paragraph" w:styleId="881" w:customStyle="1">
    <w:name w:val="正文首行缩进 21"/>
    <w:basedOn w:val="882"/>
    <w:next w:val="723"/>
    <w:uiPriority w:val="0"/>
    <w:qFormat/>
    <w:pPr>
      <w:ind w:firstLine="420"/>
      <w:spacing w:line="360" w:lineRule="auto"/>
    </w:pPr>
    <w:rPr>
      <w:rFonts w:ascii="宋体" w:hAnsi="宋体" w:eastAsia="宋体"/>
      <w:sz w:val="21"/>
      <w:szCs w:val="20"/>
    </w:rPr>
  </w:style>
  <w:style w:type="paragraph" w:styleId="882" w:customStyle="1">
    <w:name w:val="正文文本缩进1"/>
    <w:basedOn w:val="723"/>
    <w:next w:val="883"/>
    <w:uiPriority w:val="0"/>
    <w:qFormat/>
    <w:pPr>
      <w:ind w:firstLine="645"/>
    </w:pPr>
    <w:rPr>
      <w:rFonts w:ascii="楷体_GB2312" w:eastAsia="楷体_GB2312"/>
      <w:sz w:val="32"/>
      <w:szCs w:val="32"/>
    </w:rPr>
  </w:style>
  <w:style w:type="paragraph" w:styleId="883" w:customStyle="1">
    <w:name w:val="寄信人地址1"/>
    <w:basedOn w:val="723"/>
    <w:uiPriority w:val="0"/>
    <w:qFormat/>
    <w:rPr>
      <w:rFonts w:ascii="Arial" w:hAnsi="Arial"/>
    </w:rPr>
  </w:style>
  <w:style w:type="paragraph" w:styleId="884" w:customStyle="1">
    <w:name w:val="标题 41"/>
    <w:basedOn w:val="885"/>
    <w:next w:val="723"/>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5" w:customStyle="1">
    <w:name w:val="Normal_20"/>
    <w:uiPriority w:val="0"/>
    <w:qFormat/>
    <w:rPr>
      <w:rFonts w:hint="default" w:ascii="黑体" w:hAnsi="黑体" w:eastAsia="黑体" w:cs="黑体"/>
      <w:b/>
      <w:sz w:val="32"/>
      <w:szCs w:val="24"/>
      <w:lang w:val="en-US" w:eastAsia="zh-CN" w:bidi="ar-SA"/>
    </w:rPr>
  </w:style>
  <w:style w:type="paragraph" w:styleId="886" w:customStyle="1">
    <w:name w:val="Body Text First Indent_2"/>
    <w:basedOn w:val="885"/>
    <w:uiPriority w:val="0"/>
    <w:qFormat/>
    <w:pPr>
      <w:ind w:firstLine="100"/>
      <w:spacing w:after="120"/>
    </w:pPr>
  </w:style>
  <w:style w:type="paragraph" w:styleId="887" w:customStyle="1">
    <w:name w:val="脚注文本1"/>
    <w:basedOn w:val="723"/>
    <w:uiPriority w:val="0"/>
    <w:qFormat/>
    <w:pPr>
      <w:jc w:val="left"/>
    </w:pPr>
    <w:rPr>
      <w:rFonts w:eastAsia="Times New Roman"/>
      <w:sz w:val="18"/>
      <w:szCs w:val="24"/>
    </w:rPr>
  </w:style>
  <w:style w:type="table" w:styleId="888" w:customStyle="1">
    <w:name w:val="无格式表格 11"/>
    <w:basedOn w:val="805"/>
    <w:uiPriority w:val="59"/>
    <w:qFormat/>
    <w:tblPr/>
  </w:style>
  <w:style w:type="table" w:styleId="889" w:customStyle="1">
    <w:name w:val="无格式表格 21"/>
    <w:basedOn w:val="805"/>
    <w:uiPriority w:val="59"/>
    <w:qFormat/>
    <w:tblPr/>
  </w:style>
  <w:style w:type="table" w:styleId="890" w:customStyle="1">
    <w:name w:val="无格式表格 31"/>
    <w:basedOn w:val="805"/>
    <w:uiPriority w:val="99"/>
    <w:qFormat/>
    <w:tblPr/>
  </w:style>
  <w:style w:type="table" w:styleId="891" w:customStyle="1">
    <w:name w:val="无格式表格 41"/>
    <w:basedOn w:val="805"/>
    <w:uiPriority w:val="99"/>
    <w:qFormat/>
    <w:tblPr/>
  </w:style>
  <w:style w:type="table" w:styleId="892" w:customStyle="1">
    <w:name w:val="无格式表格 51"/>
    <w:basedOn w:val="805"/>
    <w:uiPriority w:val="99"/>
    <w:qFormat/>
    <w:tblPr/>
  </w:style>
  <w:style w:type="table" w:styleId="893" w:customStyle="1">
    <w:name w:val="网格表 1 浅色1"/>
    <w:basedOn w:val="805"/>
    <w:uiPriority w:val="99"/>
    <w:qFormat/>
    <w:tblPr/>
  </w:style>
  <w:style w:type="table" w:styleId="894" w:customStyle="1">
    <w:name w:val="网格表 21"/>
    <w:basedOn w:val="805"/>
    <w:uiPriority w:val="99"/>
    <w:qFormat/>
    <w:tblPr/>
  </w:style>
  <w:style w:type="table" w:styleId="895" w:customStyle="1">
    <w:name w:val="网格表 31"/>
    <w:basedOn w:val="805"/>
    <w:uiPriority w:val="99"/>
    <w:qFormat/>
    <w:tblPr/>
  </w:style>
  <w:style w:type="table" w:styleId="896" w:customStyle="1">
    <w:name w:val="网格表 41"/>
    <w:basedOn w:val="805"/>
    <w:uiPriority w:val="59"/>
    <w:qFormat/>
    <w:tblPr/>
  </w:style>
  <w:style w:type="table" w:styleId="897" w:customStyle="1">
    <w:name w:val="网格表 5 深色1"/>
    <w:basedOn w:val="805"/>
    <w:uiPriority w:val="99"/>
    <w:qFormat/>
    <w:tblPr/>
  </w:style>
  <w:style w:type="table" w:styleId="898" w:customStyle="1">
    <w:name w:val="网格表 6 彩色1"/>
    <w:basedOn w:val="805"/>
    <w:uiPriority w:val="99"/>
    <w:qFormat/>
    <w:tblPr/>
  </w:style>
  <w:style w:type="table" w:styleId="899" w:customStyle="1">
    <w:name w:val="网格表 7 彩色1"/>
    <w:basedOn w:val="805"/>
    <w:uiPriority w:val="99"/>
    <w:qFormat/>
    <w:tblPr/>
  </w:style>
  <w:style w:type="table" w:styleId="900" w:customStyle="1">
    <w:name w:val="清单表 1 浅色1"/>
    <w:basedOn w:val="805"/>
    <w:uiPriority w:val="99"/>
    <w:qFormat/>
    <w:tblPr/>
  </w:style>
  <w:style w:type="table" w:styleId="901" w:customStyle="1">
    <w:name w:val="清单表 21"/>
    <w:basedOn w:val="805"/>
    <w:uiPriority w:val="99"/>
    <w:qFormat/>
    <w:tblPr/>
  </w:style>
  <w:style w:type="table" w:styleId="902" w:customStyle="1">
    <w:name w:val="清单表 31"/>
    <w:basedOn w:val="805"/>
    <w:uiPriority w:val="99"/>
    <w:qFormat/>
    <w:tblPr/>
  </w:style>
  <w:style w:type="table" w:styleId="903" w:customStyle="1">
    <w:name w:val="清单表 41"/>
    <w:basedOn w:val="805"/>
    <w:uiPriority w:val="99"/>
    <w:qFormat/>
    <w:tblPr/>
  </w:style>
  <w:style w:type="table" w:styleId="904" w:customStyle="1">
    <w:name w:val="清单表 5 深色1"/>
    <w:basedOn w:val="805"/>
    <w:uiPriority w:val="99"/>
    <w:qFormat/>
    <w:tblPr/>
  </w:style>
  <w:style w:type="table" w:styleId="905" w:customStyle="1">
    <w:name w:val="清单表 6 彩色1"/>
    <w:basedOn w:val="805"/>
    <w:uiPriority w:val="99"/>
    <w:qFormat/>
    <w:tblPr/>
  </w:style>
  <w:style w:type="table" w:styleId="906" w:customStyle="1">
    <w:name w:val="清单表 7 彩色1"/>
    <w:basedOn w:val="805"/>
    <w:uiPriority w:val="99"/>
    <w:qFormat/>
    <w:tblPr/>
  </w:style>
  <w:style w:type="paragraph" w:styleId="907" w:customStyle="1">
    <w:name w:val="TOC 标题1"/>
    <w:uiPriority w:val="39"/>
    <w:unhideWhenUsed/>
    <w:qFormat/>
    <w:rPr>
      <w:rFonts w:hint="default" w:ascii="Times New Roman" w:hAnsi="Times New Roman" w:eastAsia="宋体" w:cs="Times New Roman"/>
      <w:lang w:val="en-US" w:eastAsia="zh-CN" w:bidi="ar-SA"/>
    </w:rPr>
  </w:style>
  <w:style w:type="paragraph" w:styleId="908" w:customStyle="1">
    <w:name w:val="TOC 标题111"/>
    <w:uiPriority w:val="39"/>
    <w:unhideWhenUsed/>
    <w:qFormat/>
    <w:rPr>
      <w:rFonts w:hint="default" w:ascii="Times New Roman" w:hAnsi="Times New Roman" w:eastAsia="宋体" w:cs="Times New Roman"/>
      <w:lang w:val="en-US" w:eastAsia="zh-CN" w:bidi="ar-SA"/>
    </w:rPr>
  </w:style>
  <w:style w:type="paragraph" w:styleId="909" w:customStyle="1">
    <w:name w:val="Normal_21"/>
    <w:basedOn w:val="910"/>
    <w:next w:val="910"/>
    <w:uiPriority w:val="0"/>
    <w:qFormat/>
    <w:rPr>
      <w:rFonts w:ascii="Times New Roman" w:hAnsi="Times New Roman"/>
      <w:szCs w:val="24"/>
    </w:rPr>
  </w:style>
  <w:style w:type="paragraph" w:styleId="910" w:customStyle="1">
    <w:name w:val="正文_16"/>
    <w:next w:val="911"/>
    <w:uiPriority w:val="0"/>
    <w:qFormat/>
    <w:pPr>
      <w:jc w:val="both"/>
      <w:widowControl w:val="off"/>
    </w:pPr>
    <w:rPr>
      <w:rFonts w:hint="default" w:ascii="Calibri" w:hAnsi="Calibri" w:eastAsia="宋体" w:cs="Times New Roman"/>
      <w:sz w:val="21"/>
      <w:szCs w:val="22"/>
      <w:lang w:val="en-US" w:eastAsia="zh-CN" w:bidi="ar-SA"/>
    </w:rPr>
  </w:style>
  <w:style w:type="paragraph" w:styleId="911" w:customStyle="1">
    <w:name w:val="正文文本 2_0"/>
    <w:basedOn w:val="910"/>
    <w:uiPriority w:val="0"/>
    <w:qFormat/>
    <w:rPr>
      <w:rFonts w:ascii="仿宋_GB2312" w:eastAsia="仿宋_GB2312"/>
      <w:sz w:val="28"/>
    </w:rPr>
  </w:style>
  <w:style w:type="paragraph" w:styleId="912" w:customStyle="1">
    <w:name w:val="正文_17"/>
    <w:next w:val="91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3" w:customStyle="1">
    <w:name w:val="标题 4_1"/>
    <w:basedOn w:val="912"/>
    <w:next w:val="91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14" w:customStyle="1">
    <w:name w:val="Heading 1 Char"/>
    <w:uiPriority w:val="9"/>
    <w:qFormat/>
    <w:rPr>
      <w:rFonts w:ascii="Arial" w:hAnsi="Arial" w:eastAsia="Arial" w:cs="Arial"/>
      <w:sz w:val="40"/>
      <w:szCs w:val="40"/>
    </w:rPr>
  </w:style>
  <w:style w:type="character" w:styleId="915" w:customStyle="1">
    <w:name w:val="Heading 2 Char"/>
    <w:uiPriority w:val="9"/>
    <w:qFormat/>
    <w:rPr>
      <w:rFonts w:ascii="Arial" w:hAnsi="Arial" w:eastAsia="Arial" w:cs="Arial"/>
      <w:sz w:val="34"/>
    </w:rPr>
  </w:style>
  <w:style w:type="character" w:styleId="916" w:customStyle="1">
    <w:name w:val="Heading 3 Char"/>
    <w:uiPriority w:val="9"/>
    <w:qFormat/>
    <w:rPr>
      <w:rFonts w:ascii="Arial" w:hAnsi="Arial" w:eastAsia="Arial" w:cs="Arial"/>
      <w:sz w:val="30"/>
      <w:szCs w:val="30"/>
    </w:rPr>
  </w:style>
  <w:style w:type="character" w:styleId="917" w:customStyle="1">
    <w:name w:val="Heading 4 Char"/>
    <w:uiPriority w:val="9"/>
    <w:qFormat/>
    <w:rPr>
      <w:rFonts w:ascii="Arial" w:hAnsi="Arial" w:eastAsia="Arial" w:cs="Arial"/>
      <w:b/>
      <w:bCs/>
      <w:sz w:val="26"/>
      <w:szCs w:val="26"/>
    </w:rPr>
  </w:style>
  <w:style w:type="character" w:styleId="918" w:customStyle="1">
    <w:name w:val="Heading 5 Char"/>
    <w:uiPriority w:val="9"/>
    <w:qFormat/>
    <w:rPr>
      <w:rFonts w:ascii="Arial" w:hAnsi="Arial" w:eastAsia="Arial" w:cs="Arial"/>
      <w:b/>
      <w:bCs/>
      <w:sz w:val="24"/>
      <w:szCs w:val="24"/>
    </w:rPr>
  </w:style>
  <w:style w:type="character" w:styleId="919" w:customStyle="1">
    <w:name w:val="Heading 6 Char"/>
    <w:uiPriority w:val="9"/>
    <w:qFormat/>
    <w:rPr>
      <w:rFonts w:ascii="Arial" w:hAnsi="Arial" w:eastAsia="Arial" w:cs="Arial"/>
      <w:b/>
      <w:bCs/>
      <w:sz w:val="22"/>
      <w:szCs w:val="22"/>
    </w:rPr>
  </w:style>
  <w:style w:type="character" w:styleId="920" w:customStyle="1">
    <w:name w:val="Heading 7 Char"/>
    <w:uiPriority w:val="9"/>
    <w:qFormat/>
    <w:rPr>
      <w:rFonts w:ascii="Arial" w:hAnsi="Arial" w:eastAsia="Arial" w:cs="Arial"/>
      <w:b/>
      <w:bCs/>
      <w:i/>
      <w:iCs/>
      <w:sz w:val="22"/>
      <w:szCs w:val="22"/>
    </w:rPr>
  </w:style>
  <w:style w:type="character" w:styleId="921" w:customStyle="1">
    <w:name w:val="Heading 8 Char"/>
    <w:uiPriority w:val="9"/>
    <w:qFormat/>
    <w:rPr>
      <w:rFonts w:ascii="Arial" w:hAnsi="Arial" w:eastAsia="Arial" w:cs="Arial"/>
      <w:i/>
      <w:iCs/>
      <w:sz w:val="22"/>
      <w:szCs w:val="22"/>
    </w:rPr>
  </w:style>
  <w:style w:type="character" w:styleId="922" w:customStyle="1">
    <w:name w:val="Heading 9 Char"/>
    <w:uiPriority w:val="9"/>
    <w:qFormat/>
    <w:rPr>
      <w:rFonts w:ascii="Arial" w:hAnsi="Arial" w:eastAsia="Arial" w:cs="Arial"/>
      <w:i/>
      <w:iCs/>
      <w:sz w:val="21"/>
      <w:szCs w:val="21"/>
    </w:rPr>
  </w:style>
  <w:style w:type="character" w:styleId="923" w:customStyle="1">
    <w:name w:val="Title Char"/>
    <w:uiPriority w:val="10"/>
    <w:qFormat/>
    <w:rPr>
      <w:sz w:val="48"/>
      <w:szCs w:val="48"/>
    </w:rPr>
  </w:style>
  <w:style w:type="character" w:styleId="924" w:customStyle="1">
    <w:name w:val="Subtitle Char"/>
    <w:uiPriority w:val="11"/>
    <w:qFormat/>
    <w:rPr>
      <w:sz w:val="24"/>
      <w:szCs w:val="24"/>
    </w:rPr>
  </w:style>
  <w:style w:type="character" w:styleId="925" w:customStyle="1">
    <w:name w:val="Quote Char"/>
    <w:uiPriority w:val="29"/>
    <w:qFormat/>
    <w:rPr>
      <w:i/>
    </w:rPr>
  </w:style>
  <w:style w:type="character" w:styleId="926" w:customStyle="1">
    <w:name w:val="Intense Quote Char"/>
    <w:uiPriority w:val="30"/>
    <w:qFormat/>
    <w:rPr>
      <w:i/>
    </w:rPr>
  </w:style>
  <w:style w:type="character" w:styleId="927" w:customStyle="1">
    <w:name w:val="Caption Char"/>
    <w:uiPriority w:val="99"/>
    <w:qFormat/>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列表段落1"/>
    <w:basedOn w:val="723"/>
    <w:uiPriority w:val="0"/>
    <w:qFormat/>
    <w:pPr>
      <w:contextualSpacing/>
      <w:ind w:left="720"/>
    </w:pPr>
  </w:style>
  <w:style w:type="paragraph" w:styleId="931" w:customStyle="1">
    <w:name w:val="无间隔1"/>
    <w:uiPriority w:val="99"/>
    <w:qFormat/>
    <w:rPr>
      <w:rFonts w:hint="default" w:ascii="Times New Roman" w:hAnsi="Times New Roman" w:eastAsia="宋体" w:cs="Times New Roman"/>
      <w:lang w:val="en-US" w:eastAsia="zh-CN" w:bidi="ar-SA"/>
    </w:rPr>
  </w:style>
  <w:style w:type="paragraph" w:styleId="932" w:customStyle="1">
    <w:name w:val="引用1"/>
    <w:basedOn w:val="723"/>
    <w:next w:val="723"/>
    <w:link w:val="933"/>
    <w:uiPriority w:val="29"/>
    <w:qFormat/>
    <w:pPr>
      <w:ind w:left="720" w:right="720"/>
    </w:pPr>
    <w:rPr>
      <w:i/>
    </w:rPr>
  </w:style>
  <w:style w:type="character" w:styleId="933" w:customStyle="1">
    <w:name w:val="引用 字符"/>
    <w:link w:val="932"/>
    <w:uiPriority w:val="29"/>
    <w:qFormat/>
    <w:rPr>
      <w:i/>
    </w:rPr>
  </w:style>
  <w:style w:type="paragraph" w:styleId="934" w:customStyle="1">
    <w:name w:val="明显引用1"/>
    <w:basedOn w:val="723"/>
    <w:next w:val="723"/>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明显引用 字符"/>
    <w:link w:val="934"/>
    <w:uiPriority w:val="30"/>
    <w:qFormat/>
    <w:rPr>
      <w:i/>
    </w:rPr>
  </w:style>
  <w:style w:type="character" w:styleId="936" w:customStyle="1">
    <w:name w:val="Header Char"/>
    <w:uiPriority w:val="99"/>
    <w:qFormat/>
  </w:style>
  <w:style w:type="character" w:styleId="937" w:customStyle="1">
    <w:name w:val="Footer Char"/>
    <w:uiPriority w:val="99"/>
    <w:qFormat/>
  </w:style>
  <w:style w:type="table" w:styleId="938" w:customStyle="1">
    <w:name w:val="Table Grid Light"/>
    <w:basedOn w:val="805"/>
    <w:uiPriority w:val="59"/>
    <w:qFormat/>
    <w:tblPr/>
  </w:style>
  <w:style w:type="table" w:styleId="939" w:customStyle="1">
    <w:name w:val="Grid Table 1 Light - Accent 1"/>
    <w:basedOn w:val="805"/>
    <w:uiPriority w:val="99"/>
    <w:qFormat/>
    <w:tblPr/>
  </w:style>
  <w:style w:type="table" w:styleId="940" w:customStyle="1">
    <w:name w:val="Grid Table 1 Light - Accent 2"/>
    <w:basedOn w:val="805"/>
    <w:uiPriority w:val="99"/>
    <w:qFormat/>
    <w:tblPr/>
  </w:style>
  <w:style w:type="table" w:styleId="941" w:customStyle="1">
    <w:name w:val="Grid Table 1 Light - Accent 3"/>
    <w:basedOn w:val="805"/>
    <w:uiPriority w:val="99"/>
    <w:qFormat/>
    <w:tblPr/>
  </w:style>
  <w:style w:type="table" w:styleId="942" w:customStyle="1">
    <w:name w:val="Grid Table 1 Light - Accent 4"/>
    <w:basedOn w:val="805"/>
    <w:uiPriority w:val="99"/>
    <w:qFormat/>
    <w:tblPr/>
  </w:style>
  <w:style w:type="table" w:styleId="943" w:customStyle="1">
    <w:name w:val="Grid Table 1 Light - Accent 5"/>
    <w:basedOn w:val="805"/>
    <w:uiPriority w:val="99"/>
    <w:qFormat/>
    <w:tblPr/>
  </w:style>
  <w:style w:type="table" w:styleId="944" w:customStyle="1">
    <w:name w:val="Grid Table 1 Light - Accent 6"/>
    <w:basedOn w:val="805"/>
    <w:uiPriority w:val="99"/>
    <w:qFormat/>
    <w:tblPr/>
  </w:style>
  <w:style w:type="table" w:styleId="945" w:customStyle="1">
    <w:name w:val="Grid Table 2 - Accent 1"/>
    <w:basedOn w:val="805"/>
    <w:uiPriority w:val="99"/>
    <w:qFormat/>
    <w:tblPr/>
  </w:style>
  <w:style w:type="table" w:styleId="946" w:customStyle="1">
    <w:name w:val="Grid Table 2 - Accent 2"/>
    <w:basedOn w:val="805"/>
    <w:uiPriority w:val="99"/>
    <w:qFormat/>
    <w:tblPr/>
  </w:style>
  <w:style w:type="table" w:styleId="947" w:customStyle="1">
    <w:name w:val="Grid Table 2 - Accent 3"/>
    <w:basedOn w:val="805"/>
    <w:uiPriority w:val="99"/>
    <w:qFormat/>
    <w:tblPr/>
  </w:style>
  <w:style w:type="table" w:styleId="948" w:customStyle="1">
    <w:name w:val="Grid Table 2 - Accent 4"/>
    <w:basedOn w:val="805"/>
    <w:uiPriority w:val="99"/>
    <w:qFormat/>
    <w:tblPr/>
  </w:style>
  <w:style w:type="table" w:styleId="949" w:customStyle="1">
    <w:name w:val="Grid Table 2 - Accent 5"/>
    <w:basedOn w:val="805"/>
    <w:uiPriority w:val="99"/>
    <w:qFormat/>
    <w:tblPr/>
  </w:style>
  <w:style w:type="table" w:styleId="950" w:customStyle="1">
    <w:name w:val="Grid Table 2 - Accent 6"/>
    <w:basedOn w:val="805"/>
    <w:uiPriority w:val="99"/>
    <w:qFormat/>
    <w:tblPr/>
  </w:style>
  <w:style w:type="table" w:styleId="951" w:customStyle="1">
    <w:name w:val="Grid Table 3 - Accent 1"/>
    <w:basedOn w:val="805"/>
    <w:uiPriority w:val="99"/>
    <w:qFormat/>
    <w:tblPr/>
  </w:style>
  <w:style w:type="table" w:styleId="952" w:customStyle="1">
    <w:name w:val="Grid Table 3 - Accent 2"/>
    <w:basedOn w:val="805"/>
    <w:uiPriority w:val="99"/>
    <w:qFormat/>
    <w:tblPr/>
  </w:style>
  <w:style w:type="table" w:styleId="953" w:customStyle="1">
    <w:name w:val="Grid Table 3 - Accent 3"/>
    <w:basedOn w:val="805"/>
    <w:uiPriority w:val="99"/>
    <w:qFormat/>
    <w:tblPr/>
  </w:style>
  <w:style w:type="table" w:styleId="954" w:customStyle="1">
    <w:name w:val="Grid Table 3 - Accent 4"/>
    <w:basedOn w:val="805"/>
    <w:uiPriority w:val="99"/>
    <w:qFormat/>
    <w:tblPr/>
  </w:style>
  <w:style w:type="table" w:styleId="955" w:customStyle="1">
    <w:name w:val="Grid Table 3 - Accent 5"/>
    <w:basedOn w:val="805"/>
    <w:uiPriority w:val="99"/>
    <w:qFormat/>
    <w:tblPr/>
  </w:style>
  <w:style w:type="table" w:styleId="956" w:customStyle="1">
    <w:name w:val="Grid Table 3 - Accent 6"/>
    <w:basedOn w:val="805"/>
    <w:uiPriority w:val="99"/>
    <w:qFormat/>
    <w:tblPr/>
  </w:style>
  <w:style w:type="table" w:styleId="957" w:customStyle="1">
    <w:name w:val="Grid Table 4 - Accent 1"/>
    <w:basedOn w:val="805"/>
    <w:uiPriority w:val="59"/>
    <w:qFormat/>
    <w:tblPr/>
  </w:style>
  <w:style w:type="table" w:styleId="958" w:customStyle="1">
    <w:name w:val="Grid Table 4 - Accent 2"/>
    <w:basedOn w:val="805"/>
    <w:uiPriority w:val="59"/>
    <w:qFormat/>
    <w:tblPr/>
  </w:style>
  <w:style w:type="table" w:styleId="959" w:customStyle="1">
    <w:name w:val="Grid Table 4 - Accent 3"/>
    <w:basedOn w:val="805"/>
    <w:uiPriority w:val="59"/>
    <w:qFormat/>
    <w:tblPr/>
  </w:style>
  <w:style w:type="table" w:styleId="960" w:customStyle="1">
    <w:name w:val="Grid Table 4 - Accent 4"/>
    <w:basedOn w:val="805"/>
    <w:uiPriority w:val="59"/>
    <w:qFormat/>
    <w:tblPr/>
  </w:style>
  <w:style w:type="table" w:styleId="961" w:customStyle="1">
    <w:name w:val="Grid Table 4 - Accent 5"/>
    <w:basedOn w:val="805"/>
    <w:uiPriority w:val="59"/>
    <w:qFormat/>
    <w:tblPr/>
  </w:style>
  <w:style w:type="table" w:styleId="962" w:customStyle="1">
    <w:name w:val="Grid Table 4 - Accent 6"/>
    <w:basedOn w:val="805"/>
    <w:uiPriority w:val="59"/>
    <w:qFormat/>
    <w:tblPr/>
  </w:style>
  <w:style w:type="table" w:styleId="963" w:customStyle="1">
    <w:name w:val="Grid Table 5 Dark- Accent 1"/>
    <w:basedOn w:val="805"/>
    <w:uiPriority w:val="99"/>
    <w:qFormat/>
    <w:tblPr/>
  </w:style>
  <w:style w:type="table" w:styleId="964" w:customStyle="1">
    <w:name w:val="Grid Table 5 Dark - Accent 2"/>
    <w:basedOn w:val="805"/>
    <w:uiPriority w:val="99"/>
    <w:qFormat/>
    <w:tblPr/>
  </w:style>
  <w:style w:type="table" w:styleId="965" w:customStyle="1">
    <w:name w:val="Grid Table 5 Dark - Accent 3"/>
    <w:basedOn w:val="805"/>
    <w:uiPriority w:val="99"/>
    <w:qFormat/>
    <w:tblPr/>
  </w:style>
  <w:style w:type="table" w:styleId="966" w:customStyle="1">
    <w:name w:val="Grid Table 5 Dark- Accent 4"/>
    <w:basedOn w:val="805"/>
    <w:uiPriority w:val="99"/>
    <w:qFormat/>
    <w:tblPr/>
  </w:style>
  <w:style w:type="table" w:styleId="967" w:customStyle="1">
    <w:name w:val="Grid Table 5 Dark - Accent 5"/>
    <w:basedOn w:val="805"/>
    <w:uiPriority w:val="99"/>
    <w:qFormat/>
    <w:tblPr/>
  </w:style>
  <w:style w:type="table" w:styleId="968" w:customStyle="1">
    <w:name w:val="Grid Table 5 Dark - Accent 6"/>
    <w:basedOn w:val="805"/>
    <w:uiPriority w:val="99"/>
    <w:qFormat/>
    <w:tblPr/>
  </w:style>
  <w:style w:type="table" w:styleId="969" w:customStyle="1">
    <w:name w:val="Grid Table 6 Colorful - Accent 1"/>
    <w:basedOn w:val="805"/>
    <w:uiPriority w:val="99"/>
    <w:qFormat/>
    <w:tblPr/>
  </w:style>
  <w:style w:type="table" w:styleId="970" w:customStyle="1">
    <w:name w:val="Grid Table 6 Colorful - Accent 2"/>
    <w:basedOn w:val="805"/>
    <w:uiPriority w:val="99"/>
    <w:qFormat/>
    <w:tblPr/>
  </w:style>
  <w:style w:type="table" w:styleId="971" w:customStyle="1">
    <w:name w:val="Grid Table 6 Colorful - Accent 3"/>
    <w:basedOn w:val="805"/>
    <w:uiPriority w:val="99"/>
    <w:qFormat/>
    <w:tblPr/>
  </w:style>
  <w:style w:type="table" w:styleId="972" w:customStyle="1">
    <w:name w:val="Grid Table 6 Colorful - Accent 4"/>
    <w:basedOn w:val="805"/>
    <w:uiPriority w:val="99"/>
    <w:qFormat/>
    <w:tblPr/>
  </w:style>
  <w:style w:type="table" w:styleId="973" w:customStyle="1">
    <w:name w:val="Grid Table 6 Colorful - Accent 5"/>
    <w:basedOn w:val="805"/>
    <w:uiPriority w:val="99"/>
    <w:qFormat/>
    <w:tblPr/>
  </w:style>
  <w:style w:type="table" w:styleId="974" w:customStyle="1">
    <w:name w:val="Grid Table 6 Colorful - Accent 6"/>
    <w:basedOn w:val="805"/>
    <w:uiPriority w:val="99"/>
    <w:qFormat/>
    <w:tblPr/>
  </w:style>
  <w:style w:type="table" w:styleId="975" w:customStyle="1">
    <w:name w:val="Grid Table 7 Colorful - Accent 1"/>
    <w:basedOn w:val="805"/>
    <w:uiPriority w:val="99"/>
    <w:qFormat/>
    <w:tblPr/>
  </w:style>
  <w:style w:type="table" w:styleId="976" w:customStyle="1">
    <w:name w:val="Grid Table 7 Colorful - Accent 2"/>
    <w:basedOn w:val="805"/>
    <w:uiPriority w:val="99"/>
    <w:qFormat/>
    <w:tblPr/>
  </w:style>
  <w:style w:type="table" w:styleId="977" w:customStyle="1">
    <w:name w:val="Grid Table 7 Colorful - Accent 3"/>
    <w:basedOn w:val="805"/>
    <w:uiPriority w:val="99"/>
    <w:qFormat/>
    <w:tblPr/>
  </w:style>
  <w:style w:type="table" w:styleId="978" w:customStyle="1">
    <w:name w:val="Grid Table 7 Colorful - Accent 4"/>
    <w:basedOn w:val="805"/>
    <w:uiPriority w:val="99"/>
    <w:qFormat/>
    <w:tblPr/>
  </w:style>
  <w:style w:type="table" w:styleId="979" w:customStyle="1">
    <w:name w:val="Grid Table 7 Colorful - Accent 5"/>
    <w:basedOn w:val="805"/>
    <w:uiPriority w:val="99"/>
    <w:qFormat/>
    <w:tblPr/>
  </w:style>
  <w:style w:type="table" w:styleId="980" w:customStyle="1">
    <w:name w:val="Grid Table 7 Colorful - Accent 6"/>
    <w:basedOn w:val="805"/>
    <w:uiPriority w:val="99"/>
    <w:qFormat/>
    <w:tblPr/>
  </w:style>
  <w:style w:type="table" w:styleId="981" w:customStyle="1">
    <w:name w:val="List Table 1 Light - Accent 1"/>
    <w:basedOn w:val="805"/>
    <w:uiPriority w:val="99"/>
    <w:qFormat/>
    <w:tblPr/>
  </w:style>
  <w:style w:type="table" w:styleId="982" w:customStyle="1">
    <w:name w:val="List Table 1 Light - Accent 2"/>
    <w:basedOn w:val="805"/>
    <w:uiPriority w:val="99"/>
    <w:qFormat/>
    <w:tblPr/>
  </w:style>
  <w:style w:type="table" w:styleId="983" w:customStyle="1">
    <w:name w:val="List Table 1 Light - Accent 3"/>
    <w:basedOn w:val="805"/>
    <w:uiPriority w:val="99"/>
    <w:qFormat/>
    <w:tblPr/>
  </w:style>
  <w:style w:type="table" w:styleId="984" w:customStyle="1">
    <w:name w:val="List Table 1 Light - Accent 4"/>
    <w:basedOn w:val="805"/>
    <w:uiPriority w:val="99"/>
    <w:qFormat/>
    <w:tblPr/>
  </w:style>
  <w:style w:type="table" w:styleId="985" w:customStyle="1">
    <w:name w:val="List Table 1 Light - Accent 5"/>
    <w:basedOn w:val="805"/>
    <w:uiPriority w:val="99"/>
    <w:qFormat/>
    <w:tblPr/>
  </w:style>
  <w:style w:type="table" w:styleId="986" w:customStyle="1">
    <w:name w:val="List Table 1 Light - Accent 6"/>
    <w:basedOn w:val="805"/>
    <w:uiPriority w:val="99"/>
    <w:qFormat/>
    <w:tblPr/>
  </w:style>
  <w:style w:type="table" w:styleId="987" w:customStyle="1">
    <w:name w:val="List Table 2 - Accent 1"/>
    <w:basedOn w:val="805"/>
    <w:uiPriority w:val="99"/>
    <w:qFormat/>
    <w:tblPr/>
  </w:style>
  <w:style w:type="table" w:styleId="988" w:customStyle="1">
    <w:name w:val="List Table 2 - Accent 2"/>
    <w:basedOn w:val="805"/>
    <w:uiPriority w:val="99"/>
    <w:qFormat/>
    <w:tblPr/>
  </w:style>
  <w:style w:type="table" w:styleId="989" w:customStyle="1">
    <w:name w:val="List Table 2 - Accent 3"/>
    <w:basedOn w:val="805"/>
    <w:uiPriority w:val="99"/>
    <w:qFormat/>
    <w:tblPr/>
  </w:style>
  <w:style w:type="table" w:styleId="990" w:customStyle="1">
    <w:name w:val="List Table 2 - Accent 4"/>
    <w:basedOn w:val="805"/>
    <w:uiPriority w:val="99"/>
    <w:qFormat/>
    <w:tblPr/>
  </w:style>
  <w:style w:type="table" w:styleId="991" w:customStyle="1">
    <w:name w:val="List Table 2 - Accent 5"/>
    <w:basedOn w:val="805"/>
    <w:uiPriority w:val="99"/>
    <w:qFormat/>
    <w:tblPr/>
  </w:style>
  <w:style w:type="table" w:styleId="992" w:customStyle="1">
    <w:name w:val="List Table 2 - Accent 6"/>
    <w:basedOn w:val="805"/>
    <w:uiPriority w:val="99"/>
    <w:qFormat/>
    <w:tblPr/>
  </w:style>
  <w:style w:type="table" w:styleId="993" w:customStyle="1">
    <w:name w:val="List Table 3 - Accent 1"/>
    <w:basedOn w:val="805"/>
    <w:uiPriority w:val="99"/>
    <w:qFormat/>
    <w:tblPr/>
  </w:style>
  <w:style w:type="table" w:styleId="994" w:customStyle="1">
    <w:name w:val="List Table 3 - Accent 2"/>
    <w:basedOn w:val="805"/>
    <w:uiPriority w:val="99"/>
    <w:qFormat/>
    <w:tblPr/>
  </w:style>
  <w:style w:type="table" w:styleId="995" w:customStyle="1">
    <w:name w:val="List Table 3 - Accent 3"/>
    <w:basedOn w:val="805"/>
    <w:uiPriority w:val="99"/>
    <w:qFormat/>
    <w:tblPr/>
  </w:style>
  <w:style w:type="table" w:styleId="996" w:customStyle="1">
    <w:name w:val="List Table 3 - Accent 4"/>
    <w:basedOn w:val="805"/>
    <w:uiPriority w:val="99"/>
    <w:qFormat/>
    <w:tblPr/>
  </w:style>
  <w:style w:type="table" w:styleId="997" w:customStyle="1">
    <w:name w:val="List Table 3 - Accent 5"/>
    <w:basedOn w:val="805"/>
    <w:uiPriority w:val="99"/>
    <w:qFormat/>
    <w:tblPr/>
  </w:style>
  <w:style w:type="table" w:styleId="998" w:customStyle="1">
    <w:name w:val="List Table 3 - Accent 6"/>
    <w:basedOn w:val="805"/>
    <w:uiPriority w:val="99"/>
    <w:qFormat/>
    <w:tblPr/>
  </w:style>
  <w:style w:type="table" w:styleId="999" w:customStyle="1">
    <w:name w:val="List Table 4 - Accent 1"/>
    <w:basedOn w:val="805"/>
    <w:uiPriority w:val="99"/>
    <w:qFormat/>
    <w:tblPr/>
  </w:style>
  <w:style w:type="table" w:styleId="1000" w:customStyle="1">
    <w:name w:val="List Table 4 - Accent 2"/>
    <w:basedOn w:val="805"/>
    <w:uiPriority w:val="99"/>
    <w:qFormat/>
    <w:tblPr/>
  </w:style>
  <w:style w:type="table" w:styleId="1001" w:customStyle="1">
    <w:name w:val="List Table 4 - Accent 3"/>
    <w:basedOn w:val="805"/>
    <w:uiPriority w:val="99"/>
    <w:qFormat/>
    <w:tblPr/>
  </w:style>
  <w:style w:type="table" w:styleId="1002" w:customStyle="1">
    <w:name w:val="List Table 4 - Accent 4"/>
    <w:basedOn w:val="805"/>
    <w:uiPriority w:val="99"/>
    <w:qFormat/>
    <w:tblPr/>
  </w:style>
  <w:style w:type="table" w:styleId="1003" w:customStyle="1">
    <w:name w:val="List Table 4 - Accent 5"/>
    <w:basedOn w:val="805"/>
    <w:uiPriority w:val="99"/>
    <w:qFormat/>
    <w:tblPr/>
  </w:style>
  <w:style w:type="table" w:styleId="1004" w:customStyle="1">
    <w:name w:val="List Table 4 - Accent 6"/>
    <w:basedOn w:val="805"/>
    <w:uiPriority w:val="99"/>
    <w:qFormat/>
    <w:tblPr/>
  </w:style>
  <w:style w:type="table" w:styleId="1005" w:customStyle="1">
    <w:name w:val="List Table 5 Dark - Accent 1"/>
    <w:basedOn w:val="805"/>
    <w:uiPriority w:val="99"/>
    <w:qFormat/>
    <w:tblPr/>
  </w:style>
  <w:style w:type="table" w:styleId="1006" w:customStyle="1">
    <w:name w:val="List Table 5 Dark - Accent 2"/>
    <w:basedOn w:val="805"/>
    <w:uiPriority w:val="99"/>
    <w:qFormat/>
    <w:tblPr/>
  </w:style>
  <w:style w:type="table" w:styleId="1007" w:customStyle="1">
    <w:name w:val="List Table 5 Dark - Accent 3"/>
    <w:basedOn w:val="805"/>
    <w:uiPriority w:val="99"/>
    <w:qFormat/>
    <w:tblPr/>
  </w:style>
  <w:style w:type="table" w:styleId="1008" w:customStyle="1">
    <w:name w:val="List Table 5 Dark - Accent 4"/>
    <w:basedOn w:val="805"/>
    <w:uiPriority w:val="99"/>
    <w:qFormat/>
    <w:tblPr/>
  </w:style>
  <w:style w:type="table" w:styleId="1009" w:customStyle="1">
    <w:name w:val="List Table 5 Dark - Accent 5"/>
    <w:basedOn w:val="805"/>
    <w:uiPriority w:val="99"/>
    <w:qFormat/>
    <w:tblPr/>
  </w:style>
  <w:style w:type="table" w:styleId="1010" w:customStyle="1">
    <w:name w:val="List Table 5 Dark - Accent 6"/>
    <w:basedOn w:val="805"/>
    <w:uiPriority w:val="99"/>
    <w:qFormat/>
    <w:tblPr/>
  </w:style>
  <w:style w:type="table" w:styleId="1011" w:customStyle="1">
    <w:name w:val="List Table 6 Colorful - Accent 1"/>
    <w:basedOn w:val="805"/>
    <w:uiPriority w:val="99"/>
    <w:qFormat/>
    <w:tblPr/>
  </w:style>
  <w:style w:type="table" w:styleId="1012" w:customStyle="1">
    <w:name w:val="List Table 6 Colorful - Accent 2"/>
    <w:basedOn w:val="805"/>
    <w:uiPriority w:val="99"/>
    <w:qFormat/>
    <w:tblPr/>
  </w:style>
  <w:style w:type="table" w:styleId="1013" w:customStyle="1">
    <w:name w:val="List Table 6 Colorful - Accent 3"/>
    <w:basedOn w:val="805"/>
    <w:uiPriority w:val="99"/>
    <w:qFormat/>
    <w:tblPr/>
  </w:style>
  <w:style w:type="table" w:styleId="1014" w:customStyle="1">
    <w:name w:val="List Table 6 Colorful - Accent 4"/>
    <w:basedOn w:val="805"/>
    <w:uiPriority w:val="99"/>
    <w:qFormat/>
    <w:tblPr/>
  </w:style>
  <w:style w:type="table" w:styleId="1015" w:customStyle="1">
    <w:name w:val="List Table 6 Colorful - Accent 5"/>
    <w:basedOn w:val="805"/>
    <w:uiPriority w:val="99"/>
    <w:qFormat/>
    <w:tblPr/>
  </w:style>
  <w:style w:type="table" w:styleId="1016" w:customStyle="1">
    <w:name w:val="List Table 6 Colorful - Accent 6"/>
    <w:basedOn w:val="805"/>
    <w:uiPriority w:val="99"/>
    <w:qFormat/>
    <w:tblPr/>
  </w:style>
  <w:style w:type="table" w:styleId="1017" w:customStyle="1">
    <w:name w:val="List Table 7 Colorful - Accent 1"/>
    <w:basedOn w:val="805"/>
    <w:uiPriority w:val="99"/>
    <w:qFormat/>
    <w:tblPr/>
  </w:style>
  <w:style w:type="table" w:styleId="1018" w:customStyle="1">
    <w:name w:val="List Table 7 Colorful - Accent 2"/>
    <w:basedOn w:val="805"/>
    <w:uiPriority w:val="99"/>
    <w:qFormat/>
    <w:tblPr/>
  </w:style>
  <w:style w:type="table" w:styleId="1019" w:customStyle="1">
    <w:name w:val="List Table 7 Colorful - Accent 3"/>
    <w:basedOn w:val="805"/>
    <w:uiPriority w:val="99"/>
    <w:qFormat/>
    <w:tblPr/>
  </w:style>
  <w:style w:type="table" w:styleId="1020" w:customStyle="1">
    <w:name w:val="List Table 7 Colorful - Accent 4"/>
    <w:basedOn w:val="805"/>
    <w:uiPriority w:val="99"/>
    <w:qFormat/>
    <w:tblPr/>
  </w:style>
  <w:style w:type="table" w:styleId="1021" w:customStyle="1">
    <w:name w:val="List Table 7 Colorful - Accent 5"/>
    <w:basedOn w:val="805"/>
    <w:uiPriority w:val="99"/>
    <w:qFormat/>
    <w:tblPr/>
  </w:style>
  <w:style w:type="table" w:styleId="1022" w:customStyle="1">
    <w:name w:val="List Table 7 Colorful - Accent 6"/>
    <w:basedOn w:val="805"/>
    <w:uiPriority w:val="99"/>
    <w:qFormat/>
    <w:tblPr/>
  </w:style>
  <w:style w:type="table" w:styleId="1023" w:customStyle="1">
    <w:name w:val="Lined - Accent"/>
    <w:basedOn w:val="805"/>
    <w:uiPriority w:val="99"/>
    <w:qFormat/>
    <w:rPr>
      <w:color w:val="404040"/>
    </w:rPr>
    <w:tblPr/>
  </w:style>
  <w:style w:type="table" w:styleId="1024" w:customStyle="1">
    <w:name w:val="Lined - Accent 1"/>
    <w:basedOn w:val="805"/>
    <w:uiPriority w:val="99"/>
    <w:qFormat/>
    <w:rPr>
      <w:color w:val="404040"/>
    </w:rPr>
    <w:tblPr/>
  </w:style>
  <w:style w:type="table" w:styleId="1025" w:customStyle="1">
    <w:name w:val="Lined - Accent 2"/>
    <w:basedOn w:val="805"/>
    <w:uiPriority w:val="99"/>
    <w:qFormat/>
    <w:rPr>
      <w:color w:val="404040"/>
    </w:rPr>
    <w:tblPr/>
  </w:style>
  <w:style w:type="table" w:styleId="1026" w:customStyle="1">
    <w:name w:val="Lined - Accent 3"/>
    <w:basedOn w:val="805"/>
    <w:uiPriority w:val="99"/>
    <w:qFormat/>
    <w:rPr>
      <w:color w:val="404040"/>
    </w:rPr>
    <w:tblPr/>
  </w:style>
  <w:style w:type="table" w:styleId="1027" w:customStyle="1">
    <w:name w:val="Lined - Accent 4"/>
    <w:basedOn w:val="805"/>
    <w:uiPriority w:val="99"/>
    <w:qFormat/>
    <w:rPr>
      <w:color w:val="404040"/>
    </w:rPr>
    <w:tblPr/>
  </w:style>
  <w:style w:type="table" w:styleId="1028" w:customStyle="1">
    <w:name w:val="Lined - Accent 5"/>
    <w:basedOn w:val="805"/>
    <w:uiPriority w:val="99"/>
    <w:qFormat/>
    <w:rPr>
      <w:color w:val="404040"/>
    </w:rPr>
    <w:tblPr/>
  </w:style>
  <w:style w:type="table" w:styleId="1029" w:customStyle="1">
    <w:name w:val="Lined - Accent 6"/>
    <w:basedOn w:val="805"/>
    <w:uiPriority w:val="99"/>
    <w:qFormat/>
    <w:rPr>
      <w:color w:val="404040"/>
    </w:rPr>
    <w:tblPr/>
  </w:style>
  <w:style w:type="table" w:styleId="1030" w:customStyle="1">
    <w:name w:val="Bordered &amp; Lined - Accent"/>
    <w:basedOn w:val="805"/>
    <w:uiPriority w:val="99"/>
    <w:qFormat/>
    <w:rPr>
      <w:color w:val="404040"/>
    </w:rPr>
    <w:tblPr/>
  </w:style>
  <w:style w:type="table" w:styleId="1031" w:customStyle="1">
    <w:name w:val="Bordered &amp; Lined - Accent 1"/>
    <w:basedOn w:val="805"/>
    <w:uiPriority w:val="99"/>
    <w:qFormat/>
    <w:rPr>
      <w:color w:val="404040"/>
    </w:rPr>
    <w:tblPr/>
  </w:style>
  <w:style w:type="table" w:styleId="1032" w:customStyle="1">
    <w:name w:val="Bordered &amp; Lined - Accent 2"/>
    <w:basedOn w:val="805"/>
    <w:uiPriority w:val="99"/>
    <w:qFormat/>
    <w:rPr>
      <w:color w:val="404040"/>
    </w:rPr>
    <w:tblPr/>
  </w:style>
  <w:style w:type="table" w:styleId="1033" w:customStyle="1">
    <w:name w:val="Bordered &amp; Lined - Accent 3"/>
    <w:basedOn w:val="805"/>
    <w:uiPriority w:val="99"/>
    <w:qFormat/>
    <w:rPr>
      <w:color w:val="404040"/>
    </w:rPr>
    <w:tblPr/>
  </w:style>
  <w:style w:type="table" w:styleId="1034" w:customStyle="1">
    <w:name w:val="Bordered &amp; Lined - Accent 4"/>
    <w:basedOn w:val="805"/>
    <w:uiPriority w:val="99"/>
    <w:qFormat/>
    <w:rPr>
      <w:color w:val="404040"/>
    </w:rPr>
    <w:tblPr/>
  </w:style>
  <w:style w:type="table" w:styleId="1035" w:customStyle="1">
    <w:name w:val="Bordered &amp; Lined - Accent 5"/>
    <w:basedOn w:val="805"/>
    <w:uiPriority w:val="99"/>
    <w:qFormat/>
    <w:rPr>
      <w:color w:val="404040"/>
    </w:rPr>
    <w:tblPr/>
  </w:style>
  <w:style w:type="table" w:styleId="1036" w:customStyle="1">
    <w:name w:val="Bordered &amp; Lined - Accent 6"/>
    <w:basedOn w:val="805"/>
    <w:uiPriority w:val="99"/>
    <w:qFormat/>
    <w:rPr>
      <w:color w:val="404040"/>
    </w:rPr>
    <w:tblPr/>
  </w:style>
  <w:style w:type="table" w:styleId="1037" w:customStyle="1">
    <w:name w:val="Bordered"/>
    <w:basedOn w:val="805"/>
    <w:uiPriority w:val="99"/>
    <w:qFormat/>
    <w:tblPr/>
  </w:style>
  <w:style w:type="table" w:styleId="1038" w:customStyle="1">
    <w:name w:val="Bordered - Accent 1"/>
    <w:basedOn w:val="805"/>
    <w:uiPriority w:val="99"/>
    <w:qFormat/>
    <w:tblPr/>
  </w:style>
  <w:style w:type="table" w:styleId="1039" w:customStyle="1">
    <w:name w:val="Bordered - Accent 2"/>
    <w:basedOn w:val="805"/>
    <w:uiPriority w:val="99"/>
    <w:qFormat/>
    <w:tblPr/>
  </w:style>
  <w:style w:type="table" w:styleId="1040" w:customStyle="1">
    <w:name w:val="Bordered - Accent 3"/>
    <w:basedOn w:val="805"/>
    <w:uiPriority w:val="99"/>
    <w:qFormat/>
    <w:tblPr/>
  </w:style>
  <w:style w:type="table" w:styleId="1041" w:customStyle="1">
    <w:name w:val="Bordered - Accent 4"/>
    <w:basedOn w:val="805"/>
    <w:uiPriority w:val="99"/>
    <w:qFormat/>
    <w:tblPr/>
  </w:style>
  <w:style w:type="table" w:styleId="1042" w:customStyle="1">
    <w:name w:val="Bordered - Accent 5"/>
    <w:basedOn w:val="805"/>
    <w:uiPriority w:val="99"/>
    <w:qFormat/>
    <w:tblPr/>
  </w:style>
  <w:style w:type="table" w:styleId="1043" w:customStyle="1">
    <w:name w:val="Bordered - Accent 6"/>
    <w:basedOn w:val="805"/>
    <w:uiPriority w:val="99"/>
    <w:qFormat/>
    <w:tblPr/>
  </w:style>
  <w:style w:type="paragraph" w:styleId="1044" w:customStyle="1">
    <w:name w:val="TOC 标题11"/>
    <w:uiPriority w:val="39"/>
    <w:unhideWhenUsed/>
    <w:qFormat/>
    <w:rPr>
      <w:rFonts w:hint="default" w:ascii="Times New Roman" w:hAnsi="Times New Roman" w:eastAsia="宋体" w:cs="Times New Roman"/>
      <w:lang w:val="en-US" w:eastAsia="zh-CN" w:bidi="ar-SA"/>
    </w:rPr>
  </w:style>
  <w:style w:type="paragraph" w:styleId="1045" w:customStyle="1">
    <w:name w:val="Normal_0"/>
    <w:uiPriority w:val="0"/>
    <w:qFormat/>
    <w:rPr>
      <w:rFonts w:hint="default" w:ascii="黑体" w:hAnsi="黑体" w:eastAsia="黑体" w:cs="Times New Roman"/>
      <w:b/>
      <w:sz w:val="32"/>
      <w:szCs w:val="24"/>
      <w:lang w:val="en-US" w:eastAsia="zh-CN" w:bidi="ar-SA"/>
    </w:rPr>
  </w:style>
  <w:style w:type="paragraph" w:styleId="1046" w:customStyle="1">
    <w:name w:val="Normal_0_3"/>
    <w:uiPriority w:val="0"/>
    <w:qFormat/>
    <w:rPr>
      <w:rFonts w:hint="default" w:ascii="黑体" w:hAnsi="黑体" w:eastAsia="黑体" w:cs="黑体"/>
      <w:b/>
      <w:sz w:val="32"/>
      <w:szCs w:val="24"/>
      <w:lang w:val="en-US" w:eastAsia="zh-CN" w:bidi="ar-SA"/>
    </w:rPr>
  </w:style>
  <w:style w:type="paragraph" w:styleId="1047" w:customStyle="1">
    <w:name w:val="正文首行缩进 2_0"/>
    <w:basedOn w:val="1048"/>
    <w:uiPriority w:val="0"/>
    <w:qFormat/>
    <w:pPr>
      <w:ind w:left="200" w:firstLine="200"/>
      <w:spacing w:after="120"/>
    </w:pPr>
    <w:rPr>
      <w:rFonts w:ascii="Times New Roman" w:hAnsi="Times New Roman"/>
      <w:sz w:val="24"/>
      <w:szCs w:val="24"/>
    </w:rPr>
  </w:style>
  <w:style w:type="paragraph" w:styleId="1048" w:customStyle="1">
    <w:name w:val="正文文本缩进_0"/>
    <w:basedOn w:val="1049"/>
    <w:uiPriority w:val="0"/>
    <w:qFormat/>
    <w:pPr>
      <w:ind w:firstLine="225"/>
    </w:pPr>
    <w:rPr>
      <w:rFonts w:ascii="仿宋_GB2312" w:eastAsia="仿宋_GB2312"/>
      <w:sz w:val="32"/>
    </w:rPr>
  </w:style>
  <w:style w:type="paragraph" w:styleId="1049" w:customStyle="1">
    <w:name w:val="正文_2"/>
    <w:next w:val="105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文本_0"/>
    <w:basedOn w:val="910"/>
    <w:next w:val="1049"/>
    <w:uiPriority w:val="0"/>
    <w:qFormat/>
    <w:pPr>
      <w:spacing w:line="60" w:lineRule="auto"/>
    </w:pPr>
    <w:rPr>
      <w:rFonts w:ascii="仿宋_GB2312" w:eastAsia="仿宋_GB2312"/>
      <w:sz w:val="32"/>
    </w:rPr>
  </w:style>
  <w:style w:type="paragraph" w:styleId="1051" w:customStyle="1">
    <w:name w:val="Normal_0_2"/>
    <w:next w:val="1052"/>
    <w:uiPriority w:val="0"/>
    <w:qFormat/>
    <w:rPr>
      <w:rFonts w:hint="default" w:ascii="黑体" w:hAnsi="黑体" w:eastAsia="黑体" w:cs="黑体"/>
      <w:b/>
      <w:sz w:val="32"/>
      <w:szCs w:val="24"/>
      <w:lang w:val="en-US" w:eastAsia="zh-CN" w:bidi="ar-SA"/>
    </w:rPr>
  </w:style>
  <w:style w:type="paragraph" w:styleId="1052" w:customStyle="1">
    <w:name w:val="Body Text First Indent_1"/>
    <w:basedOn w:val="797"/>
    <w:uiPriority w:val="99"/>
    <w:unhideWhenUsed/>
    <w:qFormat/>
    <w:pPr>
      <w:ind w:firstLine="420"/>
      <w:spacing w:after="120"/>
    </w:pPr>
    <w:rPr>
      <w:rFonts w:eastAsia="Times New Roman"/>
    </w:rPr>
  </w:style>
  <w:style w:type="paragraph" w:styleId="10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0_1"/>
    <w:next w:val="1055"/>
    <w:uiPriority w:val="0"/>
    <w:qFormat/>
    <w:rPr>
      <w:rFonts w:hint="default" w:ascii="黑体" w:hAnsi="黑体" w:eastAsia="黑体" w:cs="黑体"/>
      <w:b/>
      <w:sz w:val="32"/>
      <w:szCs w:val="24"/>
      <w:lang w:val="en-US" w:eastAsia="zh-CN" w:bidi="ar-SA"/>
    </w:rPr>
  </w:style>
  <w:style w:type="paragraph" w:styleId="1055" w:customStyle="1">
    <w:name w:val="Body Text First Indent_0"/>
    <w:basedOn w:val="1056"/>
    <w:uiPriority w:val="99"/>
    <w:unhideWhenUsed/>
    <w:qFormat/>
    <w:pPr>
      <w:ind w:firstLine="420"/>
      <w:spacing w:after="120"/>
    </w:pPr>
  </w:style>
  <w:style w:type="paragraph" w:styleId="1056" w:customStyle="1">
    <w:name w:val="正文3"/>
    <w:next w:val="1057"/>
    <w:uiPriority w:val="0"/>
    <w:qFormat/>
    <w:rPr>
      <w:rFonts w:hint="default" w:ascii="Times New Roman" w:hAnsi="Times New Roman" w:eastAsia="Times New Roman" w:cs="Times New Roman"/>
      <w:sz w:val="24"/>
      <w:szCs w:val="24"/>
      <w:lang w:val="en-US" w:eastAsia="zh-CN" w:bidi="ar-SA"/>
    </w:rPr>
  </w:style>
  <w:style w:type="paragraph" w:styleId="1057" w:customStyle="1">
    <w:name w:val="正文首行缩进3"/>
    <w:basedOn w:val="794"/>
    <w:uiPriority w:val="99"/>
    <w:unhideWhenUsed/>
    <w:qFormat/>
    <w:pPr>
      <w:ind w:firstLine="420"/>
      <w:spacing w:after="120"/>
    </w:pPr>
    <w:rPr>
      <w:sz w:val="20"/>
    </w:rPr>
  </w:style>
  <w:style w:type="paragraph" w:styleId="1058" w:customStyle="1">
    <w:name w:val="Normal_1_1"/>
    <w:uiPriority w:val="0"/>
    <w:qFormat/>
    <w:rPr>
      <w:rFonts w:hint="default" w:ascii="黑体" w:hAnsi="黑体" w:eastAsia="黑体" w:cs="黑体"/>
      <w:b/>
      <w:sz w:val="32"/>
      <w:szCs w:val="24"/>
      <w:lang w:val="en-US" w:eastAsia="zh-CN" w:bidi="ar-SA"/>
    </w:rPr>
  </w:style>
  <w:style w:type="paragraph" w:styleId="105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2_0"/>
    <w:uiPriority w:val="0"/>
    <w:qFormat/>
    <w:rPr>
      <w:rFonts w:hint="default" w:ascii="黑体" w:hAnsi="黑体" w:eastAsia="黑体" w:cs="黑体"/>
      <w:b/>
      <w:sz w:val="32"/>
      <w:szCs w:val="24"/>
      <w:lang w:val="en-US" w:eastAsia="zh-CN" w:bidi="ar-SA"/>
    </w:rPr>
  </w:style>
  <w:style w:type="paragraph" w:styleId="106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Normal_4_0"/>
    <w:uiPriority w:val="0"/>
    <w:qFormat/>
    <w:rPr>
      <w:rFonts w:hint="default" w:ascii="黑体" w:hAnsi="黑体" w:eastAsia="黑体" w:cs="黑体"/>
      <w:b/>
      <w:sz w:val="32"/>
      <w:szCs w:val="24"/>
      <w:lang w:val="en-US" w:eastAsia="zh-CN" w:bidi="ar-SA"/>
    </w:rPr>
  </w:style>
  <w:style w:type="paragraph" w:styleId="106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Normal_6_0"/>
    <w:uiPriority w:val="0"/>
    <w:qFormat/>
    <w:rPr>
      <w:rFonts w:hint="default" w:ascii="黑体" w:hAnsi="黑体" w:eastAsia="黑体" w:cs="黑体"/>
      <w:b/>
      <w:sz w:val="32"/>
      <w:szCs w:val="24"/>
      <w:lang w:val="en-US" w:eastAsia="zh-CN" w:bidi="ar-SA"/>
    </w:rPr>
  </w:style>
  <w:style w:type="paragraph" w:styleId="106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6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69" w:customStyle="1">
    <w:name w:val="Normal_7_0"/>
    <w:uiPriority w:val="0"/>
    <w:qFormat/>
    <w:rPr>
      <w:rFonts w:hint="default" w:ascii="黑体" w:hAnsi="黑体" w:eastAsia="黑体" w:cs="黑体"/>
      <w:b/>
      <w:sz w:val="32"/>
      <w:szCs w:val="24"/>
      <w:lang w:val="en-US" w:eastAsia="zh-CN" w:bidi="ar-SA"/>
    </w:rPr>
  </w:style>
  <w:style w:type="paragraph" w:styleId="107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7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2" w:customStyle="1">
    <w:name w:val="Normal_10_0"/>
    <w:uiPriority w:val="0"/>
    <w:qFormat/>
    <w:rPr>
      <w:rFonts w:hint="default" w:ascii="黑体" w:hAnsi="黑体" w:eastAsia="黑体" w:cs="黑体"/>
      <w:b/>
      <w:sz w:val="32"/>
      <w:szCs w:val="24"/>
      <w:lang w:val="en-US" w:eastAsia="zh-CN" w:bidi="ar-SA"/>
    </w:rPr>
  </w:style>
  <w:style w:type="paragraph" w:styleId="1073" w:customStyle="1">
    <w:name w:val="正文_3"/>
    <w:next w:val="1074"/>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首行缩进 2_1"/>
    <w:basedOn w:val="1075"/>
    <w:next w:val="1077"/>
    <w:uiPriority w:val="0"/>
    <w:qFormat/>
    <w:pPr>
      <w:ind w:left="200" w:firstLine="200"/>
      <w:spacing w:after="120"/>
    </w:pPr>
    <w:rPr>
      <w:rFonts w:ascii="Times New Roman"/>
      <w:szCs w:val="24"/>
    </w:rPr>
  </w:style>
  <w:style w:type="paragraph" w:styleId="1075" w:customStyle="1">
    <w:name w:val="正文文本缩进_1"/>
    <w:basedOn w:val="1076"/>
    <w:next w:val="1074"/>
    <w:uiPriority w:val="0"/>
    <w:qFormat/>
    <w:pPr>
      <w:ind w:firstLine="225"/>
    </w:pPr>
    <w:rPr>
      <w:rFonts w:ascii="仿宋_GB2312" w:eastAsia="仿宋_GB2312"/>
      <w:sz w:val="32"/>
    </w:rPr>
  </w:style>
  <w:style w:type="paragraph" w:styleId="1076" w:customStyle="1">
    <w:name w:val="正文_18"/>
    <w:next w:val="1075"/>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xl53_0"/>
    <w:next w:val="107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7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11_0"/>
    <w:uiPriority w:val="0"/>
    <w:qFormat/>
    <w:rPr>
      <w:rFonts w:hint="default" w:ascii="黑体" w:hAnsi="黑体" w:eastAsia="黑体" w:cs="黑体"/>
      <w:b/>
      <w:sz w:val="32"/>
      <w:szCs w:val="24"/>
      <w:lang w:val="en-US" w:eastAsia="zh-CN" w:bidi="ar-SA"/>
    </w:rPr>
  </w:style>
  <w:style w:type="paragraph" w:styleId="108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4" w:customStyle="1">
    <w:name w:val="列出段落_2"/>
    <w:basedOn w:val="1082"/>
    <w:uiPriority w:val="34"/>
    <w:qFormat/>
    <w:pPr>
      <w:ind w:firstLine="420"/>
    </w:pPr>
  </w:style>
  <w:style w:type="paragraph" w:styleId="1085" w:customStyle="1">
    <w:name w:val="Normal_13_0"/>
    <w:uiPriority w:val="0"/>
    <w:qFormat/>
    <w:rPr>
      <w:rFonts w:hint="default" w:ascii="黑体" w:hAnsi="黑体" w:eastAsia="黑体" w:cs="黑体"/>
      <w:b/>
      <w:sz w:val="32"/>
      <w:szCs w:val="24"/>
      <w:lang w:val="en-US" w:eastAsia="zh-CN" w:bidi="ar-SA"/>
    </w:rPr>
  </w:style>
  <w:style w:type="paragraph" w:styleId="108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纯文本_0_0"/>
    <w:basedOn w:val="1086"/>
    <w:uiPriority w:val="0"/>
    <w:unhideWhenUsed/>
    <w:qFormat/>
    <w:rPr>
      <w:rFonts w:ascii="宋体" w:hAnsi="Courier New"/>
      <w:szCs w:val="21"/>
    </w:rPr>
  </w:style>
  <w:style w:type="paragraph" w:styleId="108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14_0"/>
    <w:uiPriority w:val="0"/>
    <w:qFormat/>
    <w:rPr>
      <w:rFonts w:hint="default" w:ascii="黑体" w:hAnsi="黑体" w:eastAsia="黑体" w:cs="黑体"/>
      <w:b/>
      <w:sz w:val="32"/>
      <w:szCs w:val="24"/>
      <w:lang w:val="en-US" w:eastAsia="zh-CN" w:bidi="ar-SA"/>
    </w:rPr>
  </w:style>
  <w:style w:type="paragraph" w:styleId="109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Normal_15_0"/>
    <w:uiPriority w:val="0"/>
    <w:qFormat/>
    <w:rPr>
      <w:rFonts w:hint="default" w:ascii="黑体" w:hAnsi="黑体" w:eastAsia="黑体" w:cs="黑体"/>
      <w:b/>
      <w:sz w:val="32"/>
      <w:szCs w:val="24"/>
      <w:lang w:val="en-US" w:eastAsia="zh-CN" w:bidi="ar-SA"/>
    </w:rPr>
  </w:style>
  <w:style w:type="paragraph" w:styleId="109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Normal_16_0"/>
    <w:uiPriority w:val="0"/>
    <w:qFormat/>
    <w:rPr>
      <w:rFonts w:hint="default" w:ascii="黑体" w:hAnsi="黑体" w:eastAsia="黑体" w:cs="黑体"/>
      <w:b/>
      <w:sz w:val="32"/>
      <w:szCs w:val="24"/>
      <w:lang w:val="en-US" w:eastAsia="zh-CN" w:bidi="ar-SA"/>
    </w:rPr>
  </w:style>
  <w:style w:type="paragraph" w:styleId="109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Normal_17_0"/>
    <w:uiPriority w:val="0"/>
    <w:qFormat/>
    <w:rPr>
      <w:rFonts w:hint="default" w:ascii="黑体" w:hAnsi="黑体" w:eastAsia="黑体" w:cs="黑体"/>
      <w:b/>
      <w:sz w:val="32"/>
      <w:szCs w:val="24"/>
      <w:lang w:val="en-US" w:eastAsia="zh-CN" w:bidi="ar-SA"/>
    </w:rPr>
  </w:style>
  <w:style w:type="paragraph" w:styleId="109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Normal_18_0"/>
    <w:uiPriority w:val="0"/>
    <w:qFormat/>
    <w:rPr>
      <w:rFonts w:hint="default" w:ascii="黑体" w:hAnsi="黑体" w:eastAsia="黑体" w:cs="黑体"/>
      <w:b/>
      <w:sz w:val="32"/>
      <w:szCs w:val="24"/>
      <w:lang w:val="en-US" w:eastAsia="zh-CN" w:bidi="ar-SA"/>
    </w:rPr>
  </w:style>
  <w:style w:type="paragraph" w:styleId="109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Normal_14_0_0"/>
    <w:uiPriority w:val="0"/>
    <w:qFormat/>
    <w:rPr>
      <w:rFonts w:hint="default" w:ascii="黑体" w:hAnsi="黑体" w:eastAsia="黑体" w:cs="Times New Roman"/>
      <w:b/>
      <w:sz w:val="32"/>
      <w:szCs w:val="24"/>
      <w:lang w:val="en-US" w:eastAsia="zh-CN" w:bidi="ar-SA"/>
    </w:rPr>
  </w:style>
  <w:style w:type="paragraph" w:styleId="110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 Indent_0"/>
    <w:basedOn w:val="885"/>
    <w:uiPriority w:val="0"/>
    <w:qFormat/>
    <w:pPr>
      <w:ind w:firstLine="420"/>
    </w:pPr>
    <w:rPr>
      <w:rFonts w:ascii="宋体" w:eastAsia="Times New Roman"/>
      <w:color w:val="000000"/>
      <w:sz w:val="24"/>
      <w:szCs w:val="20"/>
    </w:rPr>
  </w:style>
  <w:style w:type="paragraph" w:styleId="1109" w:customStyle="1">
    <w:name w:val="Heading 3_0"/>
    <w:basedOn w:val="885"/>
    <w:next w:val="885"/>
    <w:uiPriority w:val="0"/>
    <w:qFormat/>
    <w:pPr>
      <w:keepLines/>
      <w:keepNext/>
      <w:spacing w:before="260" w:after="260" w:line="413" w:lineRule="auto"/>
      <w:outlineLvl w:val="2"/>
    </w:pPr>
    <w:rPr>
      <w:rFonts w:ascii="Times New Roman" w:hAnsi="Times New Roman" w:eastAsia="Times New Roman"/>
      <w:szCs w:val="20"/>
    </w:rPr>
  </w:style>
  <w:style w:type="paragraph" w:styleId="111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2"/>
    <w:basedOn w:val="723"/>
    <w:uiPriority w:val="0"/>
    <w:qFormat/>
    <w:pPr>
      <w:ind w:firstLine="510"/>
      <w:spacing w:before="156" w:line="360" w:lineRule="auto"/>
    </w:pPr>
    <w:rPr>
      <w:sz w:val="24"/>
      <w:szCs w:val="20"/>
    </w:rPr>
  </w:style>
  <w:style w:type="paragraph" w:styleId="11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14" w:customStyle="1">
    <w:name w:val="Normal_19_1_0"/>
    <w:next w:val="1115"/>
    <w:uiPriority w:val="0"/>
    <w:qFormat/>
    <w:pPr>
      <w:jc w:val="both"/>
      <w:widowControl w:val="off"/>
    </w:pPr>
    <w:rPr>
      <w:rFonts w:hint="default" w:ascii="Calibri" w:hAnsi="Calibri" w:eastAsia="宋体" w:cs="Times New Roman"/>
      <w:szCs w:val="24"/>
      <w:lang w:val="en-US" w:eastAsia="zh-CN" w:bidi="ar-SA"/>
    </w:rPr>
  </w:style>
  <w:style w:type="paragraph" w:styleId="1115" w:customStyle="1">
    <w:name w:val="正文_16_0"/>
    <w:basedOn w:val="1076"/>
    <w:next w:val="1074"/>
    <w:uiPriority w:val="0"/>
    <w:qFormat/>
    <w:rPr>
      <w:rFonts w:ascii="Times New Roman" w:hAnsi="Times New Roman"/>
    </w:rPr>
  </w:style>
  <w:style w:type="paragraph" w:styleId="1116" w:customStyle="1">
    <w:name w:val="Normal_19_0"/>
    <w:basedOn w:val="792"/>
    <w:next w:val="1117"/>
    <w:uiPriority w:val="0"/>
    <w:qFormat/>
    <w:rPr>
      <w:szCs w:val="24"/>
    </w:rPr>
  </w:style>
  <w:style w:type="paragraph" w:styleId="1117" w:customStyle="1">
    <w:name w:val="Body Text First Indent_1_0"/>
    <w:basedOn w:val="1116"/>
    <w:uiPriority w:val="0"/>
    <w:qFormat/>
    <w:pPr>
      <w:ind w:firstLine="100"/>
      <w:spacing w:after="120"/>
    </w:pPr>
  </w:style>
  <w:style w:type="paragraph" w:styleId="1118" w:customStyle="1">
    <w:name w:val="Body Text_0"/>
    <w:basedOn w:val="1116"/>
    <w:uiPriority w:val="0"/>
    <w:qFormat/>
    <w:pPr>
      <w:spacing w:line="60" w:lineRule="auto"/>
    </w:pPr>
    <w:rPr>
      <w:rFonts w:ascii="仿宋_GB2312" w:eastAsia="仿宋_GB2312"/>
      <w:sz w:val="32"/>
    </w:rPr>
  </w:style>
  <w:style w:type="paragraph" w:styleId="1119" w:customStyle="1">
    <w:name w:val="Normal_19_1"/>
    <w:next w:val="885"/>
    <w:uiPriority w:val="0"/>
    <w:qFormat/>
    <w:pPr>
      <w:jc w:val="both"/>
      <w:widowControl w:val="off"/>
    </w:pPr>
    <w:rPr>
      <w:rFonts w:hint="default" w:ascii="Calibri" w:hAnsi="Calibri" w:eastAsia="宋体" w:cs="Times New Roman"/>
      <w:szCs w:val="24"/>
      <w:lang w:val="en-US" w:eastAsia="zh-CN" w:bidi="ar-SA"/>
    </w:rPr>
  </w:style>
  <w:style w:type="paragraph" w:styleId="112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2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22" w:customStyle="1">
    <w:name w:val="正文1_1"/>
    <w:basedOn w:val="1070"/>
    <w:uiPriority w:val="0"/>
    <w:qFormat/>
    <w:pPr>
      <w:jc w:val="both"/>
      <w:widowControl w:val="off"/>
    </w:pPr>
    <w:rPr>
      <w:sz w:val="20"/>
      <w:szCs w:val="20"/>
    </w:rPr>
  </w:style>
  <w:style w:type="paragraph" w:styleId="112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25" w:customStyle="1">
    <w:name w:val="Normal_16_1"/>
    <w:uiPriority w:val="0"/>
    <w:qFormat/>
    <w:rPr>
      <w:rFonts w:hint="default" w:ascii="黑体" w:hAnsi="黑体" w:eastAsia="黑体" w:cs="Times New Roman"/>
      <w:b/>
      <w:sz w:val="32"/>
      <w:szCs w:val="24"/>
      <w:lang w:val="en-US" w:eastAsia="zh-CN" w:bidi="ar-SA"/>
    </w:rPr>
  </w:style>
  <w:style w:type="paragraph" w:styleId="1126" w:customStyle="1">
    <w:name w:val="Normal_19_0_1"/>
    <w:uiPriority w:val="0"/>
    <w:qFormat/>
    <w:rPr>
      <w:rFonts w:hint="default" w:ascii="Tahoma" w:hAnsi="Tahoma" w:eastAsia="微软雅黑" w:cs="Times New Roman"/>
      <w:lang w:val="en-US" w:eastAsia="zh-CN" w:bidi="ar-SA"/>
    </w:rPr>
  </w:style>
  <w:style w:type="paragraph" w:styleId="112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2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29" w:customStyle="1">
    <w:name w:val="Normal_17_0_0"/>
    <w:uiPriority w:val="0"/>
    <w:qFormat/>
    <w:rPr>
      <w:rFonts w:hint="default" w:ascii="黑体" w:hAnsi="黑体" w:eastAsia="黑体" w:cs="Times New Roman"/>
      <w:b/>
      <w:sz w:val="32"/>
      <w:szCs w:val="24"/>
      <w:lang w:val="en-US" w:eastAsia="zh-CN" w:bidi="ar-SA"/>
    </w:rPr>
  </w:style>
  <w:style w:type="paragraph" w:styleId="1130" w:customStyle="1">
    <w:name w:val="Normal_19_0_1_0"/>
    <w:uiPriority w:val="0"/>
    <w:qFormat/>
    <w:rPr>
      <w:rFonts w:hint="default" w:ascii="Tahoma" w:hAnsi="Tahoma" w:eastAsia="微软雅黑" w:cs="Times New Roman"/>
      <w:lang w:val="en-US" w:eastAsia="zh-CN" w:bidi="ar-SA"/>
    </w:rPr>
  </w:style>
  <w:style w:type="paragraph" w:styleId="1131" w:customStyle="1">
    <w:name w:val="Normal_19_3"/>
    <w:next w:val="1132"/>
    <w:uiPriority w:val="0"/>
    <w:qFormat/>
    <w:pPr>
      <w:jc w:val="both"/>
      <w:widowControl w:val="off"/>
    </w:pPr>
    <w:rPr>
      <w:rFonts w:hint="default" w:ascii="Calibri" w:hAnsi="Calibri" w:eastAsia="Times New Roman" w:cs="Times New Roman"/>
      <w:szCs w:val="24"/>
      <w:lang w:val="en-US" w:eastAsia="zh-CN" w:bidi="ar-SA"/>
    </w:rPr>
  </w:style>
  <w:style w:type="paragraph" w:styleId="113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34" w:customStyle="1">
    <w:name w:val="custom-tag-placeholder-class"/>
    <w:uiPriority w:val="0"/>
    <w:qFormat/>
  </w:style>
  <w:style w:type="paragraph" w:styleId="1135" w:customStyle="1">
    <w:name w:val="Normal_19_0_0"/>
    <w:basedOn w:val="885"/>
    <w:next w:val="1136"/>
    <w:uiPriority w:val="0"/>
    <w:qFormat/>
    <w:rPr>
      <w:rFonts w:ascii="Calibri" w:hAnsi="Calibri" w:eastAsia="Times New Roman"/>
      <w:sz w:val="24"/>
    </w:rPr>
  </w:style>
  <w:style w:type="paragraph" w:styleId="1136" w:customStyle="1">
    <w:name w:val="Body Text First Indent_1_0_0"/>
    <w:basedOn w:val="1135"/>
    <w:uiPriority w:val="0"/>
    <w:qFormat/>
    <w:pPr>
      <w:ind w:firstLine="100"/>
      <w:spacing w:after="120"/>
    </w:pPr>
  </w:style>
  <w:style w:type="paragraph" w:styleId="1137" w:customStyle="1">
    <w:name w:val="正文首行缩进1"/>
    <w:basedOn w:val="1138"/>
    <w:uiPriority w:val="0"/>
    <w:qFormat/>
    <w:pPr>
      <w:ind w:firstLine="100"/>
      <w:spacing w:after="120" w:line="240" w:lineRule="auto"/>
    </w:pPr>
    <w:rPr>
      <w:rFonts w:ascii="Times New Roman" w:hAnsi="Times New Roman" w:eastAsia="宋体"/>
      <w:sz w:val="21"/>
    </w:rPr>
  </w:style>
  <w:style w:type="paragraph" w:styleId="1138" w:customStyle="1">
    <w:name w:val="正文文本1"/>
    <w:basedOn w:val="723"/>
    <w:uiPriority w:val="0"/>
    <w:qFormat/>
    <w:pPr>
      <w:spacing w:line="60" w:lineRule="auto"/>
    </w:pPr>
    <w:rPr>
      <w:rFonts w:ascii="仿宋_GB2312" w:eastAsia="仿宋_GB2312"/>
      <w:sz w:val="32"/>
    </w:rPr>
  </w:style>
  <w:style w:type="paragraph" w:styleId="113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List Paragraph_0"/>
    <w:basedOn w:val="1049"/>
    <w:uiPriority w:val="0"/>
    <w:qFormat/>
    <w:pPr>
      <w:ind w:firstLine="420"/>
    </w:pPr>
  </w:style>
  <w:style w:type="paragraph" w:styleId="1141" w:customStyle="1">
    <w:name w:val="纯文本_1"/>
    <w:basedOn w:val="1139"/>
    <w:uiPriority w:val="0"/>
    <w:qFormat/>
    <w:rPr>
      <w:rFonts w:ascii="宋体" w:hAnsi="Times New Roman"/>
      <w:sz w:val="20"/>
      <w:szCs w:val="21"/>
    </w:rPr>
  </w:style>
  <w:style w:type="paragraph" w:styleId="1142" w:customStyle="1">
    <w:name w:val="正文_16_0_0"/>
    <w:next w:val="912"/>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1_0"/>
    <w:basedOn w:val="912"/>
    <w:uiPriority w:val="0"/>
    <w:qFormat/>
    <w:rPr>
      <w:rFonts w:ascii="Calibri" w:hAnsi="Calibri"/>
      <w:szCs w:val="20"/>
    </w:rPr>
  </w:style>
  <w:style w:type="paragraph" w:styleId="1144" w:customStyle="1">
    <w:name w:val="Normal_19_0_0_0"/>
    <w:basedOn w:val="792"/>
    <w:uiPriority w:val="0"/>
    <w:qFormat/>
    <w:rPr>
      <w:rFonts w:cs="黑体"/>
      <w:szCs w:val="24"/>
    </w:rPr>
  </w:style>
  <w:style w:type="paragraph" w:styleId="1145" w:customStyle="1">
    <w:name w:val="无间隔11"/>
    <w:basedOn w:val="1056"/>
    <w:uiPriority w:val="0"/>
    <w:qFormat/>
    <w:rPr>
      <w:rFonts w:ascii="Calibri" w:hAnsi="Calibri" w:cs="Calibri"/>
    </w:rPr>
  </w:style>
  <w:style w:type="paragraph" w:styleId="1146" w:customStyle="1">
    <w:name w:val="标题 31"/>
    <w:basedOn w:val="1056"/>
    <w:next w:val="1056"/>
    <w:uiPriority w:val="0"/>
    <w:qFormat/>
    <w:pPr>
      <w:keepLines/>
      <w:keepNext/>
      <w:spacing w:before="260" w:after="260" w:line="413" w:lineRule="auto"/>
      <w:outlineLvl w:val="2"/>
    </w:pPr>
    <w:rPr>
      <w:b/>
      <w:sz w:val="32"/>
      <w:szCs w:val="20"/>
    </w:rPr>
  </w:style>
  <w:style w:type="character" w:styleId="1147" w:customStyle="1">
    <w:name w:val="标题 2 Char_0"/>
    <w:link w:val="1148"/>
    <w:uiPriority w:val="0"/>
    <w:qFormat/>
    <w:rPr>
      <w:rFonts w:ascii="Arial" w:hAnsi="Arial" w:eastAsia="黑体"/>
      <w:b/>
      <w:sz w:val="32"/>
      <w:szCs w:val="22"/>
    </w:rPr>
  </w:style>
  <w:style w:type="paragraph" w:styleId="1148" w:customStyle="1">
    <w:name w:val="标题 21"/>
    <w:basedOn w:val="793"/>
    <w:next w:val="793"/>
    <w:link w:val="1147"/>
    <w:uiPriority w:val="0"/>
    <w:unhideWhenUsed/>
    <w:qFormat/>
    <w:pPr>
      <w:keepLines/>
      <w:keepNext/>
      <w:spacing w:before="260" w:after="260" w:line="413" w:lineRule="auto"/>
      <w:outlineLvl w:val="1"/>
    </w:pPr>
    <w:rPr>
      <w:rFonts w:ascii="Arial" w:hAnsi="Arial"/>
      <w:szCs w:val="22"/>
    </w:rPr>
  </w:style>
  <w:style w:type="paragraph" w:styleId="1149" w:customStyle="1">
    <w:name w:val="Normal_19_1_0_0"/>
    <w:next w:val="1150"/>
    <w:uiPriority w:val="0"/>
    <w:qFormat/>
    <w:pPr>
      <w:jc w:val="both"/>
      <w:widowControl w:val="off"/>
    </w:pPr>
    <w:rPr>
      <w:rFonts w:hint="default" w:ascii="Calibri" w:hAnsi="Calibri" w:eastAsia="宋体" w:cs="Times New Roman"/>
      <w:sz w:val="21"/>
      <w:szCs w:val="24"/>
      <w:lang w:val="en-US" w:eastAsia="zh-CN" w:bidi="ar-SA"/>
    </w:rPr>
  </w:style>
  <w:style w:type="paragraph" w:styleId="115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正文1_0_0"/>
    <w:basedOn w:val="793"/>
    <w:uiPriority w:val="0"/>
    <w:qFormat/>
    <w:pPr>
      <w:ind w:left="357" w:firstLine="420"/>
      <w:spacing w:line="360" w:lineRule="auto"/>
    </w:pPr>
    <w:rPr>
      <w:rFonts w:eastAsia="Times New Roman" w:cs="Arial"/>
    </w:rPr>
  </w:style>
  <w:style w:type="paragraph" w:styleId="1152"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1153" w:customStyle="1">
    <w:name w:val="正文空2字"/>
    <w:basedOn w:val="1154"/>
    <w:uiPriority w:val="99"/>
    <w:qFormat/>
    <w:pPr>
      <w:ind w:firstLine="640"/>
      <w:spacing w:line="560" w:lineRule="exact"/>
      <w:widowControl w:val="off"/>
    </w:pPr>
    <w:rPr>
      <w:rFonts w:ascii="仿宋_GB2312" w:hAnsi="仿宋_GB2312" w:cs="仿宋_GB2312"/>
      <w:lang w:val="zh-TW"/>
    </w:rPr>
  </w:style>
  <w:style w:type="paragraph" w:styleId="1154" w:customStyle="1">
    <w:name w:val="左对齐正文"/>
    <w:uiPriority w:val="99"/>
    <w:qFormat/>
    <w:rPr>
      <w:rFonts w:hint="default" w:ascii="Calibri" w:hAnsi="Calibri" w:eastAsia="仿宋_GB2312" w:cs="Calibri"/>
      <w:sz w:val="32"/>
      <w:szCs w:val="32"/>
      <w:lang w:val="en-US" w:eastAsia="zh-CN" w:bidi="ar-SA"/>
    </w:rPr>
  </w:style>
  <w:style w:type="paragraph" w:styleId="1155" w:customStyle="1">
    <w:name w:val="普通(网站)1"/>
    <w:basedOn w:val="723"/>
    <w:uiPriority w:val="0"/>
    <w:qFormat/>
    <w:rPr>
      <w:sz w:val="24"/>
    </w:rPr>
  </w:style>
  <w:style w:type="character" w:styleId="1156" w:customStyle="1">
    <w:name w:val="16"/>
    <w:uiPriority w:val="0"/>
    <w:qFormat/>
    <w:rPr>
      <w:rFonts w:ascii="Times New Roman" w:hAnsi="Times New Roman"/>
      <w:sz w:val="21"/>
      <w:szCs w:val="21"/>
      <w:lang w:val="en-US" w:eastAsia="zh-CN" w:bidi="ar-SA"/>
    </w:rPr>
  </w:style>
  <w:style w:type="paragraph" w:styleId="1157" w:customStyle="1">
    <w:name w:val="正文缩进_1"/>
    <w:basedOn w:val="1049"/>
    <w:next w:val="1049"/>
    <w:uiPriority w:val="0"/>
    <w:qFormat/>
    <w:pPr>
      <w:ind w:firstLine="420"/>
    </w:pPr>
    <w:rPr>
      <w:rFonts w:ascii="宋体"/>
      <w:color w:val="000000"/>
      <w:sz w:val="24"/>
      <w:szCs w:val="20"/>
    </w:rPr>
  </w:style>
  <w:style w:type="paragraph" w:styleId="1158" w:customStyle="1">
    <w:name w:val="Table Paragraph"/>
    <w:basedOn w:val="885"/>
    <w:uiPriority w:val="1"/>
    <w:qFormat/>
    <w:rPr>
      <w:rFonts w:ascii="宋体" w:hAnsi="宋体" w:cs="宋体"/>
      <w:sz w:val="22"/>
      <w:lang w:val="zh-CN" w:bidi="zh-CN"/>
    </w:rPr>
  </w:style>
  <w:style w:type="paragraph" w:styleId="1159" w:customStyle="1">
    <w:name w:val="Normal_19_2"/>
    <w:basedOn w:val="1160"/>
    <w:uiPriority w:val="0"/>
    <w:qFormat/>
    <w:rPr>
      <w:rFonts w:ascii="Times New Roman" w:hAnsi="Times New Roman"/>
      <w:szCs w:val="21"/>
    </w:rPr>
  </w:style>
  <w:style w:type="paragraph" w:styleId="1160" w:customStyle="1">
    <w:name w:val="正文_3_0"/>
    <w:next w:val="1048"/>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文本2"/>
    <w:basedOn w:val="909"/>
    <w:uiPriority w:val="0"/>
    <w:qFormat/>
    <w:pPr>
      <w:spacing w:line="60" w:lineRule="auto"/>
    </w:pPr>
    <w:rPr>
      <w:rFonts w:ascii="仿宋_GB2312" w:eastAsia="仿宋_GB2312"/>
      <w:sz w:val="32"/>
      <w:szCs w:val="22"/>
    </w:rPr>
  </w:style>
  <w:style w:type="paragraph" w:styleId="1162" w:customStyle="1">
    <w:name w:val="正文1_0"/>
    <w:basedOn w:val="1139"/>
    <w:uiPriority w:val="0"/>
    <w:qFormat/>
    <w:pPr>
      <w:ind w:left="357" w:firstLine="420"/>
      <w:jc w:val="left"/>
      <w:spacing w:line="360" w:lineRule="auto"/>
      <w:widowControl/>
    </w:pPr>
    <w:rPr>
      <w:rFonts w:cs="Arial"/>
      <w:szCs w:val="20"/>
    </w:rPr>
  </w:style>
  <w:style w:type="paragraph" w:styleId="1163" w:customStyle="1">
    <w:name w:val="Normal_19_2_0"/>
    <w:basedOn w:val="1164"/>
    <w:uiPriority w:val="0"/>
    <w:qFormat/>
    <w:rPr>
      <w:rFonts w:ascii="Times New Roman" w:hAnsi="Times New Roman"/>
      <w:szCs w:val="21"/>
    </w:rPr>
  </w:style>
  <w:style w:type="paragraph" w:styleId="116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纯文本1"/>
    <w:basedOn w:val="910"/>
    <w:uiPriority w:val="0"/>
    <w:qFormat/>
    <w:rPr>
      <w:rFonts w:ascii="宋体" w:hAnsi="Courier New"/>
    </w:rPr>
  </w:style>
  <w:style w:type="paragraph" w:styleId="1166" w:customStyle="1">
    <w:name w:val="Normal_21_0"/>
    <w:next w:val="11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Heading 1_0"/>
    <w:basedOn w:val="1166"/>
    <w:next w:val="1166"/>
    <w:uiPriority w:val="0"/>
    <w:qFormat/>
    <w:pPr>
      <w:jc w:val="center"/>
      <w:keepLines/>
      <w:keepNext/>
      <w:spacing w:before="240" w:after="120" w:line="300" w:lineRule="auto"/>
      <w:outlineLvl w:val="0"/>
    </w:pPr>
    <w:rPr>
      <w:rFonts w:ascii="宋体"/>
      <w:b/>
      <w:sz w:val="32"/>
      <w:szCs w:val="20"/>
    </w:rPr>
  </w:style>
  <w:style w:type="paragraph" w:styleId="116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9" w:customStyle="1">
    <w:name w:val="正文文本 字符"/>
    <w:uiPriority w:val="0"/>
    <w:qFormat/>
    <w:rPr>
      <w:rFonts w:ascii="楷体_GB2312" w:hAnsi="Arial" w:eastAsia="楷体_GB2312" w:cs="Times New Roman"/>
      <w:sz w:val="28"/>
      <w:szCs w:val="28"/>
    </w:rPr>
  </w:style>
  <w:style w:type="character" w:styleId="1170" w:customStyle="1">
    <w:name w:val="正文文本缩进 字符"/>
    <w:uiPriority w:val="0"/>
    <w:qFormat/>
    <w:rPr>
      <w:rFonts w:ascii="楷体_GB2312" w:hAnsi="Times New Roman" w:eastAsia="楷体_GB2312" w:cs="Times New Roman"/>
      <w:sz w:val="32"/>
      <w:szCs w:val="32"/>
    </w:rPr>
  </w:style>
  <w:style w:type="character" w:styleId="1171" w:customStyle="1">
    <w:name w:val="正文文本 字符1"/>
    <w:uiPriority w:val="0"/>
    <w:qFormat/>
    <w:rPr>
      <w:rFonts w:ascii="Calibri" w:hAnsi="Calibri"/>
      <w:sz w:val="28"/>
      <w:szCs w:val="24"/>
    </w:rPr>
  </w:style>
  <w:style w:type="character" w:styleId="1172" w:customStyle="1">
    <w:name w:val="正文文本首行缩进 字符"/>
    <w:uiPriority w:val="0"/>
    <w:qFormat/>
    <w:rPr>
      <w:rFonts w:ascii="仿宋_GB2312" w:hAnsi="Calibri" w:eastAsia="仿宋_GB2312"/>
      <w:sz w:val="30"/>
      <w:szCs w:val="30"/>
    </w:rPr>
  </w:style>
  <w:style w:type="paragraph" w:styleId="1173" w:customStyle="1">
    <w:name w:val="索引 41"/>
    <w:basedOn w:val="723"/>
    <w:next w:val="723"/>
    <w:uiPriority w:val="0"/>
    <w:semiHidden/>
    <w:qFormat/>
    <w:pPr>
      <w:ind w:left="1260"/>
    </w:pPr>
    <w:rPr>
      <w:rFonts w:eastAsia="Calibri" w:cs="宋体"/>
      <w:sz w:val="20"/>
      <w:szCs w:val="21"/>
      <w:lang w:val="zh-CN"/>
    </w:rPr>
  </w:style>
  <w:style w:type="character" w:styleId="1174" w:customStyle="1">
    <w:name w:val="font5 Char"/>
    <w:uiPriority w:val="0"/>
    <w:qFormat/>
    <w:rPr>
      <w:rFonts w:ascii="宋体" w:hAnsi="宋体" w:eastAsia="宋体"/>
      <w:sz w:val="28"/>
      <w:szCs w:val="28"/>
      <w:lang w:val="en-US" w:eastAsia="zh-CN" w:bidi="ar-SA"/>
    </w:rPr>
  </w:style>
  <w:style w:type="character" w:styleId="1175" w:customStyle="1">
    <w:name w:val="二级目录 Char"/>
    <w:link w:val="1176"/>
    <w:uiPriority w:val="0"/>
    <w:qFormat/>
    <w:rPr>
      <w:b/>
      <w:sz w:val="30"/>
      <w:szCs w:val="28"/>
    </w:rPr>
  </w:style>
  <w:style w:type="paragraph" w:styleId="1176" w:customStyle="1">
    <w:name w:val="二级目录"/>
    <w:next w:val="723"/>
    <w:link w:val="117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77" w:customStyle="1">
    <w:name w:val="列出段落 Char"/>
    <w:link w:val="1178"/>
    <w:uiPriority w:val="0"/>
    <w:qFormat/>
    <w:rPr>
      <w:rFonts w:ascii="Calibri" w:hAnsi="Calibri"/>
      <w:sz w:val="24"/>
      <w:szCs w:val="24"/>
      <w:lang w:eastAsia="en-US" w:bidi="en-US"/>
    </w:rPr>
  </w:style>
  <w:style w:type="paragraph" w:styleId="1178" w:customStyle="1">
    <w:name w:val="列出段落1"/>
    <w:basedOn w:val="723"/>
    <w:link w:val="1177"/>
    <w:uiPriority w:val="0"/>
    <w:qFormat/>
    <w:pPr>
      <w:contextualSpacing/>
      <w:ind w:left="720"/>
      <w:jc w:val="left"/>
      <w:widowControl/>
    </w:pPr>
    <w:rPr>
      <w:sz w:val="24"/>
      <w:szCs w:val="24"/>
      <w:lang w:eastAsia="en-US" w:bidi="en-US"/>
    </w:rPr>
  </w:style>
  <w:style w:type="paragraph" w:styleId="1179" w:customStyle="1">
    <w:name w:val="Body Text(ch)"/>
    <w:basedOn w:val="723"/>
    <w:uiPriority w:val="0"/>
    <w:qFormat/>
    <w:pPr>
      <w:spacing w:after="120"/>
    </w:pPr>
    <w:rPr>
      <w:rFonts w:ascii="宋体" w:hAnsi="Arial"/>
      <w:bCs/>
      <w:iCs/>
      <w:szCs w:val="24"/>
    </w:rPr>
  </w:style>
  <w:style w:type="paragraph" w:styleId="1180" w:customStyle="1">
    <w:name w:val="xl27"/>
    <w:basedOn w:val="7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1" w:customStyle="1">
    <w:name w:val="xl26"/>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2" w:customStyle="1">
    <w:name w:val="Char"/>
    <w:basedOn w:val="723"/>
    <w:uiPriority w:val="0"/>
    <w:qFormat/>
    <w:pPr>
      <w:ind w:firstLine="200"/>
      <w:tabs>
        <w:tab w:val="left" w:pos="360" w:leader="none"/>
      </w:tabs>
    </w:pPr>
    <w:rPr>
      <w:rFonts w:ascii="Times New Roman" w:hAnsi="Times New Roman"/>
      <w:sz w:val="28"/>
      <w:szCs w:val="30"/>
    </w:rPr>
  </w:style>
  <w:style w:type="paragraph" w:styleId="1183" w:customStyle="1">
    <w:name w:val="Char1"/>
    <w:basedOn w:val="820"/>
    <w:uiPriority w:val="0"/>
    <w:qFormat/>
    <w:rPr>
      <w:rFonts w:ascii="Tahoma" w:hAnsi="Tahoma"/>
      <w:sz w:val="24"/>
      <w:szCs w:val="24"/>
    </w:rPr>
  </w:style>
  <w:style w:type="paragraph" w:styleId="1184" w:customStyle="1">
    <w:name w:val="table_lines"/>
    <w:basedOn w:val="723"/>
    <w:uiPriority w:val="0"/>
    <w:qFormat/>
    <w:pPr>
      <w:jc w:val="left"/>
      <w:widowControl/>
    </w:pPr>
    <w:rPr>
      <w:rFonts w:ascii="Times New Roman" w:hAnsi="Times New Roman"/>
      <w:sz w:val="20"/>
      <w:szCs w:val="20"/>
      <w:lang w:val="de-DE" w:eastAsia="de-DE"/>
    </w:rPr>
  </w:style>
  <w:style w:type="paragraph" w:styleId="118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86" w:customStyle="1">
    <w:name w:val="font7"/>
    <w:basedOn w:val="723"/>
    <w:uiPriority w:val="0"/>
    <w:qFormat/>
    <w:pPr>
      <w:jc w:val="left"/>
      <w:spacing w:before="100" w:beforeAutospacing="1" w:after="100" w:afterAutospacing="1"/>
      <w:widowControl/>
    </w:pPr>
    <w:rPr>
      <w:rFonts w:hint="eastAsia" w:ascii="宋体" w:hAnsi="宋体"/>
      <w:sz w:val="18"/>
      <w:szCs w:val="18"/>
    </w:rPr>
  </w:style>
  <w:style w:type="paragraph" w:styleId="1187" w:customStyle="1">
    <w:name w:val="Char Char Char Char"/>
    <w:basedOn w:val="820"/>
    <w:uiPriority w:val="0"/>
    <w:qFormat/>
    <w:pPr>
      <w:spacing w:line="360" w:lineRule="auto"/>
    </w:pPr>
    <w:rPr>
      <w:rFonts w:ascii="Tahoma" w:hAnsi="Tahoma"/>
      <w:sz w:val="24"/>
      <w:szCs w:val="24"/>
    </w:rPr>
  </w:style>
  <w:style w:type="paragraph" w:styleId="1188" w:customStyle="1">
    <w:name w:val="4"/>
    <w:basedOn w:val="723"/>
    <w:next w:val="855"/>
    <w:uiPriority w:val="0"/>
    <w:qFormat/>
    <w:pPr>
      <w:ind w:firstLine="420"/>
      <w:spacing w:line="360" w:lineRule="auto"/>
    </w:pPr>
    <w:rPr>
      <w:rFonts w:ascii="Times New Roman" w:hAnsi="Times New Roman"/>
      <w:color w:val="ff0000"/>
      <w:sz w:val="24"/>
      <w:szCs w:val="24"/>
    </w:rPr>
  </w:style>
  <w:style w:type="paragraph" w:styleId="1189" w:customStyle="1">
    <w:name w:val="普通 (Web)"/>
    <w:basedOn w:val="723"/>
    <w:uiPriority w:val="0"/>
    <w:qFormat/>
    <w:pPr>
      <w:jc w:val="left"/>
      <w:spacing w:before="100" w:beforeAutospacing="1" w:after="100" w:afterAutospacing="1"/>
      <w:widowControl/>
    </w:pPr>
    <w:rPr>
      <w:rFonts w:ascii="宋体" w:hAnsi="宋体"/>
      <w:sz w:val="24"/>
      <w:szCs w:val="24"/>
    </w:rPr>
  </w:style>
  <w:style w:type="paragraph" w:styleId="1190" w:customStyle="1">
    <w:name w:val="Char Char Char Char Char Char Char Char Char Char"/>
    <w:basedOn w:val="723"/>
    <w:uiPriority w:val="0"/>
    <w:qFormat/>
    <w:pPr>
      <w:spacing w:line="360" w:lineRule="auto"/>
    </w:pPr>
    <w:rPr>
      <w:rFonts w:ascii="Times New Roman" w:hAnsi="Times New Roman"/>
      <w:sz w:val="24"/>
      <w:szCs w:val="20"/>
    </w:rPr>
  </w:style>
  <w:style w:type="paragraph" w:styleId="1191" w:customStyle="1">
    <w:name w:val="样式1"/>
    <w:basedOn w:val="723"/>
    <w:uiPriority w:val="0"/>
    <w:qFormat/>
    <w:pPr>
      <w:numPr>
        <w:ilvl w:val="0"/>
        <w:numId w:val="2"/>
      </w:numPr>
      <w:tabs>
        <w:tab w:val="left" w:pos="709" w:leader="none"/>
      </w:tabs>
    </w:pPr>
    <w:rPr>
      <w:rFonts w:ascii="宋体" w:hAnsi="宋体"/>
      <w:szCs w:val="21"/>
    </w:rPr>
  </w:style>
  <w:style w:type="paragraph" w:styleId="1192" w:customStyle="1">
    <w:name w:val="font6"/>
    <w:basedOn w:val="723"/>
    <w:uiPriority w:val="0"/>
    <w:qFormat/>
    <w:pPr>
      <w:jc w:val="left"/>
      <w:spacing w:before="100" w:beforeAutospacing="1" w:after="100" w:afterAutospacing="1"/>
      <w:widowControl/>
    </w:pPr>
    <w:rPr>
      <w:rFonts w:hint="eastAsia" w:ascii="宋体" w:hAnsi="宋体"/>
      <w:sz w:val="28"/>
      <w:szCs w:val="28"/>
      <w:u w:val="single"/>
    </w:rPr>
  </w:style>
  <w:style w:type="paragraph" w:styleId="1193" w:customStyle="1">
    <w:name w:val="xl25"/>
    <w:basedOn w:val="7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4"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5" w:customStyle="1">
    <w:name w:val="标题3"/>
    <w:basedOn w:val="723"/>
    <w:next w:val="723"/>
    <w:uiPriority w:val="0"/>
    <w:qFormat/>
    <w:pPr>
      <w:ind w:firstLine="624"/>
      <w:spacing w:line="590" w:lineRule="atLeast"/>
    </w:pPr>
    <w:rPr>
      <w:rFonts w:ascii="方正黑体_GBK" w:hAnsi="Times New Roman" w:eastAsia="方正黑体_GBK"/>
      <w:sz w:val="32"/>
      <w:szCs w:val="32"/>
    </w:rPr>
  </w:style>
  <w:style w:type="paragraph" w:styleId="1196" w:customStyle="1">
    <w:name w:val="xl24"/>
    <w:basedOn w:val="7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xl29"/>
    <w:basedOn w:val="72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8" w:customStyle="1">
    <w:name w:val="Char Char Char Char Char Char Char Char"/>
    <w:basedOn w:val="723"/>
    <w:uiPriority w:val="0"/>
    <w:qFormat/>
    <w:pPr>
      <w:jc w:val="left"/>
      <w:spacing w:after="160" w:line="240" w:lineRule="exact"/>
      <w:widowControl/>
    </w:pPr>
    <w:rPr>
      <w:rFonts w:ascii="Verdana" w:hAnsi="Verdana"/>
      <w:sz w:val="20"/>
      <w:szCs w:val="20"/>
      <w:lang w:eastAsia="en-US"/>
    </w:rPr>
  </w:style>
  <w:style w:type="paragraph" w:styleId="1199" w:customStyle="1">
    <w:name w:val="xl28"/>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0" w:customStyle="1">
    <w:name w:val="Char Char Char Char Char Char Char Char1"/>
    <w:basedOn w:val="723"/>
    <w:uiPriority w:val="0"/>
    <w:qFormat/>
    <w:pPr>
      <w:jc w:val="left"/>
      <w:spacing w:after="160" w:line="240" w:lineRule="exact"/>
      <w:widowControl/>
    </w:pPr>
    <w:rPr>
      <w:rFonts w:ascii="Verdana" w:hAnsi="Verdana"/>
      <w:sz w:val="20"/>
      <w:szCs w:val="20"/>
      <w:lang w:eastAsia="en-US"/>
    </w:rPr>
  </w:style>
  <w:style w:type="paragraph" w:styleId="1201" w:customStyle="1">
    <w:name w:val="xl30"/>
    <w:basedOn w:val="723"/>
    <w:uiPriority w:val="0"/>
    <w:qFormat/>
    <w:pPr>
      <w:jc w:val="center"/>
      <w:spacing w:before="100" w:beforeAutospacing="1" w:after="100" w:afterAutospacing="1"/>
      <w:widowControl/>
    </w:pPr>
    <w:rPr>
      <w:rFonts w:ascii="宋体" w:hAnsi="宋体"/>
      <w:b/>
      <w:bCs/>
      <w:sz w:val="36"/>
      <w:szCs w:val="36"/>
    </w:rPr>
  </w:style>
  <w:style w:type="paragraph" w:styleId="1202" w:customStyle="1">
    <w:name w:val="Char Char Char Char1"/>
    <w:basedOn w:val="820"/>
    <w:uiPriority w:val="0"/>
    <w:qFormat/>
    <w:pPr>
      <w:spacing w:line="360" w:lineRule="auto"/>
    </w:pPr>
    <w:rPr>
      <w:rFonts w:ascii="Tahoma" w:hAnsi="Tahoma"/>
      <w:sz w:val="24"/>
      <w:szCs w:val="24"/>
    </w:rPr>
  </w:style>
  <w:style w:type="paragraph" w:styleId="1203" w:customStyle="1">
    <w:name w:val="table_1stline"/>
    <w:basedOn w:val="723"/>
    <w:uiPriority w:val="0"/>
    <w:qFormat/>
    <w:pPr>
      <w:jc w:val="left"/>
      <w:spacing w:before="120"/>
      <w:widowControl/>
    </w:pPr>
    <w:rPr>
      <w:rFonts w:ascii="Times New Roman" w:hAnsi="Times New Roman"/>
      <w:bCs/>
      <w:sz w:val="20"/>
      <w:szCs w:val="20"/>
      <w:lang w:val="de-DE" w:eastAsia="de-DE"/>
    </w:rPr>
  </w:style>
  <w:style w:type="paragraph" w:styleId="1204" w:customStyle="1">
    <w:name w:val="font5"/>
    <w:basedOn w:val="723"/>
    <w:uiPriority w:val="0"/>
    <w:qFormat/>
    <w:pPr>
      <w:jc w:val="left"/>
      <w:spacing w:before="100" w:beforeAutospacing="1" w:after="100" w:afterAutospacing="1"/>
      <w:widowControl/>
    </w:pPr>
    <w:rPr>
      <w:rFonts w:hint="eastAsia" w:ascii="宋体" w:hAnsi="宋体"/>
      <w:sz w:val="28"/>
      <w:szCs w:val="28"/>
    </w:rPr>
  </w:style>
  <w:style w:type="paragraph" w:styleId="1205" w:customStyle="1">
    <w:name w:val="标题1"/>
    <w:basedOn w:val="723"/>
    <w:next w:val="72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07" w:customStyle="1">
    <w:name w:val="Table Normal"/>
    <w:uiPriority w:val="0"/>
    <w:qFormat/>
    <w:tblPr>
      <w:tblCellMar>
        <w:left w:w="0" w:type="dxa"/>
        <w:top w:w="0" w:type="dxa"/>
        <w:right w:w="0" w:type="dxa"/>
        <w:bottom w:w="0" w:type="dxa"/>
      </w:tblCellMar>
    </w:tblPr>
  </w:style>
  <w:style w:type="paragraph" w:styleId="1208" w:customStyle="1">
    <w:name w:val="正文文本12"/>
    <w:basedOn w:val="723"/>
    <w:uiPriority w:val="1"/>
    <w:qFormat/>
    <w:pPr>
      <w:ind w:left="120"/>
    </w:pPr>
    <w:rPr>
      <w:rFonts w:ascii="宋体" w:hAnsi="宋体" w:cs="宋体"/>
      <w:szCs w:val="21"/>
      <w:lang w:val="zh-CN" w:bidi="zh-CN"/>
    </w:rPr>
  </w:style>
  <w:style w:type="paragraph" w:styleId="1209" w:customStyle="1">
    <w:name w:val="首行缩进"/>
    <w:basedOn w:val="723"/>
    <w:uiPriority w:val="0"/>
    <w:qFormat/>
    <w:pPr>
      <w:ind w:firstLine="480"/>
    </w:pPr>
    <w:rPr>
      <w:rFonts w:ascii="Times New Roman" w:hAnsi="Times New Roman"/>
      <w:szCs w:val="21"/>
      <w:lang w:val="zh-CN"/>
    </w:rPr>
  </w:style>
  <w:style w:type="paragraph" w:styleId="1210" w:customStyle="1">
    <w:name w:val="部分1"/>
    <w:basedOn w:val="723"/>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1" w:customStyle="1">
    <w:name w:val="15"/>
    <w:uiPriority w:val="0"/>
    <w:qFormat/>
    <w:rPr>
      <w:rFonts w:ascii="Times New Roman" w:hAnsi="Times New Roman" w:cs="Times New Roman"/>
    </w:rPr>
  </w:style>
  <w:style w:type="paragraph" w:styleId="1212" w:customStyle="1">
    <w:name w:val="正文文本缩进 2_0"/>
    <w:basedOn w:val="1049"/>
    <w:uiPriority w:val="0"/>
    <w:qFormat/>
    <w:pPr>
      <w:ind w:firstLine="720"/>
      <w:jc w:val="left"/>
      <w:spacing w:line="540" w:lineRule="exact"/>
    </w:pPr>
    <w:rPr>
      <w:rFonts w:ascii="仿宋_GB2312" w:hAnsi="仿宋_GB2312" w:cs="宋体"/>
      <w:sz w:val="32"/>
      <w:szCs w:val="32"/>
    </w:rPr>
  </w:style>
  <w:style w:type="character" w:styleId="1213" w:customStyle="1">
    <w:name w:val="10"/>
    <w:uiPriority w:val="0"/>
    <w:qFormat/>
    <w:rPr>
      <w:rFonts w:ascii="Times New Roman" w:hAnsi="Times New Roman" w:cs="Times New Roman"/>
    </w:rPr>
  </w:style>
  <w:style w:type="paragraph" w:styleId="1214" w:customStyle="1">
    <w:name w:val="正文_16_1"/>
    <w:basedOn w:val="723"/>
    <w:uiPriority w:val="0"/>
    <w:qFormat/>
    <w:rPr>
      <w:rFonts w:ascii="Times New Roman" w:hAnsi="Times New Roman"/>
      <w:szCs w:val="21"/>
    </w:rPr>
  </w:style>
  <w:style w:type="paragraph" w:styleId="1215" w:customStyle="1">
    <w:name w:val="页脚1"/>
    <w:basedOn w:val="723"/>
    <w:uiPriority w:val="0"/>
    <w:qFormat/>
    <w:pPr>
      <w:jc w:val="left"/>
      <w:tabs>
        <w:tab w:val="center" w:pos="4153" w:leader="none"/>
        <w:tab w:val="right" w:pos="8306" w:leader="none"/>
      </w:tabs>
    </w:pPr>
    <w:rPr>
      <w:sz w:val="18"/>
      <w:szCs w:val="18"/>
    </w:rPr>
  </w:style>
  <w:style w:type="paragraph" w:styleId="1216" w:customStyle="1">
    <w:name w:val="*正文"/>
    <w:basedOn w:val="790"/>
    <w:uiPriority w:val="0"/>
    <w:qFormat/>
    <w:pPr>
      <w:ind w:firstLine="200"/>
    </w:pPr>
    <w:rPr>
      <w:rFonts w:hAnsi="宋体"/>
      <w:szCs w:val="24"/>
    </w:rPr>
  </w:style>
  <w:style w:type="paragraph" w:styleId="1217" w:customStyle="1">
    <w:name w:val="*正文_0"/>
    <w:basedOn w:val="1218"/>
    <w:uiPriority w:val="0"/>
    <w:qFormat/>
    <w:pPr>
      <w:ind w:firstLine="200"/>
      <w:spacing w:line="360" w:lineRule="auto"/>
    </w:pPr>
    <w:rPr>
      <w:rFonts w:ascii="宋体" w:hAnsi="宋体" w:eastAsia="Arial" w:cs="Arial"/>
      <w:color w:val="000000"/>
      <w:sz w:val="24"/>
    </w:rPr>
  </w:style>
  <w:style w:type="paragraph" w:styleId="1218" w:customStyle="1">
    <w:name w:val="正文缩进_2"/>
    <w:basedOn w:val="1073"/>
    <w:uiPriority w:val="0"/>
    <w:unhideWhenUsed/>
    <w:qFormat/>
    <w:pPr>
      <w:ind w:firstLine="420"/>
      <w:jc w:val="left"/>
      <w:widowControl/>
    </w:pPr>
    <w:rPr>
      <w:rFonts w:ascii="Times New Roman" w:hAnsi="Times New Roman"/>
      <w:sz w:val="20"/>
      <w:szCs w:val="24"/>
    </w:rPr>
  </w:style>
  <w:style w:type="paragraph" w:styleId="1219" w:customStyle="1">
    <w:name w:val="*正文_0_0"/>
    <w:basedOn w:val="1073"/>
    <w:uiPriority w:val="0"/>
    <w:qFormat/>
    <w:pPr>
      <w:ind w:firstLine="200"/>
      <w:jc w:val="left"/>
      <w:spacing w:line="360" w:lineRule="auto"/>
      <w:widowControl/>
    </w:pPr>
    <w:rPr>
      <w:rFonts w:ascii="宋体" w:hAnsi="宋体" w:eastAsia="Arial" w:cs="Arial"/>
      <w:color w:val="000000"/>
      <w:sz w:val="24"/>
      <w:szCs w:val="24"/>
    </w:rPr>
  </w:style>
  <w:style w:type="paragraph" w:styleId="1220" w:customStyle="1">
    <w:name w:val="无间隔1_0_0"/>
    <w:basedOn w:val="1073"/>
    <w:uiPriority w:val="0"/>
    <w:qFormat/>
    <w:rPr>
      <w:rFonts w:ascii="Times New Roman" w:hAnsi="Times New Roman"/>
      <w:szCs w:val="21"/>
    </w:rPr>
  </w:style>
  <w:style w:type="paragraph" w:styleId="122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22" w:customStyle="1">
    <w:name w:val="标题 4_0"/>
    <w:basedOn w:val="1223"/>
    <w:next w:val="1223"/>
    <w:uiPriority w:val="9"/>
    <w:unhideWhenUsed/>
    <w:qFormat/>
    <w:pPr>
      <w:keepLines/>
      <w:keepNext/>
      <w:spacing w:before="280" w:after="290" w:line="372" w:lineRule="auto"/>
      <w:outlineLvl w:val="3"/>
    </w:pPr>
    <w:rPr>
      <w:rFonts w:ascii="Arial" w:hAnsi="Arial" w:eastAsia="黑体"/>
      <w:b/>
      <w:sz w:val="28"/>
    </w:rPr>
  </w:style>
  <w:style w:type="paragraph" w:styleId="1223" w:customStyle="1">
    <w:name w:val="正文4"/>
    <w:uiPriority w:val="0"/>
    <w:qFormat/>
    <w:pPr>
      <w:jc w:val="both"/>
      <w:widowControl w:val="off"/>
    </w:pPr>
    <w:rPr>
      <w:rFonts w:hint="default" w:ascii="Calibri" w:hAnsi="Calibri" w:eastAsia="宋体" w:cs="Times New Roman"/>
      <w:lang w:val="en-US" w:eastAsia="zh-CN" w:bidi="ar-SA"/>
    </w:rPr>
  </w:style>
  <w:style w:type="paragraph" w:styleId="122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25" w:customStyle="1">
    <w:name w:val="p17_0_0"/>
    <w:basedOn w:val="1116"/>
    <w:uiPriority w:val="0"/>
    <w:qFormat/>
    <w:pPr>
      <w:jc w:val="left"/>
      <w:spacing w:before="100" w:beforeAutospacing="1" w:after="100" w:afterAutospacing="1"/>
      <w:widowControl/>
    </w:pPr>
    <w:rPr>
      <w:rFonts w:ascii="宋体" w:hAnsi="宋体" w:eastAsia="Times New Roman" w:cs="宋体"/>
      <w:sz w:val="24"/>
    </w:rPr>
  </w:style>
  <w:style w:type="paragraph" w:styleId="1226" w:customStyle="1">
    <w:name w:val="p17_0"/>
    <w:basedOn w:val="793"/>
    <w:uiPriority w:val="0"/>
    <w:qFormat/>
    <w:pPr>
      <w:spacing w:before="100" w:beforeAutospacing="1" w:after="100" w:afterAutospacing="1"/>
    </w:pPr>
    <w:rPr>
      <w:rFonts w:ascii="宋体" w:hAnsi="宋体" w:eastAsia="Times New Roman" w:cs="宋体"/>
      <w:sz w:val="24"/>
    </w:rPr>
  </w:style>
  <w:style w:type="paragraph" w:styleId="1227" w:customStyle="1">
    <w:name w:val="普通(网站)11"/>
    <w:basedOn w:val="723"/>
    <w:uiPriority w:val="99"/>
    <w:qFormat/>
    <w:rPr>
      <w:sz w:val="24"/>
    </w:rPr>
  </w:style>
  <w:style w:type="paragraph" w:styleId="12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29" w:customStyle="1">
    <w:name w:val="正文111"/>
    <w:next w:val="12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正文文本缩进11"/>
    <w:basedOn w:val="1231"/>
    <w:next w:val="1234"/>
    <w:uiPriority w:val="99"/>
    <w:qFormat/>
    <w:pPr>
      <w:ind w:left="420"/>
      <w:spacing w:after="120"/>
    </w:pPr>
  </w:style>
  <w:style w:type="paragraph" w:styleId="1231" w:customStyle="1">
    <w:name w:val="正文112"/>
    <w:next w:val="12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正文首行缩进11"/>
    <w:basedOn w:val="781"/>
    <w:next w:val="1233"/>
    <w:uiPriority w:val="0"/>
    <w:qFormat/>
    <w:pPr>
      <w:ind w:firstLine="420"/>
    </w:pPr>
    <w:rPr>
      <w:rFonts w:ascii="仿宋_GB2312" w:eastAsia="仿宋_GB2312"/>
      <w:sz w:val="30"/>
      <w:szCs w:val="30"/>
    </w:rPr>
  </w:style>
  <w:style w:type="paragraph" w:styleId="1233" w:customStyle="1">
    <w:name w:val="正文首行缩进 211"/>
    <w:basedOn w:val="1230"/>
    <w:uiPriority w:val="99"/>
    <w:qFormat/>
    <w:pPr>
      <w:ind w:left="0" w:firstLine="420"/>
      <w:spacing w:after="0" w:line="360" w:lineRule="auto"/>
    </w:pPr>
    <w:rPr>
      <w:rFonts w:ascii="宋体" w:hAnsi="宋体"/>
    </w:rPr>
  </w:style>
  <w:style w:type="paragraph" w:styleId="1234" w:customStyle="1">
    <w:name w:val="寄信人地址11"/>
    <w:basedOn w:val="723"/>
    <w:uiPriority w:val="0"/>
    <w:qFormat/>
    <w:rPr>
      <w:rFonts w:ascii="Arial" w:hAnsi="Arial"/>
    </w:rPr>
  </w:style>
  <w:style w:type="paragraph" w:styleId="1235"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36" w:customStyle="1">
    <w:name w:val="Header1"/>
    <w:basedOn w:val="793"/>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37" w:customStyle="1">
    <w:name w:val="默认段落字体1"/>
    <w:uiPriority w:val="1"/>
    <w:unhideWhenUsed/>
    <w:qFormat/>
    <w:rPr>
      <w:rFonts w:ascii="Calibri" w:hAnsi="Calibri" w:eastAsia="宋体" w:cs="Times New Roman"/>
      <w:sz w:val="21"/>
      <w:szCs w:val="22"/>
      <w:lang w:val="en-US" w:eastAsia="zh-CN" w:bidi="ar-SA"/>
    </w:rPr>
  </w:style>
  <w:style w:type="paragraph" w:styleId="1238" w:customStyle="1">
    <w:name w:val="页眉1"/>
    <w:basedOn w:val="7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39" w:customStyle="1">
    <w:name w:val="font41"/>
    <w:basedOn w:val="733"/>
    <w:uiPriority w:val="0"/>
    <w:qFormat/>
    <w:rPr>
      <w:rFonts w:hint="default" w:ascii="方正仿宋_GBK" w:hAnsi="方正仿宋_GBK" w:eastAsia="方正仿宋_GBK" w:cs="方正仿宋_GBK"/>
      <w:color w:val="000000"/>
      <w:sz w:val="36"/>
      <w:szCs w:val="36"/>
      <w:u w:val="none"/>
    </w:rPr>
  </w:style>
  <w:style w:type="paragraph" w:styleId="1240" w:customStyle="1">
    <w:name w:val="正文_2_1_0"/>
    <w:uiPriority w:val="0"/>
    <w:qFormat/>
    <w:pPr>
      <w:jc w:val="both"/>
      <w:widowControl w:val="off"/>
    </w:pPr>
    <w:rPr>
      <w:rFonts w:hint="default" w:ascii="Calibri" w:hAnsi="Calibri" w:eastAsia="宋体" w:cs="Times New Roman"/>
      <w:lang w:val="en-US" w:eastAsia="zh-CN" w:bidi="ar-SA"/>
    </w:rPr>
  </w:style>
  <w:style w:type="character" w:styleId="1241" w:customStyle="1">
    <w:name w:val="font71"/>
    <w:basedOn w:val="733"/>
    <w:uiPriority w:val="0"/>
    <w:qFormat/>
    <w:rPr>
      <w:rFonts w:hint="eastAsia" w:ascii="微软雅黑" w:hAnsi="微软雅黑" w:eastAsia="微软雅黑" w:cs="微软雅黑"/>
      <w:color w:val="000000"/>
      <w:sz w:val="16"/>
      <w:szCs w:val="16"/>
      <w:u w:val="none"/>
    </w:rPr>
  </w:style>
  <w:style w:type="character" w:styleId="1242" w:customStyle="1">
    <w:name w:val="font51"/>
    <w:basedOn w:val="733"/>
    <w:uiPriority w:val="0"/>
    <w:qFormat/>
    <w:rPr>
      <w:rFonts w:hint="eastAsia" w:ascii="微软雅黑" w:hAnsi="微软雅黑" w:eastAsia="微软雅黑" w:cs="微软雅黑"/>
      <w:color w:val="000000"/>
      <w:sz w:val="16"/>
      <w:szCs w:val="16"/>
      <w:u w:val="none"/>
    </w:rPr>
  </w:style>
  <w:style w:type="character" w:styleId="1243" w:customStyle="1">
    <w:name w:val="font61"/>
    <w:basedOn w:val="733"/>
    <w:uiPriority w:val="0"/>
    <w:qFormat/>
    <w:rPr>
      <w:rFonts w:hint="eastAsia" w:ascii="微软雅黑" w:hAnsi="微软雅黑" w:eastAsia="微软雅黑" w:cs="微软雅黑"/>
      <w:color w:val="000000"/>
      <w:sz w:val="16"/>
      <w:szCs w:val="16"/>
      <w:u w:val="none"/>
    </w:rPr>
  </w:style>
  <w:style w:type="character" w:styleId="1244" w:customStyle="1">
    <w:name w:val="强调1"/>
    <w:uiPriority w:val="0"/>
    <w:qFormat/>
    <w:rPr>
      <w:rFonts w:ascii="Calibri" w:hAnsi="Calibri" w:eastAsia="宋体" w:cs="Times New Roman"/>
      <w:sz w:val="21"/>
      <w:szCs w:val="22"/>
      <w:lang w:val="en-US" w:eastAsia="zh-CN" w:bidi="ar-SA"/>
    </w:rPr>
  </w:style>
  <w:style w:type="numbering" w:styleId="158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刘欣</cp:lastModifiedBy>
  <cp:revision>47</cp:revision>
  <dcterms:created xsi:type="dcterms:W3CDTF">2023-07-23T13:07:00Z</dcterms:created>
  <dcterms:modified xsi:type="dcterms:W3CDTF">2026-06-18T06:54:44Z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9477F010D6DA4D37A344AB746352E7DB_13</vt:lpwstr>
  </property>
</Properties>
</file>