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rPr>
          <w:rFonts w:hint="default" w:ascii="宋体" w:hAnsi="宋体" w:eastAsia="宋体" w:cs="宋体"/>
          <w:b/>
          <w:color w:val="auto"/>
          <w:spacing w:val="76"/>
          <w:sz w:val="32"/>
          <w:szCs w:val="32"/>
          <w:lang w:val="en-US" w:eastAsia="zh-CN"/>
        </w:rPr>
      </w:pPr>
      <w:r>
        <w:rPr>
          <w:rFonts w:hint="eastAsia" w:ascii="宋体" w:hAnsi="宋体" w:eastAsia="宋体" w:cs="宋体"/>
          <w:b/>
          <w:color w:val="auto"/>
          <w:sz w:val="120"/>
          <w:szCs w:val="120"/>
        </w:rPr>
        <mc:AlternateContent>
          <mc:Choice Requires="wpg">
            <w:drawing>
              <wp:inline xmlns:wp="http://schemas.openxmlformats.org/drawingml/2006/wordprocessingDrawing" distT="0" distB="0" distL="0" distR="0">
                <wp:extent cx="1266190" cy="1009015"/>
                <wp:effectExtent l="0" t="0" r="10160" b="635"/>
                <wp:docPr id="9"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2"/>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9.7pt;height:79.5pt;mso-wrap-distance-left:0.0pt;mso-wrap-distance-top:0.0pt;mso-wrap-distance-right:0.0pt;mso-wrap-distance-bottom:0.0pt;" stroked="f">
                <v:path textboxrect="0,0,0,0"/>
                <v:imagedata r:id="rId22" o:title=""/>
              </v:shape>
            </w:pict>
          </mc:Fallback>
        </mc:AlternateContent>
      </w:r>
      <w:r>
        <w:rPr>
          <w:rFonts w:hint="eastAsia" w:hAnsi="宋体" w:cs="宋体"/>
          <w:b/>
          <w:color w:val="ff0000"/>
          <w:sz w:val="32"/>
          <w:szCs w:val="32"/>
          <w:lang w:val="en-US" w:eastAsia="zh-CN"/>
        </w:rPr>
        <w:t xml:space="preserve">以下红色字体为更正内容</w:t>
      </w:r>
      <w:r/>
    </w:p>
    <w:p>
      <w:pPr>
        <w:pStyle w:val="1028"/>
        <w:rPr>
          <w:rFonts w:hint="eastAsia" w:ascii="宋体" w:hAnsi="宋体" w:eastAsia="宋体" w:cs="宋体"/>
          <w:b/>
          <w:color w:val="auto"/>
          <w:spacing w:val="76"/>
        </w:rPr>
      </w:pPr>
      <w:r>
        <w:rPr>
          <w:rFonts w:hint="eastAsia" w:ascii="宋体" w:hAnsi="宋体" w:eastAsia="宋体" w:cs="宋体"/>
          <w:b/>
          <w:color w:val="auto"/>
          <w:spacing w:val="76"/>
        </w:rPr>
      </w:r>
      <w:r/>
    </w:p>
    <w:p>
      <w:pPr>
        <w:jc w:val="center"/>
        <w:rPr>
          <w:rFonts w:hint="eastAsia" w:ascii="宋体" w:hAnsi="宋体" w:eastAsia="宋体" w:cs="宋体"/>
          <w:b/>
          <w:color w:val="auto"/>
          <w:spacing w:val="76"/>
          <w:sz w:val="156"/>
        </w:rPr>
      </w:pPr>
      <w:r>
        <w:rPr>
          <w:rFonts w:hint="eastAsia" w:ascii="宋体" w:hAnsi="宋体" w:eastAsia="宋体" w:cs="宋体"/>
          <w:b/>
          <w:color w:val="auto"/>
          <w:spacing w:val="76"/>
          <w:sz w:val="156"/>
        </w:rPr>
        <w:t xml:space="preserve">招标文件</w:t>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color w:val="auto"/>
          <w:sz w:val="32"/>
        </w:rPr>
      </w:pPr>
      <w:r>
        <w:rPr>
          <w:rFonts w:hint="eastAsia" w:ascii="宋体" w:hAnsi="宋体" w:eastAsia="宋体" w:cs="宋体"/>
          <w:color w:val="auto"/>
          <w:sz w:val="32"/>
        </w:rPr>
      </w:r>
      <w:r/>
    </w:p>
    <w:p>
      <w:pPr>
        <w:pStyle w:val="1028"/>
        <w:ind w:firstLine="0"/>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eastAsia="宋体" w:cs="宋体"/>
          <w:color w:val="auto"/>
          <w:sz w:val="32"/>
        </w:rPr>
        <w:t xml:space="preserve">项目编号：</w:t>
      </w:r>
      <w:r>
        <w:rPr>
          <w:rFonts w:hint="eastAsia" w:ascii="宋体" w:hAnsi="宋体" w:cs="宋体"/>
          <w:color w:val="auto"/>
          <w:sz w:val="32"/>
          <w:lang w:eastAsia="zh-CN"/>
        </w:rPr>
        <w:t xml:space="preserve">JSZC-320382325-ZJZB-G2026-0066</w:t>
      </w:r>
      <w:r/>
    </w:p>
    <w:p>
      <w:pPr>
        <w:spacing w:line="600" w:lineRule="exact"/>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rPr>
      </w:pPr>
      <w:r>
        <w:rPr>
          <w:rFonts w:hint="eastAsia" w:ascii="宋体" w:hAnsi="宋体" w:eastAsia="宋体" w:cs="宋体"/>
          <w:color w:val="auto"/>
          <w:sz w:val="32"/>
        </w:rPr>
        <w:t xml:space="preserve">项目名称：</w:t>
      </w:r>
      <w:r>
        <w:rPr>
          <w:rFonts w:hint="eastAsia" w:ascii="宋体" w:hAnsi="宋体" w:cs="宋体"/>
          <w:color w:val="auto"/>
          <w:sz w:val="32"/>
          <w:lang w:eastAsia="zh-CN"/>
        </w:rPr>
        <w:t xml:space="preserve">邳州经济开发区环保监测系统运行维护服务</w:t>
      </w:r>
      <w:r/>
    </w:p>
    <w:p>
      <w:pPr>
        <w:ind w:firstLine="960"/>
        <w:spacing w:line="600" w:lineRule="exact"/>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eastAsia="宋体" w:cs="宋体"/>
          <w:color w:val="auto"/>
          <w:sz w:val="32"/>
        </w:rPr>
        <w:t xml:space="preserve">采 购 人：</w:t>
      </w:r>
      <w:r>
        <w:rPr>
          <w:rFonts w:hint="eastAsia" w:ascii="宋体" w:hAnsi="宋体" w:cs="宋体"/>
          <w:color w:val="auto"/>
          <w:sz w:val="32"/>
          <w:lang w:eastAsia="zh-CN"/>
        </w:rPr>
        <w:t xml:space="preserve">江苏邳州经济开发区管理委员会</w:t>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1220"/>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1033"/>
        <w:ind w:left="0"/>
        <w:rPr>
          <w:rFonts w:hint="eastAsia" w:ascii="宋体" w:hAnsi="宋体" w:eastAsia="宋体" w:cs="宋体"/>
          <w:color w:val="auto"/>
        </w:rPr>
      </w:pPr>
      <w:r>
        <w:rPr>
          <w:rFonts w:hint="eastAsia" w:ascii="宋体" w:hAnsi="宋体" w:eastAsia="宋体" w:cs="宋体"/>
          <w:color w:val="auto"/>
        </w:rPr>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jc w:val="center"/>
        <w:spacing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采购代理机构：</w:t>
      </w:r>
      <w:r>
        <w:rPr>
          <w:rFonts w:hint="eastAsia" w:ascii="宋体" w:hAnsi="宋体" w:eastAsia="宋体" w:cs="宋体"/>
          <w:color w:val="auto"/>
          <w:sz w:val="30"/>
          <w:lang w:eastAsia="zh-CN"/>
        </w:rPr>
        <w:t xml:space="preserve">江苏中际招标代理有限公司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二〇二六年</w:t>
      </w:r>
      <w:r>
        <w:rPr>
          <w:rFonts w:hint="eastAsia" w:ascii="宋体" w:hAnsi="宋体" w:cs="宋体"/>
          <w:bCs/>
          <w:color w:val="auto"/>
          <w:sz w:val="30"/>
          <w:lang w:val="en-US" w:eastAsia="zh-CN"/>
        </w:rPr>
        <w:t xml:space="preserve">六</w:t>
      </w:r>
      <w:r>
        <w:rPr>
          <w:rFonts w:hint="eastAsia" w:ascii="宋体" w:hAnsi="宋体" w:eastAsia="宋体" w:cs="宋体"/>
          <w:bCs/>
          <w:color w:val="auto"/>
          <w:sz w:val="30"/>
        </w:rPr>
        <w:t xml:space="preserve">月</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rPr>
        <w:t xml:space="preserve">目 录</w:t>
      </w:r>
      <w:r/>
    </w:p>
    <w:p>
      <w:pPr>
        <w:jc w:val="center"/>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jc w:val="center"/>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32"/>
          <w:szCs w:val="32"/>
        </w:rPr>
        <w:fldChar w:fldCharType="separate"/>
      </w:r>
      <w:r>
        <w:rPr>
          <w:rStyle w:val="1059"/>
          <w:rFonts w:hint="eastAsia" w:ascii="宋体" w:hAnsi="宋体" w:eastAsia="宋体" w:cs="宋体"/>
          <w:color w:val="auto"/>
          <w:sz w:val="32"/>
          <w:szCs w:val="32"/>
          <w:u w:val="none"/>
        </w:rPr>
        <w:t xml:space="preserve">第一章 投标邀请</w:t>
      </w:r>
      <w:r>
        <w:rPr>
          <w:rStyle w:val="1059"/>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32"/>
          <w:szCs w:val="32"/>
        </w:rPr>
        <w:fldChar w:fldCharType="separate"/>
      </w:r>
      <w:r>
        <w:rPr>
          <w:rStyle w:val="1059"/>
          <w:rFonts w:hint="eastAsia" w:ascii="宋体" w:hAnsi="宋体" w:eastAsia="宋体" w:cs="宋体"/>
          <w:color w:val="auto"/>
          <w:sz w:val="32"/>
          <w:szCs w:val="32"/>
          <w:u w:val="none"/>
        </w:rPr>
        <w:t xml:space="preserve">第二章 投标人须知</w:t>
      </w:r>
      <w:r>
        <w:rPr>
          <w:rStyle w:val="1059"/>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32"/>
          <w:szCs w:val="32"/>
        </w:rPr>
        <w:fldChar w:fldCharType="separate"/>
      </w:r>
      <w:r>
        <w:rPr>
          <w:rStyle w:val="1059"/>
          <w:rFonts w:hint="eastAsia" w:ascii="宋体" w:hAnsi="宋体" w:eastAsia="宋体" w:cs="宋体"/>
          <w:color w:val="auto"/>
          <w:sz w:val="32"/>
          <w:szCs w:val="32"/>
          <w:u w:val="none"/>
        </w:rPr>
        <w:t xml:space="preserve">第三章 投标资料表</w:t>
      </w:r>
      <w:r>
        <w:rPr>
          <w:rStyle w:val="1059"/>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32"/>
          <w:szCs w:val="32"/>
        </w:rPr>
        <w:fldChar w:fldCharType="separate"/>
      </w:r>
      <w:r>
        <w:rPr>
          <w:rStyle w:val="1059"/>
          <w:rFonts w:hint="eastAsia" w:ascii="宋体" w:hAnsi="宋体" w:eastAsia="宋体" w:cs="宋体"/>
          <w:color w:val="auto"/>
          <w:sz w:val="32"/>
          <w:szCs w:val="32"/>
          <w:u w:val="none"/>
        </w:rPr>
        <w:t xml:space="preserve">第四章 评标标准</w:t>
      </w:r>
      <w:r>
        <w:rPr>
          <w:rStyle w:val="1059"/>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32"/>
          <w:szCs w:val="32"/>
        </w:rPr>
        <w:fldChar w:fldCharType="separate"/>
      </w:r>
      <w:r>
        <w:rPr>
          <w:rStyle w:val="1059"/>
          <w:rFonts w:hint="eastAsia" w:ascii="宋体" w:hAnsi="宋体" w:eastAsia="宋体" w:cs="宋体"/>
          <w:color w:val="auto"/>
          <w:sz w:val="32"/>
          <w:szCs w:val="32"/>
          <w:u w:val="none"/>
        </w:rPr>
        <w:t xml:space="preserve">第五章 拟签订的合同文本</w:t>
      </w:r>
      <w:r>
        <w:rPr>
          <w:rStyle w:val="1059"/>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32"/>
          <w:szCs w:val="32"/>
        </w:rPr>
        <w:fldChar w:fldCharType="separate"/>
      </w:r>
      <w:r>
        <w:rPr>
          <w:rStyle w:val="1059"/>
          <w:rFonts w:hint="eastAsia" w:ascii="宋体" w:hAnsi="宋体" w:eastAsia="宋体" w:cs="宋体"/>
          <w:color w:val="auto"/>
          <w:sz w:val="32"/>
          <w:szCs w:val="32"/>
          <w:u w:val="none"/>
        </w:rPr>
        <w:t xml:space="preserve">第六章 采购需求</w:t>
      </w:r>
      <w:r>
        <w:rPr>
          <w:rStyle w:val="1059"/>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32"/>
          <w:szCs w:val="32"/>
        </w:rPr>
        <w:fldChar w:fldCharType="separate"/>
      </w:r>
      <w:r>
        <w:rPr>
          <w:rStyle w:val="1059"/>
          <w:rFonts w:hint="eastAsia" w:ascii="宋体" w:hAnsi="宋体" w:eastAsia="宋体" w:cs="宋体"/>
          <w:color w:val="auto"/>
          <w:sz w:val="32"/>
          <w:szCs w:val="32"/>
          <w:u w:val="none"/>
        </w:rPr>
        <w:t xml:space="preserve">第七章 投标文件相关格式</w:t>
      </w:r>
      <w:r>
        <w:rPr>
          <w:rStyle w:val="1059"/>
          <w:rFonts w:hint="eastAsia" w:ascii="宋体" w:hAnsi="宋体" w:eastAsia="宋体" w:cs="宋体"/>
          <w:color w:val="auto"/>
          <w:sz w:val="32"/>
          <w:szCs w:val="32"/>
          <w:u w:val="none"/>
        </w:rPr>
        <w:fldChar w:fldCharType="end"/>
      </w:r>
      <w:r/>
    </w:p>
    <w:p>
      <w:pPr>
        <w:jc w:val="center"/>
        <w:rPr>
          <w:rFonts w:hint="eastAsia" w:ascii="宋体" w:hAnsi="宋体" w:eastAsia="宋体" w:cs="宋体"/>
          <w:b/>
          <w:bCs/>
          <w:color w:val="auto"/>
          <w:sz w:val="28"/>
          <w:szCs w:val="28"/>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28"/>
          <w:szCs w:val="28"/>
        </w:rPr>
      </w:r>
      <w:r/>
    </w:p>
    <w:p>
      <w:pPr>
        <w:jc w:val="center"/>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lang w:eastAsia="zh-CN"/>
        </w:rPr>
        <w:t xml:space="preserve">江苏邳州经济开发区管理委员会</w:t>
      </w:r>
      <w:r/>
    </w:p>
    <w:p>
      <w:pPr>
        <w:jc w:val="center"/>
        <w:rPr>
          <w:rFonts w:hint="eastAsia" w:ascii="宋体" w:hAnsi="宋体" w:eastAsia="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rPr>
        <w:t xml:space="preserve">《</w:t>
      </w:r>
      <w:r>
        <w:rPr>
          <w:rFonts w:hint="eastAsia" w:ascii="宋体" w:hAnsi="宋体" w:cs="宋体"/>
          <w:b/>
          <w:color w:val="auto"/>
          <w:sz w:val="36"/>
          <w:szCs w:val="36"/>
          <w:lang w:eastAsia="zh-CN"/>
        </w:rPr>
        <w:t xml:space="preserve">邳州经济开发区环保监测系统运行维护服务</w:t>
      </w:r>
      <w:r>
        <w:rPr>
          <w:rFonts w:hint="eastAsia" w:ascii="宋体" w:hAnsi="宋体" w:eastAsia="宋体" w:cs="宋体"/>
          <w:b/>
          <w:color w:val="auto"/>
          <w:sz w:val="36"/>
          <w:szCs w:val="36"/>
        </w:rPr>
        <w:t xml:space="preserve">》</w:t>
      </w:r>
      <w:r/>
    </w:p>
    <w:p>
      <w:pPr>
        <w:jc w:val="center"/>
        <w:rPr>
          <w:rFonts w:hint="eastAsia" w:ascii="宋体" w:hAnsi="宋体" w:eastAsia="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rPr>
        <w:t xml:space="preserve">招标文件</w:t>
      </w:r>
      <w:r/>
    </w:p>
    <w:p>
      <w:pPr>
        <w:ind w:firstLine="560"/>
        <w:jc w:val="left"/>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24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rPr>
      </w:r>
      <w:r/>
    </w:p>
    <w:p>
      <w:pPr>
        <w:jc w:val="center"/>
        <w:spacing w:line="360" w:lineRule="auto"/>
        <w:rPr>
          <w:rFonts w:hint="eastAsia" w:ascii="宋体" w:hAnsi="宋体" w:eastAsia="宋体" w:cs="宋体"/>
          <w:color w:val="auto"/>
          <w:sz w:val="30"/>
          <w:szCs w:val="30"/>
          <w:u w:val="singl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第一章 投标邀请</w:t>
      </w:r>
      <w:r/>
    </w:p>
    <w:p>
      <w:pPr>
        <w:ind w:firstLine="48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eastAsia="zh-CN"/>
        </w:rPr>
        <w:t xml:space="preserve">江苏中际招标代理有限公司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邳州经济开发区环保监测系统运行维护服务</w:t>
      </w:r>
      <w:r>
        <w:rPr>
          <w:rFonts w:hint="eastAsia" w:ascii="宋体" w:hAnsi="宋体" w:eastAsia="宋体" w:cs="宋体"/>
          <w:color w:val="auto"/>
          <w:sz w:val="24"/>
          <w:szCs w:val="24"/>
          <w:u w:val="none"/>
          <w:lang w:val="en-US" w:eastAsia="zh-CN"/>
        </w:rPr>
        <w:t xml:space="preserve">项目</w:t>
      </w:r>
      <w:r>
        <w:rPr>
          <w:rFonts w:hint="eastAsia" w:ascii="宋体" w:hAnsi="宋体" w:eastAsia="宋体" w:cs="宋体"/>
          <w:color w:val="auto"/>
          <w:sz w:val="24"/>
          <w:szCs w:val="24"/>
        </w:rPr>
        <w:t xml:space="preserve">进行公开招标采购，现邀请符合相关条件的供应商投标。</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（一）项目名称：</w:t>
      </w:r>
      <w:r>
        <w:rPr>
          <w:rFonts w:hint="eastAsia" w:ascii="宋体" w:hAnsi="宋体" w:cs="宋体"/>
          <w:color w:val="auto"/>
          <w:sz w:val="24"/>
          <w:szCs w:val="24"/>
          <w:lang w:eastAsia="zh-CN"/>
        </w:rPr>
        <w:t xml:space="preserve">邳州经济开发区环保监测系统运行维护服务</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（二）项目编号：</w:t>
      </w:r>
      <w:r>
        <w:rPr>
          <w:rFonts w:hint="eastAsia" w:ascii="宋体" w:hAnsi="宋体" w:cs="宋体"/>
          <w:color w:val="auto"/>
          <w:sz w:val="24"/>
          <w:szCs w:val="24"/>
          <w:lang w:eastAsia="zh-CN"/>
        </w:rPr>
        <w:t xml:space="preserve">JSZC-320382325-ZJZB-G2026-0066</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详见本项目公开招标公告。</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（一）潜在投标人访问电子招标投标交易平台的网络地址和方法：</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（2）潜在供应商访问“苏采云”系统的网络地址和方法：“苏采云”系统的网址：http://www.ccgp-jiangsu.gov.cn/；或进入徐州政府采购网（网址：https://czj.xz.gov.cn/zfcg/index.html）</w:t>
      </w:r>
      <w:r>
        <w:rPr>
          <w:rFonts w:hint="eastAsia" w:ascii="宋体" w:hAnsi="宋体" w:eastAsia="宋体" w:cs="宋体"/>
          <w:color w:val="auto"/>
          <w:sz w:val="24"/>
          <w:szCs w:val="24"/>
          <w:lang w:val="en-US" w:eastAsia="zh-CN"/>
        </w:rPr>
        <w:t xml:space="preserve">--办事指南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供应商--供应商登录入口</w:t>
      </w:r>
      <w:r>
        <w:rPr>
          <w:rFonts w:hint="eastAsia" w:ascii="宋体" w:hAnsi="宋体" w:eastAsia="宋体" w:cs="宋体"/>
          <w:color w:val="auto"/>
          <w:sz w:val="24"/>
          <w:szCs w:val="24"/>
        </w:rPr>
        <w:t xml:space="preserve">，点击“苏采云”进入系统。</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24"/>
          <w:szCs w:val="24"/>
          <w:lang w:val="en-US" w:eastAsia="zh-CN"/>
        </w:rPr>
        <w:t xml:space="preserve">办事指南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资料</w:t>
      </w:r>
      <w:r>
        <w:rPr>
          <w:rFonts w:hint="eastAsia" w:ascii="宋体" w:hAnsi="宋体" w:eastAsia="宋体" w:cs="宋体"/>
          <w:color w:val="auto"/>
          <w:sz w:val="24"/>
          <w:szCs w:val="24"/>
        </w:rPr>
        <w:t xml:space="preserve">下载，点击进入《江苏省政府采购管理交易系统（苏采云）供应商操作手册及政府采购客户端》，进行下载。</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（二）采购代理机构将数据电文形式的招标文件加载至电子招标投标交易平台，供潜在投标人下载或者查阅。</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（三）售价：免费。</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四、投标有关信息</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（一）投标截止时间：</w:t>
      </w:r>
      <w:r>
        <w:rPr>
          <w:rFonts w:hint="eastAsia" w:ascii="宋体" w:hAnsi="宋体" w:cs="宋体"/>
          <w:b/>
          <w:color w:val="auto"/>
          <w:sz w:val="24"/>
          <w:szCs w:val="24"/>
          <w:lang w:eastAsia="zh-CN"/>
        </w:rPr>
        <w:t xml:space="preserve">2026年6月</w:t>
      </w:r>
      <w:r>
        <w:rPr>
          <w:rFonts w:hint="eastAsia" w:ascii="宋体" w:hAnsi="宋体" w:cs="宋体"/>
          <w:b/>
          <w:color w:val="auto"/>
          <w:sz w:val="24"/>
          <w:szCs w:val="24"/>
          <w:lang w:val="en-US" w:eastAsia="zh-CN"/>
        </w:rPr>
        <w:t xml:space="preserve">30</w:t>
      </w:r>
      <w:r>
        <w:rPr>
          <w:rFonts w:hint="eastAsia" w:ascii="宋体" w:hAnsi="宋体" w:cs="宋体"/>
          <w:b/>
          <w:color w:val="auto"/>
          <w:sz w:val="24"/>
          <w:szCs w:val="24"/>
          <w:lang w:eastAsia="zh-CN"/>
        </w:rPr>
        <w:t xml:space="preserve">日</w:t>
      </w:r>
      <w:r>
        <w:rPr>
          <w:rFonts w:hint="eastAsia" w:ascii="宋体" w:hAnsi="宋体" w:eastAsia="宋体" w:cs="宋体"/>
          <w:b/>
          <w:color w:val="auto"/>
          <w:sz w:val="24"/>
          <w:szCs w:val="24"/>
        </w:rPr>
        <w:t xml:space="preserve">北京时间09：30</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（二）开标时间：</w:t>
      </w:r>
      <w:r>
        <w:rPr>
          <w:rFonts w:hint="eastAsia" w:ascii="宋体" w:hAnsi="宋体" w:cs="宋体"/>
          <w:b/>
          <w:color w:val="auto"/>
          <w:sz w:val="24"/>
          <w:szCs w:val="24"/>
          <w:lang w:eastAsia="zh-CN"/>
        </w:rPr>
        <w:t xml:space="preserve">2026年6月</w:t>
      </w:r>
      <w:r>
        <w:rPr>
          <w:rFonts w:hint="eastAsia" w:ascii="宋体" w:hAnsi="宋体" w:cs="宋体"/>
          <w:b/>
          <w:color w:val="auto"/>
          <w:sz w:val="24"/>
          <w:szCs w:val="24"/>
          <w:lang w:val="en-US" w:eastAsia="zh-CN"/>
        </w:rPr>
        <w:t xml:space="preserve">30</w:t>
      </w:r>
      <w:r>
        <w:rPr>
          <w:rFonts w:hint="eastAsia" w:ascii="宋体" w:hAnsi="宋体" w:cs="宋体"/>
          <w:b/>
          <w:color w:val="auto"/>
          <w:sz w:val="24"/>
          <w:szCs w:val="24"/>
          <w:lang w:eastAsia="zh-CN"/>
        </w:rPr>
        <w:t xml:space="preserve">日</w:t>
      </w:r>
      <w:r>
        <w:rPr>
          <w:rFonts w:hint="eastAsia" w:ascii="宋体" w:hAnsi="宋体" w:eastAsia="宋体" w:cs="宋体"/>
          <w:b/>
          <w:color w:val="auto"/>
          <w:sz w:val="24"/>
          <w:szCs w:val="24"/>
        </w:rPr>
        <w:t xml:space="preserve">北京时间09：30</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（三）开标地点：“苏采云”系统“开标大厅”或进入徐州政府采购网--办事指南--供应商--供应商登录入口，点击“苏采云”进入系统“开标大厅”。</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五、采购人</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（一）名称：</w:t>
      </w:r>
      <w:r>
        <w:rPr>
          <w:rFonts w:hint="eastAsia" w:ascii="宋体" w:hAnsi="宋体" w:cs="宋体"/>
          <w:color w:val="auto"/>
          <w:sz w:val="24"/>
          <w:szCs w:val="24"/>
          <w:lang w:eastAsia="zh-CN"/>
        </w:rPr>
        <w:t xml:space="preserve">江苏邳州经济开发区管理委员会</w:t>
      </w:r>
      <w:r/>
    </w:p>
    <w:p>
      <w:pPr>
        <w:spacing w:line="360" w:lineRule="auto"/>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（二）地址：江苏</w:t>
      </w:r>
      <w:r>
        <w:rPr>
          <w:rFonts w:hint="default" w:ascii="宋体" w:hAnsi="宋体" w:cs="宋体"/>
          <w:color w:val="auto"/>
          <w:sz w:val="24"/>
          <w:szCs w:val="24"/>
          <w:lang w:eastAsia="zh-CN"/>
        </w:rPr>
        <w:t xml:space="preserve">省邳州市东湖街道福州路78号</w:t>
      </w:r>
      <w:r/>
    </w:p>
    <w:p>
      <w:pPr>
        <w:spacing w:line="360" w:lineRule="auto"/>
        <w:rPr>
          <w:rFonts w:hint="default"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（三）采购项目联系人：</w:t>
      </w:r>
      <w:r>
        <w:rPr>
          <w:rFonts w:hint="eastAsia" w:ascii="宋体" w:hAnsi="宋体" w:cs="宋体"/>
          <w:color w:val="auto"/>
          <w:sz w:val="24"/>
          <w:szCs w:val="24"/>
          <w:lang w:val="en-US" w:eastAsia="zh-CN"/>
        </w:rPr>
        <w:t xml:space="preserve">刘斌</w:t>
      </w:r>
      <w:r/>
    </w:p>
    <w:p>
      <w:pPr>
        <w:spacing w:line="360" w:lineRule="auto"/>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（四）联系方式：</w:t>
      </w:r>
      <w:r>
        <w:rPr>
          <w:rFonts w:hint="eastAsia" w:ascii="宋体" w:hAnsi="宋体" w:cs="宋体"/>
          <w:color w:val="auto"/>
          <w:sz w:val="24"/>
          <w:szCs w:val="24"/>
          <w:highlight w:val="none"/>
          <w:lang w:eastAsia="zh-CN"/>
        </w:rPr>
        <w:t xml:space="preserve">0516-</w:t>
      </w:r>
      <w:r>
        <w:rPr>
          <w:rFonts w:hint="eastAsia" w:ascii="宋体" w:hAnsi="宋体" w:cs="宋体"/>
          <w:color w:val="auto"/>
          <w:sz w:val="24"/>
          <w:szCs w:val="24"/>
          <w:highlight w:val="none"/>
          <w:lang w:val="en-US" w:eastAsia="zh-CN"/>
        </w:rPr>
        <w:t xml:space="preserve"> 86920017</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六、采购代理机构</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（一）名称：江苏中际招标代理有限公司</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（二）地址：徐州市云龙区绿地商务城LOFT领海办公楼5#190</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室</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（三）采购项目联系人：</w:t>
      </w:r>
      <w:r>
        <w:rPr>
          <w:rFonts w:hint="eastAsia" w:ascii="宋体" w:hAnsi="宋体" w:eastAsia="宋体" w:cs="宋体"/>
          <w:color w:val="auto"/>
          <w:sz w:val="24"/>
          <w:szCs w:val="24"/>
          <w:lang w:val="en-US" w:eastAsia="zh-CN"/>
        </w:rPr>
        <w:t xml:space="preserve">柴小皊</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（四）联系电话：0516-8320</w:t>
      </w:r>
      <w:r>
        <w:rPr>
          <w:rFonts w:hint="eastAsia" w:ascii="宋体" w:hAnsi="宋体" w:eastAsia="宋体" w:cs="宋体"/>
          <w:color w:val="auto"/>
          <w:sz w:val="24"/>
          <w:szCs w:val="24"/>
          <w:lang w:val="en-US" w:eastAsia="zh-CN"/>
        </w:rPr>
        <w:t xml:space="preserve">5520</w:t>
      </w:r>
      <w:r/>
    </w:p>
    <w:p>
      <w:pPr>
        <w:pStyle w:val="1042"/>
        <w:spacing w:after="0" w:line="360" w:lineRule="auto"/>
        <w:rPr>
          <w:rFonts w:hint="eastAsia" w:ascii="宋体" w:hAnsi="宋体" w:eastAsia="宋体" w:cs="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第二章 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11.纸质投标文件未按招标文件要求签署、盖章的；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1059"/>
          <w:rFonts w:hint="eastAsia" w:ascii="宋体" w:hAnsi="宋体" w:eastAsia="宋体" w:cs="宋体"/>
          <w:color w:val="auto"/>
          <w:sz w:val="24"/>
          <w:szCs w:val="24"/>
          <w:u w:val="none"/>
        </w:rPr>
        <w:t xml:space="preserve">政府采购</w:t>
      </w:r>
      <w:r>
        <w:rPr>
          <w:rStyle w:val="1059"/>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1059"/>
          <w:rFonts w:hint="eastAsia" w:ascii="宋体" w:hAnsi="宋体" w:eastAsia="宋体" w:cs="宋体"/>
          <w:color w:val="auto"/>
          <w:sz w:val="24"/>
          <w:szCs w:val="24"/>
          <w:u w:val="none"/>
        </w:rPr>
        <w:t xml:space="preserve">最低评标价法</w:t>
      </w:r>
      <w:r>
        <w:rPr>
          <w:rStyle w:val="1059"/>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1059"/>
          <w:rFonts w:hint="eastAsia" w:ascii="宋体" w:hAnsi="宋体" w:eastAsia="宋体" w:cs="宋体"/>
          <w:color w:val="auto"/>
          <w:sz w:val="24"/>
          <w:szCs w:val="24"/>
          <w:u w:val="none"/>
        </w:rPr>
        <w:t xml:space="preserve">综合评分法</w:t>
      </w:r>
      <w:r>
        <w:rPr>
          <w:rStyle w:val="1059"/>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3.投标（响应）报价低于采购项目最高限价（未设定最高限价的采购项目，以采购项目预算金额作为最高限价）45%的，即投标（响应）报价&lt;采购项目最高限价×45%；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jc w:val="both"/>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p>
    <w:p>
      <w:pPr>
        <w:rPr>
          <w:rFonts w:hint="eastAsia" w:ascii="宋体" w:hAnsi="宋体" w:eastAsia="宋体" w:cs="宋体"/>
          <w:color w:val="auto"/>
        </w:rPr>
      </w:pPr>
      <w:r>
        <w:rPr>
          <w:rFonts w:hint="eastAsia" w:ascii="宋体" w:hAnsi="宋体" w:eastAsia="宋体" w:cs="宋体"/>
          <w:color w:val="auto"/>
        </w:rPr>
      </w:r>
      <w:r/>
    </w:p>
    <w:p>
      <w:pPr>
        <w:pStyle w:val="1042"/>
        <w:rPr>
          <w:rFonts w:hint="eastAsia" w:ascii="宋体" w:hAnsi="宋体" w:eastAsia="宋体" w:cs="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第三章 投标资料表</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105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7297"/>
      </w:tblGrid>
      <w:tr>
        <w:trPr>
          <w:jc w:val="center"/>
          <w:trHeight w:val="36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条款项号</w:t>
            </w:r>
            <w:r/>
          </w:p>
        </w:tc>
        <w:tc>
          <w:tcPr>
            <w:tcMar>
              <w:left w:w="108" w:type="dxa"/>
              <w:top w:w="0" w:type="dxa"/>
              <w:right w:w="108" w:type="dxa"/>
              <w:bottom w:w="0" w:type="dxa"/>
            </w:tcMar>
            <w:tcW w:w="4285"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内 容</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cs="宋体"/>
                <w:color w:val="auto"/>
                <w:sz w:val="24"/>
                <w:szCs w:val="24"/>
                <w:lang w:eastAsia="zh-CN"/>
              </w:rPr>
              <w:t xml:space="preserve">江苏邳州经济开发区管理委员会</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采购人确定的采购项目属性：服务</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w:t>
            </w:r>
            <w:r>
              <w:rPr>
                <w:rFonts w:hint="eastAsia" w:ascii="宋体" w:hAnsi="宋体" w:eastAsia="宋体" w:cs="宋体"/>
                <w:color w:val="auto"/>
                <w:sz w:val="24"/>
                <w:szCs w:val="24"/>
                <w:lang w:eastAsia="zh-CN"/>
              </w:rPr>
              <w:t xml:space="preserve">江苏中际招标代理有限公司</w:t>
            </w:r>
            <w:r/>
          </w:p>
        </w:tc>
      </w:tr>
      <w:tr>
        <w:trPr>
          <w:jc w:val="center"/>
          <w:trHeight w:val="81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ind w:left="0" w:right="0"/>
              <w:keepLines w:val="0"/>
              <w:keepNext w:val="0"/>
              <w:pageBreakBefore w:val="0"/>
              <w:spacing w:line="240" w:lineRule="auto"/>
              <w:widowControl w:val="off"/>
              <w:rPr>
                <w:rFonts w:hint="eastAsia" w:ascii="宋体" w:hAnsi="宋体" w:eastAsia="宋体" w:cs="宋体"/>
                <w:color w:val="ff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二、此项目属于专门面向中小微企业采购的项目，投标人应为中小微企业、监狱企业、残疾人福利性单位</w:t>
            </w:r>
            <w:r>
              <w:rPr>
                <w:rFonts w:hint="default" w:ascii="宋体" w:hAnsi="宋体" w:eastAsia="宋体" w:cs="宋体"/>
                <w:b/>
                <w:bCs/>
                <w:color w:val="auto"/>
                <w:sz w:val="24"/>
                <w:szCs w:val="24"/>
                <w:lang w:val="en-US"/>
              </w:rPr>
              <w:t xml:space="preserve">项目</w:t>
            </w:r>
            <w:r>
              <w:rPr>
                <w:rFonts w:hint="eastAsia" w:ascii="宋体" w:hAnsi="宋体" w:eastAsia="宋体" w:cs="宋体"/>
                <w:b/>
                <w:color w:val="auto"/>
                <w:sz w:val="24"/>
                <w:szCs w:val="24"/>
                <w:lang w:eastAsia="zh-CN"/>
              </w:rPr>
              <w:t xml:space="preserve">。</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同时明确相关事项如下：</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三、查询及使用供应商信用记录：</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(一)由采购人查询信用信息。</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(二)查询渠道包括：</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(三)截止时点（查询环节）：开标后资格审查结束前。</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招标代理服务费由中标人支付，标准按《招标代理服务收费标准》（见附件）。</w:t>
            </w:r>
            <w:r/>
          </w:p>
        </w:tc>
      </w:tr>
      <w:tr>
        <w:trPr>
          <w:jc w:val="center"/>
          <w:trHeight w:val="40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招标</w:t>
            </w:r>
            <w:r/>
          </w:p>
        </w:tc>
      </w:tr>
      <w:tr>
        <w:trPr>
          <w:jc w:val="center"/>
          <w:trHeight w:val="191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(九)1</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tabs>
                <w:tab w:val="left" w:pos="576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自行现场勘察。</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52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ind w:left="0" w:right="0"/>
              <w:keepLines w:val="0"/>
              <w:keepNext w:val="0"/>
              <w:pageBreakBefore w:val="0"/>
              <w:spacing w:line="240" w:lineRule="auto"/>
              <w:widowControl w:val="off"/>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rPr>
                <w:rFonts w:hint="eastAsia" w:ascii="宋体" w:hAnsi="宋体" w:eastAsia="宋体" w:cs="宋体"/>
                <w:b/>
                <w:color w:val="auto"/>
                <w:sz w:val="24"/>
                <w:szCs w:val="24"/>
                <w:lang w:eastAsia="zh-CN"/>
              </w:rPr>
              <w:t xml:space="preserve">。</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w:t>
            </w:r>
            <w:r>
              <w:rPr>
                <w:rFonts w:hint="eastAsia" w:ascii="宋体" w:hAnsi="宋体" w:eastAsia="宋体" w:cs="宋体"/>
                <w:b/>
                <w:color w:val="auto"/>
                <w:sz w:val="24"/>
                <w:szCs w:val="24"/>
                <w:lang w:val="en-US" w:eastAsia="zh-CN"/>
              </w:rPr>
              <w:t xml:space="preserve">（一）到（</w:t>
            </w:r>
            <w:r>
              <w:rPr>
                <w:rFonts w:hint="eastAsia" w:ascii="宋体" w:hAnsi="宋体" w:cs="宋体"/>
                <w:b/>
                <w:color w:val="auto"/>
                <w:sz w:val="24"/>
                <w:szCs w:val="24"/>
                <w:lang w:val="en-US" w:eastAsia="zh-CN"/>
              </w:rPr>
              <w:t xml:space="preserve">九</w:t>
            </w:r>
            <w:r>
              <w:rPr>
                <w:rFonts w:hint="eastAsia" w:ascii="宋体" w:hAnsi="宋体" w:eastAsia="宋体" w:cs="宋体"/>
                <w:b/>
                <w:color w:val="auto"/>
                <w:sz w:val="24"/>
                <w:szCs w:val="24"/>
                <w:lang w:val="en-US" w:eastAsia="zh-CN"/>
              </w:rPr>
              <w:t xml:space="preserve">）项</w:t>
            </w:r>
            <w:r>
              <w:rPr>
                <w:rFonts w:hint="eastAsia" w:ascii="宋体" w:hAnsi="宋体" w:eastAsia="宋体" w:cs="宋体"/>
                <w:b/>
                <w:color w:val="auto"/>
                <w:sz w:val="24"/>
                <w:szCs w:val="24"/>
              </w:rPr>
              <w:t xml:space="preserve">必须提供，</w:t>
            </w:r>
            <w:r>
              <w:rPr>
                <w:rFonts w:hint="eastAsia" w:ascii="宋体" w:hAnsi="宋体" w:eastAsia="宋体" w:cs="宋体"/>
                <w:b/>
                <w:bCs/>
                <w:color w:val="auto"/>
                <w:sz w:val="24"/>
                <w:szCs w:val="24"/>
              </w:rPr>
              <w:t xml:space="preserve">加盖电子签章</w:t>
            </w:r>
            <w:r>
              <w:rPr>
                <w:rFonts w:hint="eastAsia" w:ascii="宋体" w:hAnsi="宋体" w:eastAsia="宋体" w:cs="宋体"/>
                <w:b/>
                <w:bCs/>
                <w:color w:val="auto"/>
                <w:sz w:val="24"/>
                <w:szCs w:val="24"/>
                <w:lang w:eastAsia="zh-CN"/>
              </w:rPr>
              <w:t xml:space="preserve">，</w:t>
            </w:r>
            <w:r>
              <w:rPr>
                <w:rFonts w:hint="eastAsia" w:ascii="宋体" w:hAnsi="宋体" w:eastAsia="宋体" w:cs="宋体"/>
                <w:b/>
                <w:color w:val="auto"/>
                <w:sz w:val="24"/>
                <w:szCs w:val="24"/>
              </w:rPr>
              <w:t xml:space="preserve">否则投标将被拒绝）</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（一）投标人合法有效的营业执照扫描件，或事业单位法人证书扫描件，或民办非企业单位登记证书扫描件。</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（二）财务状况报告（即提供投标人的本项目开标时间（不含开标当月）前6个月内任何时间的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w:t>
            </w:r>
            <w:r>
              <w:rPr>
                <w:rFonts w:hint="eastAsia" w:ascii="宋体" w:hAnsi="宋体" w:eastAsia="宋体" w:cs="宋体"/>
                <w:b/>
                <w:color w:val="auto"/>
                <w:sz w:val="24"/>
                <w:szCs w:val="24"/>
              </w:rPr>
              <w:t xml:space="preserve">2024年度</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rPr>
              <w:t xml:space="preserve">或2025年度</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rPr>
              <w:t xml:space="preserve">经审计的</w:t>
            </w:r>
            <w:r>
              <w:rPr>
                <w:rFonts w:hint="eastAsia" w:ascii="宋体" w:hAnsi="宋体" w:cs="宋体"/>
                <w:b/>
                <w:color w:val="auto"/>
                <w:sz w:val="24"/>
                <w:szCs w:val="24"/>
                <w:lang w:val="en-US" w:eastAsia="zh-CN"/>
              </w:rPr>
              <w:t xml:space="preserve">完整的</w:t>
            </w:r>
            <w:r>
              <w:rPr>
                <w:rFonts w:hint="eastAsia" w:ascii="宋体" w:hAnsi="宋体" w:eastAsia="宋体" w:cs="宋体"/>
                <w:b/>
                <w:color w:val="auto"/>
                <w:sz w:val="24"/>
                <w:szCs w:val="24"/>
              </w:rPr>
              <w:t xml:space="preserve">财务报告扫描件</w:t>
            </w:r>
            <w:r>
              <w:rPr>
                <w:rFonts w:hint="eastAsia" w:ascii="宋体" w:hAnsi="宋体" w:eastAsia="宋体" w:cs="宋体"/>
                <w:b/>
                <w:bCs/>
                <w:color w:val="auto"/>
                <w:sz w:val="24"/>
                <w:szCs w:val="24"/>
              </w:rPr>
              <w:t xml:space="preserve">一份；或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b/>
                <w:bCs/>
                <w:color w:val="auto"/>
                <w:sz w:val="24"/>
                <w:szCs w:val="24"/>
              </w:rPr>
              <w:t xml:space="preserve">一份</w:t>
            </w:r>
            <w:r>
              <w:rPr>
                <w:rFonts w:hint="eastAsia" w:ascii="宋体" w:hAnsi="宋体" w:eastAsia="宋体" w:cs="宋体"/>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rPr>
                <w:rFonts w:hint="eastAsia" w:ascii="宋体" w:hAnsi="宋体" w:eastAsia="宋体" w:cs="宋体"/>
                <w:b/>
                <w:bCs/>
                <w:color w:val="auto"/>
                <w:sz w:val="24"/>
                <w:szCs w:val="24"/>
              </w:rPr>
              <w:t xml:space="preserve">具备履行合同所必需的设备和专业技术能力的证明材料。</w:t>
            </w:r>
            <w:r>
              <w:rPr>
                <w:rFonts w:hint="eastAsia" w:ascii="宋体" w:hAnsi="宋体" w:eastAsia="宋体" w:cs="宋体"/>
                <w:color w:val="auto"/>
                <w:sz w:val="24"/>
                <w:szCs w:val="24"/>
              </w:rPr>
              <w:t xml:space="preserve">即投标文件中提供《具备履行合同所必需的设备和专业技术能力的书面声明（附证明材料扫描件）》（见本文件第七章《投标文件相关格式》）。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w:t>
            </w:r>
            <w:r>
              <w:rPr>
                <w:rFonts w:hint="eastAsia" w:ascii="宋体" w:hAnsi="宋体" w:eastAsia="宋体" w:cs="宋体"/>
                <w:b/>
                <w:bCs/>
                <w:color w:val="auto"/>
                <w:sz w:val="24"/>
                <w:szCs w:val="24"/>
              </w:rPr>
              <w:t xml:space="preserve">书面声明</w:t>
            </w:r>
            <w:r>
              <w:rPr>
                <w:rFonts w:hint="eastAsia" w:ascii="宋体" w:hAnsi="宋体" w:eastAsia="宋体" w:cs="宋体"/>
                <w:color w:val="auto"/>
                <w:sz w:val="24"/>
                <w:szCs w:val="24"/>
              </w:rPr>
              <w:t xml:space="preserve">，</w:t>
            </w:r>
            <w:r>
              <w:rPr>
                <w:rFonts w:hint="eastAsia" w:ascii="宋体" w:hAnsi="宋体" w:eastAsia="宋体" w:cs="宋体"/>
                <w:b w:val="0"/>
                <w:bCs w:val="0"/>
                <w:color w:val="auto"/>
                <w:sz w:val="24"/>
                <w:szCs w:val="24"/>
              </w:rPr>
              <w:t xml:space="preserve">加盖电子签章，</w:t>
            </w:r>
            <w:r>
              <w:rPr>
                <w:rFonts w:hint="eastAsia" w:ascii="宋体" w:hAnsi="宋体" w:eastAsia="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rPr>
                <w:rFonts w:hint="eastAsia" w:ascii="宋体" w:hAnsi="宋体" w:eastAsia="宋体" w:cs="宋体"/>
                <w:b/>
                <w:bCs/>
                <w:color w:val="auto"/>
                <w:sz w:val="24"/>
                <w:szCs w:val="24"/>
              </w:rPr>
              <w:t xml:space="preserve">投标人相关承诺</w:t>
            </w:r>
            <w:r>
              <w:rPr>
                <w:rFonts w:hint="eastAsia" w:ascii="宋体" w:hAnsi="宋体" w:eastAsia="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投标人书面声明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投标文件中提供《中小企业声明函》</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本项目为专门面向中小微企业采购的项目，投标人应为中小微企业（含中型、小型、微型企业，下同）</w:t>
            </w:r>
            <w:r>
              <w:rPr>
                <w:rFonts w:hint="eastAsia" w:ascii="宋体" w:hAnsi="宋体" w:eastAsia="宋体" w:cs="宋体"/>
                <w:color w:val="auto"/>
                <w:sz w:val="24"/>
                <w:szCs w:val="24"/>
              </w:rPr>
              <w:t xml:space="preserve">，（填写完整，格式见本文件第七章《投标文件相关格式》，如不填写完整或未按要求填写的，视为无效）。《中小企业声明函》查询渠道用微信搜索“中小企业规模类型自测小程序”。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）投标人信用信息（要求见本章条款项号“(六)”中“四、”内容）。</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三、符合条件（必须提供，加盖电子签章</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否则投标无效</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eastAsia="宋体" w:cs="宋体"/>
                <w:color w:val="auto"/>
                <w:sz w:val="24"/>
                <w:szCs w:val="24"/>
              </w:rPr>
              <w:t xml:space="preserve">格式见本文件第七章《投标文件相关格式》，或政府采购客户端工具输入报价自动生成的《开标一览表》均视为满足招标文件要求。</w:t>
            </w:r>
            <w:r/>
          </w:p>
          <w:p>
            <w:pPr>
              <w:ind w:left="0" w:right="0"/>
              <w:keepLines w:val="0"/>
              <w:keepNext w:val="0"/>
              <w:pageBreakBefore w:val="0"/>
              <w:spacing w:line="240" w:lineRule="auto"/>
              <w:widowControl w:val="off"/>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Cs/>
                <w:color w:val="auto"/>
                <w:sz w:val="24"/>
                <w:szCs w:val="24"/>
              </w:rPr>
              <w:t xml:space="preserve">格式见本文件第七章《投标文件相关格式》（必须提供，否则在符合性审查时按照投标无效处理）。</w:t>
            </w:r>
            <w:r/>
          </w:p>
          <w:p>
            <w:pPr>
              <w:ind w:left="0" w:right="0"/>
              <w:keepLines w:val="0"/>
              <w:keepNext w:val="0"/>
              <w:pageBreakBefore w:val="0"/>
              <w:spacing w:line="240" w:lineRule="auto"/>
              <w:widowControl w:val="off"/>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Cs/>
                <w:color w:val="auto"/>
                <w:sz w:val="24"/>
                <w:szCs w:val="24"/>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四、综合评审评分项</w:t>
            </w:r>
            <w:r/>
          </w:p>
          <w:p>
            <w:pPr>
              <w:spacing w:line="400" w:lineRule="exact"/>
              <w:widowControl/>
              <w:rPr>
                <w:rFonts w:hint="eastAsia" w:ascii="仿宋" w:hAnsi="仿宋" w:eastAsia="仿宋" w:cs="宋体"/>
                <w:b/>
                <w:bCs/>
                <w:sz w:val="28"/>
                <w:szCs w:val="28"/>
              </w:rPr>
            </w:pPr>
            <w:r>
              <w:rPr>
                <w:rFonts w:hint="eastAsia" w:ascii="仿宋" w:hAnsi="仿宋" w:eastAsia="仿宋" w:cs="宋体"/>
                <w:b/>
                <w:bCs/>
                <w:sz w:val="28"/>
                <w:szCs w:val="28"/>
              </w:rPr>
              <w:t xml:space="preserve">四、综合评审评分项</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（一）技术部分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1.项目组成员</w:t>
            </w:r>
            <w:r>
              <w:rPr>
                <w:rFonts w:hint="eastAsia" w:ascii="宋体" w:hAnsi="宋体" w:eastAsia="宋体" w:cs="宋体"/>
                <w:color w:val="auto"/>
                <w:sz w:val="24"/>
                <w:szCs w:val="24"/>
                <w:lang w:eastAsia="zh-CN"/>
              </w:rPr>
              <w:t xml:space="preserve">（加盖电子签章，要求见招标文件第四章《评标标准》）</w:t>
            </w:r>
            <w:r>
              <w:rPr>
                <w:rFonts w:hint="eastAsia" w:ascii="宋体" w:hAnsi="宋体" w:eastAsia="宋体" w:cs="宋体"/>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运维管理方案</w:t>
            </w:r>
            <w:r>
              <w:rPr>
                <w:rFonts w:hint="eastAsia" w:ascii="宋体" w:hAnsi="宋体" w:eastAsia="宋体" w:cs="宋体"/>
                <w:color w:val="auto"/>
                <w:sz w:val="24"/>
                <w:szCs w:val="24"/>
                <w:lang w:eastAsia="zh-CN"/>
              </w:rPr>
              <w:t xml:space="preserve">（加盖电子签章，要求见招标文件第六章《采购需求》）；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3.运维工作方案（加盖电子签章，要求见招标文件第六章《采购需求》）；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4.服务响应及应急方案（加盖电子签章，要求见招标文件第六章《采购需求》）；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5.培训方案（加盖电子签章，要求见招标文件第六章《采购需求》）；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（二）商务部分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1.投标人业绩（要求见招标文件第四章《评标标准》）；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能力评价</w:t>
            </w:r>
            <w:r>
              <w:rPr>
                <w:rFonts w:hint="eastAsia" w:ascii="宋体" w:hAnsi="宋体" w:eastAsia="宋体" w:cs="宋体"/>
                <w:color w:val="auto"/>
                <w:sz w:val="24"/>
                <w:szCs w:val="24"/>
              </w:rPr>
              <w:t xml:space="preserve">（要求见招标文件第四章《评标标准》）；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3.设备保障</w:t>
            </w:r>
            <w:r>
              <w:rPr>
                <w:rFonts w:hint="eastAsia" w:ascii="宋体" w:hAnsi="宋体" w:eastAsia="宋体" w:cs="宋体"/>
                <w:color w:val="auto"/>
                <w:sz w:val="24"/>
                <w:szCs w:val="24"/>
              </w:rPr>
              <w:t xml:space="preserve">（要求见招标文件第四章《评标标准》）；</w:t>
            </w:r>
            <w:r/>
          </w:p>
          <w:p>
            <w:pPr>
              <w:ind w:left="0" w:right="0"/>
              <w:keepLines w:val="0"/>
              <w:keepNext w:val="0"/>
              <w:pageBreakBefore w:val="0"/>
              <w:spacing w:line="240" w:lineRule="auto"/>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4.车辆</w:t>
            </w:r>
            <w:r>
              <w:rPr>
                <w:rFonts w:hint="eastAsia" w:ascii="宋体" w:hAnsi="宋体" w:eastAsia="宋体" w:cs="宋体"/>
                <w:color w:val="auto"/>
                <w:sz w:val="24"/>
                <w:szCs w:val="24"/>
              </w:rPr>
              <w:t xml:space="preserve">（要求见招标文件第四章《评标标准》）；</w:t>
            </w:r>
            <w:r/>
          </w:p>
          <w:p>
            <w:pPr>
              <w:ind w:left="0" w:right="0"/>
              <w:keepLines w:val="0"/>
              <w:keepNext w:val="0"/>
              <w:pageBreakBefore w:val="0"/>
              <w:spacing w:line="240" w:lineRule="auto"/>
              <w:widowControl w:val="off"/>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 </w:t>
            </w:r>
            <w:r/>
          </w:p>
          <w:p>
            <w:pPr>
              <w:numPr>
                <w:ilvl w:val="0"/>
                <w:numId w:val="1"/>
              </w:num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价格折扣文件格式：</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1、价格折扣文件格式：无。</w:t>
            </w:r>
            <w:r/>
          </w:p>
          <w:p>
            <w:pPr>
              <w:ind w:left="0" w:righ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商务条件见：</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一、本文件第四章《评标标准》中《评分细则》。</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二、本文件第三章《投标资料表》中(十二)1和(十二)2。</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(十三)3</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本项目不接受超过人民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lang w:val="en-US" w:eastAsia="zh-CN"/>
              </w:rPr>
              <w:t xml:space="preserve">128</w:t>
            </w:r>
            <w:r>
              <w:rPr>
                <w:rFonts w:hint="eastAsia" w:ascii="宋体" w:hAnsi="宋体" w:eastAsia="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rPr>
              <w:t xml:space="preserve">的投标报价。</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Style w:val="1059"/>
                <w:rFonts w:hint="eastAsia" w:ascii="宋体" w:hAnsi="宋体" w:eastAsia="宋体" w:cs="宋体"/>
                <w:color w:val="auto"/>
                <w:sz w:val="24"/>
                <w:szCs w:val="24"/>
                <w:u w:val="none"/>
              </w:rPr>
              <w:t xml:space="preserve">投标人投标报价包括完成本项工作所需的一切费用，包括但不限于各种</w:t>
            </w:r>
            <w:r>
              <w:rPr>
                <w:rStyle w:val="1059"/>
                <w:rFonts w:hint="eastAsia" w:ascii="宋体" w:hAnsi="宋体" w:eastAsia="宋体" w:cs="宋体"/>
                <w:color w:val="auto"/>
                <w:sz w:val="24"/>
                <w:szCs w:val="24"/>
                <w:u w:val="none"/>
                <w:lang w:val="en-US" w:eastAsia="zh-CN"/>
              </w:rPr>
              <w:t xml:space="preserve">服务期内</w:t>
            </w:r>
            <w:r>
              <w:rPr>
                <w:rStyle w:val="1059"/>
                <w:rFonts w:hint="default" w:ascii="宋体" w:hAnsi="宋体" w:eastAsia="宋体" w:cs="宋体"/>
                <w:color w:val="auto"/>
                <w:sz w:val="24"/>
                <w:szCs w:val="24"/>
                <w:u w:val="none"/>
                <w:lang w:val="en-US" w:eastAsia="zh-CN"/>
              </w:rPr>
              <w:t xml:space="preserve">、品备件、耗材试剂、设备巡检标定、维</w:t>
            </w:r>
            <w:r>
              <w:rPr>
                <w:rStyle w:val="1059"/>
                <w:rFonts w:hint="eastAsia" w:ascii="宋体" w:hAnsi="宋体" w:eastAsia="宋体" w:cs="宋体"/>
                <w:color w:val="auto"/>
                <w:sz w:val="24"/>
                <w:szCs w:val="24"/>
                <w:u w:val="none"/>
                <w:lang w:val="en-US" w:eastAsia="zh-CN"/>
              </w:rPr>
              <w:t xml:space="preserve">修、</w:t>
            </w:r>
            <w:r>
              <w:rPr>
                <w:rStyle w:val="1059"/>
                <w:rFonts w:hint="eastAsia" w:ascii="宋体" w:hAnsi="宋体" w:eastAsia="宋体" w:cs="宋体"/>
                <w:color w:val="auto"/>
                <w:sz w:val="24"/>
                <w:szCs w:val="24"/>
                <w:u w:val="none"/>
              </w:rPr>
              <w:t xml:space="preserve">税费、人工、保险、管理、维护、利润、税金</w:t>
            </w:r>
            <w:r>
              <w:rPr>
                <w:rStyle w:val="1059"/>
                <w:rFonts w:hint="eastAsia" w:ascii="宋体" w:hAnsi="宋体" w:eastAsia="宋体" w:cs="宋体"/>
                <w:color w:val="auto"/>
                <w:sz w:val="24"/>
                <w:szCs w:val="24"/>
                <w:u w:val="none"/>
                <w:lang w:eastAsia="zh-CN"/>
              </w:rPr>
              <w:t xml:space="preserve">、</w:t>
            </w:r>
            <w:r>
              <w:rPr>
                <w:rStyle w:val="1059"/>
                <w:rFonts w:hint="eastAsia" w:ascii="宋体" w:hAnsi="宋体" w:eastAsia="宋体" w:cs="宋体"/>
                <w:color w:val="auto"/>
                <w:sz w:val="24"/>
                <w:szCs w:val="24"/>
                <w:u w:val="none"/>
                <w:lang w:val="en-US" w:eastAsia="zh-CN"/>
              </w:rPr>
              <w:t xml:space="preserve">招标代理费、</w:t>
            </w:r>
            <w:r>
              <w:rPr>
                <w:rStyle w:val="1059"/>
                <w:rFonts w:hint="eastAsia" w:ascii="宋体" w:hAnsi="宋体" w:eastAsia="宋体" w:cs="宋体"/>
                <w:color w:val="auto"/>
                <w:sz w:val="24"/>
                <w:szCs w:val="24"/>
                <w:u w:val="none"/>
              </w:rPr>
              <w:t xml:space="preserve">政策性文件规定及合同包含的所有风险、责任等各项应有费用。采购人不再支付报价以外的任何费用。</w:t>
            </w:r>
            <w:r/>
          </w:p>
        </w:tc>
      </w:tr>
      <w:tr>
        <w:trPr>
          <w:jc w:val="center"/>
          <w:trHeight w:val="41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以人民币报价。</w:t>
            </w:r>
            <w:r/>
          </w:p>
        </w:tc>
      </w:tr>
      <w:tr>
        <w:trPr>
          <w:jc w:val="center"/>
          <w:trHeight w:val="380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w:t>
            </w:r>
            <w:r/>
          </w:p>
        </w:tc>
        <w:tc>
          <w:tcPr>
            <w:tcMar>
              <w:left w:w="108" w:type="dxa"/>
              <w:top w:w="0" w:type="dxa"/>
              <w:right w:w="108" w:type="dxa"/>
              <w:bottom w:w="0" w:type="dxa"/>
            </w:tcMar>
            <w:tcW w:w="4285" w:type="pct"/>
            <w:vAlign w:val="center"/>
            <w:textDirection w:val="lrTb"/>
            <w:noWrap w:val="false"/>
          </w:tcPr>
          <w:p>
            <w:pPr>
              <w:ind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rPr>
              <w:fldChar w:fldCharType="separate"/>
            </w:r>
            <w:r>
              <w:rPr>
                <w:rStyle w:val="1059"/>
                <w:rFonts w:hint="eastAsia" w:ascii="宋体" w:hAnsi="宋体" w:eastAsia="宋体" w:cs="宋体"/>
                <w:color w:val="auto"/>
                <w:sz w:val="24"/>
                <w:szCs w:val="24"/>
                <w:u w:val="none"/>
              </w:rPr>
              <w:t xml:space="preserve">http://jszfcg.jsczt.cn/）--已报名项目--报名详情页面内相应链接进行下载；供应商操作手册及政府采购客户端工具也可通过徐州政府采购网--</w:t>
            </w:r>
            <w:r>
              <w:rPr>
                <w:rStyle w:val="1059"/>
                <w:rFonts w:hint="eastAsia" w:ascii="宋体" w:hAnsi="宋体" w:eastAsia="宋体" w:cs="宋体"/>
                <w:color w:val="auto"/>
                <w:sz w:val="24"/>
                <w:szCs w:val="24"/>
                <w:u w:val="none"/>
                <w:lang w:val="en-US" w:eastAsia="zh-CN"/>
              </w:rPr>
              <w:t xml:space="preserve">办事指南</w:t>
            </w:r>
            <w:r>
              <w:rPr>
                <w:rStyle w:val="1059"/>
                <w:rFonts w:hint="eastAsia" w:ascii="宋体" w:hAnsi="宋体" w:eastAsia="宋体" w:cs="宋体"/>
                <w:color w:val="auto"/>
                <w:sz w:val="24"/>
                <w:szCs w:val="24"/>
                <w:u w:val="none"/>
              </w:rPr>
              <w:t xml:space="preserve">--</w:t>
            </w:r>
            <w:r>
              <w:rPr>
                <w:rStyle w:val="1059"/>
                <w:rFonts w:hint="eastAsia" w:ascii="宋体" w:hAnsi="宋体" w:eastAsia="宋体" w:cs="宋体"/>
                <w:color w:val="auto"/>
                <w:sz w:val="24"/>
                <w:szCs w:val="24"/>
                <w:u w:val="none"/>
                <w:lang w:val="en-US" w:eastAsia="zh-CN"/>
              </w:rPr>
              <w:t xml:space="preserve">资料</w:t>
            </w:r>
            <w:r>
              <w:rPr>
                <w:rStyle w:val="1059"/>
                <w:rFonts w:hint="eastAsia" w:ascii="宋体" w:hAnsi="宋体" w:eastAsia="宋体" w:cs="宋体"/>
                <w:color w:val="auto"/>
                <w:sz w:val="24"/>
                <w:szCs w:val="24"/>
                <w:u w:val="none"/>
              </w:rPr>
              <w:t xml:space="preserve">下载，点击进入《江苏省政府采购管理交易系统（苏采云）供应商操作手册及政府采购客户端》，进行下载。</w:t>
            </w:r>
            <w:r>
              <w:rPr>
                <w:rStyle w:val="1059"/>
                <w:rFonts w:hint="eastAsia" w:ascii="宋体" w:hAnsi="宋体" w:eastAsia="宋体" w:cs="宋体"/>
                <w:color w:val="auto"/>
                <w:sz w:val="24"/>
                <w:szCs w:val="24"/>
                <w:u w:val="none"/>
              </w:rPr>
              <w:fldChar w:fldCharType="end"/>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投标人应当通过“苏采云”系统提交数据电文形式的投标文件（即电子投标）。</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特别说明：</w:t>
            </w:r>
            <w:r>
              <w:rPr>
                <w:rFonts w:hint="eastAsia" w:ascii="宋体" w:hAnsi="宋体" w:eastAsia="宋体" w:cs="宋体"/>
                <w:color w:val="auto"/>
                <w:sz w:val="24"/>
                <w:szCs w:val="24"/>
              </w:rPr>
              <w:t xml:space="preserve">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rPr>
                <w:rFonts w:hint="eastAsia" w:ascii="宋体" w:hAnsi="宋体" w:eastAsia="宋体" w:cs="宋体"/>
                <w:color w:val="auto"/>
                <w:sz w:val="24"/>
                <w:szCs w:val="24"/>
              </w:rPr>
              <w:t xml:space="preserve">名为</w:t>
            </w:r>
            <w:r>
              <w:rPr>
                <w:rFonts w:hint="eastAsia" w:ascii="宋体" w:hAnsi="宋体" w:eastAsia="宋体" w:cs="宋体"/>
                <w:b/>
                <w:bCs/>
                <w:color w:val="auto"/>
                <w:sz w:val="24"/>
                <w:szCs w:val="24"/>
              </w:rPr>
              <w:t xml:space="preserve">“.kedt”</w:t>
            </w:r>
            <w:r>
              <w:rPr>
                <w:rFonts w:hint="eastAsia" w:ascii="宋体" w:hAnsi="宋体" w:eastAsia="宋体" w:cs="宋体"/>
                <w:color w:val="auto"/>
                <w:sz w:val="24"/>
                <w:szCs w:val="24"/>
              </w:rPr>
              <w:t xml:space="preserve">）后，离线编制投标文件。采购文件（后缀名为</w:t>
            </w:r>
            <w:r>
              <w:rPr>
                <w:rFonts w:hint="eastAsia" w:ascii="宋体" w:hAnsi="宋体" w:eastAsia="宋体" w:cs="宋体"/>
                <w:b/>
                <w:bCs/>
                <w:color w:val="auto"/>
                <w:sz w:val="24"/>
                <w:szCs w:val="24"/>
              </w:rPr>
              <w:t xml:space="preserve">“.kedt”）。</w:t>
            </w:r>
            <w:r/>
          </w:p>
        </w:tc>
      </w:tr>
      <w:tr>
        <w:trPr>
          <w:jc w:val="center"/>
          <w:trHeight w:val="40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w:t>
            </w:r>
            <w:r>
              <w:rPr>
                <w:rFonts w:hint="eastAsia" w:ascii="宋体" w:hAnsi="宋体" w:eastAsia="宋体" w:cs="宋体"/>
                <w:color w:val="auto"/>
                <w:sz w:val="24"/>
                <w:szCs w:val="24"/>
                <w:lang w:val="en-US" w:eastAsia="zh-CN"/>
              </w:rPr>
              <w:t xml:space="preserve">1</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见本文件第三章《投标资料表》中(十二)1和(十二)2</w:t>
            </w:r>
            <w:r>
              <w:rPr>
                <w:rFonts w:hint="eastAsia" w:ascii="宋体" w:hAnsi="宋体" w:eastAsia="宋体" w:cs="宋体"/>
                <w:color w:val="auto"/>
                <w:sz w:val="24"/>
                <w:szCs w:val="24"/>
                <w:lang w:eastAsia="zh-CN"/>
              </w:rPr>
              <w:t xml:space="preserve">。</w:t>
            </w:r>
            <w:r/>
          </w:p>
        </w:tc>
      </w:tr>
      <w:tr>
        <w:trPr>
          <w:jc w:val="center"/>
          <w:trHeight w:val="1560"/>
        </w:trPr>
        <w:tc>
          <w:tcPr>
            <w:tcMar>
              <w:left w:w="108" w:type="dxa"/>
              <w:top w:w="0" w:type="dxa"/>
              <w:right w:w="108" w:type="dxa"/>
              <w:bottom w:w="0" w:type="dxa"/>
            </w:tcMar>
            <w:tcW w:w="714" w:type="pct"/>
            <w:textDirection w:val="lrTb"/>
            <w:noWrap w:val="false"/>
          </w:tcPr>
          <w:p>
            <w:pPr>
              <w:ind w:right="0"/>
              <w:jc w:val="both"/>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投标文件的提交与接收：</w:t>
            </w:r>
            <w:r>
              <w:rPr>
                <w:rFonts w:hint="eastAsia" w:ascii="宋体" w:hAnsi="宋体" w:eastAsia="宋体" w:cs="宋体"/>
                <w:color w:val="auto"/>
                <w:sz w:val="24"/>
                <w:szCs w:val="24"/>
              </w:rPr>
              <w:t xml:space="preserve"> </w:t>
            </w:r>
            <w:r/>
          </w:p>
          <w:p>
            <w:pPr>
              <w:ind w:right="0" w:firstLine="482"/>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w:t>
            </w:r>
            <w:r>
              <w:rPr>
                <w:rFonts w:hint="eastAsia" w:ascii="宋体" w:hAnsi="宋体" w:cs="宋体"/>
                <w:b/>
                <w:bCs/>
                <w:color w:val="auto"/>
                <w:sz w:val="24"/>
                <w:szCs w:val="24"/>
                <w:lang w:eastAsia="zh-CN"/>
              </w:rPr>
              <w:t xml:space="preserve">2026年6月</w:t>
            </w:r>
            <w:r>
              <w:rPr>
                <w:rFonts w:hint="eastAsia" w:ascii="宋体" w:hAnsi="宋体" w:cs="宋体"/>
                <w:b/>
                <w:bCs/>
                <w:color w:val="auto"/>
                <w:sz w:val="24"/>
                <w:szCs w:val="24"/>
                <w:lang w:val="en-US" w:eastAsia="zh-CN"/>
              </w:rPr>
              <w:t xml:space="preserve">30</w:t>
            </w:r>
            <w:r>
              <w:rPr>
                <w:rFonts w:hint="eastAsia" w:ascii="宋体" w:hAnsi="宋体" w:cs="宋体"/>
                <w:b/>
                <w:bCs/>
                <w:color w:val="auto"/>
                <w:sz w:val="24"/>
                <w:szCs w:val="24"/>
                <w:lang w:eastAsia="zh-CN"/>
              </w:rPr>
              <w:t xml:space="preserve">日</w:t>
            </w:r>
            <w:r>
              <w:rPr>
                <w:rFonts w:hint="eastAsia" w:ascii="宋体" w:hAnsi="宋体" w:eastAsia="宋体" w:cs="宋体"/>
                <w:b/>
                <w:bCs/>
                <w:color w:val="auto"/>
                <w:sz w:val="24"/>
                <w:szCs w:val="24"/>
              </w:rPr>
              <w:t xml:space="preserve">09：30前。</w:t>
            </w:r>
            <w:r/>
          </w:p>
          <w:p>
            <w:pPr>
              <w:ind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2、投标文件提交与接收地点：投标人应当通过“苏采云”系统提交数据电文形式的投标文件（即电子投标），“苏采云”系统自动接收。</w:t>
            </w:r>
            <w:r/>
          </w:p>
        </w:tc>
      </w:tr>
      <w:tr>
        <w:trPr>
          <w:jc w:val="center"/>
          <w:trHeight w:val="1219"/>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p>
        </w:tc>
        <w:tc>
          <w:tcPr>
            <w:shd w:val="clear" w:color="auto" w:fill="auto"/>
            <w:tcMar>
              <w:left w:w="108" w:type="dxa"/>
              <w:top w:w="0" w:type="dxa"/>
              <w:right w:w="108" w:type="dxa"/>
              <w:bottom w:w="0" w:type="dxa"/>
            </w:tcMar>
            <w:tcW w:w="4285" w:type="pct"/>
            <w:vAlign w:val="top"/>
            <w:textDirection w:val="lrTb"/>
            <w:noWrap w:val="false"/>
          </w:tcPr>
          <w:p>
            <w:pPr>
              <w:ind w:firstLine="480"/>
              <w:spacing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电子投标文件应由其法定代表人或法定代表人授权代表在规定的网上投标时间内，</w:t>
            </w:r>
            <w:r>
              <w:rPr>
                <w:rFonts w:hint="eastAsia" w:ascii="宋体" w:hAnsi="宋体" w:eastAsia="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w:t>
            </w:r>
            <w:r>
              <w:rPr>
                <w:rFonts w:hint="eastAsia" w:ascii="宋体" w:hAnsi="宋体" w:eastAsia="宋体" w:cs="宋体"/>
                <w:color w:val="auto"/>
                <w:sz w:val="24"/>
              </w:rPr>
              <w:t xml:space="preserve">，通过“苏采云”系统（使用“CA数字证书”）解密。解密时限：进入解密环节后，</w:t>
            </w:r>
            <w:r>
              <w:rPr>
                <w:rFonts w:hint="eastAsia" w:ascii="宋体" w:hAnsi="宋体" w:eastAsia="宋体" w:cs="宋体"/>
                <w:b/>
                <w:bCs/>
                <w:color w:val="auto"/>
                <w:sz w:val="24"/>
              </w:rPr>
              <w:t xml:space="preserve">30分钟内。</w:t>
            </w:r>
            <w:r/>
          </w:p>
          <w:p>
            <w:pPr>
              <w:ind w:firstLine="480"/>
              <w:jc w:val="left"/>
              <w:spacing w:line="24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rPr>
              <w:t xml:space="preserve">“苏采云”系统生成开标记录并向社会公众公布，但依法应当保密的除外。</w:t>
            </w:r>
            <w:r/>
          </w:p>
        </w:tc>
      </w:tr>
      <w:tr>
        <w:trPr>
          <w:jc w:val="center"/>
          <w:trHeight w:val="1035"/>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273"/>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pStyle w:val="1050"/>
              <w:ind w:firstLine="480"/>
              <w:spacing w:before="0" w:beforeAutospacing="0" w:after="0" w:afterAutospacing="0" w:line="240" w:lineRule="auto"/>
              <w:shd w:val="clear" w:color="auto" w:fill="ffffff"/>
              <w:rPr>
                <w:rFonts w:hint="eastAsia" w:ascii="宋体" w:hAnsi="宋体" w:eastAsia="宋体" w:cs="宋体"/>
                <w:color w:val="auto"/>
                <w:sz w:val="24"/>
                <w:szCs w:val="24"/>
                <w:lang w:val="en-US" w:eastAsia="zh-CN" w:bidi="ar-SA"/>
              </w:rPr>
            </w:pPr>
            <w:r>
              <w:rPr>
                <w:rFonts w:hint="eastAsia" w:ascii="宋体" w:hAnsi="宋体" w:eastAsia="宋体" w:cs="宋体"/>
                <w:color w:val="auto"/>
                <w:shd w:val="clear" w:color="auto"/>
              </w:rPr>
              <w:t xml:space="preserve">投标文件解密失败的补救方案</w:t>
            </w:r>
            <w:r>
              <w:rPr>
                <w:rFonts w:hint="eastAsia" w:ascii="宋体" w:hAnsi="宋体" w:eastAsia="宋体" w:cs="宋体"/>
                <w:color w:val="auto"/>
                <w:shd w:val="clear" w:color="auto"/>
                <w:lang w:eastAsia="zh-CN"/>
              </w:rPr>
              <w:t xml:space="preserve">：</w:t>
            </w:r>
            <w:r>
              <w:rPr>
                <w:rFonts w:hint="eastAsia" w:ascii="宋体" w:hAnsi="宋体" w:eastAsia="宋体" w:cs="宋体"/>
                <w:color w:val="auto"/>
                <w:shd w:val="clear" w:color="auto"/>
              </w:rPr>
              <w:t xml:space="preserve">无。</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27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left="0" w:right="0" w:firstLine="482"/>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cs="宋体"/>
                <w:b/>
                <w:color w:val="auto"/>
                <w:sz w:val="24"/>
                <w:szCs w:val="24"/>
                <w:lang w:eastAsia="zh-CN"/>
              </w:rPr>
              <w:t xml:space="preserve">2026年6月</w:t>
            </w:r>
            <w:r>
              <w:rPr>
                <w:rFonts w:hint="eastAsia" w:ascii="宋体" w:hAnsi="宋体" w:cs="宋体"/>
                <w:b/>
                <w:color w:val="auto"/>
                <w:sz w:val="24"/>
                <w:szCs w:val="24"/>
                <w:lang w:val="en-US" w:eastAsia="zh-CN"/>
              </w:rPr>
              <w:t xml:space="preserve">30</w:t>
            </w:r>
            <w:bookmarkStart w:id="11" w:name="_GoBack"/>
            <w:r/>
            <w:bookmarkEnd w:id="11"/>
            <w:r>
              <w:rPr>
                <w:rFonts w:hint="eastAsia" w:ascii="宋体" w:hAnsi="宋体" w:cs="宋体"/>
                <w:b/>
                <w:color w:val="auto"/>
                <w:sz w:val="24"/>
                <w:szCs w:val="24"/>
                <w:lang w:eastAsia="zh-CN"/>
              </w:rPr>
              <w:t xml:space="preserve">日</w:t>
            </w:r>
            <w:r>
              <w:rPr>
                <w:rFonts w:hint="eastAsia" w:ascii="宋体" w:hAnsi="宋体" w:eastAsia="宋体" w:cs="宋体"/>
                <w:b/>
                <w:color w:val="auto"/>
                <w:sz w:val="24"/>
                <w:szCs w:val="24"/>
              </w:rPr>
              <w:t xml:space="preserve">09：30（标准时间）。</w:t>
            </w:r>
            <w:r/>
          </w:p>
          <w:p>
            <w:pPr>
              <w:ind w:left="0" w:right="0" w:firstLine="482"/>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auto"/>
                <w:sz w:val="24"/>
                <w:szCs w:val="24"/>
                <w:lang w:val="en-US" w:eastAsia="zh-CN"/>
              </w:rPr>
              <w:t xml:space="preserve">运维管理方案</w:t>
            </w:r>
            <w:r>
              <w:rPr>
                <w:rFonts w:hint="eastAsia" w:ascii="宋体" w:hAnsi="宋体" w:eastAsia="宋体" w:cs="宋体"/>
                <w:color w:val="auto"/>
                <w:sz w:val="24"/>
                <w:szCs w:val="24"/>
              </w:rPr>
              <w:t xml:space="preserve">得分</w:t>
            </w:r>
            <w:r>
              <w:rPr>
                <w:rFonts w:hint="eastAsia" w:ascii="宋体" w:hAnsi="宋体" w:eastAsia="宋体" w:cs="宋体"/>
                <w:color w:val="auto"/>
                <w:sz w:val="24"/>
                <w:szCs w:val="24"/>
                <w:lang w:val="en-US" w:eastAsia="zh-CN"/>
              </w:rPr>
              <w:t xml:space="preserve">高低</w:t>
            </w:r>
            <w:r>
              <w:rPr>
                <w:rFonts w:hint="eastAsia" w:ascii="宋体" w:hAnsi="宋体" w:eastAsia="宋体" w:cs="宋体"/>
                <w:color w:val="auto"/>
                <w:sz w:val="24"/>
                <w:szCs w:val="24"/>
              </w:rPr>
              <w:t xml:space="preserve">顺序排列。</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4084"/>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二十九</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71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三十</w:t>
            </w:r>
            <w:r>
              <w:rPr>
                <w:rFonts w:hint="eastAsia" w:ascii="宋体" w:hAnsi="宋体" w:eastAsia="宋体" w:cs="宋体"/>
                <w:b w:val="0"/>
                <w:bCs w:val="0"/>
                <w:color w:val="auto"/>
                <w:sz w:val="24"/>
                <w:szCs w:val="24"/>
                <w:lang w:eastAsia="zh-CN"/>
              </w:rPr>
              <w:t xml:space="preserve">）</w:t>
            </w:r>
            <w:r/>
          </w:p>
        </w:tc>
        <w:tc>
          <w:tcPr>
            <w:shd w:val="clear" w:color="auto" w:fill="auto"/>
            <w:tcMar>
              <w:left w:w="108" w:type="dxa"/>
              <w:top w:w="0" w:type="dxa"/>
              <w:right w:w="108" w:type="dxa"/>
              <w:bottom w:w="0" w:type="dxa"/>
            </w:tcMar>
            <w:tcW w:w="4285" w:type="pct"/>
            <w:vAlign w:val="top"/>
            <w:textDirection w:val="lrTb"/>
            <w:noWrap w:val="false"/>
          </w:tcPr>
          <w:p>
            <w:pPr>
              <w:ind w:firstLine="480"/>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r/>
          </w:p>
        </w:tc>
      </w:tr>
      <w:tr>
        <w:trPr>
          <w:jc w:val="center"/>
          <w:trHeight w:val="38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w:t>
            </w:r>
            <w:r/>
          </w:p>
        </w:tc>
        <w:tc>
          <w:tcPr>
            <w:tcMar>
              <w:left w:w="108" w:type="dxa"/>
              <w:top w:w="0" w:type="dxa"/>
              <w:right w:w="108" w:type="dxa"/>
              <w:bottom w:w="0" w:type="dxa"/>
            </w:tcMar>
            <w:tcW w:w="4285" w:type="pct"/>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（三十八）</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履约保证金：</w:t>
            </w:r>
            <w:r>
              <w:rPr>
                <w:rFonts w:hint="eastAsia" w:ascii="宋体" w:hAnsi="宋体" w:eastAsia="宋体" w:cs="宋体"/>
                <w:b w:val="0"/>
                <w:bCs w:val="0"/>
                <w:color w:val="auto"/>
                <w:sz w:val="24"/>
                <w:szCs w:val="24"/>
                <w:lang w:val="en-US" w:eastAsia="zh-CN"/>
              </w:rPr>
              <w:t xml:space="preserve">无</w:t>
            </w:r>
            <w:r>
              <w:rPr>
                <w:rFonts w:hint="eastAsia" w:ascii="宋体" w:hAnsi="宋体" w:eastAsia="宋体" w:cs="宋体"/>
                <w:b w:val="0"/>
                <w:bCs w:val="0"/>
                <w:color w:val="auto"/>
                <w:sz w:val="24"/>
                <w:szCs w:val="24"/>
                <w:lang w:eastAsia="zh-CN"/>
              </w:rPr>
              <w:t xml:space="preserve">。</w:t>
            </w:r>
            <w:r/>
          </w:p>
        </w:tc>
      </w:tr>
      <w:tr>
        <w:trPr>
          <w:jc w:val="center"/>
          <w:trHeight w:val="2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柴小皊 </w:t>
            </w:r>
            <w:r>
              <w:rPr>
                <w:rFonts w:hint="eastAsia" w:ascii="宋体" w:hAnsi="宋体" w:eastAsia="宋体" w:cs="宋体"/>
                <w:color w:val="auto"/>
                <w:sz w:val="24"/>
                <w:szCs w:val="24"/>
              </w:rPr>
              <w:t xml:space="preserve">；联系电话：0516-</w:t>
            </w:r>
            <w:r>
              <w:rPr>
                <w:rFonts w:hint="eastAsia" w:ascii="宋体" w:hAnsi="宋体" w:eastAsia="宋体" w:cs="宋体"/>
                <w:color w:val="auto"/>
                <w:sz w:val="24"/>
                <w:szCs w:val="24"/>
                <w:lang w:eastAsia="zh-CN"/>
              </w:rPr>
              <w:t xml:space="preserve">83205520</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地址：徐州市云龙区绿地商务城LOFT领海办公楼5#19</w:t>
            </w:r>
            <w:r>
              <w:rPr>
                <w:rFonts w:hint="eastAsia" w:ascii="宋体" w:hAnsi="宋体" w:eastAsia="宋体" w:cs="宋体"/>
                <w:color w:val="auto"/>
                <w:sz w:val="24"/>
                <w:szCs w:val="24"/>
                <w:lang w:val="en-US" w:eastAsia="zh-CN"/>
              </w:rPr>
              <w:t xml:space="preserve">03</w:t>
            </w:r>
            <w:r>
              <w:rPr>
                <w:rFonts w:hint="eastAsia" w:ascii="宋体" w:hAnsi="宋体" w:eastAsia="宋体" w:cs="宋体"/>
                <w:color w:val="auto"/>
                <w:sz w:val="24"/>
                <w:szCs w:val="24"/>
              </w:rPr>
              <w:t xml:space="preserve">室</w:t>
            </w:r>
            <w:r/>
          </w:p>
        </w:tc>
      </w:tr>
      <w:tr>
        <w:trPr>
          <w:jc w:val="center"/>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附加说明</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tc>
      </w:tr>
      <w:tr>
        <w:trPr>
          <w:jc w:val="center"/>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w:t>
            </w:r>
            <w:r>
              <w:rPr>
                <w:rFonts w:hint="eastAsia" w:ascii="宋体" w:hAnsi="宋体" w:eastAsia="宋体" w:cs="宋体"/>
                <w:b/>
                <w:bCs/>
                <w:color w:val="auto"/>
                <w:sz w:val="24"/>
                <w:szCs w:val="24"/>
              </w:rPr>
              <w:t xml:space="preserve">须向采购人和采购代理机构提交完整纸质版的投标文件（需盖投标人公章且胶装成册，三份）</w:t>
            </w:r>
            <w:r>
              <w:rPr>
                <w:rFonts w:hint="eastAsia" w:ascii="宋体" w:hAnsi="宋体" w:eastAsia="宋体" w:cs="宋体"/>
                <w:color w:val="auto"/>
                <w:sz w:val="24"/>
                <w:szCs w:val="24"/>
              </w:rPr>
              <w:t xml:space="preserve">。</w:t>
            </w:r>
            <w:r/>
          </w:p>
        </w:tc>
      </w:tr>
    </w:tbl>
    <w:p>
      <w:pPr>
        <w:ind w:firstLine="6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6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600"/>
        <w:spacing w:line="51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rPr>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1054"/>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说明：</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1、按上表计算的收费为代理服务全过程的收费金额。各社会代理机构不再收取采购文件制作售卖费用。</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2、代理服务费按差额定率累进法计算。</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3、代理服务费基准金额（按差额定率累进法计算的）=中标金额（按差额定率累进法计算的）*费率（%）</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4、代理服务费应收取金额=代理服务费基准金额（按差额定率累进法计算的）的合计数。</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5、定点类等无金额或事先不能计算出价格总额的项目，按中标（成交）金额100万元计算。</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6、有分包（分标段）的以一个项目计算。</w:t>
      </w:r>
      <w:r/>
    </w:p>
    <w:p>
      <w:pPr>
        <w:spacing w:line="440" w:lineRule="exact"/>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7、账户信息：</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收款人：江苏中际招标代理有限公司</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开户银行：徐州农村商业银行股份有限公司彭园支行</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账号：3203020171010000003980</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行号：314303000180</w:t>
      </w:r>
      <w:r/>
    </w:p>
    <w:p>
      <w:pPr>
        <w:rPr>
          <w:rFonts w:hint="eastAsia" w:ascii="宋体" w:hAnsi="宋体" w:eastAsia="宋体" w:cs="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第四章 评标标准</w:t>
      </w:r>
      <w:r/>
    </w:p>
    <w:p>
      <w:pPr>
        <w:pStyle w:val="1031"/>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tbl>
      <w:tblPr>
        <w:tblStyle w:val="10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6"/>
        <w:gridCol w:w="7516"/>
      </w:tblGrid>
      <w:tr>
        <w:trPr>
          <w:jc w:val="center"/>
          <w:trHeight w:val="537"/>
        </w:trPr>
        <w:tc>
          <w:tcPr>
            <w:tcW w:w="1566" w:type="dxa"/>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项目</w:t>
            </w:r>
            <w:r/>
          </w:p>
        </w:tc>
        <w:tc>
          <w:tcPr>
            <w:tcW w:w="7516" w:type="dxa"/>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评  分  依  据</w:t>
            </w:r>
            <w:r/>
          </w:p>
        </w:tc>
      </w:tr>
      <w:tr>
        <w:trPr>
          <w:jc w:val="center"/>
        </w:trPr>
        <w:tc>
          <w:tcPr>
            <w:tcW w:w="156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bookmarkStart w:id="0" w:name="OLE_LINK6"/>
            <w:r>
              <w:rPr>
                <w:rFonts w:hint="eastAsia" w:ascii="仿宋" w:hAnsi="仿宋" w:eastAsia="仿宋" w:cs="仿宋"/>
                <w:color w:val="auto"/>
                <w:sz w:val="24"/>
                <w:highlight w:val="none"/>
                <w:lang w:val="en-US" w:eastAsia="zh-CN"/>
              </w:rPr>
              <w:t xml:space="preserve">30</w:t>
            </w:r>
            <w:bookmarkEnd w:id="0"/>
            <w:r>
              <w:rPr>
                <w:rFonts w:hint="eastAsia" w:ascii="仿宋" w:hAnsi="仿宋" w:eastAsia="仿宋" w:cs="仿宋"/>
                <w:color w:val="auto"/>
                <w:sz w:val="24"/>
                <w:highlight w:val="none"/>
              </w:rPr>
              <w:t xml:space="preserve">分）</w:t>
            </w:r>
            <w:r/>
          </w:p>
        </w:tc>
        <w:tc>
          <w:tcPr>
            <w:tcW w:w="7516" w:type="dxa"/>
            <w:vAlign w:val="center"/>
            <w:textDirection w:val="lrTb"/>
            <w:noWrap w:val="false"/>
          </w:tcPr>
          <w:p>
            <w:pPr>
              <w:pStyle w:val="1052"/>
              <w:rPr>
                <w:rFonts w:hint="eastAsia"/>
                <w:color w:val="auto"/>
                <w:highlight w:val="none"/>
              </w:rPr>
            </w:pPr>
            <w:r>
              <w:rPr>
                <w:rFonts w:hint="eastAsia" w:ascii="宋体" w:hAnsi="宋体" w:eastAsia="宋体" w:cs="宋体"/>
                <w:b w:val="0"/>
                <w:bCs/>
                <w:color w:val="auto"/>
                <w:sz w:val="24"/>
                <w:szCs w:val="24"/>
                <w:highlight w:val="none"/>
              </w:rPr>
              <w:t xml:space="preserve">以满足招标文件要求的最低投标报价为评标基准价，得满分</w:t>
            </w:r>
            <w:r>
              <w:rPr>
                <w:rFonts w:hint="eastAsia" w:ascii="宋体" w:hAnsi="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分，其他投标报价得分=（评标基准价/其他投标报价）×</w:t>
            </w:r>
            <w:r>
              <w:rPr>
                <w:rFonts w:hint="eastAsia" w:ascii="宋体" w:hAnsi="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w:t>
            </w:r>
            <w:r/>
          </w:p>
        </w:tc>
      </w:tr>
      <w:tr>
        <w:trPr>
          <w:jc w:val="center"/>
        </w:trPr>
        <w:tc>
          <w:tcPr>
            <w:tcW w:w="156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业绩（4分）</w:t>
            </w:r>
            <w:r/>
          </w:p>
        </w:tc>
        <w:tc>
          <w:tcPr>
            <w:tcW w:w="7516" w:type="dxa"/>
            <w:vAlign w:val="center"/>
            <w:textDirection w:val="lrTb"/>
            <w:noWrap w:val="false"/>
          </w:tcPr>
          <w:p>
            <w:pPr>
              <w:rPr>
                <w:rFonts w:hint="eastAsia" w:ascii="仿宋" w:hAnsi="仿宋" w:eastAsia="仿宋" w:cs="仿宋"/>
                <w:color w:val="auto"/>
                <w:sz w:val="24"/>
                <w:highlight w:val="none"/>
              </w:rPr>
            </w:pPr>
            <w:r/>
            <w:bookmarkStart w:id="1" w:name="OLE_LINK2"/>
            <w:r>
              <w:rPr>
                <w:rFonts w:hint="eastAsia" w:ascii="仿宋" w:hAnsi="仿宋" w:eastAsia="仿宋" w:cs="仿宋"/>
                <w:color w:val="auto"/>
                <w:sz w:val="24"/>
                <w:highlight w:val="none"/>
                <w:lang w:eastAsia="zh-CN"/>
              </w:rPr>
              <w:t xml:space="preserve">投标文件中提供</w:t>
            </w:r>
            <w:r>
              <w:rPr>
                <w:rFonts w:hint="eastAsia" w:ascii="仿宋" w:hAnsi="仿宋" w:eastAsia="仿宋" w:cs="仿宋"/>
                <w:color w:val="auto"/>
                <w:sz w:val="24"/>
                <w:highlight w:val="none"/>
              </w:rPr>
              <w:t xml:space="preserve">投标人自20</w:t>
            </w:r>
            <w:r>
              <w:rPr>
                <w:rFonts w:hint="eastAsia" w:ascii="仿宋" w:hAnsi="仿宋" w:eastAsia="仿宋" w:cs="仿宋"/>
                <w:color w:val="auto"/>
                <w:sz w:val="24"/>
                <w:highlight w:val="none"/>
                <w:lang w:val="en-US" w:eastAsia="zh-CN"/>
              </w:rPr>
              <w:t xml:space="preserve">23</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月1日</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含</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以来承</w:t>
            </w:r>
            <w:r>
              <w:rPr>
                <w:rFonts w:hint="eastAsia" w:ascii="仿宋" w:hAnsi="仿宋" w:eastAsia="仿宋" w:cs="仿宋"/>
                <w:b/>
                <w:bCs/>
                <w:color w:val="auto"/>
                <w:sz w:val="24"/>
                <w:highlight w:val="none"/>
              </w:rPr>
              <w:t xml:space="preserve">担过</w:t>
            </w:r>
            <w:r>
              <w:rPr>
                <w:rFonts w:hint="eastAsia" w:ascii="仿宋" w:hAnsi="仿宋" w:eastAsia="仿宋" w:cs="仿宋"/>
                <w:b/>
                <w:bCs/>
                <w:color w:val="auto"/>
                <w:sz w:val="24"/>
                <w:highlight w:val="none"/>
                <w:lang w:val="en-US" w:eastAsia="zh-CN"/>
              </w:rPr>
              <w:t xml:space="preserve">类似水站或气站标准站房运维</w:t>
            </w:r>
            <w:r>
              <w:rPr>
                <w:rFonts w:hint="eastAsia" w:ascii="仿宋" w:hAnsi="仿宋" w:eastAsia="仿宋" w:cs="仿宋"/>
                <w:b/>
                <w:bCs/>
                <w:color w:val="auto"/>
                <w:sz w:val="24"/>
                <w:highlight w:val="none"/>
              </w:rPr>
              <w:t xml:space="preserve">项目</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lang w:eastAsia="zh-CN"/>
              </w:rPr>
              <w:t xml:space="preserve">合同扫描件</w:t>
            </w:r>
            <w:r>
              <w:rPr>
                <w:rFonts w:hint="eastAsia" w:ascii="仿宋" w:hAnsi="仿宋" w:eastAsia="仿宋" w:cs="仿宋"/>
                <w:color w:val="auto"/>
                <w:sz w:val="24"/>
                <w:highlight w:val="none"/>
                <w:lang w:val="en-US" w:eastAsia="zh-CN"/>
              </w:rPr>
              <w:t xml:space="preserve">每份得2份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最高得4分。</w:t>
            </w:r>
            <w:r/>
          </w:p>
          <w:p>
            <w:pP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注：须提供合同原件的扫描件加盖投标人签章，时间以合同签订时间为准。分包、转包合同无效。</w:t>
            </w:r>
            <w:bookmarkEnd w:id="1"/>
            <w:r/>
            <w:r/>
          </w:p>
        </w:tc>
      </w:tr>
      <w:tr>
        <w:trPr>
          <w:jc w:val="center"/>
          <w:trHeight w:val="90"/>
        </w:trPr>
        <w:tc>
          <w:tcPr>
            <w:tcW w:w="1566" w:type="dxa"/>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仿宋"/>
                <w:sz w:val="24"/>
                <w:lang w:val="en-US" w:eastAsia="zh-CN"/>
              </w:rPr>
              <w:t xml:space="preserve">服务响应（12分）</w:t>
            </w:r>
            <w:r/>
          </w:p>
        </w:tc>
        <w:tc>
          <w:tcPr>
            <w:tcW w:w="7516" w:type="dxa"/>
            <w:vAlign w:val="top"/>
            <w:textDirection w:val="lrTb"/>
            <w:noWrap w:val="false"/>
          </w:tcPr>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依据投标文件中偏离表对招标文件第六章 《采购需求》满足程度进行评价。</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全部满足要求得12分，响应指标不满足或负偏离每项扣1.5分，扣完为止；本项最高得12分，最低得0分。</w:t>
            </w:r>
            <w:r/>
          </w:p>
        </w:tc>
      </w:tr>
      <w:tr>
        <w:trPr>
          <w:jc w:val="center"/>
          <w:trHeight w:val="90"/>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lang w:eastAsia="zh-CN"/>
              </w:rPr>
              <w:t xml:space="preserve">能力评价</w:t>
            </w:r>
            <w:r>
              <w:rPr>
                <w:rFonts w:hint="eastAsia" w:ascii="仿宋" w:hAnsi="仿宋" w:eastAsia="仿宋" w:cs="仿宋"/>
                <w:sz w:val="24"/>
              </w:rPr>
              <w:t xml:space="preserve">（</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p>
        </w:tc>
        <w:tc>
          <w:tcPr>
            <w:tcW w:w="7516" w:type="dxa"/>
            <w:vAlign w:val="top"/>
            <w:textDirection w:val="lrTb"/>
            <w:noWrap w:val="false"/>
          </w:tcPr>
          <w:p>
            <w:pPr>
              <w:rPr>
                <w:rFonts w:hint="eastAsia" w:ascii="仿宋" w:hAnsi="仿宋" w:eastAsia="仿宋" w:cs="仿宋"/>
                <w:sz w:val="24"/>
              </w:rPr>
            </w:pPr>
            <w:r>
              <w:rPr>
                <w:rFonts w:hint="eastAsia" w:ascii="仿宋" w:hAnsi="仿宋" w:eastAsia="仿宋" w:cs="仿宋"/>
                <w:sz w:val="24"/>
                <w:lang w:val="en-US" w:eastAsia="zh-CN"/>
              </w:rPr>
              <w:t xml:space="preserve">1</w:t>
            </w:r>
            <w:r>
              <w:rPr>
                <w:rFonts w:hint="eastAsia" w:ascii="仿宋" w:hAnsi="仿宋" w:eastAsia="仿宋" w:cs="仿宋"/>
                <w:sz w:val="24"/>
              </w:rPr>
              <w:t xml:space="preserve">、</w:t>
            </w:r>
            <w:r>
              <w:rPr>
                <w:rFonts w:hint="eastAsia" w:ascii="仿宋" w:hAnsi="仿宋" w:eastAsia="仿宋" w:cs="仿宋"/>
                <w:sz w:val="24"/>
                <w:lang w:eastAsia="zh-CN"/>
              </w:rPr>
              <w:t xml:space="preserve">投标文件中提供</w:t>
            </w:r>
            <w:r>
              <w:rPr>
                <w:rFonts w:hint="eastAsia" w:ascii="仿宋" w:hAnsi="仿宋" w:eastAsia="仿宋" w:cs="仿宋"/>
                <w:sz w:val="24"/>
              </w:rPr>
              <w:t xml:space="preserve">投标人具有</w:t>
            </w:r>
            <w:r>
              <w:rPr>
                <w:rFonts w:hint="eastAsia" w:ascii="仿宋" w:hAnsi="仿宋" w:eastAsia="仿宋" w:cs="仿宋"/>
                <w:sz w:val="24"/>
                <w:lang w:val="en-US" w:eastAsia="zh-CN"/>
              </w:rPr>
              <w:t xml:space="preserve">自有用于质量控制的CMA实验室的得2分；投标人自身无实验室，但有委托相关认证实验室（需提供服务期包含本次运维周期的委托协议）的得1分</w:t>
            </w:r>
            <w:r>
              <w:rPr>
                <w:rFonts w:hint="eastAsia" w:ascii="仿宋" w:hAnsi="仿宋" w:eastAsia="仿宋" w:cs="仿宋"/>
                <w:sz w:val="24"/>
              </w:rPr>
              <w:t xml:space="preserve">。</w:t>
            </w:r>
            <w:r>
              <w:rPr>
                <w:rFonts w:hint="eastAsia" w:ascii="仿宋" w:hAnsi="仿宋" w:eastAsia="仿宋" w:cs="仿宋"/>
                <w:b/>
                <w:bCs/>
                <w:sz w:val="24"/>
                <w:lang w:val="en-US" w:eastAsia="zh-CN"/>
              </w:rPr>
              <w:t xml:space="preserve">注：同时</w:t>
            </w:r>
            <w:r>
              <w:rPr>
                <w:rFonts w:hint="default" w:ascii="Times New Roman" w:hAnsi="Times New Roman" w:eastAsia="宋体" w:cs="Times New Roman"/>
                <w:b/>
                <w:bCs/>
                <w:color w:val="auto"/>
                <w:sz w:val="22"/>
                <w:szCs w:val="22"/>
                <w:highlight w:val="none"/>
                <w:lang w:val="en-US" w:eastAsia="zh-CN"/>
              </w:rPr>
              <w:t xml:space="preserve">须提供实验室资质证书复印件</w:t>
            </w:r>
            <w:r>
              <w:rPr>
                <w:rFonts w:hint="eastAsia" w:ascii="仿宋" w:hAnsi="仿宋" w:eastAsia="仿宋" w:cs="仿宋"/>
                <w:b/>
                <w:bCs/>
                <w:sz w:val="24"/>
              </w:rPr>
              <w:t xml:space="preserve">并加盖投标人电子签章；未提供不得分</w:t>
            </w:r>
            <w:r>
              <w:rPr>
                <w:rFonts w:hint="default" w:ascii="Times New Roman" w:hAnsi="Times New Roman" w:eastAsia="宋体" w:cs="Times New Roman"/>
                <w:color w:val="auto"/>
                <w:sz w:val="22"/>
                <w:szCs w:val="22"/>
                <w:highlight w:val="none"/>
                <w:lang w:val="en-US" w:eastAsia="zh-CN"/>
              </w:rPr>
              <w:t xml:space="preserve">。</w:t>
            </w:r>
            <w:r/>
          </w:p>
          <w:p>
            <w:pPr>
              <w:rPr>
                <w:rFonts w:hint="default" w:ascii="仿宋" w:hAnsi="仿宋" w:eastAsia="仿宋" w:cs="仿宋"/>
                <w:b/>
                <w:bCs/>
                <w:color w:val="ff0000"/>
                <w:sz w:val="24"/>
                <w:lang w:val="en-US" w:eastAsia="zh-CN"/>
              </w:rPr>
            </w:pP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ff0000"/>
                <w:sz w:val="24"/>
                <w:highlight w:val="none"/>
              </w:rPr>
              <w:t xml:space="preserve">、</w:t>
            </w:r>
            <w:r>
              <w:rPr>
                <w:rFonts w:hint="eastAsia" w:ascii="仿宋" w:hAnsi="仿宋" w:eastAsia="仿宋" w:cs="仿宋"/>
                <w:color w:val="ff0000"/>
                <w:sz w:val="24"/>
                <w:highlight w:val="none"/>
                <w:lang w:eastAsia="zh-CN"/>
              </w:rPr>
              <w:t xml:space="preserve">投标文件中提供</w:t>
            </w:r>
            <w:r>
              <w:rPr>
                <w:rFonts w:hint="eastAsia" w:ascii="仿宋" w:hAnsi="仿宋" w:eastAsia="仿宋" w:cs="仿宋"/>
                <w:color w:val="ff0000"/>
                <w:sz w:val="24"/>
                <w:highlight w:val="none"/>
              </w:rPr>
              <w:t xml:space="preserve">投标人</w:t>
            </w:r>
            <w:r>
              <w:rPr>
                <w:rFonts w:hint="eastAsia" w:ascii="仿宋" w:hAnsi="仿宋" w:eastAsia="仿宋" w:cs="仿宋"/>
                <w:color w:val="ff0000"/>
                <w:sz w:val="24"/>
                <w:highlight w:val="none"/>
                <w:lang w:val="en-US" w:eastAsia="zh-CN"/>
              </w:rPr>
              <w:t xml:space="preserve">有环境质量自动监测系统类（地表水水质自动监测站、环境空气连续自动监测系统、网格化监测预警系统任</w:t>
            </w:r>
            <w:r>
              <w:rPr>
                <w:rFonts w:hint="eastAsia" w:ascii="仿宋" w:hAnsi="仿宋" w:eastAsia="仿宋" w:cs="仿宋"/>
                <w:color w:val="ff0000"/>
                <w:sz w:val="24"/>
                <w:highlight w:val="none"/>
                <w:lang w:val="zh-CN"/>
              </w:rPr>
              <w:t xml:space="preserve">一个</w:t>
            </w:r>
            <w:r>
              <w:rPr>
                <w:rFonts w:hint="eastAsia" w:ascii="仿宋" w:hAnsi="仿宋" w:eastAsia="仿宋" w:cs="仿宋"/>
                <w:color w:val="ff0000"/>
                <w:sz w:val="24"/>
                <w:highlight w:val="none"/>
                <w:lang w:val="en-US" w:eastAsia="zh-CN"/>
              </w:rPr>
              <w:t xml:space="preserve">）运营服务认证证书，每有一个</w:t>
            </w:r>
            <w:r>
              <w:rPr>
                <w:rFonts w:hint="eastAsia" w:ascii="仿宋" w:hAnsi="仿宋" w:eastAsia="仿宋" w:cs="仿宋"/>
                <w:color w:val="ff0000"/>
                <w:sz w:val="24"/>
                <w:highlight w:val="none"/>
                <w:lang w:val="zh-CN"/>
              </w:rPr>
              <w:t xml:space="preserve">得</w:t>
            </w:r>
            <w:r>
              <w:rPr>
                <w:rFonts w:hint="eastAsia" w:ascii="仿宋" w:hAnsi="仿宋" w:eastAsia="仿宋" w:cs="仿宋"/>
                <w:color w:val="ff0000"/>
                <w:sz w:val="24"/>
                <w:highlight w:val="none"/>
                <w:lang w:val="en-US" w:eastAsia="zh-CN"/>
              </w:rPr>
              <w:t xml:space="preserve">1</w:t>
            </w:r>
            <w:r>
              <w:rPr>
                <w:rFonts w:hint="eastAsia" w:ascii="仿宋" w:hAnsi="仿宋" w:eastAsia="仿宋" w:cs="仿宋"/>
                <w:color w:val="ff0000"/>
                <w:sz w:val="24"/>
                <w:highlight w:val="none"/>
                <w:lang w:val="zh-CN"/>
              </w:rPr>
              <w:t xml:space="preserve">分，本项最高得</w:t>
            </w: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ff0000"/>
                <w:sz w:val="24"/>
                <w:highlight w:val="none"/>
                <w:lang w:val="zh-CN"/>
              </w:rPr>
              <w:t xml:space="preserve">分。</w:t>
            </w:r>
            <w:r>
              <w:rPr>
                <w:rFonts w:hint="eastAsia" w:ascii="仿宋" w:hAnsi="仿宋" w:eastAsia="仿宋" w:cs="仿宋"/>
                <w:b/>
                <w:bCs/>
                <w:color w:val="ff0000"/>
                <w:sz w:val="24"/>
                <w:highlight w:val="none"/>
              </w:rPr>
              <w:t xml:space="preserve">注：须提供上述证书原件扫描件并加盖投标人电子签章；未提供不得分。</w:t>
            </w:r>
            <w:r/>
          </w:p>
        </w:tc>
      </w:tr>
      <w:tr>
        <w:trPr>
          <w:jc w:val="center"/>
        </w:trPr>
        <w:tc>
          <w:tcPr>
            <w:tcW w:w="1566" w:type="dxa"/>
            <w:vAlign w:val="center"/>
            <w:textDirection w:val="lrTb"/>
            <w:noWrap w:val="false"/>
          </w:tcPr>
          <w:p>
            <w:pPr>
              <w:jc w:val="center"/>
              <w:rPr>
                <w:rFonts w:hint="eastAsia" w:ascii="仿宋" w:hAnsi="仿宋" w:eastAsia="仿宋" w:cs="仿宋"/>
                <w:sz w:val="24"/>
                <w:szCs w:val="28"/>
                <w:lang w:val="en-US" w:eastAsia="zh-CN"/>
              </w:rPr>
            </w:pPr>
            <w:r>
              <w:rPr>
                <w:rFonts w:hint="eastAsia" w:ascii="仿宋" w:hAnsi="仿宋" w:eastAsia="仿宋" w:cs="仿宋"/>
                <w:sz w:val="24"/>
                <w:szCs w:val="28"/>
                <w:lang w:val="en-US" w:eastAsia="zh-CN"/>
              </w:rPr>
              <w:t xml:space="preserve">车辆（2）</w:t>
            </w:r>
            <w:r/>
          </w:p>
        </w:tc>
        <w:tc>
          <w:tcPr>
            <w:tcW w:w="7516" w:type="dxa"/>
            <w:vAlign w:val="top"/>
            <w:textDirection w:val="lrTb"/>
            <w:noWrap w:val="false"/>
          </w:tcPr>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投标文件中提供投标人为本项目投入1辆运维车辆得2分。</w:t>
            </w:r>
            <w:r/>
          </w:p>
          <w:p>
            <w:pPr>
              <w:rPr>
                <w:rFonts w:hint="eastAsia" w:ascii="仿宋" w:hAnsi="仿宋" w:eastAsia="仿宋" w:cs="仿宋"/>
                <w:b/>
                <w:bCs/>
                <w:sz w:val="24"/>
              </w:rPr>
            </w:pPr>
            <w:r>
              <w:rPr>
                <w:rFonts w:hint="eastAsia" w:ascii="仿宋" w:hAnsi="仿宋" w:eastAsia="仿宋" w:cs="仿宋"/>
                <w:b/>
                <w:bCs/>
                <w:sz w:val="24"/>
              </w:rPr>
              <w:t xml:space="preserve">注：</w:t>
            </w:r>
            <w:r>
              <w:rPr>
                <w:rFonts w:hint="eastAsia" w:ascii="仿宋" w:hAnsi="仿宋" w:eastAsia="仿宋" w:cs="仿宋"/>
                <w:b/>
                <w:bCs/>
                <w:sz w:val="24"/>
                <w:lang w:val="en-US" w:eastAsia="zh-CN"/>
              </w:rPr>
              <w:t xml:space="preserve">须提供车辆牌照、行驶证信息、车辆采购或租赁等证明材料复印件</w:t>
            </w:r>
            <w:r>
              <w:rPr>
                <w:rFonts w:hint="eastAsia" w:ascii="仿宋" w:hAnsi="仿宋" w:eastAsia="仿宋" w:cs="仿宋"/>
                <w:b/>
                <w:bCs/>
                <w:sz w:val="24"/>
              </w:rPr>
              <w:t xml:space="preserve">加盖投标人电子签章；未提供不得分。</w:t>
            </w:r>
            <w:r/>
          </w:p>
        </w:tc>
      </w:tr>
      <w:tr>
        <w:trPr>
          <w:jc w:val="center"/>
        </w:trPr>
        <w:tc>
          <w:tcPr>
            <w:tcW w:w="1566" w:type="dxa"/>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仿宋"/>
                <w:sz w:val="24"/>
                <w:szCs w:val="28"/>
                <w:lang w:val="en-US" w:eastAsia="zh-CN"/>
              </w:rPr>
              <w:t xml:space="preserve">设备保障</w:t>
            </w:r>
            <w:r>
              <w:rPr>
                <w:rFonts w:hint="eastAsia" w:ascii="仿宋" w:hAnsi="仿宋" w:eastAsia="仿宋" w:cs="仿宋"/>
                <w:sz w:val="24"/>
                <w:szCs w:val="28"/>
              </w:rPr>
              <w:t xml:space="preserve">（</w:t>
            </w:r>
            <w:r>
              <w:rPr>
                <w:rFonts w:hint="eastAsia" w:ascii="仿宋" w:hAnsi="仿宋" w:eastAsia="仿宋" w:cs="仿宋"/>
                <w:sz w:val="24"/>
                <w:szCs w:val="28"/>
                <w:lang w:val="en-US" w:eastAsia="zh-CN"/>
              </w:rPr>
              <w:t xml:space="preserve">4</w:t>
            </w:r>
            <w:r>
              <w:rPr>
                <w:rFonts w:hint="eastAsia" w:ascii="仿宋" w:hAnsi="仿宋" w:eastAsia="仿宋" w:cs="仿宋"/>
                <w:sz w:val="24"/>
                <w:szCs w:val="28"/>
              </w:rPr>
              <w:t xml:space="preserve">分）</w:t>
            </w:r>
            <w:r/>
          </w:p>
        </w:tc>
        <w:tc>
          <w:tcPr>
            <w:tcW w:w="7516" w:type="dxa"/>
            <w:vAlign w:val="top"/>
            <w:textDirection w:val="lrTb"/>
            <w:noWrap w:val="false"/>
          </w:tcPr>
          <w:p>
            <w:pPr>
              <w:rPr>
                <w:rFonts w:hint="eastAsia" w:ascii="仿宋" w:hAnsi="仿宋" w:eastAsia="仿宋" w:cs="仿宋"/>
                <w:sz w:val="24"/>
                <w:szCs w:val="28"/>
              </w:rPr>
            </w:pPr>
            <w:r>
              <w:rPr>
                <w:rFonts w:hint="eastAsia" w:ascii="仿宋" w:hAnsi="仿宋" w:eastAsia="仿宋" w:cs="仿宋"/>
                <w:sz w:val="24"/>
                <w:lang w:eastAsia="zh-CN"/>
              </w:rPr>
              <w:t xml:space="preserve">投标文件中提供</w:t>
            </w:r>
            <w:r>
              <w:rPr>
                <w:rFonts w:hint="eastAsia" w:ascii="仿宋" w:hAnsi="仿宋" w:eastAsia="仿宋" w:cs="仿宋"/>
                <w:sz w:val="24"/>
              </w:rPr>
              <w:t xml:space="preserve">投标人</w:t>
            </w:r>
            <w:r>
              <w:rPr>
                <w:rFonts w:hint="eastAsia" w:ascii="仿宋" w:hAnsi="仿宋" w:eastAsia="仿宋" w:cs="仿宋"/>
                <w:sz w:val="24"/>
                <w:szCs w:val="28"/>
              </w:rPr>
              <w:t xml:space="preserve">必要的质量控制设备用于开展运维工作，</w:t>
            </w:r>
            <w:r>
              <w:rPr>
                <w:rFonts w:hint="eastAsia" w:ascii="仿宋" w:hAnsi="仿宋" w:eastAsia="仿宋" w:cs="仿宋"/>
                <w:sz w:val="24"/>
                <w:szCs w:val="28"/>
                <w:lang w:val="en-US" w:eastAsia="zh-CN"/>
              </w:rPr>
              <w:t xml:space="preserve">投标</w:t>
            </w:r>
            <w:r>
              <w:rPr>
                <w:rFonts w:hint="eastAsia" w:ascii="仿宋" w:hAnsi="仿宋" w:eastAsia="仿宋" w:cs="仿宋"/>
                <w:sz w:val="24"/>
                <w:szCs w:val="28"/>
                <w:highlight w:val="none"/>
                <w:lang w:val="en-US" w:eastAsia="zh-CN"/>
              </w:rPr>
              <w:t xml:space="preserve">人</w:t>
            </w:r>
            <w:r>
              <w:rPr>
                <w:rFonts w:hint="eastAsia" w:ascii="仿宋" w:hAnsi="仿宋" w:eastAsia="仿宋" w:cs="仿宋"/>
                <w:color w:val="ff0000"/>
                <w:sz w:val="24"/>
                <w:szCs w:val="28"/>
                <w:highlight w:val="none"/>
              </w:rPr>
              <w:t xml:space="preserve">提供流量计、</w:t>
            </w:r>
            <w:r>
              <w:rPr>
                <w:rFonts w:hint="eastAsia" w:ascii="仿宋" w:hAnsi="仿宋" w:eastAsia="仿宋" w:cs="仿宋"/>
                <w:sz w:val="24"/>
                <w:szCs w:val="28"/>
              </w:rPr>
              <w:t xml:space="preserve">标准气压计、标准温湿度计</w:t>
            </w:r>
            <w:r>
              <w:rPr>
                <w:rFonts w:hint="eastAsia" w:ascii="仿宋" w:hAnsi="仿宋" w:eastAsia="仿宋" w:cs="仿宋"/>
                <w:sz w:val="24"/>
                <w:szCs w:val="28"/>
                <w:lang w:val="en-US" w:eastAsia="zh-CN"/>
              </w:rPr>
              <w:t xml:space="preserve">各1套</w:t>
            </w:r>
            <w:r>
              <w:rPr>
                <w:rFonts w:hint="eastAsia" w:ascii="仿宋" w:hAnsi="仿宋" w:eastAsia="仿宋" w:cs="仿宋"/>
                <w:sz w:val="24"/>
                <w:szCs w:val="28"/>
              </w:rPr>
              <w:t xml:space="preserve">的得</w:t>
            </w:r>
            <w:r>
              <w:rPr>
                <w:rFonts w:hint="eastAsia" w:ascii="仿宋" w:hAnsi="仿宋" w:eastAsia="仿宋" w:cs="仿宋"/>
                <w:sz w:val="24"/>
                <w:szCs w:val="28"/>
                <w:lang w:val="en-US" w:eastAsia="zh-CN"/>
              </w:rPr>
              <w:t xml:space="preserve">4</w:t>
            </w:r>
            <w:r>
              <w:rPr>
                <w:rFonts w:hint="eastAsia" w:ascii="仿宋" w:hAnsi="仿宋" w:eastAsia="仿宋" w:cs="仿宋"/>
                <w:sz w:val="24"/>
                <w:szCs w:val="28"/>
              </w:rPr>
              <w:t xml:space="preserve">分。</w:t>
            </w:r>
            <w:r/>
          </w:p>
          <w:p>
            <w:pPr>
              <w:rPr>
                <w:rFonts w:hint="eastAsia" w:ascii="仿宋" w:hAnsi="仿宋" w:eastAsia="仿宋" w:cs="仿宋"/>
                <w:b/>
                <w:bCs/>
                <w:sz w:val="24"/>
              </w:rPr>
            </w:pPr>
            <w:r>
              <w:rPr>
                <w:rFonts w:hint="eastAsia" w:ascii="仿宋" w:hAnsi="仿宋" w:eastAsia="仿宋" w:cs="仿宋"/>
                <w:b/>
                <w:bCs/>
                <w:sz w:val="24"/>
              </w:rPr>
              <w:t xml:space="preserve">注：</w:t>
            </w:r>
            <w:r>
              <w:rPr>
                <w:rFonts w:hint="eastAsia" w:ascii="仿宋" w:hAnsi="仿宋" w:eastAsia="仿宋" w:cs="仿宋"/>
                <w:b/>
                <w:bCs/>
                <w:sz w:val="24"/>
                <w:szCs w:val="28"/>
              </w:rPr>
              <w:t xml:space="preserve">须提供合同或发票及</w:t>
            </w:r>
            <w:r>
              <w:rPr>
                <w:rFonts w:hint="eastAsia" w:ascii="仿宋" w:hAnsi="仿宋" w:eastAsia="仿宋" w:cs="仿宋"/>
                <w:b/>
                <w:bCs/>
                <w:sz w:val="24"/>
                <w:szCs w:val="28"/>
                <w:lang w:eastAsia="zh-CN"/>
              </w:rPr>
              <w:t xml:space="preserve">有效期内校准</w:t>
            </w:r>
            <w:r>
              <w:rPr>
                <w:rFonts w:hint="eastAsia" w:ascii="仿宋" w:hAnsi="仿宋" w:eastAsia="仿宋" w:cs="仿宋"/>
                <w:b/>
                <w:bCs/>
                <w:sz w:val="24"/>
                <w:szCs w:val="28"/>
                <w:lang w:val="en-US" w:eastAsia="zh-CN"/>
              </w:rPr>
              <w:t xml:space="preserve">/</w:t>
            </w:r>
            <w:r>
              <w:rPr>
                <w:rFonts w:hint="eastAsia" w:ascii="仿宋" w:hAnsi="仿宋" w:eastAsia="仿宋" w:cs="仿宋"/>
                <w:b/>
                <w:bCs/>
                <w:sz w:val="24"/>
                <w:szCs w:val="28"/>
                <w:lang w:eastAsia="zh-CN"/>
              </w:rPr>
              <w:t xml:space="preserve">检定证书</w:t>
            </w:r>
            <w:r>
              <w:rPr>
                <w:rFonts w:hint="eastAsia" w:ascii="仿宋" w:hAnsi="仿宋" w:eastAsia="仿宋" w:cs="仿宋"/>
                <w:b/>
                <w:bCs/>
                <w:sz w:val="24"/>
                <w:szCs w:val="28"/>
              </w:rPr>
              <w:t xml:space="preserve">复印件并加盖投标人电子签章；未提供不得分</w:t>
            </w:r>
            <w:r>
              <w:rPr>
                <w:rFonts w:hint="eastAsia" w:ascii="仿宋" w:hAnsi="仿宋" w:eastAsia="仿宋" w:cs="仿宋"/>
                <w:b/>
                <w:bCs/>
                <w:sz w:val="24"/>
                <w:szCs w:val="28"/>
                <w:lang w:eastAsia="zh-CN"/>
              </w:rPr>
              <w:t xml:space="preserve">。</w:t>
            </w:r>
            <w:r/>
          </w:p>
        </w:tc>
      </w:tr>
      <w:tr>
        <w:trPr>
          <w:jc w:val="center"/>
        </w:trPr>
        <w:tc>
          <w:tcPr>
            <w:tcW w:w="1566" w:type="dxa"/>
            <w:vAlign w:val="center"/>
            <w:textDirection w:val="lrTb"/>
            <w:noWrap w:val="false"/>
          </w:tcPr>
          <w:p>
            <w:pPr>
              <w:jc w:val="center"/>
              <w:rPr>
                <w:rFonts w:hint="eastAsia" w:ascii="仿宋" w:hAnsi="仿宋" w:eastAsia="仿宋" w:cs="仿宋"/>
                <w:sz w:val="24"/>
                <w:szCs w:val="28"/>
                <w:lang w:eastAsia="zh-CN"/>
              </w:rPr>
            </w:pPr>
            <w:r>
              <w:rPr>
                <w:rFonts w:hint="eastAsia" w:ascii="仿宋" w:hAnsi="仿宋" w:eastAsia="仿宋" w:cs="仿宋"/>
                <w:sz w:val="24"/>
              </w:rPr>
              <w:t xml:space="preserve">项目组成员</w:t>
            </w:r>
            <w:r>
              <w:rPr>
                <w:rFonts w:hint="eastAsia" w:ascii="仿宋" w:hAnsi="仿宋" w:eastAsia="仿宋" w:cs="仿宋"/>
                <w:color w:val="ff0000"/>
                <w:sz w:val="24"/>
                <w:highlight w:val="none"/>
                <w:lang w:eastAsia="zh-CN"/>
              </w:rPr>
              <w:t xml:space="preserve">（</w:t>
            </w:r>
            <w:r>
              <w:rPr>
                <w:rFonts w:hint="eastAsia" w:ascii="仿宋" w:hAnsi="仿宋" w:eastAsia="仿宋" w:cs="仿宋"/>
                <w:color w:val="ff0000"/>
                <w:sz w:val="24"/>
                <w:highlight w:val="none"/>
                <w:lang w:val="en-US" w:eastAsia="zh-CN"/>
              </w:rPr>
              <w:t xml:space="preserve">5分</w:t>
            </w:r>
            <w:r>
              <w:rPr>
                <w:rFonts w:hint="eastAsia" w:ascii="仿宋" w:hAnsi="仿宋" w:eastAsia="仿宋" w:cs="仿宋"/>
                <w:color w:val="ff0000"/>
                <w:sz w:val="24"/>
                <w:highlight w:val="none"/>
                <w:lang w:eastAsia="zh-CN"/>
              </w:rPr>
              <w:t xml:space="preserve">）</w:t>
            </w:r>
            <w:r/>
          </w:p>
        </w:tc>
        <w:tc>
          <w:tcPr>
            <w:tcW w:w="7516" w:type="dxa"/>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lang w:val="en-US" w:eastAsia="zh-CN"/>
              </w:rPr>
              <w:t xml:space="preserve">1</w:t>
            </w:r>
            <w:r>
              <w:rPr>
                <w:rFonts w:hint="eastAsia" w:ascii="仿宋" w:hAnsi="仿宋" w:eastAsia="仿宋" w:cs="仿宋"/>
                <w:sz w:val="24"/>
                <w:lang w:eastAsia="zh-CN"/>
              </w:rPr>
              <w:t xml:space="preserve">、项目负责人</w:t>
            </w:r>
            <w:r/>
          </w:p>
          <w:p>
            <w:pPr>
              <w:rPr>
                <w:rFonts w:hint="eastAsia" w:ascii="仿宋" w:hAnsi="仿宋" w:eastAsia="仿宋" w:cs="仿宋"/>
                <w:sz w:val="24"/>
                <w:lang w:eastAsia="zh-CN"/>
              </w:rPr>
            </w:pPr>
            <w:r>
              <w:rPr>
                <w:rFonts w:hint="eastAsia" w:ascii="仿宋" w:hAnsi="仿宋" w:eastAsia="仿宋" w:cs="仿宋"/>
                <w:sz w:val="24"/>
                <w:lang w:eastAsia="zh-CN"/>
              </w:rPr>
              <w:t xml:space="preserve">投标文件中提供投标人项目负责人具备环境</w:t>
            </w:r>
            <w:bookmarkStart w:id="2" w:name="OLE_LINK3"/>
            <w:r>
              <w:rPr>
                <w:rFonts w:hint="eastAsia" w:ascii="仿宋" w:hAnsi="仿宋" w:eastAsia="仿宋" w:cs="仿宋"/>
                <w:sz w:val="24"/>
                <w:lang w:eastAsia="zh-CN"/>
              </w:rPr>
              <w:t xml:space="preserve">类相关专业高级职称的加</w:t>
            </w:r>
            <w:r>
              <w:rPr>
                <w:rFonts w:hint="eastAsia" w:ascii="仿宋" w:hAnsi="仿宋" w:eastAsia="仿宋" w:cs="仿宋"/>
                <w:sz w:val="24"/>
                <w:lang w:val="en-US" w:eastAsia="zh-CN"/>
              </w:rPr>
              <w:t xml:space="preserve">2</w:t>
            </w:r>
            <w:r>
              <w:rPr>
                <w:rFonts w:hint="eastAsia" w:ascii="仿宋" w:hAnsi="仿宋" w:eastAsia="仿宋" w:cs="仿宋"/>
                <w:sz w:val="24"/>
                <w:lang w:eastAsia="zh-CN"/>
              </w:rPr>
              <w:t xml:space="preserve">分。</w:t>
            </w:r>
            <w:bookmarkEnd w:id="2"/>
            <w:r/>
          </w:p>
          <w:p>
            <w:pPr>
              <w:numPr>
                <w:ilvl w:val="0"/>
                <w:numId w:val="0"/>
              </w:numPr>
              <w:rPr>
                <w:rFonts w:hint="eastAsia" w:ascii="仿宋" w:hAnsi="仿宋" w:eastAsia="仿宋" w:cs="仿宋"/>
                <w:sz w:val="24"/>
                <w:lang w:eastAsia="zh-CN"/>
              </w:rPr>
            </w:pPr>
            <w:r>
              <w:rPr>
                <w:rFonts w:hint="eastAsia" w:ascii="仿宋" w:hAnsi="仿宋" w:eastAsia="仿宋" w:cs="仿宋"/>
                <w:sz w:val="24"/>
                <w:lang w:val="en-US" w:eastAsia="zh-CN"/>
              </w:rPr>
              <w:t xml:space="preserve">2、</w:t>
            </w:r>
            <w:r>
              <w:rPr>
                <w:rFonts w:hint="eastAsia" w:ascii="仿宋" w:hAnsi="仿宋" w:eastAsia="仿宋" w:cs="仿宋"/>
                <w:sz w:val="24"/>
                <w:lang w:eastAsia="zh-CN"/>
              </w:rPr>
              <w:t xml:space="preserve">项目组成员(不含项目负责人)</w:t>
            </w:r>
            <w:r/>
          </w:p>
          <w:p>
            <w:pPr>
              <w:pStyle w:val="1050"/>
              <w:jc w:val="left"/>
              <w:keepLines w:val="0"/>
              <w:keepNext w:val="0"/>
              <w:pageBreakBefore w:val="0"/>
              <w:spacing w:before="0" w:beforeAutospacing="0" w:after="0" w:afterAutospacing="0" w:line="240" w:lineRule="auto"/>
              <w:widowControl/>
              <w:rPr>
                <w:rFonts w:hint="eastAsia" w:ascii="仿宋" w:hAnsi="仿宋" w:eastAsia="仿宋" w:cs="仿宋"/>
                <w:color w:val="ff0000"/>
                <w:sz w:val="24"/>
                <w:highlight w:val="none"/>
                <w:lang w:eastAsia="zh-CN"/>
              </w:rPr>
              <w:suppressLineNumbers w:val="0"/>
            </w:pPr>
            <w:r>
              <w:rPr>
                <w:rFonts w:hint="eastAsia" w:ascii="仿宋" w:hAnsi="仿宋" w:eastAsia="仿宋" w:cs="仿宋"/>
                <w:color w:val="ff0000"/>
                <w:sz w:val="24"/>
                <w:highlight w:val="none"/>
                <w:lang w:eastAsia="zh-CN"/>
              </w:rPr>
              <w:t xml:space="preserve">为本项目配置的运维人员具备空气自动监测运维、地表水环境质量监测运维</w:t>
            </w:r>
            <w:r>
              <w:rPr>
                <w:rFonts w:hint="eastAsia" w:ascii="仿宋" w:hAnsi="仿宋" w:eastAsia="仿宋" w:cs="仿宋"/>
                <w:color w:val="ff0000"/>
                <w:sz w:val="24"/>
                <w:highlight w:val="none"/>
                <w:lang w:val="en-US" w:eastAsia="zh-CN"/>
              </w:rPr>
              <w:t xml:space="preserve">培训合格证的</w:t>
            </w:r>
            <w:r>
              <w:rPr>
                <w:rFonts w:hint="eastAsia" w:ascii="仿宋" w:hAnsi="仿宋" w:eastAsia="仿宋" w:cs="仿宋"/>
                <w:color w:val="ff0000"/>
                <w:sz w:val="24"/>
                <w:highlight w:val="none"/>
                <w:lang w:eastAsia="zh-CN"/>
              </w:rPr>
              <w:t xml:space="preserve">，每</w:t>
            </w:r>
            <w:r>
              <w:rPr>
                <w:rFonts w:hint="eastAsia" w:ascii="仿宋" w:hAnsi="仿宋" w:eastAsia="仿宋" w:cs="仿宋"/>
                <w:color w:val="ff0000"/>
                <w:sz w:val="24"/>
                <w:highlight w:val="none"/>
                <w:lang w:val="en-US" w:eastAsia="zh-CN"/>
              </w:rPr>
              <w:t xml:space="preserve">有一项</w:t>
            </w:r>
            <w:r>
              <w:rPr>
                <w:rFonts w:hint="eastAsia" w:ascii="仿宋" w:hAnsi="仿宋" w:eastAsia="仿宋" w:cs="仿宋"/>
                <w:color w:val="ff0000"/>
                <w:sz w:val="24"/>
                <w:highlight w:val="none"/>
                <w:lang w:eastAsia="zh-CN"/>
              </w:rPr>
              <w:t xml:space="preserve">得</w:t>
            </w:r>
            <w:r>
              <w:rPr>
                <w:rFonts w:hint="eastAsia" w:ascii="仿宋" w:hAnsi="仿宋" w:eastAsia="仿宋" w:cs="仿宋"/>
                <w:color w:val="ff0000"/>
                <w:sz w:val="24"/>
                <w:highlight w:val="none"/>
                <w:lang w:val="en-US" w:eastAsia="zh-CN"/>
              </w:rPr>
              <w:t xml:space="preserve">1</w:t>
            </w:r>
            <w:r>
              <w:rPr>
                <w:rFonts w:hint="eastAsia" w:ascii="仿宋" w:hAnsi="仿宋" w:eastAsia="仿宋" w:cs="仿宋"/>
                <w:color w:val="ff0000"/>
                <w:sz w:val="24"/>
                <w:highlight w:val="none"/>
                <w:lang w:eastAsia="zh-CN"/>
              </w:rPr>
              <w:t xml:space="preserve">分，最高得</w:t>
            </w:r>
            <w:r>
              <w:rPr>
                <w:rFonts w:hint="eastAsia" w:ascii="仿宋" w:hAnsi="仿宋" w:eastAsia="仿宋" w:cs="仿宋"/>
                <w:color w:val="ff0000"/>
                <w:sz w:val="24"/>
                <w:highlight w:val="none"/>
                <w:lang w:val="en-US" w:eastAsia="zh-CN"/>
              </w:rPr>
              <w:t xml:space="preserve">2</w:t>
            </w:r>
            <w:r>
              <w:rPr>
                <w:rFonts w:hint="eastAsia" w:ascii="仿宋" w:hAnsi="仿宋" w:eastAsia="仿宋" w:cs="仿宋"/>
                <w:color w:val="ff0000"/>
                <w:sz w:val="24"/>
                <w:highlight w:val="none"/>
                <w:lang w:eastAsia="zh-CN"/>
              </w:rPr>
              <w:t xml:space="preserve">分;</w:t>
            </w:r>
            <w:r>
              <w:rPr>
                <w:rFonts w:hint="eastAsia" w:ascii="仿宋" w:hAnsi="仿宋" w:eastAsia="仿宋" w:cs="仿宋"/>
                <w:color w:val="ff0000"/>
                <w:sz w:val="24"/>
                <w:highlight w:val="none"/>
                <w:lang w:val="en-US" w:eastAsia="zh-CN"/>
              </w:rPr>
              <w:t xml:space="preserve">具备</w:t>
            </w:r>
            <w:r>
              <w:rPr>
                <w:rFonts w:hint="eastAsia" w:ascii="仿宋" w:hAnsi="仿宋" w:eastAsia="仿宋" w:cs="仿宋"/>
                <w:color w:val="ff0000"/>
                <w:sz w:val="24"/>
                <w:highlight w:val="none"/>
                <w:lang w:eastAsia="zh-CN"/>
              </w:rPr>
              <w:t xml:space="preserve">环境空气</w:t>
            </w:r>
            <w:r>
              <w:rPr>
                <w:rFonts w:hint="eastAsia" w:ascii="仿宋" w:hAnsi="仿宋" w:eastAsia="仿宋" w:cs="仿宋"/>
                <w:color w:val="ff0000"/>
                <w:sz w:val="24"/>
                <w:highlight w:val="none"/>
                <w:lang w:val="en-US" w:eastAsia="zh-CN"/>
              </w:rPr>
              <w:t xml:space="preserve">有</w:t>
            </w:r>
            <w:r>
              <w:rPr>
                <w:rFonts w:hint="eastAsia" w:ascii="仿宋" w:hAnsi="仿宋" w:eastAsia="仿宋" w:cs="仿宋"/>
                <w:color w:val="ff0000"/>
                <w:sz w:val="24"/>
                <w:highlight w:val="none"/>
                <w:lang w:eastAsia="zh-CN"/>
              </w:rPr>
              <w:t xml:space="preserve">挥发性有机物自动监测</w:t>
            </w:r>
            <w:r>
              <w:rPr>
                <w:rFonts w:hint="eastAsia" w:ascii="仿宋" w:hAnsi="仿宋" w:eastAsia="仿宋" w:cs="仿宋"/>
                <w:color w:val="ff0000"/>
                <w:sz w:val="24"/>
                <w:highlight w:val="none"/>
                <w:lang w:val="en-US" w:eastAsia="zh-CN"/>
              </w:rPr>
              <w:t xml:space="preserve">运行合格证的，</w:t>
            </w:r>
            <w:r>
              <w:rPr>
                <w:rFonts w:hint="eastAsia" w:ascii="仿宋" w:hAnsi="仿宋" w:eastAsia="仿宋" w:cs="仿宋"/>
                <w:color w:val="ff0000"/>
                <w:sz w:val="24"/>
                <w:highlight w:val="none"/>
                <w:lang w:eastAsia="zh-CN"/>
              </w:rPr>
              <w:t xml:space="preserve">得</w:t>
            </w:r>
            <w:r>
              <w:rPr>
                <w:rFonts w:hint="eastAsia" w:ascii="仿宋" w:hAnsi="仿宋" w:eastAsia="仿宋" w:cs="仿宋"/>
                <w:color w:val="ff0000"/>
                <w:sz w:val="24"/>
                <w:highlight w:val="none"/>
                <w:lang w:val="en-US" w:eastAsia="zh-CN"/>
              </w:rPr>
              <w:t xml:space="preserve">1</w:t>
            </w:r>
            <w:r>
              <w:rPr>
                <w:rFonts w:hint="eastAsia" w:ascii="仿宋" w:hAnsi="仿宋" w:eastAsia="仿宋" w:cs="仿宋"/>
                <w:color w:val="ff0000"/>
                <w:sz w:val="24"/>
                <w:highlight w:val="none"/>
                <w:lang w:eastAsia="zh-CN"/>
              </w:rPr>
              <w:t xml:space="preserve">分。</w:t>
            </w:r>
            <w:r/>
          </w:p>
          <w:p>
            <w:pPr>
              <w:pStyle w:val="1050"/>
              <w:jc w:val="left"/>
              <w:keepLines w:val="0"/>
              <w:keepNext w:val="0"/>
              <w:pageBreakBefore w:val="0"/>
              <w:spacing w:before="0" w:beforeAutospacing="0" w:after="0" w:afterAutospacing="0" w:line="240" w:lineRule="auto"/>
              <w:widowControl/>
              <w:rPr>
                <w:rFonts w:hint="eastAsia" w:ascii="仿宋" w:hAnsi="仿宋" w:eastAsia="仿宋" w:cs="仿宋"/>
                <w:color w:val="ff0000"/>
                <w:sz w:val="24"/>
                <w:highlight w:val="none"/>
                <w:lang w:val="en-US" w:eastAsia="zh-CN"/>
              </w:rPr>
              <w:suppressLineNumbers w:val="0"/>
            </w:pPr>
            <w:r>
              <w:rPr>
                <w:rFonts w:hint="eastAsia" w:ascii="仿宋" w:hAnsi="仿宋" w:eastAsia="仿宋" w:cs="仿宋"/>
                <w:color w:val="ff0000"/>
                <w:sz w:val="24"/>
                <w:highlight w:val="none"/>
                <w:lang w:eastAsia="zh-CN"/>
              </w:rPr>
              <w:t xml:space="preserve">本项最高得</w:t>
            </w:r>
            <w:r>
              <w:rPr>
                <w:rFonts w:hint="eastAsia" w:ascii="仿宋" w:hAnsi="仿宋" w:eastAsia="仿宋" w:cs="仿宋"/>
                <w:color w:val="ff0000"/>
                <w:sz w:val="24"/>
                <w:highlight w:val="none"/>
                <w:lang w:val="en-US" w:eastAsia="zh-CN"/>
              </w:rPr>
              <w:t xml:space="preserve">3</w:t>
            </w:r>
            <w:r>
              <w:rPr>
                <w:rFonts w:hint="eastAsia" w:ascii="仿宋" w:hAnsi="仿宋" w:eastAsia="仿宋" w:cs="仿宋"/>
                <w:color w:val="ff0000"/>
                <w:sz w:val="24"/>
                <w:highlight w:val="none"/>
                <w:lang w:eastAsia="zh-CN"/>
              </w:rPr>
              <w:t xml:space="preserve">分</w:t>
            </w:r>
            <w:r>
              <w:rPr>
                <w:rFonts w:hint="eastAsia" w:ascii="仿宋" w:hAnsi="仿宋" w:eastAsia="仿宋" w:cs="仿宋"/>
                <w:color w:val="ff0000"/>
                <w:sz w:val="24"/>
                <w:highlight w:val="none"/>
                <w:lang w:val="en-US" w:eastAsia="zh-CN"/>
              </w:rPr>
              <w:t xml:space="preserve">。</w:t>
            </w:r>
            <w:r/>
          </w:p>
          <w:p>
            <w:pPr>
              <w:rPr>
                <w:rFonts w:hint="eastAsia" w:ascii="仿宋" w:hAnsi="仿宋" w:eastAsia="仿宋" w:cs="仿宋"/>
                <w:sz w:val="24"/>
                <w:szCs w:val="28"/>
                <w:lang w:eastAsia="zh-CN"/>
              </w:rPr>
            </w:pPr>
            <w:r>
              <w:rPr>
                <w:rFonts w:hint="eastAsia" w:ascii="仿宋" w:hAnsi="仿宋" w:eastAsia="仿宋" w:cs="仿宋"/>
                <w:b/>
                <w:bCs/>
                <w:sz w:val="24"/>
                <w:szCs w:val="28"/>
                <w:lang w:eastAsia="zh-CN"/>
              </w:rPr>
              <w:t xml:space="preserve">（</w:t>
            </w:r>
            <w:r>
              <w:rPr>
                <w:rFonts w:hint="eastAsia" w:ascii="仿宋" w:hAnsi="仿宋" w:eastAsia="仿宋" w:cs="仿宋"/>
                <w:b/>
                <w:bCs/>
                <w:sz w:val="24"/>
                <w:szCs w:val="28"/>
                <w:lang w:val="en-US" w:eastAsia="zh-CN"/>
              </w:rPr>
              <w:t xml:space="preserve">1</w:t>
            </w:r>
            <w:r>
              <w:rPr>
                <w:rFonts w:hint="eastAsia" w:ascii="仿宋" w:hAnsi="仿宋" w:eastAsia="仿宋" w:cs="仿宋"/>
                <w:b/>
                <w:bCs/>
                <w:sz w:val="24"/>
                <w:szCs w:val="28"/>
                <w:lang w:eastAsia="zh-CN"/>
              </w:rPr>
              <w:t xml:space="preserve">）提供相关证书扫描件，如职称证书无法体现专业的，需提供职称评审表证明；（2）须提供证书扫描件以及本单位在</w:t>
            </w:r>
            <w:r>
              <w:rPr>
                <w:rFonts w:hint="eastAsia" w:ascii="仿宋" w:hAnsi="仿宋" w:eastAsia="仿宋" w:cs="仿宋"/>
                <w:b/>
                <w:bCs/>
                <w:sz w:val="24"/>
                <w:szCs w:val="28"/>
                <w:lang w:val="en-US" w:eastAsia="zh-CN"/>
              </w:rPr>
              <w:t xml:space="preserve">本项目开标</w:t>
            </w:r>
            <w:r>
              <w:rPr>
                <w:rFonts w:hint="eastAsia" w:ascii="仿宋" w:hAnsi="仿宋" w:eastAsia="仿宋" w:cs="仿宋"/>
                <w:b/>
                <w:bCs/>
                <w:sz w:val="24"/>
                <w:szCs w:val="28"/>
                <w:lang w:eastAsia="zh-CN"/>
              </w:rPr>
              <w:t xml:space="preserve">前（</w:t>
            </w:r>
            <w:r>
              <w:rPr>
                <w:rFonts w:hint="eastAsia" w:ascii="仿宋" w:hAnsi="仿宋" w:eastAsia="仿宋" w:cs="仿宋"/>
                <w:b/>
                <w:bCs/>
                <w:sz w:val="24"/>
                <w:szCs w:val="28"/>
                <w:lang w:val="en-US" w:eastAsia="zh-CN"/>
              </w:rPr>
              <w:t xml:space="preserve">不含开标当月</w:t>
            </w:r>
            <w:r>
              <w:rPr>
                <w:rFonts w:hint="eastAsia" w:ascii="仿宋" w:hAnsi="仿宋" w:eastAsia="仿宋" w:cs="仿宋"/>
                <w:b/>
                <w:bCs/>
                <w:sz w:val="24"/>
                <w:szCs w:val="28"/>
                <w:lang w:eastAsia="zh-CN"/>
              </w:rPr>
              <w:t xml:space="preserve">）6个月内任意一个月为其缴纳的养老保险或社会保险缴纳证明扫描件并加盖公章，（以社保主管部门出具的为准），不提供或提供不全不予计分。</w:t>
            </w:r>
            <w:r/>
          </w:p>
        </w:tc>
      </w:tr>
      <w:tr>
        <w:trPr>
          <w:jc w:val="center"/>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lang w:val="en-US" w:eastAsia="zh-CN"/>
              </w:rPr>
              <w:t xml:space="preserve">运维管理方案（5分）</w:t>
            </w:r>
            <w:r/>
          </w:p>
        </w:tc>
        <w:tc>
          <w:tcPr>
            <w:tcW w:w="7516" w:type="dxa"/>
            <w:vAlign w:val="center"/>
            <w:textDirection w:val="lrTb"/>
            <w:noWrap w:val="false"/>
          </w:tcPr>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根据投标人提供的本项目建立运行管理制度和操作规程的情况进行打分：</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管理制度与操作规程科学专业性高、科学性强和完整性高的，得5分；</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管理制度与操作规程专业性较高、科学性较强和完整性较高的，得3分；</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管理制度与操作规程专业性、科学性和完整性一般的，得1分；</w:t>
            </w:r>
            <w:r/>
          </w:p>
          <w:p>
            <w:pPr>
              <w:rPr>
                <w:rFonts w:hint="eastAsia" w:ascii="仿宋" w:hAnsi="仿宋" w:eastAsia="仿宋" w:cs="仿宋"/>
                <w:sz w:val="24"/>
              </w:rPr>
            </w:pPr>
            <w:r>
              <w:rPr>
                <w:rFonts w:hint="eastAsia" w:ascii="仿宋" w:hAnsi="仿宋" w:eastAsia="仿宋" w:cs="仿宋"/>
                <w:sz w:val="24"/>
                <w:lang w:val="en-US" w:eastAsia="zh-CN"/>
              </w:rPr>
              <w:t xml:space="preserve">未提供不得分。</w:t>
            </w:r>
            <w:r/>
          </w:p>
        </w:tc>
      </w:tr>
      <w:tr>
        <w:trPr>
          <w:jc w:val="center"/>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运维工作方案（</w:t>
            </w:r>
            <w:r>
              <w:rPr>
                <w:rFonts w:hint="eastAsia" w:ascii="仿宋" w:hAnsi="仿宋" w:eastAsia="仿宋" w:cs="仿宋"/>
                <w:color w:val="ff0000"/>
                <w:sz w:val="24"/>
                <w:lang w:val="en-US" w:eastAsia="zh-CN"/>
              </w:rPr>
              <w:t xml:space="preserve">15</w:t>
            </w:r>
            <w:r>
              <w:rPr>
                <w:rFonts w:hint="eastAsia" w:ascii="仿宋" w:hAnsi="仿宋" w:eastAsia="仿宋" w:cs="仿宋"/>
                <w:color w:val="ff0000"/>
                <w:sz w:val="24"/>
              </w:rPr>
              <w:t xml:space="preserve">分）</w:t>
            </w:r>
            <w:r/>
          </w:p>
          <w:p>
            <w:pPr>
              <w:jc w:val="center"/>
              <w:rPr>
                <w:rFonts w:hint="eastAsia" w:ascii="仿宋" w:hAnsi="仿宋" w:eastAsia="仿宋" w:cs="仿宋"/>
                <w:sz w:val="24"/>
              </w:rPr>
            </w:pPr>
            <w:r>
              <w:rPr>
                <w:rFonts w:hint="eastAsia" w:ascii="仿宋" w:hAnsi="仿宋" w:eastAsia="仿宋" w:cs="仿宋"/>
                <w:sz w:val="24"/>
              </w:rPr>
            </w:r>
            <w:r/>
          </w:p>
        </w:tc>
        <w:tc>
          <w:tcPr>
            <w:tcW w:w="7516"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根据投标人提供的本项目的建设实施方案：包括运维目标、运维内容（包括但不限于远程监控，巡检、维护的内容与频次、零部件的清洁与更换，校准等）、仪器故障解决方案、运维规范性等方面进行打分：</w:t>
            </w:r>
            <w:r/>
          </w:p>
          <w:p>
            <w:pPr>
              <w:rPr>
                <w:rFonts w:hint="eastAsia" w:ascii="仿宋" w:hAnsi="仿宋" w:eastAsia="仿宋" w:cs="仿宋"/>
                <w:sz w:val="24"/>
              </w:rPr>
            </w:pPr>
            <w:r>
              <w:rPr>
                <w:rFonts w:hint="eastAsia" w:ascii="仿宋" w:hAnsi="仿宋" w:eastAsia="仿宋" w:cs="仿宋"/>
                <w:sz w:val="24"/>
              </w:rPr>
              <w:t xml:space="preserve">全面性(</w:t>
            </w:r>
            <w:r>
              <w:rPr>
                <w:rFonts w:hint="eastAsia" w:ascii="仿宋" w:hAnsi="仿宋" w:eastAsia="仿宋" w:cs="仿宋"/>
                <w:sz w:val="24"/>
                <w:lang w:val="en-US" w:eastAsia="zh-CN"/>
              </w:rPr>
              <w:t xml:space="preserve">5</w:t>
            </w:r>
            <w:r>
              <w:rPr>
                <w:rFonts w:hint="eastAsia" w:ascii="仿宋" w:hAnsi="仿宋" w:eastAsia="仿宋" w:cs="仿宋"/>
                <w:sz w:val="24"/>
              </w:rPr>
              <w:t xml:space="preserve">分)：全面具体详实得</w:t>
            </w:r>
            <w:r>
              <w:rPr>
                <w:rFonts w:hint="eastAsia" w:ascii="仿宋" w:hAnsi="仿宋" w:eastAsia="仿宋" w:cs="仿宋"/>
                <w:sz w:val="24"/>
                <w:lang w:val="en-US" w:eastAsia="zh-CN"/>
              </w:rPr>
              <w:t xml:space="preserve">5</w:t>
            </w:r>
            <w:r>
              <w:rPr>
                <w:rFonts w:hint="eastAsia" w:ascii="仿宋" w:hAnsi="仿宋" w:eastAsia="仿宋" w:cs="仿宋"/>
                <w:sz w:val="24"/>
              </w:rPr>
              <w:t xml:space="preserve">分；较全面得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分；基本具备的得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分；不太全面得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针对性(</w:t>
            </w:r>
            <w:r>
              <w:rPr>
                <w:rFonts w:hint="eastAsia" w:ascii="仿宋" w:hAnsi="仿宋" w:eastAsia="仿宋" w:cs="仿宋"/>
                <w:sz w:val="24"/>
                <w:lang w:val="en-US" w:eastAsia="zh-CN"/>
              </w:rPr>
              <w:t xml:space="preserve">5</w:t>
            </w:r>
            <w:r>
              <w:rPr>
                <w:rFonts w:hint="eastAsia" w:ascii="仿宋" w:hAnsi="仿宋" w:eastAsia="仿宋" w:cs="仿宋"/>
                <w:sz w:val="24"/>
              </w:rPr>
              <w:t xml:space="preserve">分)：针对性强得</w:t>
            </w:r>
            <w:r>
              <w:rPr>
                <w:rFonts w:hint="eastAsia" w:ascii="仿宋" w:hAnsi="仿宋" w:eastAsia="仿宋" w:cs="仿宋"/>
                <w:sz w:val="24"/>
                <w:lang w:val="en-US" w:eastAsia="zh-CN"/>
              </w:rPr>
              <w:t xml:space="preserve">5</w:t>
            </w:r>
            <w:r>
              <w:rPr>
                <w:rFonts w:hint="eastAsia" w:ascii="仿宋" w:hAnsi="仿宋" w:eastAsia="仿宋" w:cs="仿宋"/>
                <w:sz w:val="24"/>
              </w:rPr>
              <w:t xml:space="preserve">分；针对性较强得4分；针对性一般的得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分；欠缺针对性的得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可行性（</w:t>
            </w:r>
            <w:r>
              <w:rPr>
                <w:rFonts w:hint="eastAsia" w:ascii="仿宋" w:hAnsi="仿宋" w:eastAsia="仿宋" w:cs="仿宋"/>
                <w:sz w:val="24"/>
                <w:lang w:val="en-US" w:eastAsia="zh-CN"/>
              </w:rPr>
              <w:t xml:space="preserve">5</w:t>
            </w:r>
            <w:r>
              <w:rPr>
                <w:rFonts w:hint="eastAsia" w:ascii="仿宋" w:hAnsi="仿宋" w:eastAsia="仿宋" w:cs="仿宋"/>
                <w:sz w:val="24"/>
              </w:rPr>
              <w:t xml:space="preserve">分)：符合实际切实可行得</w:t>
            </w:r>
            <w:r>
              <w:rPr>
                <w:rFonts w:hint="eastAsia" w:ascii="仿宋" w:hAnsi="仿宋" w:eastAsia="仿宋" w:cs="仿宋"/>
                <w:sz w:val="24"/>
                <w:lang w:val="en-US" w:eastAsia="zh-CN"/>
              </w:rPr>
              <w:t xml:space="preserve">5</w:t>
            </w:r>
            <w:r>
              <w:rPr>
                <w:rFonts w:hint="eastAsia" w:ascii="仿宋" w:hAnsi="仿宋" w:eastAsia="仿宋" w:cs="仿宋"/>
                <w:sz w:val="24"/>
              </w:rPr>
              <w:t xml:space="preserve">分；较切实可行得4分；可行性欠缺得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未提供的不得分。本项最高得</w:t>
            </w:r>
            <w:r>
              <w:rPr>
                <w:rFonts w:hint="eastAsia" w:ascii="仿宋" w:hAnsi="仿宋" w:eastAsia="仿宋" w:cs="仿宋"/>
                <w:sz w:val="24"/>
                <w:lang w:val="en-US" w:eastAsia="zh-CN"/>
              </w:rPr>
              <w:t xml:space="preserve">15</w:t>
            </w:r>
            <w:r>
              <w:rPr>
                <w:rFonts w:hint="eastAsia" w:ascii="仿宋" w:hAnsi="仿宋" w:eastAsia="仿宋" w:cs="仿宋"/>
                <w:sz w:val="24"/>
              </w:rPr>
              <w:t xml:space="preserve">分，最低得0分。</w:t>
            </w:r>
            <w:r/>
          </w:p>
        </w:tc>
      </w:tr>
      <w:tr>
        <w:trPr>
          <w:jc w:val="center"/>
          <w:trHeight w:val="2122"/>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lang w:val="en-US" w:eastAsia="zh-CN"/>
              </w:rPr>
              <w:t xml:space="preserve">质量保证方案</w:t>
            </w:r>
            <w:r>
              <w:rPr>
                <w:rFonts w:hint="eastAsia" w:ascii="仿宋" w:hAnsi="仿宋" w:eastAsia="仿宋" w:cs="仿宋"/>
                <w:sz w:val="24"/>
              </w:rPr>
              <w:t xml:space="preserve">（</w:t>
            </w:r>
            <w:r>
              <w:rPr>
                <w:rFonts w:hint="eastAsia" w:ascii="仿宋" w:hAnsi="仿宋" w:eastAsia="仿宋" w:cs="仿宋"/>
                <w:sz w:val="24"/>
                <w:lang w:val="en-US" w:eastAsia="zh-CN"/>
              </w:rPr>
              <w:t xml:space="preserve">10</w:t>
            </w:r>
            <w:r>
              <w:rPr>
                <w:rFonts w:hint="eastAsia" w:ascii="仿宋" w:hAnsi="仿宋" w:eastAsia="仿宋" w:cs="仿宋"/>
                <w:sz w:val="24"/>
              </w:rPr>
              <w:t xml:space="preserve">分）</w:t>
            </w:r>
            <w:r/>
          </w:p>
        </w:tc>
        <w:tc>
          <w:tcPr>
            <w:tcW w:w="7516" w:type="dxa"/>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lang w:eastAsia="zh-CN"/>
              </w:rPr>
              <w:t xml:space="preserve">根据各</w:t>
            </w:r>
            <w:r>
              <w:rPr>
                <w:rFonts w:hint="eastAsia" w:ascii="仿宋" w:hAnsi="仿宋" w:eastAsia="仿宋" w:cs="仿宋"/>
                <w:sz w:val="24"/>
                <w:lang w:val="en-US" w:eastAsia="zh-CN"/>
              </w:rPr>
              <w:t xml:space="preserve">投标人</w:t>
            </w:r>
            <w:r>
              <w:rPr>
                <w:rFonts w:hint="eastAsia" w:ascii="仿宋" w:hAnsi="仿宋" w:eastAsia="仿宋" w:cs="仿宋"/>
                <w:sz w:val="24"/>
                <w:lang w:eastAsia="zh-CN"/>
              </w:rPr>
              <w:t xml:space="preserve">的质量保证</w:t>
            </w:r>
            <w:r>
              <w:rPr>
                <w:rFonts w:hint="eastAsia" w:ascii="仿宋" w:hAnsi="仿宋" w:eastAsia="仿宋" w:cs="仿宋"/>
                <w:sz w:val="24"/>
                <w:lang w:val="en-US" w:eastAsia="zh-CN"/>
              </w:rPr>
              <w:t xml:space="preserve">方案</w:t>
            </w:r>
            <w:r>
              <w:rPr>
                <w:rFonts w:hint="eastAsia" w:ascii="仿宋" w:hAnsi="仿宋" w:eastAsia="仿宋" w:cs="仿宋"/>
                <w:sz w:val="24"/>
                <w:lang w:eastAsia="zh-CN"/>
              </w:rPr>
              <w:t xml:space="preserve">综合评审：</w:t>
            </w:r>
            <w:r/>
          </w:p>
          <w:p>
            <w:pPr>
              <w:rPr>
                <w:rFonts w:hint="eastAsia" w:ascii="仿宋" w:hAnsi="仿宋" w:eastAsia="仿宋" w:cs="仿宋"/>
                <w:sz w:val="24"/>
                <w:lang w:eastAsia="zh-CN"/>
              </w:rPr>
            </w:pPr>
            <w:r>
              <w:rPr>
                <w:rFonts w:hint="eastAsia" w:ascii="仿宋" w:hAnsi="仿宋" w:eastAsia="仿宋" w:cs="仿宋"/>
                <w:sz w:val="24"/>
                <w:lang w:eastAsia="zh-CN"/>
              </w:rPr>
              <w:t xml:space="preserve">投标人针对本项目提供详细、合理的</w:t>
            </w:r>
            <w:r>
              <w:rPr>
                <w:rFonts w:hint="eastAsia" w:ascii="仿宋" w:hAnsi="仿宋" w:eastAsia="仿宋" w:cs="仿宋"/>
                <w:sz w:val="24"/>
                <w:lang w:val="en-US" w:eastAsia="zh-CN"/>
              </w:rPr>
              <w:t xml:space="preserve">项目数据</w:t>
            </w:r>
            <w:r>
              <w:rPr>
                <w:rFonts w:hint="eastAsia" w:ascii="仿宋" w:hAnsi="仿宋" w:eastAsia="仿宋" w:cs="仿宋"/>
                <w:sz w:val="24"/>
                <w:lang w:eastAsia="zh-CN"/>
              </w:rPr>
              <w:t xml:space="preserve">质控方案</w:t>
            </w:r>
            <w:r>
              <w:rPr>
                <w:rFonts w:hint="eastAsia" w:ascii="仿宋" w:hAnsi="仿宋" w:eastAsia="仿宋" w:cs="仿宋"/>
                <w:sz w:val="24"/>
                <w:lang w:val="en-US" w:eastAsia="zh-CN"/>
              </w:rPr>
              <w:t xml:space="preserve">等</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提供的</w:t>
            </w:r>
            <w:r>
              <w:rPr>
                <w:rFonts w:hint="eastAsia" w:ascii="仿宋" w:hAnsi="仿宋" w:eastAsia="仿宋" w:cs="仿宋"/>
                <w:sz w:val="24"/>
                <w:lang w:eastAsia="zh-CN"/>
              </w:rPr>
              <w:t xml:space="preserve">方案安排合理细致、科学合理、容易操作</w:t>
            </w:r>
            <w:r>
              <w:rPr>
                <w:rFonts w:hint="eastAsia" w:ascii="仿宋" w:hAnsi="仿宋" w:eastAsia="仿宋" w:cs="仿宋"/>
                <w:sz w:val="24"/>
                <w:lang w:val="en-US" w:eastAsia="zh-CN"/>
              </w:rPr>
              <w:t xml:space="preserve">的</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得10分</w:t>
            </w:r>
            <w:r>
              <w:rPr>
                <w:rFonts w:hint="eastAsia" w:ascii="仿宋" w:hAnsi="仿宋" w:eastAsia="仿宋" w:cs="仿宋"/>
                <w:sz w:val="24"/>
                <w:lang w:eastAsia="zh-CN"/>
              </w:rPr>
              <w:t xml:space="preserve">；</w:t>
            </w:r>
            <w:r/>
          </w:p>
          <w:p>
            <w:pPr>
              <w:rPr>
                <w:rFonts w:hint="eastAsia" w:ascii="仿宋" w:hAnsi="仿宋" w:eastAsia="仿宋" w:cs="仿宋"/>
                <w:sz w:val="24"/>
                <w:lang w:eastAsia="zh-CN"/>
              </w:rPr>
            </w:pPr>
            <w:r>
              <w:rPr>
                <w:rFonts w:hint="eastAsia" w:ascii="仿宋" w:hAnsi="仿宋" w:eastAsia="仿宋" w:cs="仿宋"/>
                <w:sz w:val="24"/>
                <w:lang w:eastAsia="zh-CN"/>
              </w:rPr>
              <w:t xml:space="preserve">方案安排基本合理细致、较容易操作</w:t>
            </w:r>
            <w:r>
              <w:rPr>
                <w:rFonts w:hint="eastAsia" w:ascii="仿宋" w:hAnsi="仿宋" w:eastAsia="仿宋" w:cs="仿宋"/>
                <w:sz w:val="24"/>
                <w:lang w:val="en-US" w:eastAsia="zh-CN"/>
              </w:rPr>
              <w:t xml:space="preserve">的</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得7分</w:t>
            </w:r>
            <w:r>
              <w:rPr>
                <w:rFonts w:hint="eastAsia" w:ascii="仿宋" w:hAnsi="仿宋" w:eastAsia="仿宋" w:cs="仿宋"/>
                <w:sz w:val="24"/>
                <w:lang w:eastAsia="zh-CN"/>
              </w:rPr>
              <w:t xml:space="preserve">；</w:t>
            </w:r>
            <w:r/>
          </w:p>
          <w:p>
            <w:pPr>
              <w:rPr>
                <w:rFonts w:hint="eastAsia" w:ascii="仿宋" w:hAnsi="仿宋" w:eastAsia="仿宋" w:cs="仿宋"/>
                <w:sz w:val="24"/>
                <w:lang w:eastAsia="zh-CN"/>
              </w:rPr>
            </w:pPr>
            <w:r>
              <w:rPr>
                <w:rFonts w:hint="eastAsia" w:ascii="仿宋" w:hAnsi="仿宋" w:eastAsia="仿宋" w:cs="仿宋"/>
                <w:sz w:val="24"/>
                <w:lang w:eastAsia="zh-CN"/>
              </w:rPr>
              <w:t xml:space="preserve">不合理、操作不容易</w:t>
            </w:r>
            <w:r>
              <w:rPr>
                <w:rFonts w:hint="eastAsia" w:ascii="仿宋" w:hAnsi="仿宋" w:eastAsia="仿宋" w:cs="仿宋"/>
                <w:sz w:val="24"/>
                <w:lang w:val="en-US" w:eastAsia="zh-CN"/>
              </w:rPr>
              <w:t xml:space="preserve">的，得3分</w:t>
            </w:r>
            <w:r>
              <w:rPr>
                <w:rFonts w:hint="eastAsia" w:ascii="仿宋" w:hAnsi="仿宋" w:eastAsia="仿宋" w:cs="仿宋"/>
                <w:sz w:val="24"/>
                <w:lang w:eastAsia="zh-CN"/>
              </w:rPr>
              <w:t xml:space="preserve">。</w:t>
            </w:r>
            <w:r/>
          </w:p>
          <w:p>
            <w:pPr>
              <w:rPr>
                <w:rFonts w:hint="eastAsia" w:ascii="仿宋" w:hAnsi="仿宋" w:eastAsia="仿宋" w:cs="仿宋"/>
                <w:sz w:val="24"/>
              </w:rPr>
            </w:pPr>
            <w:r>
              <w:rPr>
                <w:rFonts w:hint="eastAsia" w:ascii="仿宋" w:hAnsi="仿宋" w:eastAsia="仿宋" w:cs="仿宋"/>
                <w:sz w:val="24"/>
              </w:rPr>
              <w:t xml:space="preserve">未提供不得分。</w:t>
            </w:r>
            <w:r/>
          </w:p>
        </w:tc>
      </w:tr>
      <w:tr>
        <w:trPr>
          <w:jc w:val="center"/>
          <w:trHeight w:val="458"/>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服务响应及应急方案（</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p>
          <w:p>
            <w:pPr>
              <w:jc w:val="center"/>
              <w:rPr>
                <w:rFonts w:hint="eastAsia" w:ascii="仿宋" w:hAnsi="仿宋" w:eastAsia="仿宋" w:cs="仿宋"/>
                <w:sz w:val="24"/>
              </w:rPr>
            </w:pPr>
            <w:r>
              <w:rPr>
                <w:rFonts w:hint="eastAsia" w:ascii="仿宋" w:hAnsi="仿宋" w:eastAsia="仿宋" w:cs="仿宋"/>
                <w:sz w:val="24"/>
              </w:rPr>
            </w:r>
            <w:r/>
          </w:p>
        </w:tc>
        <w:tc>
          <w:tcPr>
            <w:tcW w:w="7516"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根据投标人提供的服务响应能力、应急处理能力、服务及应急保障方案等内容进行打分：</w:t>
            </w:r>
            <w:r/>
          </w:p>
          <w:p>
            <w:pPr>
              <w:rPr>
                <w:rFonts w:hint="eastAsia" w:ascii="仿宋" w:hAnsi="仿宋" w:eastAsia="仿宋" w:cs="仿宋"/>
                <w:sz w:val="24"/>
              </w:rPr>
            </w:pPr>
            <w:r>
              <w:rPr>
                <w:rFonts w:hint="eastAsia" w:ascii="仿宋" w:hAnsi="仿宋" w:eastAsia="仿宋" w:cs="仿宋"/>
                <w:sz w:val="24"/>
              </w:rPr>
              <w:t xml:space="preserve">服务响应及应急方案科学性强、可行性强和完整性高的，得</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服务响应及应急方案科学性较强、可行性较强和完整性较高的，得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服务响应及应急方案科学性、可行性和完整性一般的，得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未提供不得分。</w:t>
            </w:r>
            <w:r/>
          </w:p>
        </w:tc>
      </w:tr>
      <w:tr>
        <w:trPr>
          <w:jc w:val="center"/>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lang w:val="en-US" w:eastAsia="zh-CN"/>
              </w:rPr>
              <w:t xml:space="preserve">培训方案</w:t>
            </w:r>
            <w:r>
              <w:rPr>
                <w:rFonts w:hint="eastAsia" w:ascii="仿宋" w:hAnsi="仿宋" w:eastAsia="仿宋" w:cs="仿宋"/>
                <w:sz w:val="24"/>
              </w:rPr>
              <w:t xml:space="preserve">（</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p>
        </w:tc>
        <w:tc>
          <w:tcPr>
            <w:tcW w:w="7516" w:type="dxa"/>
            <w:vAlign w:val="center"/>
            <w:textDirection w:val="lrTb"/>
            <w:noWrap w:val="false"/>
          </w:tcPr>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根据各投标人的运维人员培训方案综合评审：投标人提供的运维人员培训方案。</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方案可行性强和完整性高的，得4分；</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方案可行性较强和完整性较高的，得2分；</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方案可行性和完整性一般或较差的，得1分。</w:t>
            </w:r>
            <w:r/>
          </w:p>
          <w:p>
            <w:pPr>
              <w:rPr>
                <w:rFonts w:hint="eastAsia" w:ascii="仿宋" w:hAnsi="仿宋" w:eastAsia="仿宋" w:cs="仿宋"/>
                <w:sz w:val="24"/>
                <w:lang w:val="en-US" w:eastAsia="zh-CN"/>
              </w:rPr>
            </w:pPr>
            <w:r>
              <w:rPr>
                <w:rFonts w:hint="eastAsia" w:ascii="仿宋" w:hAnsi="仿宋" w:eastAsia="仿宋" w:cs="仿宋"/>
                <w:sz w:val="24"/>
              </w:rPr>
              <w:t xml:space="preserve">未提供不得分。</w:t>
            </w:r>
            <w:r/>
          </w:p>
        </w:tc>
      </w:tr>
    </w:tbl>
    <w:p>
      <w:pPr>
        <w:pStyle w:val="1031"/>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本章说明：本项目采用综合评分法，保留小数</w:t>
      </w:r>
      <w:r>
        <w:rPr>
          <w:rFonts w:hint="eastAsia" w:ascii="宋体" w:hAnsi="宋体" w:eastAsia="宋体" w:cs="宋体"/>
          <w:color w:val="auto"/>
          <w:sz w:val="24"/>
          <w:lang w:val="en-US" w:eastAsia="zh-CN"/>
        </w:rPr>
        <w:t xml:space="preserve">点后</w:t>
      </w:r>
      <w:r>
        <w:rPr>
          <w:rFonts w:hint="eastAsia" w:ascii="宋体" w:hAnsi="宋体" w:eastAsia="宋体" w:cs="宋体"/>
          <w:color w:val="auto"/>
          <w:sz w:val="24"/>
        </w:rPr>
        <w:t xml:space="preserve">2位</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四舍五入</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第五章 拟签订的合同文本</w:t>
      </w:r>
      <w:r/>
    </w:p>
    <w:p>
      <w:pPr>
        <w:rPr>
          <w:rFonts w:hint="eastAsia" w:ascii="宋体" w:hAnsi="宋体" w:eastAsia="宋体" w:cs="宋体"/>
          <w:b/>
          <w:color w:val="auto"/>
          <w:sz w:val="52"/>
          <w:szCs w:val="36"/>
        </w:rPr>
      </w:pPr>
      <w:r>
        <w:rPr>
          <w:rFonts w:hint="eastAsia" w:ascii="宋体" w:hAnsi="宋体" w:eastAsia="宋体" w:cs="宋体"/>
          <w:b/>
          <w:color w:val="auto"/>
          <w:sz w:val="52"/>
          <w:szCs w:val="36"/>
        </w:rPr>
      </w:r>
      <w:r/>
    </w:p>
    <w:p>
      <w:pPr>
        <w:jc w:val="center"/>
        <w:rPr>
          <w:rFonts w:hint="eastAsia" w:ascii="宋体" w:hAnsi="宋体" w:eastAsia="宋体" w:cs="宋体"/>
          <w:bCs/>
          <w:color w:val="auto"/>
          <w:sz w:val="72"/>
          <w:szCs w:val="72"/>
        </w:rPr>
      </w:pPr>
      <w:r>
        <w:rPr>
          <w:rFonts w:hint="eastAsia" w:ascii="宋体" w:hAnsi="宋体" w:eastAsia="宋体" w:cs="宋体"/>
          <w:bCs/>
          <w:color w:val="auto"/>
          <w:sz w:val="72"/>
          <w:szCs w:val="72"/>
        </w:rPr>
        <w:t xml:space="preserve">政 府 采 购 合 同</w:t>
      </w:r>
      <w:r/>
    </w:p>
    <w:p>
      <w:pPr>
        <w:jc w:val="left"/>
        <w:rPr>
          <w:rFonts w:hint="eastAsia" w:ascii="宋体" w:hAnsi="宋体" w:eastAsia="宋体" w:cs="宋体"/>
          <w:bCs/>
          <w:color w:val="auto"/>
          <w:sz w:val="36"/>
          <w:szCs w:val="36"/>
        </w:rPr>
      </w:pPr>
      <w:r>
        <w:rPr>
          <w:rFonts w:hint="eastAsia" w:ascii="宋体" w:hAnsi="宋体" w:eastAsia="宋体" w:cs="宋体"/>
          <w:bCs/>
          <w:color w:val="auto"/>
          <w:sz w:val="36"/>
          <w:szCs w:val="36"/>
        </w:rPr>
      </w:r>
      <w:r/>
    </w:p>
    <w:p>
      <w:pPr>
        <w:jc w:val="left"/>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left"/>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left"/>
        <w:rPr>
          <w:rFonts w:hint="eastAsia" w:ascii="宋体" w:hAnsi="宋体" w:eastAsia="宋体" w:cs="宋体"/>
          <w:bCs/>
          <w:color w:val="auto"/>
          <w:sz w:val="30"/>
          <w:szCs w:val="30"/>
          <w:lang w:eastAsia="zh-CN"/>
        </w:rPr>
      </w:pPr>
      <w:r>
        <w:rPr>
          <w:rFonts w:hint="eastAsia" w:ascii="宋体" w:hAnsi="宋体" w:eastAsia="宋体" w:cs="宋体"/>
          <w:bCs/>
          <w:color w:val="auto"/>
          <w:sz w:val="30"/>
          <w:szCs w:val="30"/>
        </w:rPr>
        <w:t xml:space="preserve">项目编号：</w:t>
      </w:r>
      <w:r>
        <w:rPr>
          <w:rFonts w:hint="eastAsia" w:ascii="宋体" w:hAnsi="宋体" w:cs="宋体"/>
          <w:bCs/>
          <w:color w:val="auto"/>
          <w:sz w:val="30"/>
          <w:szCs w:val="30"/>
          <w:lang w:eastAsia="zh-CN"/>
        </w:rPr>
        <w:t xml:space="preserve">JSZC-320382325-ZJZB-G2026-0066</w:t>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t xml:space="preserve">项目名称：</w:t>
      </w:r>
      <w:r>
        <w:rPr>
          <w:rFonts w:hint="eastAsia" w:ascii="宋体" w:hAnsi="宋体" w:cs="宋体"/>
          <w:bCs/>
          <w:color w:val="auto"/>
          <w:sz w:val="30"/>
          <w:szCs w:val="30"/>
          <w:lang w:eastAsia="zh-CN"/>
        </w:rPr>
        <w:t xml:space="preserve">邳州经济开发区环保监测系统运行维护服务</w:t>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lang w:eastAsia="zh-CN"/>
        </w:rPr>
      </w:pPr>
      <w:r>
        <w:rPr>
          <w:rFonts w:hint="eastAsia" w:ascii="宋体" w:hAnsi="宋体" w:eastAsia="宋体" w:cs="宋体"/>
          <w:bCs/>
          <w:color w:val="auto"/>
          <w:sz w:val="30"/>
          <w:szCs w:val="30"/>
        </w:rPr>
        <w:t xml:space="preserve">采购单位（甲方）：</w:t>
      </w:r>
      <w:r>
        <w:rPr>
          <w:rFonts w:hint="eastAsia" w:ascii="宋体" w:hAnsi="宋体" w:cs="宋体"/>
          <w:bCs/>
          <w:color w:val="auto"/>
          <w:sz w:val="30"/>
          <w:szCs w:val="30"/>
          <w:lang w:eastAsia="zh-CN"/>
        </w:rPr>
        <w:t xml:space="preserve">江苏邳州经济开发区管理委员会</w:t>
      </w:r>
      <w:r/>
    </w:p>
    <w:p>
      <w:pPr>
        <w:ind w:firstLine="630"/>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t xml:space="preserve">中标供应商（乙方）：</w:t>
      </w:r>
      <w:r/>
    </w:p>
    <w:p>
      <w:pPr>
        <w:ind w:firstLine="630"/>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t xml:space="preserve">签订日期：    年  月  日</w:t>
      </w:r>
      <w:r/>
    </w:p>
    <w:p>
      <w:pPr>
        <w:rPr>
          <w:rFonts w:hint="eastAsia" w:ascii="宋体" w:hAnsi="宋体" w:eastAsia="宋体" w:cs="宋体"/>
          <w:bCs/>
          <w:color w:val="auto"/>
          <w:sz w:val="24"/>
        </w:rPr>
      </w:pPr>
      <w:r>
        <w:rPr>
          <w:rFonts w:hint="eastAsia" w:ascii="宋体" w:hAnsi="宋体" w:eastAsia="宋体" w:cs="宋体"/>
          <w:bCs/>
          <w:color w:val="auto"/>
          <w:sz w:val="24"/>
        </w:rPr>
      </w:r>
      <w:r/>
    </w:p>
    <w:p>
      <w:pPr>
        <w:pStyle w:val="1221"/>
        <w:ind w:left="0" w:right="0"/>
        <w:spacing w:after="0"/>
        <w:rPr>
          <w:rFonts w:hint="eastAsia" w:ascii="宋体" w:hAnsi="宋体" w:eastAsia="宋体" w:cs="宋体"/>
          <w:bCs/>
          <w:color w:val="auto"/>
          <w:sz w:val="24"/>
        </w:rPr>
      </w:pPr>
      <w:r>
        <w:rPr>
          <w:rFonts w:hint="eastAsia" w:ascii="宋体" w:hAnsi="宋体" w:eastAsia="宋体" w:cs="宋体"/>
          <w:bCs/>
          <w:color w:val="auto"/>
          <w:sz w:val="24"/>
        </w:rPr>
      </w:r>
      <w:r/>
    </w:p>
    <w:p>
      <w:pPr>
        <w:pStyle w:val="1221"/>
        <w:ind w:left="0" w:right="0"/>
        <w:spacing w:after="0"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友情提醒：采购人与中标，成交供应商应当在中标通知书发出之日起30日内，按照采购文件确定的事项签订政府采购合同。</w:t>
      </w:r>
      <w:r/>
    </w:p>
    <w:p>
      <w:pPr>
        <w:pStyle w:val="1221"/>
        <w:ind w:left="0" w:right="0"/>
        <w:spacing w:after="0"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采购人应当自政府采购合同签订之日起2个工作日内，将政府采购合同在省级及以上人民政府财政部门指定的媒体上公告，但政府采购合同中涉及国家秘密、商业秘密的内容除外。</w:t>
      </w:r>
      <w:r/>
    </w:p>
    <w:p>
      <w:pPr>
        <w:ind w:firstLine="643"/>
        <w:jc w:val="center"/>
        <w:spacing w:line="560" w:lineRule="exact"/>
        <w:widowControl/>
        <w:rPr>
          <w:rFonts w:eastAsia="方正黑体_GBK"/>
          <w:b/>
          <w:bCs/>
          <w:sz w:val="32"/>
          <w:szCs w:val="32"/>
        </w:rPr>
      </w:pPr>
      <w:r>
        <w:rPr>
          <w:rFonts w:eastAsia="方正黑体_GBK"/>
          <w:b/>
          <w:bCs/>
          <w:sz w:val="32"/>
          <w:szCs w:val="32"/>
        </w:rPr>
      </w:r>
      <w:r/>
    </w:p>
    <w:p>
      <w:pPr>
        <w:ind w:firstLine="643"/>
        <w:jc w:val="center"/>
        <w:spacing w:line="560" w:lineRule="exact"/>
        <w:widowControl/>
        <w:rPr>
          <w:rFonts w:eastAsia="方正黑体_GBK"/>
          <w:b/>
          <w:bCs/>
          <w:sz w:val="32"/>
          <w:szCs w:val="32"/>
          <w:highlight w:val="yellow"/>
        </w:rPr>
      </w:pPr>
      <w:r>
        <w:rPr>
          <w:rFonts w:eastAsia="方正黑体_GBK"/>
          <w:b/>
          <w:bCs/>
          <w:sz w:val="32"/>
          <w:szCs w:val="32"/>
        </w:rPr>
        <w:t xml:space="preserve">合同文本</w:t>
      </w:r>
      <w:r/>
    </w:p>
    <w:p>
      <w:pPr>
        <w:ind w:firstLine="560"/>
        <w:jc w:val="both"/>
        <w:pageBreakBefore w:val="0"/>
        <w:spacing w:line="400" w:lineRule="exac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甲方（采购人）：</w:t>
      </w:r>
      <w:r>
        <w:rPr>
          <w:rFonts w:hint="eastAsia" w:ascii="宋体" w:hAnsi="宋体" w:eastAsia="宋体" w:cs="宋体"/>
          <w:color w:val="auto"/>
          <w:sz w:val="24"/>
          <w:szCs w:val="24"/>
          <w:highlight w:val="none"/>
          <w:lang w:val="en-US" w:eastAsia="zh-CN"/>
        </w:rPr>
        <w:t xml:space="preserve">江苏省邳州高新技术产业开发区管理委员会</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乙方（供应商）：</w:t>
      </w:r>
      <w:r>
        <w:rPr>
          <w:rFonts w:hint="eastAsia" w:ascii="宋体" w:hAnsi="宋体" w:eastAsia="宋体" w:cs="宋体"/>
          <w:color w:val="auto"/>
          <w:sz w:val="24"/>
          <w:szCs w:val="24"/>
          <w:highlight w:val="none"/>
          <w:u w:val="single"/>
        </w:rPr>
        <w:t xml:space="preserve">                </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p>
    <w:p>
      <w:pPr>
        <w:ind w:firstLine="480"/>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根据《中华人民共和国政府采购法》、《中华人民共和国民法典》及相关法律、行政法规规定，本着自愿、平等、公平、诚信原则，甲乙双方就合同采购事项，签署本合同。</w:t>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合同文件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下列与本次采购活动有关的文件及附件是本合同不可分割的组成部分，与本合同具有同等法律效力，这些文件包括但不限于：</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）项目招标采购文件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1.2投标文件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1.3乙方在投标时的书面承诺</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）项目中标通知书</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1.5合同补充条款或说明</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1.6保密协议或条款</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1.7相关附件、图纸及电子版资料</w:t>
      </w:r>
      <w:r/>
    </w:p>
    <w:p>
      <w:pPr>
        <w:numPr>
          <w:ilvl w:val="0"/>
          <w:numId w:val="0"/>
        </w:numPr>
        <w:ind w:firstLine="482"/>
        <w:jc w:val="both"/>
        <w:pageBreakBefore w:val="0"/>
        <w:spacing w:line="400" w:lineRule="exac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2.合同内容</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2.1服务期限：</w:t>
      </w:r>
      <w:r>
        <w:rPr>
          <w:rFonts w:hint="eastAsia" w:ascii="宋体" w:hAnsi="宋体" w:eastAsia="宋体" w:cs="宋体"/>
          <w:color w:val="auto"/>
          <w:sz w:val="24"/>
          <w:szCs w:val="24"/>
          <w:highlight w:val="none"/>
          <w:lang w:val="en-US" w:eastAsia="zh-CN"/>
        </w:rPr>
        <w:t xml:space="preserve">1年</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lang w:val="en-US" w:eastAsia="zh-CN"/>
        </w:rPr>
        <w:t xml:space="preserve">2026年</w:t>
      </w:r>
      <w:r>
        <w:rPr>
          <w:rFonts w:hint="eastAsia" w:ascii="宋体" w:hAnsi="宋体" w:eastAsia="宋体" w:cs="宋体"/>
          <w:color w:val="auto"/>
          <w:sz w:val="24"/>
          <w:szCs w:val="24"/>
          <w:highlight w:val="none"/>
        </w:rPr>
        <w:t xml:space="preserve">  月 日 至 </w:t>
      </w:r>
      <w:r>
        <w:rPr>
          <w:rFonts w:hint="eastAsia" w:ascii="宋体" w:hAnsi="宋体" w:eastAsia="宋体" w:cs="宋体"/>
          <w:color w:val="auto"/>
          <w:sz w:val="24"/>
          <w:szCs w:val="24"/>
          <w:highlight w:val="none"/>
          <w:lang w:val="en-US" w:eastAsia="zh-CN"/>
        </w:rPr>
        <w:t xml:space="preserve">2027</w:t>
      </w:r>
      <w:r>
        <w:rPr>
          <w:rFonts w:hint="eastAsia" w:ascii="宋体" w:hAnsi="宋体" w:eastAsia="宋体" w:cs="宋体"/>
          <w:color w:val="auto"/>
          <w:sz w:val="24"/>
          <w:szCs w:val="24"/>
          <w:highlight w:val="none"/>
        </w:rPr>
        <w:t xml:space="preserve">年 月 日。</w:t>
      </w:r>
      <w:r/>
    </w:p>
    <w:p>
      <w:pPr>
        <w:ind w:firstLine="480"/>
        <w:jc w:val="both"/>
        <w:pageBreakBefore w:val="0"/>
        <w:spacing w:line="40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2.2服务内容：</w:t>
      </w:r>
      <w:r>
        <w:rPr>
          <w:rFonts w:hint="eastAsia" w:ascii="宋体" w:hAnsi="宋体" w:eastAsia="宋体" w:cs="宋体"/>
          <w:color w:val="auto"/>
          <w:sz w:val="24"/>
          <w:szCs w:val="24"/>
          <w:highlight w:val="none"/>
          <w:lang w:val="en-US" w:eastAsia="zh-CN"/>
        </w:rPr>
        <w:t xml:space="preserve">对2套地表水站、2套环境空气站、2套VOCs监测站、58套限值限量监测监控系统微站等进行</w:t>
      </w:r>
      <w:r>
        <w:rPr>
          <w:rFonts w:hint="eastAsia" w:ascii="宋体" w:hAnsi="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lang w:val="en-US" w:eastAsia="zh-CN"/>
        </w:rPr>
        <w:t xml:space="preserve">及管理，保证设备稳定运行；提供24小时</w:t>
      </w:r>
      <w:r>
        <w:rPr>
          <w:rFonts w:hint="eastAsia" w:ascii="宋体" w:hAnsi="宋体" w:cs="宋体"/>
          <w:color w:val="auto"/>
          <w:sz w:val="24"/>
          <w:szCs w:val="24"/>
          <w:highlight w:val="none"/>
          <w:lang w:val="en-US" w:eastAsia="zh-CN"/>
        </w:rPr>
        <w:t xml:space="preserve">应急响应服务</w:t>
      </w:r>
      <w:r>
        <w:rPr>
          <w:rFonts w:hint="eastAsia" w:ascii="宋体" w:hAnsi="宋体" w:eastAsia="宋体" w:cs="宋体"/>
          <w:color w:val="auto"/>
          <w:sz w:val="24"/>
          <w:szCs w:val="24"/>
          <w:highlight w:val="none"/>
          <w:lang w:val="en-US" w:eastAsia="zh-CN"/>
        </w:rPr>
        <w:t xml:space="preserve">，为期一年。</w:t>
      </w:r>
      <w:r/>
    </w:p>
    <w:p>
      <w:pPr>
        <w:ind w:firstLine="480"/>
        <w:jc w:val="both"/>
        <w:pageBreakBefore w:val="0"/>
        <w:spacing w:line="40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left="420" w:firstLine="482"/>
        <w:jc w:val="center"/>
        <w:pageBreakBefore w:val="0"/>
        <w:spacing w:before="210" w:after="120" w:line="400" w:lineRule="exact"/>
        <w:rPr>
          <w:rFonts w:hint="eastAsia" w:ascii="宋体" w:hAnsi="宋体" w:eastAsia="宋体" w:cs="宋体"/>
          <w:b/>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szCs w:val="24"/>
          <w:highlight w:val="none"/>
        </w:rPr>
      </w:r>
      <w:r/>
    </w:p>
    <w:p>
      <w:pPr>
        <w:ind w:left="420" w:firstLine="482"/>
        <w:jc w:val="center"/>
        <w:pageBreakBefore w:val="0"/>
        <w:spacing w:before="210" w:after="120" w:line="400" w:lineRule="exact"/>
        <w:rPr>
          <w:rFonts w:hint="eastAsia" w:ascii="宋体" w:hAnsi="宋体" w:eastAsia="宋体" w:cs="宋体"/>
          <w:b/>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szCs w:val="24"/>
          <w:highlight w:val="none"/>
        </w:rPr>
      </w:r>
      <w:r/>
    </w:p>
    <w:p>
      <w:pPr>
        <w:ind w:left="420" w:firstLine="482"/>
        <w:jc w:val="center"/>
        <w:pageBreakBefore w:val="0"/>
        <w:spacing w:before="210" w:after="120" w:line="40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left="420" w:firstLine="482"/>
        <w:jc w:val="center"/>
        <w:pageBreakBefore w:val="0"/>
        <w:spacing w:before="210" w:after="120" w:line="40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left="420" w:firstLine="482"/>
        <w:jc w:val="center"/>
        <w:pageBreakBefore w:val="0"/>
        <w:spacing w:before="210" w:after="120" w:line="40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ectPr>
          <w:headerReference w:type="first" r:id="rId9"/>
          <w:footerReference w:type="default" r:id="rId14"/>
          <w:footerReference w:type="first" r:id="rId15"/>
          <w:footnotePr/>
          <w:endnotePr/>
          <w:type w:val="nextPage"/>
          <w:pgSz w:w="11906" w:h="16838" w:orient="portrait"/>
          <w:pgMar w:top="1814" w:right="1531" w:bottom="1984" w:left="1531" w:header="851" w:footer="992" w:gutter="0"/>
          <w:cols w:num="1" w:sep="0" w:space="1701" w:equalWidth="1"/>
          <w:docGrid w:linePitch="360"/>
          <w:titlePg/>
        </w:sectPr>
      </w:pPr>
      <w:r>
        <w:rPr>
          <w:rFonts w:hint="eastAsia" w:ascii="宋体" w:hAnsi="宋体" w:eastAsia="宋体" w:cs="宋体"/>
          <w:b/>
          <w:color w:val="auto"/>
          <w:sz w:val="24"/>
          <w:szCs w:val="24"/>
          <w:highlight w:val="none"/>
        </w:rPr>
      </w:r>
      <w:r/>
    </w:p>
    <w:p>
      <w:pPr>
        <w:ind w:left="420" w:firstLine="482"/>
        <w:jc w:val="center"/>
        <w:pageBreakBefore w:val="0"/>
        <w:spacing w:before="210" w:after="120" w:line="400" w:lineRule="exact"/>
        <w:rPr>
          <w:rFonts w:hint="default" w:ascii="宋体" w:hAnsi="宋体" w:eastAsia="宋体" w:cs="宋体"/>
          <w:b/>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表1 </w:t>
      </w:r>
      <w:r>
        <w:rPr>
          <w:rFonts w:hint="eastAsia" w:ascii="宋体" w:hAnsi="宋体" w:cs="宋体"/>
          <w:b/>
          <w:color w:val="auto"/>
          <w:sz w:val="24"/>
          <w:szCs w:val="24"/>
          <w:highlight w:val="none"/>
          <w:lang w:val="en-US" w:eastAsia="zh-CN"/>
        </w:rPr>
        <w:t xml:space="preserve">现有站房</w:t>
      </w:r>
      <w:r>
        <w:rPr>
          <w:rFonts w:hint="eastAsia" w:ascii="宋体" w:hAnsi="宋体" w:eastAsia="宋体" w:cs="宋体"/>
          <w:b/>
          <w:color w:val="auto"/>
          <w:sz w:val="24"/>
          <w:szCs w:val="24"/>
          <w:highlight w:val="none"/>
          <w:lang w:val="en-US" w:eastAsia="zh-CN"/>
        </w:rPr>
        <w:t xml:space="preserve">设备品牌及型号</w:t>
      </w:r>
      <w:r>
        <w:rPr>
          <w:rFonts w:hint="eastAsia" w:ascii="宋体" w:hAnsi="宋体" w:cs="宋体"/>
          <w:b/>
          <w:color w:val="auto"/>
          <w:sz w:val="24"/>
          <w:szCs w:val="24"/>
          <w:highlight w:val="none"/>
          <w:lang w:val="en-US" w:eastAsia="zh-CN"/>
        </w:rPr>
        <w:t xml:space="preserve">一览表</w:t>
      </w:r>
      <w:r/>
    </w:p>
    <w:p>
      <w:pPr>
        <w:ind w:firstLine="482"/>
        <w:spacing w:line="480" w:lineRule="exact"/>
        <w:rPr>
          <w:b/>
          <w:bCs/>
          <w:color w:val="auto"/>
          <w:sz w:val="24"/>
          <w:highlight w:val="yellow"/>
        </w:rPr>
        <w:outlineLvl w:val="0"/>
      </w:pPr>
      <w:r>
        <w:rPr>
          <w:b/>
          <w:bCs/>
          <w:color w:val="auto"/>
          <w:sz w:val="24"/>
          <w:highlight w:val="yellow"/>
        </w:rPr>
      </w:r>
      <w:r/>
    </w:p>
    <w:tbl>
      <w:tblPr>
        <w:tblStyle w:val="1026"/>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1"/>
        <w:gridCol w:w="1251"/>
        <w:gridCol w:w="3857"/>
        <w:gridCol w:w="2079"/>
        <w:gridCol w:w="616"/>
        <w:gridCol w:w="606"/>
      </w:tblGrid>
      <w:tr>
        <w:trPr>
          <w:jc w:val="center"/>
          <w:trHeight w:val="90"/>
          <w:tblHeader/>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站点名称</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设备内容</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品牌型号</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地表水站</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高锰酸盐指数在线分析仪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氨氮在线分析仪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河北先河/凌恒</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五参数分析仪(水温和PH分析仪、溶解氧分析仪、电导率分析仪、浊度NZD3000)</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三泽</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加标仪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凌恒LH-CYQ01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总磷</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泽天WDet-5000 TP</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总氮分析仪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泽天WDct-5000 TN</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挥发酚分析仪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泽天WDet-5000 VPC</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多普勒流量计</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站房(含空调、灯具、UPS、数据采集传输设备、避雷系统、灭火装置等)</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环境空气站</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SO</w:t>
            </w:r>
            <w:r>
              <w:rPr>
                <w:rStyle w:val="1257"/>
                <w:rFonts w:ascii="宋体" w:eastAsia="宋体"/>
                <w:sz w:val="24"/>
                <w:lang w:val="en-US" w:eastAsia="zh-CN" w:bidi="ar"/>
              </w:rPr>
              <w:t xml:space="preserve">₂</w:t>
            </w:r>
            <w:r>
              <w:rPr>
                <w:rFonts w:hint="eastAsia" w:ascii="宋体" w:hAnsi="宋体" w:eastAsia="宋体" w:cs="宋体"/>
                <w:i w:val="0"/>
                <w:iCs w:val="0"/>
                <w:color w:val="000000"/>
                <w:sz w:val="24"/>
                <w:szCs w:val="24"/>
                <w:u w:val="none"/>
                <w:lang w:val="en-US" w:eastAsia="zh-CN" w:bidi="ar"/>
              </w:rPr>
              <w:t xml:space="preserve">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法国ESA/泽天</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NO</w:t>
            </w:r>
            <w:r>
              <w:rPr>
                <w:rStyle w:val="1257"/>
                <w:rFonts w:ascii="宋体" w:eastAsia="宋体"/>
                <w:sz w:val="24"/>
                <w:lang w:val="en-US" w:eastAsia="zh-CN" w:bidi="ar"/>
              </w:rPr>
              <w:t xml:space="preserve">₂</w:t>
            </w:r>
            <w:r>
              <w:rPr>
                <w:rFonts w:hint="eastAsia" w:ascii="宋体" w:hAnsi="宋体" w:eastAsia="宋体" w:cs="宋体"/>
                <w:i w:val="0"/>
                <w:iCs w:val="0"/>
                <w:color w:val="000000"/>
                <w:sz w:val="24"/>
                <w:szCs w:val="24"/>
                <w:u w:val="none"/>
                <w:lang w:val="en-US" w:eastAsia="zh-CN" w:bidi="ar"/>
              </w:rPr>
              <w:t xml:space="preserve">/NOx分析仪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法国ESA/泽天</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臭氧分析仪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动态校准仪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零气发生器</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法国ESA/泽天</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PM10分析仪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PM2.5分析仪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氯化氢分析仪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英国Protea AtmosFIR/青岛和诚</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气象五参数</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云创一体式气象传感器FWS500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站房(含空调、灯具、摄像头、避雷系统、灭火装置)</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bCs/>
                <w:color w:val="000000"/>
                <w:sz w:val="24"/>
                <w:highlight w:val="none"/>
              </w:rPr>
              <w:t xml:space="preserve">VOCs</w:t>
            </w:r>
            <w:r>
              <w:rPr>
                <w:rFonts w:hint="eastAsia"/>
                <w:bCs/>
                <w:color w:val="000000"/>
                <w:sz w:val="24"/>
                <w:highlight w:val="none"/>
              </w:rPr>
              <w:t xml:space="preserve">监测站</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挥发性有机物在线分析仪</w:t>
            </w:r>
            <w:r/>
          </w:p>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(质谱法)</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泽天PAMS-100P</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lang w:val="en-US" w:eastAsia="zh-CN" w:bidi="ar-SA"/>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限值限量监测设备</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气体常规六参数、VOCs</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先河环保XHAQSN-812系列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9060" w:type="dxa"/>
            <w:vAlign w:val="center"/>
            <w:textDirection w:val="lrTb"/>
            <w:noWrap w:val="false"/>
          </w:tcPr>
          <w:p>
            <w:pPr>
              <w:ind w:left="0" w:right="0" w:firstLine="0"/>
              <w:jc w:val="both"/>
              <w:rPr>
                <w:rFonts w:hint="default" w:eastAsia="宋体"/>
                <w:bCs/>
                <w:color w:val="000000"/>
                <w:sz w:val="24"/>
                <w:highlight w:val="none"/>
                <w:lang w:val="en-US" w:eastAsia="zh-CN"/>
              </w:rPr>
            </w:pPr>
            <w:r>
              <w:rPr>
                <w:rFonts w:hint="eastAsia"/>
                <w:b/>
                <w:bCs w:val="0"/>
                <w:color w:val="000000"/>
                <w:sz w:val="24"/>
                <w:highlight w:val="none"/>
                <w:lang w:val="en-US" w:eastAsia="zh-CN"/>
              </w:rPr>
              <w:t xml:space="preserve">服务期内，上述站点需同步提供备品备件、耗材试剂、设备巡检标定及维修配套服务。</w:t>
            </w:r>
            <w:r/>
          </w:p>
        </w:tc>
      </w:tr>
    </w:tbl>
    <w:p>
      <w:pPr>
        <w:rPr>
          <w:b/>
          <w:bCs/>
          <w:color w:val="000000"/>
          <w:sz w:val="24"/>
          <w:highlight w:val="none"/>
        </w:rPr>
      </w:pPr>
      <w:r>
        <w:rPr>
          <w:b/>
          <w:bCs/>
          <w:color w:val="000000"/>
          <w:sz w:val="24"/>
          <w:highlight w:val="none"/>
        </w:rPr>
        <w:br w:type="page" w:clear="all"/>
      </w:r>
      <w:r/>
    </w:p>
    <w:p>
      <w:pPr>
        <w:ind w:firstLine="482"/>
        <w:jc w:val="left"/>
        <w:spacing w:line="360" w:lineRule="auto"/>
        <w:widowControl/>
        <w:rPr>
          <w:b/>
          <w:bCs/>
          <w:color w:val="000000"/>
          <w:sz w:val="24"/>
          <w:highlight w:val="none"/>
        </w:rPr>
        <w:sectPr>
          <w:footnotePr/>
          <w:endnotePr/>
          <w:type w:val="nextPage"/>
          <w:pgSz w:w="11906" w:h="16838" w:orient="portrait"/>
          <w:pgMar w:top="1814" w:right="1531" w:bottom="1984" w:left="1531" w:header="851" w:footer="992" w:gutter="0"/>
          <w:cols w:num="1" w:sep="0" w:space="1701" w:equalWidth="1"/>
          <w:docGrid w:linePitch="360"/>
          <w:titlePg/>
        </w:sectPr>
      </w:pPr>
      <w:r>
        <w:rPr>
          <w:b/>
          <w:bCs/>
          <w:color w:val="000000"/>
          <w:sz w:val="24"/>
          <w:highlight w:val="none"/>
        </w:rPr>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合同总金额</w:t>
      </w:r>
      <w:r/>
    </w:p>
    <w:p>
      <w:pPr>
        <w:ind w:firstLine="480"/>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3.1本合同服务总金额：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万元</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rPr>
        <w:t xml:space="preserve">。</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.2乙方向甲方提交下列文件材料，经甲方审核无误后支付采购资金：</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.2.1 经甲方确认的发票；</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.2.2 经甲乙双方确认签订的《验收报告》（或按项目进度阶段性《验收报告》）；</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.2.3 其他材料。</w:t>
      </w:r>
      <w:r/>
    </w:p>
    <w:p>
      <w:pPr>
        <w:ind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right="88" w:firstLine="482"/>
        <w:jc w:val="both"/>
        <w:pageBreakBefore w:val="0"/>
        <w:spacing w:after="200" w:line="40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付款方式一：提交预付款保函的</w:t>
      </w:r>
      <w:r/>
    </w:p>
    <w:p>
      <w:pPr>
        <w:ind w:right="88" w:firstLine="480"/>
        <w:jc w:val="both"/>
        <w:pageBreakBefore w:val="0"/>
        <w:spacing w:after="200" w:line="400" w:lineRule="exact"/>
        <w:rPr>
          <w:rFonts w:hint="eastAsia" w:ascii="宋体" w:hAnsi="宋体" w:eastAsia="宋体" w:cs="宋体"/>
          <w:color w:val="auto"/>
          <w:sz w:val="24"/>
          <w:szCs w:val="24"/>
          <w:highlight w:val="none"/>
          <w:lang w:val="en-AU"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合同价款的百分之</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0%)即￥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lang w:val="en-AU" w:eastAsia="zh-CN"/>
        </w:rPr>
        <w:t xml:space="preserve">在双方签订合同后</w:t>
      </w:r>
      <w:bookmarkStart w:id="3" w:name="OLE_LINK1"/>
      <w:r>
        <w:rPr>
          <w:rFonts w:hint="eastAsia" w:ascii="宋体" w:hAnsi="宋体" w:eastAsia="宋体" w:cs="宋体"/>
          <w:color w:val="auto"/>
          <w:sz w:val="24"/>
          <w:szCs w:val="24"/>
          <w:highlight w:val="none"/>
          <w:lang w:val="en-AU" w:eastAsia="zh-CN"/>
        </w:rPr>
        <w:t xml:space="preserve">，</w:t>
      </w:r>
      <w:r>
        <w:rPr>
          <w:rFonts w:hint="eastAsia" w:ascii="宋体" w:hAnsi="宋体" w:eastAsia="宋体" w:cs="宋体"/>
          <w:color w:val="auto"/>
          <w:sz w:val="24"/>
          <w:szCs w:val="24"/>
          <w:highlight w:val="none"/>
          <w:lang w:val="en-US" w:eastAsia="zh-CN"/>
        </w:rPr>
        <w:t xml:space="preserve">甲方自收到乙方</w:t>
      </w:r>
      <w:r>
        <w:rPr>
          <w:rFonts w:hint="eastAsia" w:ascii="宋体" w:hAnsi="宋体" w:eastAsia="宋体" w:cs="宋体"/>
          <w:color w:val="auto"/>
          <w:sz w:val="24"/>
          <w:szCs w:val="24"/>
          <w:highlight w:val="none"/>
          <w:lang w:val="en-AU" w:eastAsia="zh-CN"/>
        </w:rPr>
        <w:t xml:space="preserve">出具等额预付款保函后</w:t>
      </w:r>
      <w:r>
        <w:rPr>
          <w:rFonts w:hint="eastAsia" w:ascii="宋体" w:hAnsi="宋体" w:eastAsia="宋体" w:cs="宋体"/>
          <w:color w:val="auto"/>
          <w:sz w:val="24"/>
          <w:szCs w:val="24"/>
          <w:highlight w:val="none"/>
          <w:lang w:val="en-US" w:eastAsia="zh-CN"/>
        </w:rPr>
        <w:t xml:space="preserve">10个工作日内办理财政资金申请手续，将资金支付到合同约定的乙方账户</w:t>
      </w:r>
      <w:r>
        <w:rPr>
          <w:rFonts w:hint="eastAsia" w:ascii="宋体" w:hAnsi="宋体" w:eastAsia="宋体" w:cs="宋体"/>
          <w:color w:val="auto"/>
          <w:sz w:val="24"/>
          <w:szCs w:val="24"/>
          <w:highlight w:val="none"/>
          <w:lang w:val="en-AU" w:eastAsia="zh-CN"/>
        </w:rPr>
        <w:t xml:space="preserve">。</w:t>
      </w:r>
      <w:bookmarkEnd w:id="3"/>
      <w:r/>
      <w:r/>
    </w:p>
    <w:p>
      <w:pPr>
        <w:ind w:right="88"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在完成</w:t>
      </w:r>
      <w:r>
        <w:rPr>
          <w:rFonts w:hint="eastAsia" w:ascii="宋体" w:hAnsi="宋体" w:cs="宋体"/>
          <w:color w:val="auto"/>
          <w:sz w:val="24"/>
          <w:szCs w:val="24"/>
          <w:highlight w:val="none"/>
          <w:u w:val="single"/>
          <w:lang w:val="en-US" w:eastAsia="zh-CN"/>
        </w:rPr>
        <w:t xml:space="preserve">第一次半年度考核</w:t>
      </w:r>
      <w:r>
        <w:rPr>
          <w:rFonts w:hint="eastAsia" w:ascii="宋体" w:hAnsi="宋体" w:eastAsia="宋体" w:cs="宋体"/>
          <w:color w:val="auto"/>
          <w:sz w:val="24"/>
          <w:szCs w:val="24"/>
          <w:highlight w:val="none"/>
          <w:u w:val="single"/>
        </w:rPr>
        <w:t xml:space="preserve">后</w:t>
      </w:r>
      <w:r>
        <w:rPr>
          <w:rFonts w:hint="eastAsia" w:ascii="宋体" w:hAnsi="宋体" w:eastAsia="宋体" w:cs="宋体"/>
          <w:color w:val="auto"/>
          <w:sz w:val="24"/>
          <w:szCs w:val="24"/>
          <w:highlight w:val="none"/>
        </w:rPr>
        <w:t xml:space="preserve">，乙方提供对应金额的发票后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0个工作日内，由甲方办理政府采购资金结算手续，经审核后支付给乙方。</w:t>
      </w:r>
      <w:r/>
    </w:p>
    <w:p>
      <w:pPr>
        <w:ind w:right="88"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在完成第二次半年度考核后，</w:t>
      </w:r>
      <w:r>
        <w:rPr>
          <w:rFonts w:hint="eastAsia" w:ascii="宋体" w:hAnsi="宋体" w:eastAsia="宋体" w:cs="宋体"/>
          <w:color w:val="auto"/>
          <w:sz w:val="24"/>
          <w:szCs w:val="24"/>
          <w:highlight w:val="none"/>
        </w:rPr>
        <w:t xml:space="preserve">乙方提供对应金额的发票后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0个工作日内，由甲方办理政府采购资金结算手续，经审核后支付给乙方。</w:t>
      </w:r>
      <w:r/>
    </w:p>
    <w:p>
      <w:pPr>
        <w:ind w:firstLine="482"/>
        <w:jc w:val="both"/>
        <w:pageBreakBefore w:val="0"/>
        <w:spacing w:after="200" w:line="400" w:lineRule="exact"/>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付款方式二：不提交预付款保函的</w:t>
      </w:r>
      <w:r/>
    </w:p>
    <w:p>
      <w:pPr>
        <w:ind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合同价款的百分之十(</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0%)即￥</w:t>
      </w:r>
      <w:r>
        <w:rPr>
          <w:rFonts w:hint="eastAsia" w:ascii="宋体" w:hAnsi="宋体" w:eastAsia="宋体" w:cs="宋体"/>
          <w:i/>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0个工作日内，办理政府采购资金结算手续支付给乙方。</w:t>
      </w:r>
      <w:r/>
    </w:p>
    <w:p>
      <w:pPr>
        <w:ind w:right="88"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在完成</w:t>
      </w:r>
      <w:r>
        <w:rPr>
          <w:rFonts w:hint="eastAsia" w:ascii="宋体" w:hAnsi="宋体" w:cs="宋体"/>
          <w:color w:val="auto"/>
          <w:sz w:val="24"/>
          <w:szCs w:val="24"/>
          <w:highlight w:val="none"/>
          <w:u w:val="single"/>
          <w:lang w:val="en-US" w:eastAsia="zh-CN"/>
        </w:rPr>
        <w:t xml:space="preserve">第一次半年度考核</w:t>
      </w:r>
      <w:r>
        <w:rPr>
          <w:rFonts w:hint="eastAsia" w:ascii="宋体" w:hAnsi="宋体" w:eastAsia="宋体" w:cs="宋体"/>
          <w:color w:val="auto"/>
          <w:sz w:val="24"/>
          <w:szCs w:val="24"/>
          <w:highlight w:val="none"/>
          <w:u w:val="single"/>
        </w:rPr>
        <w:t xml:space="preserve">后</w:t>
      </w:r>
      <w:r>
        <w:rPr>
          <w:rFonts w:hint="eastAsia" w:ascii="宋体" w:hAnsi="宋体" w:eastAsia="宋体" w:cs="宋体"/>
          <w:color w:val="auto"/>
          <w:sz w:val="24"/>
          <w:szCs w:val="24"/>
          <w:highlight w:val="none"/>
        </w:rPr>
        <w:t xml:space="preserve">，乙方提供对应金额的发票后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0个工作日内，由甲方办理政府采购资金结算手续，经审核后支付给乙方。</w:t>
      </w:r>
      <w:r/>
    </w:p>
    <w:p>
      <w:pPr>
        <w:ind w:right="88"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在完成第二次半年度考核后，</w:t>
      </w:r>
      <w:r>
        <w:rPr>
          <w:rFonts w:hint="eastAsia" w:ascii="宋体" w:hAnsi="宋体" w:eastAsia="宋体" w:cs="宋体"/>
          <w:color w:val="auto"/>
          <w:sz w:val="24"/>
          <w:szCs w:val="24"/>
          <w:highlight w:val="none"/>
        </w:rPr>
        <w:t xml:space="preserve">乙方提供对应金额的发票后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0个工作日内，由甲方办理政府采购资金结算手续，经审核后支付给乙方。</w:t>
      </w:r>
      <w:r/>
    </w:p>
    <w:p>
      <w:p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.4 对于满足合同</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.3约定支付条件的，甲方不得以机构变动、人员更替、政策调整等为由延迟付款，不得将采购文件和合同中未规定的义务作为向乙方付款的条件。</w:t>
      </w:r>
      <w:r/>
    </w:p>
    <w:p>
      <w:pPr>
        <w:ind w:firstLine="480"/>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本合同总价款包括服务期间必须的日常易耗品、工具、调试费、培训费等相关费用。</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本合同执行期内因工作量变化而引起的服务费用的变动，在双方事先协商一致的前提下签订补充合同，但因此而增加的服务费用不得超过原中标金额的10%。</w:t>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权利义务</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4.1甲方权利义务</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4.1.1甲方保证服务期间，对乙方工作给予支持，提供水、电、场地等必须的基础工作条件。为乙方更好地完成工作任务而协调必要的业务和技术支持。</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4.1.2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4.1.3对乙方不合格的项目成员，甲方有权要求乙方更换，不得空缺。</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4.2.乙方权利义务</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4.2.1乙方投入本项目的人员不少于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人，项目负责人姓名：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。且在项目执行过程中项目负责人和项目成员未经甲方许可，不得变更。</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4.2.2乙方须提供项目成员名单及资历，不得更换投标文件中项目组主要成员，如特殊情况需中途调动，须提前30日以书面形式征求甲方意见。</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4.2.3在项目存续期间，乙方派出的项目团队在甲方指定的工作场所进行项目工作，不得兼任其他项目的工作。</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4.2.4乙方应服从、配合甲方及甲方指定人员的工作指示。</w:t>
      </w:r>
      <w:r>
        <w:rPr>
          <w:rFonts w:hint="eastAsia" w:ascii="宋体" w:hAnsi="宋体" w:eastAsia="宋体" w:cs="宋体"/>
          <w:color w:val="auto"/>
          <w:spacing w:val="-7"/>
          <w:sz w:val="24"/>
          <w:szCs w:val="24"/>
          <w:highlight w:val="none"/>
        </w:rPr>
        <w:t xml:space="preserve">如果甲方认为在工作现场的乙方任何成员不称职，甲方有权要求乙方另外指派</w:t>
      </w:r>
      <w:r>
        <w:rPr>
          <w:rFonts w:hint="eastAsia" w:ascii="宋体" w:hAnsi="宋体" w:eastAsia="宋体" w:cs="宋体"/>
          <w:color w:val="auto"/>
          <w:sz w:val="24"/>
          <w:szCs w:val="24"/>
          <w:highlight w:val="none"/>
        </w:rPr>
        <w:t xml:space="preserve">合乎甲方要求的人员。</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4.2.5乙方必须保证工作质量。在服务期间，乙方必须提供相关文档；</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4.2.6乙方遵守甲方的各项规章管理制度。</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4.2.7乙方为甲方提供必要的培训服务，培训费用已经包含在合同总价中。</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4.2.8乙方保证提供的服务具有合法性，确保甲方不会因为使用乙方的服务而产生法律风险。</w:t>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知识产权</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5.1乙方保证所提供的服务或其任何一部分均不会侵犯任何第三方的专利权、商标权或著作权等知识产权。</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5.2任何第三方提出侵权指控，乙方须与第三方交涉并承担由此产生的一切责任、费用和经济赔偿。</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5.4在本合同生效时已经存在并为各方合法拥有或使用的所有技术、资料和信息的知识产权，仍应属于其各自的原权利人所有或享有，另有约定的除外。</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5.5乙方保证：乙方保证甲方及其授权的第三方能够合法地使用其提供的成果。如果任何第三人</w:t>
      </w:r>
      <w:r>
        <w:rPr>
          <w:rFonts w:hint="eastAsia" w:ascii="宋体" w:hAnsi="宋体" w:eastAsia="宋体" w:cs="宋体"/>
          <w:color w:val="auto"/>
          <w:spacing w:val="4"/>
          <w:sz w:val="24"/>
          <w:szCs w:val="24"/>
          <w:highlight w:val="none"/>
        </w:rPr>
        <w:t xml:space="preserve">因甲方及其授权的第三方使用成果向甲方及其授权的第三方提出有关知识产权的任何</w:t>
      </w:r>
      <w:r>
        <w:rPr>
          <w:rFonts w:hint="eastAsia" w:ascii="宋体" w:hAnsi="宋体" w:eastAsia="宋体" w:cs="宋体"/>
          <w:color w:val="auto"/>
          <w:spacing w:val="-9"/>
          <w:sz w:val="24"/>
          <w:szCs w:val="24"/>
          <w:highlight w:val="none"/>
        </w:rPr>
        <w:t xml:space="preserve">索赔、要求停止使用、要求支付费用、诉讼、仲裁或其它不利于甲方及其授权的第三方之行为，乙方应当自费为甲方及其授权的第三方进行处理，并保证甲方及其授权的第三</w:t>
      </w:r>
      <w:r>
        <w:rPr>
          <w:rFonts w:hint="eastAsia" w:ascii="宋体" w:hAnsi="宋体" w:eastAsia="宋体" w:cs="宋体"/>
          <w:color w:val="auto"/>
          <w:spacing w:val="-5"/>
          <w:sz w:val="24"/>
          <w:szCs w:val="24"/>
          <w:highlight w:val="none"/>
        </w:rPr>
        <w:t xml:space="preserve">方能够正常使用成果，由此给甲方及其授权的第三方造成的一切损失由乙方承担</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7"/>
          <w:sz w:val="24"/>
          <w:szCs w:val="24"/>
          <w:highlight w:val="none"/>
        </w:rPr>
        <w:t xml:space="preserve">包括</w:t>
      </w:r>
      <w:r>
        <w:rPr>
          <w:rFonts w:hint="eastAsia" w:ascii="宋体" w:hAnsi="宋体" w:eastAsia="宋体" w:cs="宋体"/>
          <w:color w:val="auto"/>
          <w:sz w:val="24"/>
          <w:szCs w:val="24"/>
          <w:highlight w:val="none"/>
        </w:rPr>
        <w:t xml:space="preserve">但不限于赔偿、补偿、诉讼费、仲裁费用、律师费、甲方的其他损失等）。</w:t>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保密</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6.2保密信息指任何一方因履行本合同所知悉的任何以口头、书面、图表或电子形式存在的对方信息，包括并不限于：</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6.2.1任何涉及对方过去、现在或将来的商业计划、规章制度、操作规程、处理手段、财务信息；</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6.2.2任何对方的技术措施、技术方案、软件应用及开发，硬件设备的品种、质量、数量、品牌等；</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6.2.3任何对方的技术秘密或专有知识、文件 、报告、数据、客户软件、流程图、数据库、发明、知识、贸易秘密。</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6.3乙方应根据甲方的要求签署相应的保密协议，保密协议与本条款存在不一致的，以保密协议为准。</w:t>
      </w:r>
      <w:r/>
    </w:p>
    <w:p>
      <w:pPr>
        <w:ind w:firstLine="482"/>
        <w:jc w:val="both"/>
        <w:pageBreakBefore w:val="0"/>
        <w:spacing w:line="40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7.服务要求</w:t>
      </w:r>
      <w:r/>
    </w:p>
    <w:p>
      <w:pPr>
        <w:ind w:firstLine="480"/>
        <w:jc w:val="both"/>
        <w:pageBreakBefore w:val="0"/>
        <w:spacing w:line="400" w:lineRule="exact"/>
        <w:rPr>
          <w:rFonts w:hint="default"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详见本项目采购文件中的采购需求。</w:t>
      </w:r>
      <w:r/>
    </w:p>
    <w:p>
      <w:pPr>
        <w:ind w:firstLine="482"/>
        <w:jc w:val="both"/>
        <w:pageBreakBefore w:val="0"/>
        <w:spacing w:line="40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项目验收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.1服务地点：</w:t>
      </w:r>
      <w:r>
        <w:rPr>
          <w:rFonts w:hint="eastAsia" w:ascii="宋体" w:hAnsi="宋体" w:eastAsia="宋体" w:cs="宋体"/>
          <w:color w:val="auto"/>
          <w:sz w:val="24"/>
          <w:szCs w:val="24"/>
          <w:highlight w:val="none"/>
          <w:u w:val="single"/>
        </w:rPr>
        <w:t xml:space="preserve">甲方指定地点 </w:t>
      </w:r>
      <w:r>
        <w:rPr>
          <w:rFonts w:hint="eastAsia" w:ascii="宋体" w:hAnsi="宋体" w:eastAsia="宋体" w:cs="宋体"/>
          <w:color w:val="auto"/>
          <w:sz w:val="24"/>
          <w:szCs w:val="24"/>
          <w:highlight w:val="none"/>
        </w:rPr>
        <w:t xml:space="preserve">。</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.2服务期满后十个工作日内提交验收申请，同时乙方应对提供的服务成果作出全面自查和整理，并列出清单，作为甲方验收和使用的服务条件依据，清单应随提供的服务成果交给甲方。</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由此引起甲方损失及赔偿责任由乙方承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.4甲方可以视项目规模或复杂情况聘请专业人员参与验收，大型或复杂项目，以及涉及专业服务内容的应当邀请国家认可的第三方质量检测机构参与验收。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.5如项目实施情况需要分阶段验收，则根据实际情况分阶段出具《验收报告》。</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.6如果合同双方对《验收报告》有分歧，双方须于出现分歧后</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天内给对方书面声明，以陈述己方的理由及要求，并附有关证据。分歧应通过协商解决。</w:t>
      </w:r>
      <w:r/>
    </w:p>
    <w:p>
      <w:p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分包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除招标采购文件事先说明、且经甲方事先书面同意外，乙方不得分包、转包其应履行的合同义务。</w:t>
      </w:r>
      <w:r/>
    </w:p>
    <w:p>
      <w:p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合同的生效</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.1本合同经甲乙双方加盖公章或合同专用章后生效。</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.2生效后，除《政府采购法》第49条、第50条第二款规定的情形外，甲乙双方不得擅自变更、中止或终止合同。</w:t>
      </w:r>
      <w:r/>
    </w:p>
    <w:p>
      <w:pPr>
        <w:ind w:firstLine="482"/>
        <w:jc w:val="both"/>
        <w:pageBreakBefore w:val="0"/>
        <w:spacing w:line="400" w:lineRule="exac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11.违约责任</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.1乙方所交付服务过程中成果不符合本合同规定的，甲方有权拒收，乙方在得到甲方通知之日起</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 xml:space="preserve">个工作日内采取补救措施，逾期仍未采取有效措施的，甲方有权要求乙方赔偿因此造成的损失或扣留履约保证金；同时乙方应向甲方支付合同总价</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％的违约金。</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.2甲方无正当理由拒收服务，甲方应向乙方偿付拒付服务费用 </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％的违约金。</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.3乙方无正当理由逾期交付服务的，每逾期1天，乙方向甲方偿付合同总额的</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‰的违约金。如乙方逾期达</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天，甲方有权解除合同，甲方解除合同的通知自到达乙方时生效。在此情况下，乙方给甲方造成的实际损失高于违约金的，对高出违约金的部分乙方应予以赔偿。</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.4甲方未按合同规定的期限向乙方支付合同款的，每逾期1天甲方向乙方偿付欠款总额的</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‰违约金，但累计违约金总额不超过欠款总额的</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.5其它未尽事宜，以《合同法》和《政府采购法》等有关法律法规规定为准，无相关规定的，双方协商解决。</w:t>
      </w:r>
      <w:r/>
    </w:p>
    <w:p>
      <w:pPr>
        <w:ind w:firstLine="482"/>
        <w:jc w:val="both"/>
        <w:pageBreakBefore w:val="0"/>
        <w:spacing w:line="400" w:lineRule="exac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12.不可抗力</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.1双方中任何一方遭遇法律规定的不可抗力，致使合同履行受阻时，履行合同的期限应予延长，延长的期限应相当于不可抗力所影响的时间。</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.2受事故影响的一方应在不可抗力的事故发生后</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 xml:space="preserve">日内以书面形式通知另一方。</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.3未履行的部分是否继续履行、如何履行等问题，可由双方初步协商，并向主管部门和政府采购管理部门报告。</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.4不可抗力使合同的某些内容有变更必要的， 双方应通过协商达成进一步履行合同的协议，因不可抗力致使合同不能履行的，合同终止。</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.5确定为不可抗力原因造成的损失，免予承担责任。在合同终止情况下，对于已经履行的部分，予以结算服务费用。</w:t>
      </w:r>
      <w:r/>
    </w:p>
    <w:p>
      <w:p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13.</w:t>
      </w:r>
      <w:r>
        <w:rPr>
          <w:rFonts w:hint="eastAsia" w:ascii="宋体" w:hAnsi="宋体" w:eastAsia="宋体" w:cs="宋体"/>
          <w:b/>
          <w:color w:val="auto"/>
          <w:sz w:val="24"/>
          <w:szCs w:val="24"/>
          <w:highlight w:val="none"/>
        </w:rPr>
        <w:t xml:space="preserve">争议的解决方式</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.2在解释或者执行本合同的过程中发生争议时，双方应通过协商方式解决。</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.3经协商不能解决的争议，双方可选择以下第</w:t>
      </w:r>
      <w:r>
        <w:rPr>
          <w:rFonts w:hint="eastAsia" w:ascii="宋体" w:hAnsi="宋体" w:eastAsia="宋体" w:cs="宋体"/>
          <w:color w:val="auto"/>
          <w:sz w:val="24"/>
          <w:szCs w:val="24"/>
          <w:highlight w:val="none"/>
          <w:u w:val="single"/>
        </w:rPr>
        <w:t xml:space="preserve"> 1</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.3.1  </w:t>
      </w:r>
      <w:r>
        <w:rPr>
          <w:rFonts w:hint="eastAsia" w:ascii="宋体" w:hAnsi="宋体" w:eastAsia="宋体" w:cs="宋体"/>
          <w:color w:val="auto"/>
          <w:sz w:val="24"/>
          <w:szCs w:val="24"/>
          <w:highlight w:val="none"/>
        </w:rPr>
        <w:t xml:space="preserve">种方式解决：</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.3.1向甲方住所地人民法院提起诉讼；</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.3.2向</w:t>
      </w:r>
      <w:r>
        <w:rPr>
          <w:rFonts w:hint="eastAsia" w:ascii="宋体" w:hAnsi="宋体" w:eastAsia="宋体" w:cs="宋体"/>
          <w:color w:val="auto"/>
          <w:sz w:val="24"/>
          <w:szCs w:val="24"/>
          <w:highlight w:val="none"/>
          <w:lang w:val="en-US" w:eastAsia="zh-CN"/>
        </w:rPr>
        <w:t xml:space="preserve">邳州市</w:t>
      </w:r>
      <w:r>
        <w:rPr>
          <w:rFonts w:hint="eastAsia" w:ascii="宋体" w:hAnsi="宋体" w:eastAsia="宋体" w:cs="宋体"/>
          <w:color w:val="auto"/>
          <w:sz w:val="24"/>
          <w:szCs w:val="24"/>
          <w:highlight w:val="none"/>
        </w:rPr>
        <w:t xml:space="preserve">仲裁委员会申请仲裁。</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.4在法院审理或仲裁期间，除有争议部分外，本合同其他部分可以履行的仍应按合同条款继续履行。</w:t>
      </w:r>
      <w:r/>
    </w:p>
    <w:p>
      <w:pPr>
        <w:ind w:firstLine="482"/>
        <w:jc w:val="both"/>
        <w:pageBreakBefore w:val="0"/>
        <w:spacing w:line="400" w:lineRule="exac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14.其他</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.1本合同任何一方给另一方的通知，都应以书面形式发送，而另一方也应以书面形式确认并发送到对方明确的地址。</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甲乙双方任何一方应当将其通讯联系方式及地址的任何变化书面通知另一方，否则以本合同约定通讯联系方式对本合同约定原地址的送达视为已经送达。</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w:t>
      </w:r>
      <w:r>
        <w:rPr>
          <w:rFonts w:hint="eastAsia" w:ascii="宋体" w:hAnsi="宋体" w:eastAsia="宋体" w:cs="宋体"/>
          <w:color w:val="auto"/>
          <w:sz w:val="24"/>
          <w:szCs w:val="24"/>
          <w:highlight w:val="none"/>
          <w:lang w:eastAsia="zh-CN"/>
        </w:rPr>
        <w:t xml:space="preserve">甲乙</w:t>
      </w:r>
      <w:r>
        <w:rPr>
          <w:rFonts w:hint="eastAsia" w:ascii="宋体" w:hAnsi="宋体" w:eastAsia="宋体" w:cs="宋体"/>
          <w:color w:val="auto"/>
          <w:sz w:val="24"/>
          <w:szCs w:val="24"/>
          <w:highlight w:val="none"/>
        </w:rPr>
        <w:t xml:space="preserve">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.4本合同一切税费由乙方承担。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.5本合同未尽事宜，甲乙双方可以协商签订补充协议，所签订的补充合同与本合同具有同等法律效力。</w:t>
      </w:r>
      <w:r/>
    </w:p>
    <w:p>
      <w:pPr>
        <w:ind w:firstLine="480"/>
        <w:jc w:val="both"/>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（合同签署页，以下无正文）</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甲方：（公章）　　　　　　　　　  乙方：（公章）</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                     法定代表人：</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或委托代表人（签字）：         或委托代表人（签字）：</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联系人：</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w:t>
      </w:r>
      <w:r/>
    </w:p>
    <w:p>
      <w:pPr>
        <w:jc w:val="left"/>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　　址：</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                      开户银行：</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　　号：                 账　　号：</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签字日期：   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sectPr>
          <w:headerReference w:type="first" r:id="rId10"/>
          <w:footerReference w:type="default" r:id="rId16"/>
          <w:footerReference w:type="first" r:id="rId17"/>
          <w:footnotePr/>
          <w:endnotePr/>
          <w:type w:val="nextPage"/>
          <w:pgSz w:w="11906" w:h="16838" w:orient="portrait"/>
          <w:pgMar w:top="1814" w:right="1531" w:bottom="1984" w:left="1531" w:header="851" w:footer="992" w:gutter="0"/>
          <w:cols w:num="1" w:sep="0" w:space="1701" w:equalWidth="1"/>
          <w:docGrid w:linePitch="360"/>
          <w:titlePg/>
        </w:sectPr>
      </w:pPr>
      <w:r>
        <w:rPr>
          <w:rFonts w:hint="eastAsia" w:ascii="宋体" w:hAnsi="宋体" w:eastAsia="宋体" w:cs="宋体"/>
          <w:b/>
          <w:color w:val="auto"/>
          <w:sz w:val="32"/>
          <w:szCs w:val="32"/>
        </w:rPr>
      </w:r>
      <w:r/>
    </w:p>
    <w:p>
      <w:pPr>
        <w:jc w:val="center"/>
        <w:spacing w:line="360" w:lineRule="auto"/>
        <w:rPr>
          <w:rStyle w:val="1238"/>
          <w:rFonts w:hint="eastAsia" w:ascii="宋体" w:hAnsi="宋体" w:eastAsia="宋体" w:cs="宋体"/>
          <w:b/>
          <w:bCs/>
          <w:color w:val="auto"/>
          <w:sz w:val="24"/>
        </w:rPr>
      </w:pPr>
      <w:r>
        <w:rPr>
          <w:rFonts w:hint="eastAsia" w:ascii="宋体" w:hAnsi="宋体" w:eastAsia="宋体" w:cs="宋体"/>
          <w:b/>
          <w:color w:val="auto"/>
          <w:sz w:val="32"/>
          <w:szCs w:val="32"/>
        </w:rPr>
        <w:t xml:space="preserve">第六章 采购需求</w:t>
      </w:r>
      <w:bookmarkStart w:id="4" w:name="_Toc324452802"/>
      <w:r/>
      <w:bookmarkEnd w:id="4"/>
      <w:r/>
      <w:bookmarkStart w:id="5" w:name="_Toc322457054"/>
      <w:r/>
      <w:bookmarkEnd w:id="5"/>
      <w:r/>
      <w:r/>
    </w:p>
    <w:p>
      <w:pPr>
        <w:ind w:left="0" w:firstLine="482"/>
        <w:keepLines w:val="0"/>
        <w:keepNext w:val="0"/>
        <w:pageBreakBefore w:val="0"/>
        <w:spacing w:line="400" w:lineRule="exact"/>
        <w:rPr>
          <w:rFonts w:hint="eastAsia" w:ascii="宋体" w:hAnsi="宋体" w:eastAsia="宋体" w:cs="宋体"/>
          <w:b/>
          <w:color w:val="auto"/>
          <w:sz w:val="24"/>
          <w:lang w:eastAsia="zh-CN"/>
        </w:rPr>
      </w:pPr>
      <w:r>
        <w:rPr>
          <w:rFonts w:hint="eastAsia" w:ascii="宋体" w:hAnsi="宋体" w:eastAsia="宋体" w:cs="宋体"/>
          <w:b/>
          <w:color w:val="auto"/>
          <w:sz w:val="24"/>
        </w:rPr>
        <w:t xml:space="preserve">一、项目说明</w:t>
      </w:r>
      <w:r/>
    </w:p>
    <w:p>
      <w:pPr>
        <w:ind w:left="0" w:firstLine="480"/>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1、</w:t>
      </w:r>
      <w:r>
        <w:rPr>
          <w:rFonts w:hint="eastAsia" w:ascii="宋体" w:hAnsi="宋体" w:eastAsia="宋体" w:cs="宋体"/>
          <w:bCs/>
          <w:color w:val="auto"/>
          <w:sz w:val="24"/>
        </w:rPr>
        <w:t xml:space="preserve">采购人：</w:t>
      </w:r>
      <w:r>
        <w:rPr>
          <w:rFonts w:hint="eastAsia" w:ascii="宋体" w:hAnsi="宋体" w:cs="宋体"/>
          <w:bCs/>
          <w:color w:val="auto"/>
          <w:sz w:val="24"/>
          <w:lang w:eastAsia="zh-CN"/>
        </w:rPr>
        <w:t xml:space="preserve">江苏邳州经济开发区管理委员会</w:t>
      </w:r>
      <w:r>
        <w:rPr>
          <w:rFonts w:hint="eastAsia" w:ascii="宋体" w:hAnsi="宋体" w:eastAsia="宋体" w:cs="宋体"/>
          <w:bCs/>
          <w:color w:val="auto"/>
          <w:sz w:val="24"/>
        </w:rPr>
        <w:t xml:space="preserve">。</w:t>
      </w:r>
      <w:r/>
    </w:p>
    <w:p>
      <w:pPr>
        <w:ind w:left="0" w:firstLine="480"/>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w:t>
      </w:r>
      <w:r>
        <w:rPr>
          <w:rFonts w:hint="eastAsia" w:ascii="宋体" w:hAnsi="宋体" w:eastAsia="宋体" w:cs="宋体"/>
          <w:bCs/>
          <w:color w:val="auto"/>
          <w:sz w:val="24"/>
        </w:rPr>
        <w:t xml:space="preserve">采购项目名称：</w:t>
      </w:r>
      <w:r>
        <w:rPr>
          <w:rFonts w:hint="eastAsia" w:ascii="宋体" w:hAnsi="宋体" w:cs="宋体"/>
          <w:bCs/>
          <w:color w:val="auto"/>
          <w:sz w:val="24"/>
          <w:lang w:eastAsia="zh-CN"/>
        </w:rPr>
        <w:t xml:space="preserve">邳州经济开发区环保监测系统运行维护服务</w:t>
      </w:r>
      <w:r>
        <w:rPr>
          <w:rFonts w:hint="eastAsia" w:ascii="宋体" w:hAnsi="宋体" w:eastAsia="宋体" w:cs="宋体"/>
          <w:bCs/>
          <w:color w:val="auto"/>
          <w:sz w:val="24"/>
        </w:rPr>
        <w:t xml:space="preserve">。</w:t>
      </w:r>
      <w:r/>
    </w:p>
    <w:p>
      <w:pPr>
        <w:ind w:left="0" w:firstLine="480"/>
        <w:keepLines w:val="0"/>
        <w:keepNext w:val="0"/>
        <w:pageBreakBefore w:val="0"/>
        <w:spacing w:line="400" w:lineRule="exact"/>
        <w:rPr>
          <w:rFonts w:hint="eastAsia" w:ascii="宋体" w:hAnsi="宋体" w:eastAsia="宋体" w:cs="宋体"/>
          <w:b/>
          <w:color w:val="auto"/>
          <w:sz w:val="24"/>
          <w:highlight w:val="none"/>
          <w:lang w:eastAsia="zh-CN"/>
        </w:rPr>
      </w:pPr>
      <w:r>
        <w:rPr>
          <w:rFonts w:hint="eastAsia" w:ascii="宋体" w:hAnsi="宋体" w:eastAsia="宋体" w:cs="宋体"/>
          <w:bCs/>
          <w:color w:val="auto"/>
          <w:sz w:val="24"/>
          <w:lang w:val="en-US" w:eastAsia="zh-CN"/>
        </w:rPr>
        <w:t xml:space="preserve">3、</w:t>
      </w:r>
      <w:r>
        <w:rPr>
          <w:rFonts w:hint="eastAsia" w:ascii="宋体" w:hAnsi="宋体" w:eastAsia="宋体" w:cs="宋体"/>
          <w:b/>
          <w:color w:val="auto"/>
          <w:sz w:val="24"/>
        </w:rPr>
        <w:t xml:space="preserve">本项目采购预算金额为人民</w:t>
      </w:r>
      <w:r>
        <w:rPr>
          <w:rFonts w:hint="eastAsia" w:ascii="宋体" w:hAnsi="宋体" w:eastAsia="宋体" w:cs="宋体"/>
          <w:b/>
          <w:color w:val="auto"/>
          <w:sz w:val="24"/>
          <w:highlight w:val="none"/>
        </w:rPr>
        <w:t xml:space="preserve">币</w:t>
      </w:r>
      <w:r>
        <w:rPr>
          <w:rFonts w:hint="eastAsia" w:ascii="宋体" w:hAnsi="宋体" w:cs="宋体"/>
          <w:b/>
          <w:color w:val="auto"/>
          <w:sz w:val="24"/>
          <w:highlight w:val="none"/>
          <w:lang w:val="en-US" w:eastAsia="zh-CN"/>
        </w:rPr>
        <w:t xml:space="preserve">128</w:t>
      </w:r>
      <w:r>
        <w:rPr>
          <w:rFonts w:hint="eastAsia" w:ascii="宋体" w:hAnsi="宋体" w:eastAsia="宋体" w:cs="宋体"/>
          <w:b/>
          <w:color w:val="auto"/>
          <w:sz w:val="24"/>
          <w:highlight w:val="none"/>
        </w:rPr>
        <w:t xml:space="preserve">万元</w:t>
      </w:r>
      <w:r>
        <w:rPr>
          <w:rFonts w:hint="eastAsia" w:ascii="宋体" w:hAnsi="宋体" w:eastAsia="宋体" w:cs="宋体"/>
          <w:b/>
          <w:color w:val="auto"/>
          <w:sz w:val="24"/>
          <w:highlight w:val="none"/>
          <w:lang w:val="en-US" w:eastAsia="zh-CN"/>
        </w:rPr>
        <w:t xml:space="preserve">.</w:t>
      </w:r>
      <w:r/>
    </w:p>
    <w:p>
      <w:pPr>
        <w:ind w:left="0" w:firstLine="482"/>
        <w:keepLines w:val="0"/>
        <w:keepNext w:val="0"/>
        <w:pageBreakBefore w:val="0"/>
        <w:spacing w:line="4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本项目不接受超过人民币</w:t>
      </w:r>
      <w:r>
        <w:rPr>
          <w:rFonts w:hint="eastAsia" w:ascii="宋体" w:hAnsi="宋体" w:cs="宋体"/>
          <w:b/>
          <w:color w:val="auto"/>
          <w:sz w:val="24"/>
          <w:highlight w:val="none"/>
          <w:lang w:val="en-US" w:eastAsia="zh-CN"/>
        </w:rPr>
        <w:t xml:space="preserve">128</w:t>
      </w:r>
      <w:r>
        <w:rPr>
          <w:rFonts w:hint="eastAsia" w:ascii="宋体" w:hAnsi="宋体" w:eastAsia="宋体" w:cs="宋体"/>
          <w:b/>
          <w:color w:val="auto"/>
          <w:sz w:val="24"/>
          <w:highlight w:val="none"/>
        </w:rPr>
        <w:t xml:space="preserve">万元的投标报价。</w:t>
      </w:r>
      <w:r/>
    </w:p>
    <w:p>
      <w:pPr>
        <w:ind w:left="0" w:firstLine="480"/>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highlight w:val="none"/>
        </w:rPr>
        <w:t xml:space="preserve">注：投标人投标报价包括完成本</w:t>
      </w:r>
      <w:r>
        <w:rPr>
          <w:rFonts w:hint="eastAsia" w:ascii="宋体" w:hAnsi="宋体" w:eastAsia="宋体" w:cs="宋体"/>
          <w:bCs/>
          <w:color w:val="auto"/>
          <w:sz w:val="24"/>
        </w:rPr>
        <w:t xml:space="preserve">项工作所需的一切费用，包括但不限于各种</w:t>
      </w:r>
      <w:r>
        <w:rPr>
          <w:rFonts w:hint="eastAsia" w:ascii="宋体" w:hAnsi="宋体" w:eastAsia="宋体" w:cs="宋体"/>
          <w:bCs/>
          <w:color w:val="auto"/>
          <w:sz w:val="24"/>
          <w:lang w:val="en-US" w:eastAsia="zh-CN"/>
        </w:rPr>
        <w:t xml:space="preserve">服务期内</w:t>
      </w:r>
      <w:r>
        <w:rPr>
          <w:rFonts w:hint="default" w:ascii="宋体" w:hAnsi="宋体" w:eastAsia="宋体" w:cs="宋体"/>
          <w:bCs/>
          <w:color w:val="auto"/>
          <w:sz w:val="24"/>
          <w:lang w:val="en-US" w:eastAsia="zh-CN"/>
        </w:rPr>
        <w:t xml:space="preserve">的备品备件、耗材试剂、设备巡检标定、维</w:t>
      </w:r>
      <w:r>
        <w:rPr>
          <w:rFonts w:hint="eastAsia" w:ascii="宋体" w:hAnsi="宋体" w:eastAsia="宋体" w:cs="宋体"/>
          <w:bCs/>
          <w:color w:val="auto"/>
          <w:sz w:val="24"/>
          <w:lang w:val="en-US" w:eastAsia="zh-CN"/>
        </w:rPr>
        <w:t xml:space="preserve">修、</w:t>
      </w:r>
      <w:r>
        <w:rPr>
          <w:rFonts w:hint="eastAsia" w:ascii="宋体" w:hAnsi="宋体" w:eastAsia="宋体" w:cs="宋体"/>
          <w:bCs/>
          <w:color w:val="auto"/>
          <w:sz w:val="24"/>
        </w:rPr>
        <w:t xml:space="preserve">税费、人工、保险、管理、维护、利润、税金</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招标代理费、</w:t>
      </w:r>
      <w:r>
        <w:rPr>
          <w:rFonts w:hint="eastAsia" w:ascii="宋体" w:hAnsi="宋体" w:eastAsia="宋体" w:cs="宋体"/>
          <w:bCs/>
          <w:color w:val="auto"/>
          <w:sz w:val="24"/>
        </w:rPr>
        <w:t xml:space="preserve">政策性文件规定及合同包含的所有风险、责任等各项应有费用。采购人不再支付报价以外的任何费用。</w:t>
      </w:r>
      <w:r/>
    </w:p>
    <w:p>
      <w:pPr>
        <w:numPr>
          <w:ilvl w:val="0"/>
          <w:numId w:val="0"/>
        </w:numPr>
        <w:ind w:left="0" w:firstLine="482"/>
        <w:keepLines w:val="0"/>
        <w:keepNext w:val="0"/>
        <w:pageBreakBefore w:val="0"/>
        <w:spacing w:line="400" w:lineRule="exact"/>
        <w:rPr>
          <w:rFonts w:hint="default" w:ascii="宋体" w:hAnsi="宋体" w:eastAsia="宋体" w:cs="宋体"/>
          <w:b/>
          <w:color w:val="auto"/>
          <w:sz w:val="24"/>
          <w:lang w:val="en-US" w:eastAsia="zh-CN"/>
        </w:rPr>
      </w:pPr>
      <w:r>
        <w:rPr>
          <w:rFonts w:hint="eastAsia" w:ascii="宋体" w:hAnsi="宋体" w:eastAsia="宋体" w:cs="宋体"/>
          <w:b/>
          <w:color w:val="auto"/>
          <w:sz w:val="24"/>
          <w:szCs w:val="24"/>
          <w:lang w:val="en-US" w:eastAsia="zh-CN" w:bidi="ar-SA"/>
        </w:rPr>
        <w:t xml:space="preserve">5、</w:t>
      </w:r>
      <w:r>
        <w:rPr>
          <w:rFonts w:hint="eastAsia" w:ascii="宋体" w:hAnsi="宋体" w:eastAsia="宋体" w:cs="宋体"/>
          <w:b/>
          <w:color w:val="auto"/>
          <w:sz w:val="24"/>
          <w:lang w:val="en-US" w:eastAsia="zh-CN"/>
        </w:rPr>
        <w:t xml:space="preserve">服务期限：自合同签订后一年。</w:t>
      </w:r>
      <w:r/>
    </w:p>
    <w:p>
      <w:pPr>
        <w:numPr>
          <w:ilvl w:val="0"/>
          <w:numId w:val="0"/>
        </w:numPr>
        <w:ind w:left="420" w:firstLine="0"/>
        <w:keepLines w:val="0"/>
        <w:keepNext w:val="0"/>
        <w:pageBreakBefore w:val="0"/>
        <w:spacing w:line="400" w:lineRule="exact"/>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二、项目概况</w:t>
      </w:r>
      <w:r/>
    </w:p>
    <w:p>
      <w:pPr>
        <w:ind w:left="0" w:firstLine="480"/>
        <w:keepLines w:val="0"/>
        <w:keepNext w:val="0"/>
        <w:pageBreakBefore w:val="0"/>
        <w:spacing w:line="400" w:lineRule="exact"/>
        <w:rPr>
          <w:rFonts w:hint="eastAsia" w:ascii="宋体" w:hAnsi="宋体" w:eastAsia="宋体" w:cs="宋体"/>
          <w:bCs/>
          <w:color w:val="auto"/>
          <w:sz w:val="24"/>
          <w:lang w:val="en-US" w:eastAsia="zh-CN"/>
        </w:rPr>
      </w:pPr>
      <w:r>
        <w:rPr>
          <w:rFonts w:hint="default" w:ascii="宋体" w:hAnsi="宋体" w:eastAsia="宋体" w:cs="宋体"/>
          <w:bCs/>
          <w:color w:val="auto"/>
          <w:sz w:val="24"/>
          <w:lang w:val="en-US" w:eastAsia="zh-CN"/>
        </w:rPr>
        <w:t xml:space="preserve">根据《江苏省工业园区（集中区）环境质量目标管理方案</w:t>
      </w:r>
      <w:r>
        <w:rPr>
          <w:rFonts w:hint="eastAsia" w:ascii="宋体" w:hAnsi="宋体" w:eastAsia="宋体" w:cs="宋体"/>
          <w:bCs/>
          <w:color w:val="auto"/>
          <w:sz w:val="24"/>
          <w:lang w:val="en-US" w:eastAsia="zh-CN"/>
        </w:rPr>
        <w:t xml:space="preserve">》</w:t>
      </w:r>
      <w:r>
        <w:rPr>
          <w:rFonts w:hint="default" w:ascii="宋体" w:hAnsi="宋体" w:eastAsia="宋体" w:cs="宋体"/>
          <w:bCs/>
          <w:color w:val="auto"/>
          <w:sz w:val="24"/>
          <w:lang w:val="en-US" w:eastAsia="zh-CN"/>
        </w:rPr>
        <w:t xml:space="preserve">以及生态环境部门管理要求，</w:t>
      </w:r>
      <w:r>
        <w:rPr>
          <w:rFonts w:hint="eastAsia" w:ascii="宋体" w:hAnsi="宋体" w:eastAsia="宋体" w:cs="宋体"/>
          <w:bCs/>
          <w:color w:val="auto"/>
          <w:sz w:val="24"/>
          <w:lang w:val="en-US" w:eastAsia="zh-CN"/>
        </w:rPr>
        <w:t xml:space="preserve">各化工园区</w:t>
      </w:r>
      <w:r>
        <w:rPr>
          <w:rFonts w:hint="default" w:ascii="宋体" w:hAnsi="宋体" w:eastAsia="宋体" w:cs="宋体"/>
          <w:bCs/>
          <w:color w:val="auto"/>
          <w:sz w:val="24"/>
          <w:lang w:val="en-US" w:eastAsia="zh-CN"/>
        </w:rPr>
        <w:t xml:space="preserve">需继续强化限值限量管理</w:t>
      </w:r>
      <w:r>
        <w:rPr>
          <w:rFonts w:hint="eastAsia" w:ascii="宋体" w:hAnsi="宋体" w:eastAsia="宋体" w:cs="宋体"/>
          <w:bCs/>
          <w:color w:val="auto"/>
          <w:sz w:val="24"/>
          <w:lang w:val="en-US" w:eastAsia="zh-CN"/>
        </w:rPr>
        <w:t xml:space="preserve">工作</w:t>
      </w:r>
      <w:r>
        <w:rPr>
          <w:rFonts w:hint="default" w:ascii="宋体" w:hAnsi="宋体" w:eastAsia="宋体" w:cs="宋体"/>
          <w:bCs/>
          <w:color w:val="auto"/>
          <w:sz w:val="24"/>
          <w:lang w:val="en-US" w:eastAsia="zh-CN"/>
        </w:rPr>
        <w:t xml:space="preserve">，提升环境预警能力和环境质量监测监控水平</w:t>
      </w:r>
      <w:r>
        <w:rPr>
          <w:rFonts w:hint="eastAsia" w:ascii="宋体" w:hAnsi="宋体" w:eastAsia="宋体" w:cs="宋体"/>
          <w:bCs/>
          <w:color w:val="auto"/>
          <w:sz w:val="24"/>
          <w:lang w:val="en-US" w:eastAsia="zh-CN"/>
        </w:rPr>
        <w:t xml:space="preserve">。</w:t>
      </w:r>
      <w:r/>
    </w:p>
    <w:p>
      <w:pPr>
        <w:ind w:left="0" w:firstLine="480"/>
        <w:keepLines w:val="0"/>
        <w:keepNext w:val="0"/>
        <w:pageBreakBefore w:val="0"/>
        <w:spacing w:line="400" w:lineRule="exact"/>
        <w:rPr>
          <w:rFonts w:hint="eastAsia" w:ascii="宋体" w:hAnsi="宋体" w:eastAsia="宋体" w:cs="宋体"/>
          <w:bCs/>
          <w:color w:val="auto"/>
          <w:sz w:val="24"/>
        </w:rPr>
      </w:pPr>
      <w:r/>
      <w:bookmarkStart w:id="6" w:name="OLE_LINK4"/>
      <w:r>
        <w:rPr>
          <w:rFonts w:hint="eastAsia" w:ascii="宋体" w:hAnsi="宋体" w:cs="宋体"/>
          <w:bCs/>
          <w:color w:val="auto"/>
          <w:sz w:val="24"/>
          <w:lang w:val="en-US" w:eastAsia="zh-CN"/>
        </w:rPr>
        <w:t xml:space="preserve">保证设备正常运行，对2套地表水站、2套环境空气站、2套VOCs监测站、58套限值限量监测监控系统微站等进行维护，使其全部恢复正常，并进行全方位、系统化运维及管理服务，保证设备稳定运行；保障24小时应急响应，为期一年。</w:t>
      </w:r>
      <w:bookmarkEnd w:id="6"/>
      <w:r/>
      <w:r/>
    </w:p>
    <w:p>
      <w:pPr>
        <w:ind w:firstLine="482"/>
        <w:spacing w:line="480" w:lineRule="exact"/>
        <w:rPr>
          <w:b/>
          <w:bCs/>
          <w:color w:val="auto"/>
          <w:sz w:val="24"/>
          <w:highlight w:val="yellow"/>
        </w:rPr>
        <w:outlineLvl w:val="0"/>
      </w:pPr>
      <w:r>
        <w:rPr>
          <w:rFonts w:hint="eastAsia" w:ascii="宋体" w:hAnsi="宋体" w:eastAsia="宋体" w:cs="宋体"/>
          <w:b/>
          <w:color w:val="auto"/>
          <w:sz w:val="24"/>
          <w:lang w:val="en-US" w:eastAsia="zh-CN"/>
        </w:rPr>
        <w:t xml:space="preserve">三、运维服务清单</w:t>
      </w:r>
      <w:bookmarkStart w:id="7" w:name="OLE_LINK5"/>
      <w:r/>
      <w:r/>
    </w:p>
    <w:tbl>
      <w:tblPr>
        <w:tblStyle w:val="1026"/>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1"/>
        <w:gridCol w:w="1251"/>
        <w:gridCol w:w="3857"/>
        <w:gridCol w:w="2079"/>
        <w:gridCol w:w="616"/>
        <w:gridCol w:w="606"/>
      </w:tblGrid>
      <w:tr>
        <w:trPr>
          <w:jc w:val="center"/>
          <w:trHeight w:val="90"/>
          <w:tblHeader/>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站点名称</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设备内容</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品牌型号</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地表水站</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高锰酸盐指数在线分析仪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氨氮在线分析仪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河北先河/凌恒</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五参数分析仪(水温和PH分析仪、溶解氧分析仪、电导率分析仪、浊度NZD3000)</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三泽</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加标仪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凌恒LH-CYQ01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总磷</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泽天WDet-5000 TP</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总氮分析仪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泽天WDct-5000 TN</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挥发酚分析仪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泽天WDet-5000 VPC</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多普勒流量计</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站房(含空调、灯具、UPS、数据采集传输设备、避雷系统、灭火装置等)</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环境空气站</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SO</w:t>
            </w:r>
            <w:r>
              <w:rPr>
                <w:rStyle w:val="1257"/>
                <w:rFonts w:ascii="宋体" w:eastAsia="宋体"/>
                <w:sz w:val="24"/>
                <w:lang w:val="en-US" w:eastAsia="zh-CN" w:bidi="ar"/>
              </w:rPr>
              <w:t xml:space="preserve">₂</w:t>
            </w:r>
            <w:r>
              <w:rPr>
                <w:rFonts w:hint="eastAsia" w:ascii="宋体" w:hAnsi="宋体" w:eastAsia="宋体" w:cs="宋体"/>
                <w:i w:val="0"/>
                <w:iCs w:val="0"/>
                <w:color w:val="000000"/>
                <w:sz w:val="24"/>
                <w:szCs w:val="24"/>
                <w:u w:val="none"/>
                <w:lang w:val="en-US" w:eastAsia="zh-CN" w:bidi="ar"/>
              </w:rPr>
              <w:t xml:space="preserve">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法国ESA/泽天</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NO</w:t>
            </w:r>
            <w:r>
              <w:rPr>
                <w:rStyle w:val="1257"/>
                <w:rFonts w:ascii="宋体" w:eastAsia="宋体"/>
                <w:sz w:val="24"/>
                <w:lang w:val="en-US" w:eastAsia="zh-CN" w:bidi="ar"/>
              </w:rPr>
              <w:t xml:space="preserve">₂</w:t>
            </w:r>
            <w:r>
              <w:rPr>
                <w:rFonts w:hint="eastAsia" w:ascii="宋体" w:hAnsi="宋体" w:eastAsia="宋体" w:cs="宋体"/>
                <w:i w:val="0"/>
                <w:iCs w:val="0"/>
                <w:color w:val="000000"/>
                <w:sz w:val="24"/>
                <w:szCs w:val="24"/>
                <w:u w:val="none"/>
                <w:lang w:val="en-US" w:eastAsia="zh-CN" w:bidi="ar"/>
              </w:rPr>
              <w:t xml:space="preserve">/NOx分析仪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法国ESA/泽天</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臭氧分析仪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动态校准仪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零气发生器</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法国ESA/泽天</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PM10分析仪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PM2.5分析仪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法国ESA河北先河</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氯化氢分析仪</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英国Protea AtmosFIR/青岛和诚</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气象五参数</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云创一体式气象传感器FWS500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站房(含空调、灯具、摄像头、避雷系统、灭火装置)</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bCs/>
                <w:color w:val="000000"/>
                <w:sz w:val="24"/>
                <w:highlight w:val="none"/>
              </w:rPr>
              <w:t xml:space="preserve">VOCs</w:t>
            </w:r>
            <w:r>
              <w:rPr>
                <w:rFonts w:hint="eastAsia"/>
                <w:bCs/>
                <w:color w:val="000000"/>
                <w:sz w:val="24"/>
                <w:highlight w:val="none"/>
              </w:rPr>
              <w:t xml:space="preserve">监测站</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挥发性有机物在线分析仪</w:t>
            </w:r>
            <w:r/>
          </w:p>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(质谱法)</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泽天PAMS-100P</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lang w:val="en-US" w:eastAsia="zh-CN" w:bidi="ar-SA"/>
              </w:rPr>
            </w:pPr>
            <w:r>
              <w:rPr>
                <w:rFonts w:hint="eastAsia"/>
                <w:bCs/>
                <w:color w:val="000000"/>
                <w:sz w:val="24"/>
                <w:highlight w:val="none"/>
              </w:rPr>
              <w:t xml:space="preserve">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限值限量监测设备</w:t>
            </w:r>
            <w:r/>
          </w:p>
        </w:tc>
        <w:tc>
          <w:tcPr>
            <w:shd w:val="clear" w:color="auto" w:fill="auto"/>
            <w:tcBorders>
              <w:top w:val="single" w:color="000000" w:sz="4" w:space="0"/>
              <w:left w:val="single" w:color="000000" w:sz="4" w:space="0"/>
              <w:bottom w:val="single" w:color="000000" w:sz="4" w:space="0"/>
              <w:right w:val="single" w:color="000000" w:sz="4" w:space="0"/>
            </w:tcBorders>
            <w:tcW w:w="38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气体常规六参数、VOCs</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先河环保XHAQSN-812系列</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left="0" w:right="0" w:firstLine="0"/>
              <w:jc w:val="center"/>
              <w:rPr>
                <w:rFonts w:hint="eastAsia" w:ascii="宋体" w:hAnsi="宋体" w:eastAsia="宋体" w:cs="宋体"/>
                <w:i w:val="0"/>
                <w:iCs w:val="0"/>
                <w:color w:val="000000"/>
                <w:sz w:val="24"/>
                <w:szCs w:val="24"/>
                <w:u w:val="none"/>
              </w:rPr>
            </w:pPr>
            <w:r>
              <w:rPr>
                <w:rFonts w:hint="eastAsia"/>
                <w:bCs/>
                <w:color w:val="000000"/>
                <w:sz w:val="24"/>
                <w:highlight w:val="none"/>
              </w:rPr>
              <w:t xml:space="preserve">套</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9060" w:type="dxa"/>
            <w:vAlign w:val="center"/>
            <w:textDirection w:val="lrTb"/>
            <w:noWrap w:val="false"/>
          </w:tcPr>
          <w:p>
            <w:pPr>
              <w:ind w:left="0" w:right="0" w:firstLine="0"/>
              <w:jc w:val="both"/>
              <w:rPr>
                <w:rFonts w:hint="default" w:eastAsia="宋体"/>
                <w:bCs/>
                <w:color w:val="000000"/>
                <w:sz w:val="24"/>
                <w:highlight w:val="none"/>
                <w:lang w:val="en-US" w:eastAsia="zh-CN"/>
              </w:rPr>
            </w:pPr>
            <w:r>
              <w:rPr>
                <w:rFonts w:hint="eastAsia"/>
                <w:b/>
                <w:bCs w:val="0"/>
                <w:color w:val="000000"/>
                <w:sz w:val="24"/>
                <w:highlight w:val="none"/>
                <w:lang w:val="en-US" w:eastAsia="zh-CN"/>
              </w:rPr>
              <w:t xml:space="preserve">服务期内，上述站点需同步提供备品备件、耗材试剂、设备巡检标定及维修配套服务。</w:t>
            </w:r>
            <w:r/>
          </w:p>
        </w:tc>
      </w:tr>
    </w:tbl>
    <w:p>
      <w:pPr>
        <w:rPr>
          <w:b/>
          <w:bCs/>
          <w:color w:val="000000"/>
          <w:sz w:val="24"/>
          <w:highlight w:val="none"/>
        </w:rPr>
      </w:pPr>
      <w:r>
        <w:rPr>
          <w:b/>
          <w:bCs/>
          <w:color w:val="000000"/>
          <w:sz w:val="24"/>
          <w:highlight w:val="none"/>
        </w:rPr>
        <w:br w:type="page" w:clear="all"/>
      </w:r>
      <w:r/>
    </w:p>
    <w:p>
      <w:pPr>
        <w:ind w:firstLine="482"/>
        <w:jc w:val="left"/>
        <w:spacing w:line="360" w:lineRule="auto"/>
        <w:widowControl/>
        <w:rPr>
          <w:b/>
          <w:bCs/>
          <w:color w:val="000000"/>
          <w:sz w:val="24"/>
          <w:highlight w:val="none"/>
        </w:rPr>
        <w:sectPr>
          <w:footnotePr/>
          <w:endnotePr/>
          <w:type w:val="nextPage"/>
          <w:pgSz w:w="11906" w:h="16838" w:orient="portrait"/>
          <w:pgMar w:top="1814" w:right="1531" w:bottom="1984" w:left="1531" w:header="851" w:footer="992" w:gutter="0"/>
          <w:cols w:num="1" w:sep="0" w:space="1701" w:equalWidth="1"/>
          <w:docGrid w:linePitch="360"/>
          <w:titlePg/>
        </w:sectPr>
      </w:pPr>
      <w:r>
        <w:rPr>
          <w:b/>
          <w:bCs/>
          <w:color w:val="000000"/>
          <w:sz w:val="24"/>
          <w:highlight w:val="none"/>
        </w:rPr>
      </w:r>
      <w:bookmarkEnd w:id="7"/>
      <w:r/>
    </w:p>
    <w:p>
      <w:pPr>
        <w:ind w:firstLine="482"/>
        <w:jc w:val="left"/>
        <w:spacing w:line="360" w:lineRule="auto"/>
        <w:widowControl/>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、技术要求及相关说明</w:t>
      </w:r>
      <w:r/>
    </w:p>
    <w:p>
      <w:pPr>
        <w:pStyle w:val="1249"/>
        <w:ind w:firstLine="482"/>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（一）地表水站运维管理内容</w:t>
      </w:r>
      <w:r/>
    </w:p>
    <w:p>
      <w:pPr>
        <w:pStyle w:val="1249"/>
        <w:ind w:firstLine="48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（1）提供、配制并定期更换在线监测仪器所需试剂和标样。</w:t>
      </w:r>
      <w:r/>
    </w:p>
    <w:p>
      <w:pPr>
        <w:pStyle w:val="1249"/>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（2）须每年对pH电极进行一次更换，每两年对高锰酸盐指数电极和溶解氧电极进行一次更换，其余根据江苏省有关水质自动站备品备件管理制度的要求，提供备品备件并按期更换。所有备品备件均由运维方提供。</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（3）须针对水站系统和仪表制定每年保养检修计划并按期进行。保养检修须包括系统的全面清洗和检修、仪器管路清洗、主要备件的更换、仪器的性能测试检查等内容。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（5）对水站仪表进行定期校准、核查、比对。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（6）配合采购方进行水站质量保证和质量质控工作。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（7）随时接受采购方的工作考核及质量考核。</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（8）保证站房清洁，整齐。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（9）认真、及时做好维护记录，汇总各水站每周维护记录，每月以书面形式报采购方，书面报告作为运行维护考核依据之一，具体包括：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1）自动站每日运行数据报表统计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2）自动站现场维护记录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3）自动站仪器设备故障及排除情况登记表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4）自动站每月运行情况</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5）自动站备品备件管理登记表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（10）按照《江苏省环境水质（地表水）自动监测预警系统运行管理办法（试行）》及其实施细则要求对运营水站进行管理。</w:t>
      </w:r>
      <w:bookmarkStart w:id="8" w:name="3.2总体要求"/>
      <w:r/>
      <w:bookmarkEnd w:id="8"/>
      <w:r/>
      <w:r/>
    </w:p>
    <w:p>
      <w:pPr>
        <w:ind w:firstLine="482"/>
        <w:spacing w:line="360" w:lineRule="auto"/>
        <w:rPr>
          <w:rFonts w:hint="eastAsia" w:ascii="宋体" w:hAnsi="宋体" w:eastAsia="宋体" w:cs="宋体"/>
          <w:b/>
          <w:sz w:val="24"/>
          <w:highlight w:val="none"/>
        </w:rPr>
        <w:outlineLvl w:val="2"/>
      </w:pPr>
      <w:r>
        <w:rPr>
          <w:rFonts w:hint="eastAsia" w:ascii="宋体" w:hAnsi="宋体" w:eastAsia="宋体" w:cs="宋体"/>
          <w:b/>
          <w:sz w:val="24"/>
          <w:highlight w:val="none"/>
        </w:rPr>
        <w:t xml:space="preserve">1、具体要求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（1）水质自动监测站系统及仪表维护内容水质自动站要严格按照“日监控，周巡查、月比对”的要求，开展日常维护和质控工作。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总体维护要求每天对水质自动站整个系统进行维护检查，通过宏观检查各仪器运行的状况。每周在现场观察系统运行一个完整的周期，检查整个系统运行状况。通过每日监控、每周巡查，确保仪器设备和系统处于正常的运行状况。水质自动站运行维护内容及要求。</w:t>
      </w:r>
      <w:r/>
    </w:p>
    <w:p>
      <w:pPr>
        <w:numPr>
          <w:ilvl w:val="0"/>
          <w:numId w:val="2"/>
        </w:numPr>
        <w:ind w:left="0" w:firstLine="480"/>
        <w:spacing w:line="360" w:lineRule="auto"/>
        <w:rPr>
          <w:rFonts w:hint="eastAsia" w:ascii="宋体" w:hAnsi="宋体" w:eastAsia="宋体" w:cs="宋体"/>
          <w:b w:val="0"/>
          <w:bCs w:val="0"/>
          <w:sz w:val="24"/>
          <w:highlight w:val="none"/>
        </w:rPr>
        <w:outlineLvl w:val="3"/>
      </w:pPr>
      <w:r>
        <w:rPr>
          <w:rFonts w:hint="eastAsia" w:ascii="宋体" w:hAnsi="宋体" w:eastAsia="宋体" w:cs="宋体"/>
          <w:b w:val="0"/>
          <w:bCs w:val="0"/>
          <w:sz w:val="24"/>
          <w:highlight w:val="none"/>
        </w:rPr>
        <w:t xml:space="preserve">每周工作内容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a.检查水质自动监测站电路系统是否正常，接地线路是否可靠，检查采样和排液管路是否有漏液或堵塞现象，排水排气装置工作是否正常；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b.检查采配水单元是否正常，如采水浮筒固定情况，自吸泵运行情况等；定期清洗采配水系统，包括采水头、吊桶、泵体、沉砂池、过滤头、水样杯、阀门、管路等，对于无法清洗干净的须及时更换；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c.检查工控机运行状态，检查上传至平台数据和现场数据的一致性，检查仪器与系统的通讯线路是否正常；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d.查看水质自动分析仪器及辅助设备的运行状态和主要技术参数，判断运行是否正常。检查有无漏液，进样管路、试剂管路中是否有气泡存在，如有及时将气泡排出；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e.检查空调及保温措施，检查水泵及空压机固定情况，避免仪器振动。检查不间断电源(UPS)除藻装置、纯水机等外部保障设施运行状态，并及时更换耗材；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f.检查试剂使用状况，定期添加、更换试剂；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g.检查防雷设施是否可靠， 站房是否有漏水现象，站房外围的其他设施是否有损坏，如遇到以上问题及时处理，保证水质自动监测站系统安全运行。在封冻期来临前做好采水管路和站房保温等维护工作；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h.做好废液收集并按相关规定做好处置工作；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i.保持水质自动监测站站房及各仪器干净整洁， 及时关闭门窗， 避免日光直射各类分析仪器。</w:t>
      </w:r>
      <w:r/>
    </w:p>
    <w:tbl>
      <w:tblPr>
        <w:tblStyle w:val="10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665"/>
        <w:gridCol w:w="1323"/>
        <w:gridCol w:w="5262"/>
      </w:tblGrid>
      <w:tr>
        <w:trPr>
          <w:jc w:val="center"/>
          <w:trHeight w:val="23"/>
        </w:trPr>
        <w:tc>
          <w:tcPr>
            <w:tcW w:w="447" w:type="pct"/>
            <w:vAlign w:val="center"/>
            <w:textDirection w:val="lrTb"/>
            <w:noWrap w:val="false"/>
          </w:tcPr>
          <w:p>
            <w:pPr>
              <w:jc w:val="center"/>
              <w:spacing w:after="120"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919" w:type="pct"/>
            <w:vAlign w:val="center"/>
            <w:textDirection w:val="lrTb"/>
            <w:noWrap w:val="false"/>
          </w:tcPr>
          <w:p>
            <w:pPr>
              <w:jc w:val="center"/>
              <w:spacing w:after="120"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维护内容</w:t>
            </w:r>
            <w:r/>
          </w:p>
        </w:tc>
        <w:tc>
          <w:tcPr>
            <w:tcW w:w="730" w:type="pct"/>
            <w:vAlign w:val="center"/>
            <w:textDirection w:val="lrTb"/>
            <w:noWrap w:val="false"/>
          </w:tcPr>
          <w:p>
            <w:pPr>
              <w:jc w:val="center"/>
              <w:spacing w:after="120"/>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维护周期及目标</w:t>
            </w:r>
            <w:r/>
          </w:p>
        </w:tc>
        <w:tc>
          <w:tcPr>
            <w:tcW w:w="2904" w:type="pct"/>
            <w:vAlign w:val="center"/>
            <w:textDirection w:val="lrTb"/>
            <w:noWrap w:val="false"/>
          </w:tcPr>
          <w:p>
            <w:pPr>
              <w:jc w:val="center"/>
              <w:spacing w:after="120"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维护要求</w:t>
            </w:r>
            <w:r/>
          </w:p>
        </w:tc>
      </w:tr>
      <w:tr>
        <w:trPr>
          <w:jc w:val="center"/>
          <w:trHeight w:val="23"/>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w:t>
            </w:r>
            <w:r/>
          </w:p>
        </w:tc>
        <w:tc>
          <w:tcPr>
            <w:tcW w:w="919"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color w:val="000000"/>
                <w:sz w:val="24"/>
                <w:highlight w:val="none"/>
              </w:rPr>
              <w:t xml:space="preserve">通讯检查</w:t>
            </w:r>
            <w:r/>
          </w:p>
        </w:tc>
        <w:tc>
          <w:tcPr>
            <w:tcW w:w="730"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周，确保控制和数据上传通道畅通</w:t>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确保工控机各个串口和</w:t>
            </w:r>
            <w:r>
              <w:rPr>
                <w:rFonts w:eastAsia="Times New Roman"/>
                <w:color w:val="000000"/>
                <w:sz w:val="24"/>
                <w:highlight w:val="none"/>
              </w:rPr>
              <w:t xml:space="preserve">PLC</w:t>
            </w:r>
            <w:r>
              <w:rPr>
                <w:color w:val="000000"/>
                <w:sz w:val="24"/>
                <w:highlight w:val="none"/>
              </w:rPr>
              <w:t xml:space="preserve">、数采仪、分析仪器连接一一对应正确且牢固</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通过现场监控软件测试工控与</w:t>
            </w:r>
            <w:r>
              <w:rPr>
                <w:rFonts w:eastAsia="Times New Roman"/>
                <w:color w:val="000000"/>
                <w:sz w:val="24"/>
                <w:highlight w:val="none"/>
              </w:rPr>
              <w:t xml:space="preserve">PLC</w:t>
            </w:r>
            <w:r>
              <w:rPr>
                <w:color w:val="000000"/>
                <w:sz w:val="24"/>
                <w:highlight w:val="none"/>
              </w:rPr>
              <w:t xml:space="preserve">及各个仪器之间是否连接正确</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VPN</w:t>
            </w:r>
            <w:r>
              <w:rPr>
                <w:color w:val="000000"/>
                <w:sz w:val="24"/>
                <w:highlight w:val="none"/>
              </w:rPr>
              <w:t xml:space="preserve">网络设备检查，保证通讯畅通</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视频监控设备检查，监控视角位置</w:t>
            </w:r>
            <w:r/>
          </w:p>
        </w:tc>
      </w:tr>
      <w:tr>
        <w:trPr>
          <w:jc w:val="center"/>
          <w:trHeight w:val="23"/>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2</w:t>
            </w:r>
            <w:r/>
          </w:p>
        </w:tc>
        <w:tc>
          <w:tcPr>
            <w:tcW w:w="919"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PLC</w:t>
            </w:r>
            <w:r>
              <w:rPr>
                <w:color w:val="000000"/>
                <w:sz w:val="24"/>
                <w:highlight w:val="none"/>
              </w:rPr>
              <w:t xml:space="preserve">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检查</w:t>
            </w:r>
            <w:r>
              <w:rPr>
                <w:rFonts w:eastAsia="Times New Roman"/>
                <w:color w:val="000000"/>
                <w:sz w:val="24"/>
                <w:highlight w:val="none"/>
              </w:rPr>
              <w:t xml:space="preserve">PLC</w:t>
            </w:r>
            <w:r>
              <w:rPr>
                <w:color w:val="000000"/>
                <w:sz w:val="24"/>
                <w:highlight w:val="none"/>
              </w:rPr>
              <w:t xml:space="preserve">状态数据传输和报警灯，确保无数据传输和报警</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确保取水过程中</w:t>
            </w:r>
            <w:r>
              <w:rPr>
                <w:rFonts w:eastAsia="Times New Roman"/>
                <w:color w:val="000000"/>
                <w:sz w:val="24"/>
                <w:highlight w:val="none"/>
              </w:rPr>
              <w:t xml:space="preserve">PLC</w:t>
            </w:r>
            <w:r>
              <w:rPr>
                <w:color w:val="000000"/>
                <w:sz w:val="24"/>
                <w:highlight w:val="none"/>
              </w:rPr>
              <w:t xml:space="preserve">上各个点输入输出状态正确</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测量并确保</w:t>
            </w:r>
            <w:r>
              <w:rPr>
                <w:rFonts w:eastAsia="Times New Roman"/>
                <w:color w:val="000000"/>
                <w:sz w:val="24"/>
                <w:highlight w:val="none"/>
              </w:rPr>
              <w:t xml:space="preserve">PLC</w:t>
            </w:r>
            <w:r>
              <w:rPr>
                <w:color w:val="000000"/>
                <w:sz w:val="24"/>
                <w:highlight w:val="none"/>
              </w:rPr>
              <w:t xml:space="preserve">时钟电池电压正常。必要的情况更换电池</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确保</w:t>
            </w:r>
            <w:r>
              <w:rPr>
                <w:rFonts w:eastAsia="Times New Roman"/>
                <w:color w:val="000000"/>
                <w:sz w:val="24"/>
                <w:highlight w:val="none"/>
              </w:rPr>
              <w:t xml:space="preserve">PLC</w:t>
            </w:r>
            <w:r>
              <w:rPr>
                <w:color w:val="000000"/>
                <w:sz w:val="24"/>
                <w:highlight w:val="none"/>
              </w:rPr>
              <w:t xml:space="preserve">串口模块连接牢固</w:t>
            </w:r>
            <w:r/>
          </w:p>
        </w:tc>
      </w:tr>
      <w:tr>
        <w:trPr>
          <w:jc w:val="center"/>
          <w:trHeight w:val="597"/>
        </w:trPr>
        <w:tc>
          <w:tcPr>
            <w:tcW w:w="447"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3</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面板开关检查</w:t>
            </w:r>
            <w:r/>
          </w:p>
        </w:tc>
        <w:tc>
          <w:tcPr>
            <w:tcW w:w="730" w:type="pct"/>
            <w:vAlign w:val="center"/>
            <w:vMerge w:val="restar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周，确保各开关功能正常</w:t>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检查控制柜前面板开关和指示灯确保其工作正常</w:t>
            </w:r>
            <w:r/>
          </w:p>
        </w:tc>
      </w:tr>
      <w:tr>
        <w:trPr>
          <w:jc w:val="center"/>
          <w:trHeight w:val="396"/>
        </w:trPr>
        <w:tc>
          <w:tcPr>
            <w:tcW w:w="447"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4</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配电板清扫</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清扫配电板上各个元件上的灰尘等</w:t>
            </w:r>
            <w:r/>
          </w:p>
        </w:tc>
      </w:tr>
      <w:tr>
        <w:trPr>
          <w:jc w:val="center"/>
          <w:trHeight w:val="1452"/>
        </w:trPr>
        <w:tc>
          <w:tcPr>
            <w:tcW w:w="447"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5</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配电板状态检查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检查确保配电板上各个接线接头不松动，并清除锈蚀接头。确保各个接触器和继电器工作正常</w:t>
            </w:r>
            <w:r/>
          </w:p>
        </w:tc>
      </w:tr>
      <w:tr>
        <w:trPr>
          <w:jc w:val="center"/>
          <w:trHeight w:val="312"/>
        </w:trPr>
        <w:tc>
          <w:tcPr>
            <w:tcW w:w="447" w:type="pct"/>
            <w:vAlign w:val="center"/>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6</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接地检查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确保各个机柜和用电器接地良好，尤其注意防雷保护器接地</w:t>
            </w:r>
            <w:r/>
          </w:p>
        </w:tc>
      </w:tr>
      <w:tr>
        <w:trPr>
          <w:jc w:val="center"/>
          <w:trHeight w:val="23"/>
        </w:trPr>
        <w:tc>
          <w:tcPr>
            <w:tcW w:w="447"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7</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温湿度仪检查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检查温湿度仪是否显示合理，保证温度探头反应灵敏</w:t>
            </w:r>
            <w:r/>
          </w:p>
        </w:tc>
      </w:tr>
      <w:tr>
        <w:trPr>
          <w:jc w:val="center"/>
          <w:trHeight w:val="23"/>
        </w:trPr>
        <w:tc>
          <w:tcPr>
            <w:tcW w:w="447"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8</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稳压电源清扫</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断电情况下清扫稳压电源内的灰尘</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检查碳刷是否正常，磨损较多情况必须更换</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上电测试，确保稳压源工作正常</w:t>
            </w:r>
            <w:r/>
          </w:p>
        </w:tc>
      </w:tr>
      <w:tr>
        <w:trPr>
          <w:jc w:val="center"/>
          <w:trHeight w:val="23"/>
        </w:trPr>
        <w:tc>
          <w:tcPr>
            <w:tcW w:w="447"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9</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UPS</w:t>
            </w:r>
            <w:r>
              <w:rPr>
                <w:color w:val="000000"/>
                <w:sz w:val="24"/>
                <w:highlight w:val="none"/>
              </w:rPr>
              <w:t xml:space="preserve">检查清扫</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断电情况下清扫</w:t>
            </w:r>
            <w:r>
              <w:rPr>
                <w:rFonts w:eastAsia="Times New Roman"/>
                <w:color w:val="000000"/>
                <w:sz w:val="24"/>
                <w:highlight w:val="none"/>
              </w:rPr>
              <w:t xml:space="preserve">UPS</w:t>
            </w:r>
            <w:r>
              <w:rPr>
                <w:color w:val="000000"/>
                <w:sz w:val="24"/>
                <w:highlight w:val="none"/>
              </w:rPr>
              <w:t xml:space="preserve">各个散热孔上的灰尘</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检查确保</w:t>
            </w:r>
            <w:r>
              <w:rPr>
                <w:rFonts w:eastAsia="Times New Roman"/>
                <w:color w:val="000000"/>
                <w:sz w:val="24"/>
                <w:highlight w:val="none"/>
              </w:rPr>
              <w:t xml:space="preserve">UPS</w:t>
            </w:r>
            <w:r>
              <w:rPr>
                <w:color w:val="000000"/>
                <w:sz w:val="24"/>
                <w:highlight w:val="none"/>
              </w:rPr>
              <w:t xml:space="preserve">充放电正常</w:t>
            </w:r>
            <w:r/>
          </w:p>
        </w:tc>
      </w:tr>
      <w:tr>
        <w:trPr>
          <w:jc w:val="center"/>
          <w:trHeight w:val="23"/>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10</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UPS</w:t>
            </w:r>
            <w:r>
              <w:rPr>
                <w:color w:val="000000"/>
                <w:sz w:val="24"/>
                <w:highlight w:val="none"/>
              </w:rPr>
              <w:t xml:space="preserve">电池箱清扫</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做好绝缘措施情况下清扫</w:t>
            </w:r>
            <w:r>
              <w:rPr>
                <w:rFonts w:eastAsia="Times New Roman"/>
                <w:color w:val="000000"/>
                <w:sz w:val="24"/>
                <w:highlight w:val="none"/>
              </w:rPr>
              <w:t xml:space="preserve">UPS</w:t>
            </w:r>
            <w:r>
              <w:rPr>
                <w:color w:val="000000"/>
                <w:sz w:val="24"/>
                <w:highlight w:val="none"/>
              </w:rPr>
              <w:t xml:space="preserve">电池箱内的灰尘</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确保箱内各个电池联线接触良好牢固</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确保各个电池无漏液，外观正常</w:t>
            </w:r>
            <w:r/>
          </w:p>
        </w:tc>
      </w:tr>
      <w:tr>
        <w:trPr>
          <w:jc w:val="center"/>
          <w:trHeight w:val="23"/>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11</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机柜台面清扫及检查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检查机柜台面及玻璃是否清洁</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检查机柜各门是否关于完好</w:t>
            </w:r>
            <w:r/>
          </w:p>
        </w:tc>
      </w:tr>
      <w:tr>
        <w:trPr>
          <w:jc w:val="center"/>
          <w:trHeight w:val="441"/>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12</w:t>
            </w:r>
            <w:r/>
          </w:p>
        </w:tc>
        <w:tc>
          <w:tcPr>
            <w:tcW w:w="919"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color w:val="000000"/>
                <w:sz w:val="24"/>
                <w:highlight w:val="none"/>
              </w:rPr>
              <w:t xml:space="preserve">实验区清扫</w:t>
            </w:r>
            <w:r/>
          </w:p>
        </w:tc>
        <w:tc>
          <w:tcPr>
            <w:tcW w:w="730" w:type="pct"/>
            <w:vAlign w:val="center"/>
            <w:vMerge w:val="restar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周，确保室内整齐清洁</w:t>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保持实验区台面清洁</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保持仪器设备摆放征集</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按要求存储试剂</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按要求处置废液</w:t>
            </w:r>
            <w:r/>
          </w:p>
        </w:tc>
      </w:tr>
      <w:tr>
        <w:trPr>
          <w:jc w:val="center"/>
          <w:trHeight w:val="23"/>
        </w:trPr>
        <w:tc>
          <w:tcPr>
            <w:tcW w:w="447"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13</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高锰酸盐指数分析仪维护</w:t>
            </w:r>
            <w:r/>
          </w:p>
        </w:tc>
        <w:tc>
          <w:tcPr>
            <w:tcW w:w="730"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周，确保监测仪器所需试剂充足，管路、阀门处于正常状态，仪器电极无沾污，运行稳定，比对数据合格</w:t>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检查数据传输和报警模块是否正常</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确保冷却水供应正常</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清除水浴锅内水垢，疏通管道</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确保各个阀门正常</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5</w:t>
            </w:r>
            <w:r>
              <w:rPr>
                <w:rFonts w:hint="eastAsia" w:cs="宋体"/>
                <w:color w:val="000000"/>
                <w:sz w:val="24"/>
                <w:highlight w:val="none"/>
              </w:rPr>
              <w:t xml:space="preserve">）</w:t>
            </w:r>
            <w:r>
              <w:rPr>
                <w:color w:val="000000"/>
                <w:sz w:val="24"/>
                <w:highlight w:val="none"/>
              </w:rPr>
              <w:t xml:space="preserve">检查并更换老化的输送硫酸软管</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6</w:t>
            </w:r>
            <w:r>
              <w:rPr>
                <w:rFonts w:hint="eastAsia" w:cs="宋体"/>
                <w:color w:val="000000"/>
                <w:sz w:val="24"/>
                <w:highlight w:val="none"/>
              </w:rPr>
              <w:t xml:space="preserve">）</w:t>
            </w:r>
            <w:r>
              <w:rPr>
                <w:color w:val="000000"/>
                <w:sz w:val="24"/>
                <w:highlight w:val="none"/>
              </w:rPr>
              <w:t xml:space="preserve">添加参比电极电解液</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7</w:t>
            </w:r>
            <w:r>
              <w:rPr>
                <w:rFonts w:hint="eastAsia" w:cs="宋体"/>
                <w:color w:val="000000"/>
                <w:sz w:val="24"/>
                <w:highlight w:val="none"/>
              </w:rPr>
              <w:t xml:space="preserve">）</w:t>
            </w:r>
            <w:r>
              <w:rPr>
                <w:color w:val="000000"/>
                <w:sz w:val="24"/>
                <w:highlight w:val="none"/>
              </w:rPr>
              <w:t xml:space="preserve">清除</w:t>
            </w:r>
            <w:r>
              <w:rPr>
                <w:rFonts w:eastAsia="Times New Roman"/>
                <w:color w:val="000000"/>
                <w:sz w:val="24"/>
                <w:highlight w:val="none"/>
              </w:rPr>
              <w:t xml:space="preserve">ORP</w:t>
            </w:r>
            <w:r>
              <w:rPr>
                <w:color w:val="000000"/>
                <w:sz w:val="24"/>
                <w:highlight w:val="none"/>
              </w:rPr>
              <w:t xml:space="preserve">电极上污垢</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8</w:t>
            </w:r>
            <w:r>
              <w:rPr>
                <w:rFonts w:hint="eastAsia" w:cs="宋体"/>
                <w:color w:val="000000"/>
                <w:sz w:val="24"/>
                <w:highlight w:val="none"/>
              </w:rPr>
              <w:t xml:space="preserve">）</w:t>
            </w:r>
            <w:r>
              <w:rPr>
                <w:color w:val="000000"/>
                <w:sz w:val="24"/>
                <w:highlight w:val="none"/>
              </w:rPr>
              <w:t xml:space="preserve">检查并更换老化的</w:t>
            </w:r>
            <w:r>
              <w:rPr>
                <w:rFonts w:eastAsia="Times New Roman"/>
                <w:color w:val="000000"/>
                <w:sz w:val="24"/>
                <w:highlight w:val="none"/>
              </w:rPr>
              <w:t xml:space="preserve">ORP</w:t>
            </w:r>
            <w:r>
              <w:rPr>
                <w:color w:val="000000"/>
                <w:sz w:val="24"/>
                <w:highlight w:val="none"/>
              </w:rPr>
              <w:t xml:space="preserve">电极</w:t>
            </w:r>
            <w:r/>
          </w:p>
        </w:tc>
      </w:tr>
      <w:tr>
        <w:trPr>
          <w:jc w:val="center"/>
          <w:trHeight w:val="23"/>
        </w:trPr>
        <w:tc>
          <w:tcPr>
            <w:tcW w:w="447"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14</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氨氮分析仪维护</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检查氨氮分析仪加热模块是否正常，是否维持在</w:t>
            </w:r>
            <w:r>
              <w:rPr>
                <w:rFonts w:eastAsia="Times New Roman"/>
                <w:color w:val="000000"/>
                <w:sz w:val="24"/>
                <w:highlight w:val="none"/>
              </w:rPr>
              <w:t xml:space="preserve"> 40</w:t>
            </w:r>
            <w:r>
              <w:rPr>
                <w:color w:val="000000"/>
                <w:sz w:val="24"/>
                <w:highlight w:val="none"/>
              </w:rPr>
              <w:t xml:space="preserve">℃</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检查气敏膜，添加电解液</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检查并更换老化的氨氮管路系统</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检查并更换老化的氨氮蠕动泵管</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5</w:t>
            </w:r>
            <w:r>
              <w:rPr>
                <w:rFonts w:hint="eastAsia" w:cs="宋体"/>
                <w:color w:val="000000"/>
                <w:sz w:val="24"/>
                <w:highlight w:val="none"/>
              </w:rPr>
              <w:t xml:space="preserve">）</w:t>
            </w:r>
            <w:r>
              <w:rPr>
                <w:color w:val="000000"/>
                <w:sz w:val="24"/>
                <w:highlight w:val="none"/>
              </w:rPr>
              <w:t xml:space="preserve">检查并更换老化的加热迂回管路</w:t>
            </w:r>
            <w:r/>
          </w:p>
        </w:tc>
      </w:tr>
      <w:tr>
        <w:trPr>
          <w:jc w:val="center"/>
          <w:trHeight w:val="477"/>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6</w:t>
            </w:r>
            <w:r>
              <w:rPr>
                <w:rFonts w:hint="eastAsia" w:cs="宋体"/>
                <w:color w:val="000000"/>
                <w:sz w:val="24"/>
                <w:highlight w:val="none"/>
              </w:rPr>
              <w:t xml:space="preserve">）</w:t>
            </w:r>
            <w:r>
              <w:rPr>
                <w:color w:val="000000"/>
                <w:sz w:val="24"/>
                <w:highlight w:val="none"/>
              </w:rPr>
              <w:t xml:space="preserve">检查并更换老化的电极</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7</w:t>
            </w:r>
            <w:r>
              <w:rPr>
                <w:rFonts w:hint="eastAsia" w:cs="宋体"/>
                <w:color w:val="000000"/>
                <w:sz w:val="24"/>
                <w:highlight w:val="none"/>
              </w:rPr>
              <w:t xml:space="preserve">）</w:t>
            </w:r>
            <w:r>
              <w:rPr>
                <w:color w:val="000000"/>
                <w:sz w:val="24"/>
                <w:highlight w:val="none"/>
              </w:rPr>
              <w:t xml:space="preserve">修正液位压力传感器参数</w:t>
            </w:r>
            <w:r/>
          </w:p>
        </w:tc>
      </w:tr>
      <w:tr>
        <w:trPr>
          <w:jc w:val="center"/>
          <w:trHeight w:val="472"/>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color w:val="000000"/>
                <w:sz w:val="24"/>
                <w:highlight w:val="none"/>
              </w:rPr>
              <w:t xml:space="preserve">8</w:t>
            </w:r>
            <w:r>
              <w:rPr>
                <w:rFonts w:hint="eastAsia" w:cs="宋体"/>
                <w:color w:val="000000"/>
                <w:sz w:val="24"/>
                <w:highlight w:val="none"/>
              </w:rPr>
              <w:t xml:space="preserve">）</w:t>
            </w:r>
            <w:r>
              <w:rPr>
                <w:color w:val="000000"/>
                <w:sz w:val="24"/>
                <w:highlight w:val="none"/>
              </w:rPr>
              <w:t xml:space="preserve">确保冷却水供应正常</w:t>
            </w:r>
            <w:r/>
          </w:p>
        </w:tc>
      </w:tr>
      <w:tr>
        <w:trPr>
          <w:jc w:val="center"/>
          <w:trHeight w:val="470"/>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color w:val="000000"/>
                <w:sz w:val="24"/>
                <w:highlight w:val="none"/>
              </w:rPr>
              <w:t xml:space="preserve">9</w:t>
            </w:r>
            <w:r>
              <w:rPr>
                <w:rFonts w:hint="eastAsia" w:cs="宋体"/>
                <w:color w:val="000000"/>
                <w:sz w:val="24"/>
                <w:highlight w:val="none"/>
              </w:rPr>
              <w:t xml:space="preserve">）</w:t>
            </w:r>
            <w:r>
              <w:rPr>
                <w:color w:val="000000"/>
                <w:sz w:val="24"/>
                <w:highlight w:val="none"/>
              </w:rPr>
              <w:t xml:space="preserve">保证氮气的正常供应</w:t>
            </w:r>
            <w:r/>
          </w:p>
        </w:tc>
      </w:tr>
      <w:tr>
        <w:trPr>
          <w:jc w:val="center"/>
          <w:trHeight w:val="472"/>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color w:val="000000"/>
                <w:sz w:val="24"/>
                <w:highlight w:val="none"/>
              </w:rPr>
              <w:t xml:space="preserve">10</w:t>
            </w:r>
            <w:r>
              <w:rPr>
                <w:rFonts w:hint="eastAsia" w:cs="宋体"/>
                <w:color w:val="000000"/>
                <w:sz w:val="24"/>
                <w:highlight w:val="none"/>
              </w:rPr>
              <w:t xml:space="preserve">）</w:t>
            </w:r>
            <w:r>
              <w:rPr>
                <w:color w:val="000000"/>
                <w:sz w:val="24"/>
                <w:highlight w:val="none"/>
              </w:rPr>
              <w:t xml:space="preserve">确保各个阀门正常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color w:val="000000"/>
                <w:sz w:val="24"/>
                <w:highlight w:val="none"/>
              </w:rPr>
              <w:t xml:space="preserve">11</w:t>
            </w:r>
            <w:r>
              <w:rPr>
                <w:rFonts w:hint="eastAsia" w:cs="宋体"/>
                <w:color w:val="000000"/>
                <w:sz w:val="24"/>
                <w:highlight w:val="none"/>
              </w:rPr>
              <w:t xml:space="preserve">）</w:t>
            </w:r>
            <w:r>
              <w:rPr>
                <w:color w:val="000000"/>
                <w:sz w:val="24"/>
                <w:highlight w:val="none"/>
              </w:rPr>
              <w:t xml:space="preserve">检查燃烧器</w:t>
            </w:r>
            <w:r/>
          </w:p>
        </w:tc>
      </w:tr>
      <w:tr>
        <w:trPr>
          <w:jc w:val="center"/>
          <w:trHeight w:val="473"/>
        </w:trPr>
        <w:tc>
          <w:tcPr>
            <w:tcW w:w="447" w:type="pct"/>
            <w:vAlign w:val="center"/>
            <w:vMerge w:val="restart"/>
            <w:textDirection w:val="lrTb"/>
            <w:noWrap w:val="false"/>
          </w:tcPr>
          <w:p>
            <w:pPr>
              <w:spacing w:after="120" w:line="360" w:lineRule="auto"/>
              <w:widowControl/>
              <w:rPr>
                <w:color w:val="000000"/>
                <w:sz w:val="24"/>
                <w:highlight w:val="none"/>
              </w:rPr>
            </w:pPr>
            <w:r>
              <w:rPr>
                <w:rFonts w:hint="eastAsia"/>
                <w:color w:val="000000"/>
                <w:sz w:val="24"/>
                <w:highlight w:val="none"/>
              </w:rPr>
              <w:t xml:space="preserve">15</w:t>
            </w:r>
            <w:r/>
          </w:p>
        </w:tc>
        <w:tc>
          <w:tcPr>
            <w:tcW w:w="919" w:type="pct"/>
            <w:vAlign w:val="center"/>
            <w:vMerge w:val="restart"/>
            <w:textDirection w:val="lrTb"/>
            <w:noWrap w:val="false"/>
          </w:tcPr>
          <w:p>
            <w:pPr>
              <w:spacing w:after="120" w:line="360" w:lineRule="auto"/>
              <w:widowControl/>
              <w:rPr>
                <w:rFonts w:eastAsia="Times New Roman"/>
                <w:color w:val="000000"/>
                <w:sz w:val="24"/>
                <w:highlight w:val="none"/>
              </w:rPr>
            </w:pPr>
            <w:r>
              <w:rPr>
                <w:rFonts w:hint="eastAsia" w:cs="宋体"/>
                <w:color w:val="000000" w:themeColor="text1"/>
                <w:sz w:val="24"/>
                <w:highlight w:val="none"/>
                <w14:textFill>
                  <w14:solidFill>
                    <w14:schemeClr w14:val="tx1"/>
                  </w14:solidFill>
                </w14:textFill>
              </w:rPr>
              <w:t xml:space="preserve">总磷分析仪维护</w:t>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1</w:t>
            </w:r>
            <w:r>
              <w:rPr>
                <w:rFonts w:hint="eastAsia"/>
                <w:color w:val="000000"/>
                <w:sz w:val="24"/>
                <w:highlight w:val="none"/>
              </w:rPr>
              <w:t xml:space="preserve">）检查数据传输和报警模块是否正常。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2</w:t>
            </w:r>
            <w:r>
              <w:rPr>
                <w:rFonts w:hint="eastAsia"/>
                <w:color w:val="000000"/>
                <w:sz w:val="24"/>
                <w:highlight w:val="none"/>
              </w:rPr>
              <w:t xml:space="preserve">）更换试剂。</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3</w:t>
            </w:r>
            <w:r>
              <w:rPr>
                <w:rFonts w:hint="eastAsia"/>
                <w:color w:val="000000"/>
                <w:sz w:val="24"/>
                <w:highlight w:val="none"/>
              </w:rPr>
              <w:t xml:space="preserve">）确保冷却水供应正常。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4</w:t>
            </w:r>
            <w:r>
              <w:rPr>
                <w:rFonts w:hint="eastAsia"/>
                <w:color w:val="000000"/>
                <w:sz w:val="24"/>
                <w:highlight w:val="none"/>
              </w:rPr>
              <w:t xml:space="preserve">）清除水浴锅内水垢，疏通管道。</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5</w:t>
            </w:r>
            <w:r>
              <w:rPr>
                <w:rFonts w:hint="eastAsia"/>
                <w:color w:val="000000"/>
                <w:sz w:val="24"/>
                <w:highlight w:val="none"/>
              </w:rPr>
              <w:t xml:space="preserve">）检查并更换老化的</w:t>
            </w:r>
            <w:r>
              <w:rPr>
                <w:color w:val="000000"/>
                <w:sz w:val="24"/>
                <w:highlight w:val="none"/>
              </w:rPr>
              <w:t xml:space="preserve"> UV </w:t>
            </w:r>
            <w:r>
              <w:rPr>
                <w:rFonts w:hint="eastAsia"/>
                <w:color w:val="000000"/>
                <w:sz w:val="24"/>
                <w:highlight w:val="none"/>
              </w:rPr>
              <w:t xml:space="preserve">灯。</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6</w:t>
            </w:r>
            <w:r>
              <w:rPr>
                <w:rFonts w:hint="eastAsia"/>
                <w:color w:val="000000"/>
                <w:sz w:val="24"/>
                <w:highlight w:val="none"/>
              </w:rPr>
              <w:t xml:space="preserve">）确保各个阀门正常。</w:t>
            </w:r>
            <w:r/>
          </w:p>
        </w:tc>
      </w:tr>
      <w:tr>
        <w:trPr>
          <w:jc w:val="center"/>
          <w:trHeight w:val="473"/>
        </w:trPr>
        <w:tc>
          <w:tcPr>
            <w:tcW w:w="447" w:type="pct"/>
            <w:vAlign w:val="center"/>
            <w:vMerge w:val="restart"/>
            <w:textDirection w:val="lrTb"/>
            <w:noWrap w:val="false"/>
          </w:tcPr>
          <w:p>
            <w:pPr>
              <w:spacing w:after="120" w:line="360" w:lineRule="auto"/>
              <w:widowControl/>
              <w:rPr>
                <w:color w:val="000000"/>
                <w:sz w:val="24"/>
                <w:highlight w:val="none"/>
              </w:rPr>
            </w:pPr>
            <w:r>
              <w:rPr>
                <w:rFonts w:hint="eastAsia"/>
                <w:color w:val="000000"/>
                <w:sz w:val="24"/>
                <w:highlight w:val="none"/>
              </w:rPr>
              <w:t xml:space="preserve">16</w:t>
            </w:r>
            <w:r/>
          </w:p>
        </w:tc>
        <w:tc>
          <w:tcPr>
            <w:tcW w:w="919" w:type="pct"/>
            <w:vAlign w:val="center"/>
            <w:vMerge w:val="restart"/>
            <w:textDirection w:val="lrTb"/>
            <w:noWrap w:val="false"/>
          </w:tcPr>
          <w:p>
            <w:pPr>
              <w:spacing w:after="120" w:line="360" w:lineRule="auto"/>
              <w:widowControl/>
              <w:rPr>
                <w:rFonts w:eastAsia="Times New Roman"/>
                <w:color w:val="000000"/>
                <w:sz w:val="24"/>
                <w:highlight w:val="none"/>
              </w:rPr>
            </w:pPr>
            <w:r>
              <w:rPr>
                <w:rFonts w:hint="eastAsia" w:cs="宋体"/>
                <w:color w:val="000000" w:themeColor="text1"/>
                <w:sz w:val="24"/>
                <w:highlight w:val="none"/>
                <w14:textFill>
                  <w14:solidFill>
                    <w14:schemeClr w14:val="tx1"/>
                  </w14:solidFill>
                </w14:textFill>
              </w:rPr>
              <w:t xml:space="preserve">总氮分析仪</w:t>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50"/>
              <w:jc w:val="left"/>
              <w:rPr>
                <w:color w:val="000000"/>
                <w:highlight w:val="none"/>
              </w:rPr>
            </w:pPr>
            <w:r>
              <w:rPr>
                <w:color w:val="000000" w:themeColor="text1"/>
                <w:highlight w:val="none"/>
                <w14:textFill>
                  <w14:solidFill>
                    <w14:schemeClr w14:val="tx1"/>
                  </w14:solidFill>
                </w14:textFill>
              </w:rPr>
              <w:t xml:space="preserve">1</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检查数据传输和报警模块是否正常。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50"/>
              <w:jc w:val="left"/>
              <w:rPr>
                <w:color w:val="000000"/>
                <w:highlight w:val="none"/>
              </w:rPr>
            </w:pPr>
            <w:r>
              <w:rPr>
                <w:color w:val="000000" w:themeColor="text1"/>
                <w:highlight w:val="none"/>
                <w14:textFill>
                  <w14:solidFill>
                    <w14:schemeClr w14:val="tx1"/>
                  </w14:solidFill>
                </w14:textFill>
              </w:rPr>
              <w:t xml:space="preserve">2</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确保纯水供应正常。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50"/>
              <w:jc w:val="left"/>
              <w:rPr>
                <w:color w:val="000000"/>
                <w:highlight w:val="none"/>
              </w:rPr>
            </w:pPr>
            <w:r>
              <w:rPr>
                <w:color w:val="000000" w:themeColor="text1"/>
                <w:highlight w:val="none"/>
                <w14:textFill>
                  <w14:solidFill>
                    <w14:schemeClr w14:val="tx1"/>
                  </w14:solidFill>
                </w14:textFill>
              </w:rPr>
              <w:t xml:space="preserve">3</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清除水浴锅内水垢，疏通管道。</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50"/>
              <w:jc w:val="left"/>
              <w:rPr>
                <w:color w:val="000000"/>
                <w:highlight w:val="none"/>
              </w:rPr>
            </w:pPr>
            <w:r>
              <w:rPr>
                <w:color w:val="000000" w:themeColor="text1"/>
                <w:highlight w:val="none"/>
                <w14:textFill>
                  <w14:solidFill>
                    <w14:schemeClr w14:val="tx1"/>
                  </w14:solidFill>
                </w14:textFill>
              </w:rPr>
              <w:t xml:space="preserve">4</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检查并更换老化的</w:t>
            </w:r>
            <w:r>
              <w:rPr>
                <w:color w:val="000000" w:themeColor="text1"/>
                <w:highlight w:val="none"/>
                <w14:textFill>
                  <w14:solidFill>
                    <w14:schemeClr w14:val="tx1"/>
                  </w14:solidFill>
                </w14:textFill>
              </w:rPr>
              <w:t xml:space="preserve"> UV </w:t>
            </w:r>
            <w:r>
              <w:rPr>
                <w:rFonts w:hint="eastAsia" w:cs="宋体"/>
                <w:color w:val="000000" w:themeColor="text1"/>
                <w:highlight w:val="none"/>
                <w14:textFill>
                  <w14:solidFill>
                    <w14:schemeClr w14:val="tx1"/>
                  </w14:solidFill>
                </w14:textFill>
              </w:rPr>
              <w:t xml:space="preserve">灯。</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50"/>
              <w:jc w:val="left"/>
              <w:rPr>
                <w:color w:val="000000"/>
                <w:highlight w:val="none"/>
              </w:rPr>
            </w:pPr>
            <w:r>
              <w:rPr>
                <w:color w:val="000000" w:themeColor="text1"/>
                <w:highlight w:val="none"/>
                <w14:textFill>
                  <w14:solidFill>
                    <w14:schemeClr w14:val="tx1"/>
                  </w14:solidFill>
                </w14:textFill>
              </w:rPr>
              <w:t xml:space="preserve">5</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确保各个阀门正常。</w:t>
            </w:r>
            <w:r/>
          </w:p>
        </w:tc>
      </w:tr>
      <w:tr>
        <w:trPr>
          <w:jc w:val="center"/>
          <w:trHeight w:val="470"/>
        </w:trPr>
        <w:tc>
          <w:tcPr>
            <w:tcW w:w="447" w:type="pct"/>
            <w:vAlign w:val="center"/>
            <w:vMerge w:val="restart"/>
            <w:textDirection w:val="lrTb"/>
            <w:noWrap w:val="false"/>
          </w:tcPr>
          <w:p>
            <w:pPr>
              <w:jc w:val="center"/>
              <w:spacing w:after="120" w:line="360" w:lineRule="auto"/>
              <w:widowControl/>
              <w:rPr>
                <w:color w:val="000000"/>
                <w:sz w:val="24"/>
                <w:highlight w:val="none"/>
              </w:rPr>
            </w:pPr>
            <w:r>
              <w:rPr>
                <w:rFonts w:eastAsia="Times New Roman"/>
                <w:color w:val="000000"/>
                <w:sz w:val="24"/>
                <w:highlight w:val="none"/>
              </w:rPr>
              <w:t xml:space="preserve">1</w:t>
            </w:r>
            <w:r>
              <w:rPr>
                <w:rFonts w:hint="eastAsia"/>
                <w:color w:val="000000"/>
                <w:sz w:val="24"/>
                <w:highlight w:val="none"/>
              </w:rPr>
              <w:t xml:space="preserve">7</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五参数分析仪</w:t>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检查数据传输和报警模块是否正常</w:t>
            </w:r>
            <w:r/>
          </w:p>
        </w:tc>
      </w:tr>
      <w:tr>
        <w:trPr>
          <w:jc w:val="center"/>
          <w:trHeight w:val="472"/>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检查电极是否被泥沙和藻类沾污</w:t>
            </w:r>
            <w:r/>
          </w:p>
        </w:tc>
      </w:tr>
      <w:tr>
        <w:trPr>
          <w:jc w:val="center"/>
          <w:trHeight w:val="473"/>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清洗电极更换电极液</w:t>
            </w:r>
            <w:r/>
          </w:p>
        </w:tc>
      </w:tr>
      <w:tr>
        <w:trPr>
          <w:jc w:val="center"/>
          <w:trHeight w:val="471"/>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检查并更换老化的电极</w:t>
            </w:r>
            <w:r/>
          </w:p>
        </w:tc>
      </w:tr>
      <w:tr>
        <w:trPr>
          <w:jc w:val="center"/>
          <w:trHeight w:val="127"/>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5</w:t>
            </w:r>
            <w:r>
              <w:rPr>
                <w:rFonts w:hint="eastAsia" w:cs="宋体"/>
                <w:color w:val="000000"/>
                <w:sz w:val="24"/>
                <w:highlight w:val="none"/>
              </w:rPr>
              <w:t xml:space="preserve">）</w:t>
            </w:r>
            <w:r>
              <w:rPr>
                <w:color w:val="000000"/>
                <w:sz w:val="24"/>
                <w:highlight w:val="none"/>
              </w:rPr>
              <w:t xml:space="preserve">确保清洗水供应正常</w:t>
            </w:r>
            <w:r/>
          </w:p>
        </w:tc>
      </w:tr>
      <w:tr>
        <w:trPr>
          <w:jc w:val="center"/>
          <w:trHeight w:val="472"/>
        </w:trPr>
        <w:tc>
          <w:tcPr>
            <w:tcW w:w="447" w:type="pct"/>
            <w:vAlign w:val="center"/>
            <w:vMerge w:val="restart"/>
            <w:textDirection w:val="lrTb"/>
            <w:noWrap w:val="false"/>
          </w:tcPr>
          <w:p>
            <w:pPr>
              <w:jc w:val="center"/>
              <w:spacing w:after="120" w:line="360" w:lineRule="auto"/>
              <w:widowControl/>
              <w:rPr>
                <w:color w:val="000000"/>
                <w:sz w:val="24"/>
                <w:highlight w:val="none"/>
              </w:rPr>
            </w:pPr>
            <w:r>
              <w:rPr>
                <w:rFonts w:eastAsia="Times New Roman"/>
                <w:color w:val="000000"/>
                <w:sz w:val="24"/>
                <w:highlight w:val="none"/>
              </w:rPr>
              <w:t xml:space="preserve">1</w:t>
            </w:r>
            <w:r>
              <w:rPr>
                <w:rFonts w:hint="eastAsia"/>
                <w:color w:val="000000"/>
                <w:sz w:val="24"/>
                <w:highlight w:val="none"/>
              </w:rPr>
              <w:t xml:space="preserve">8</w:t>
            </w:r>
            <w:r/>
          </w:p>
        </w:tc>
        <w:tc>
          <w:tcPr>
            <w:tcW w:w="919"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color w:val="000000"/>
                <w:sz w:val="24"/>
                <w:highlight w:val="none"/>
              </w:rPr>
              <w:t xml:space="preserve">采样器维护</w:t>
            </w:r>
            <w:r/>
          </w:p>
        </w:tc>
        <w:tc>
          <w:tcPr>
            <w:tcW w:w="730"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周，保证采样瓶清洁</w:t>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检查并更换老化的蠕动泵软管</w:t>
            </w:r>
            <w:r/>
          </w:p>
        </w:tc>
      </w:tr>
      <w:tr>
        <w:trPr>
          <w:jc w:val="center"/>
          <w:trHeight w:val="472"/>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检查并更换老化的分配臂软管</w:t>
            </w:r>
            <w:r/>
          </w:p>
        </w:tc>
      </w:tr>
      <w:tr>
        <w:trPr>
          <w:jc w:val="center"/>
          <w:trHeight w:val="470"/>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检查并更换老化的采样管</w:t>
            </w:r>
            <w:r/>
          </w:p>
        </w:tc>
      </w:tr>
      <w:tr>
        <w:trPr>
          <w:jc w:val="center"/>
          <w:trHeight w:val="472"/>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清洗采样切换阀</w:t>
            </w:r>
            <w:r/>
          </w:p>
        </w:tc>
      </w:tr>
      <w:tr>
        <w:trPr>
          <w:jc w:val="center"/>
          <w:trHeight w:val="472"/>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5</w:t>
            </w:r>
            <w:r>
              <w:rPr>
                <w:rFonts w:hint="eastAsia" w:cs="宋体"/>
                <w:color w:val="000000"/>
                <w:sz w:val="24"/>
                <w:highlight w:val="none"/>
              </w:rPr>
              <w:t xml:space="preserve">）</w:t>
            </w:r>
            <w:r>
              <w:rPr>
                <w:color w:val="000000"/>
                <w:sz w:val="24"/>
                <w:highlight w:val="none"/>
              </w:rPr>
              <w:t xml:space="preserve">重新调整采样参数</w:t>
            </w:r>
            <w:r/>
          </w:p>
        </w:tc>
      </w:tr>
      <w:tr>
        <w:trPr>
          <w:jc w:val="center"/>
          <w:trHeight w:val="470"/>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6</w:t>
            </w:r>
            <w:r>
              <w:rPr>
                <w:rFonts w:hint="eastAsia" w:cs="宋体"/>
                <w:color w:val="000000"/>
                <w:sz w:val="24"/>
                <w:highlight w:val="none"/>
              </w:rPr>
              <w:t xml:space="preserve">）</w:t>
            </w:r>
            <w:r>
              <w:rPr>
                <w:color w:val="000000"/>
                <w:sz w:val="24"/>
                <w:highlight w:val="none"/>
              </w:rPr>
              <w:t xml:space="preserve">检查样品储藏室温度</w:t>
            </w:r>
            <w:r/>
          </w:p>
        </w:tc>
      </w:tr>
      <w:tr>
        <w:trPr>
          <w:jc w:val="center"/>
          <w:trHeight w:val="473"/>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7</w:t>
            </w:r>
            <w:r>
              <w:rPr>
                <w:rFonts w:hint="eastAsia" w:cs="宋体"/>
                <w:color w:val="000000"/>
                <w:sz w:val="24"/>
                <w:highlight w:val="none"/>
              </w:rPr>
              <w:t xml:space="preserve">）</w:t>
            </w:r>
            <w:r>
              <w:rPr>
                <w:color w:val="000000"/>
                <w:sz w:val="24"/>
                <w:highlight w:val="none"/>
              </w:rPr>
              <w:t xml:space="preserve">清洗样品储藏室</w:t>
            </w:r>
            <w:r/>
          </w:p>
        </w:tc>
      </w:tr>
      <w:tr>
        <w:trPr>
          <w:jc w:val="center"/>
          <w:trHeight w:val="376"/>
        </w:trPr>
        <w:tc>
          <w:tcPr>
            <w:tcW w:w="447" w:type="pct"/>
            <w:vAlign w:val="bottom"/>
            <w:textDirection w:val="lrTb"/>
            <w:noWrap w:val="false"/>
          </w:tcPr>
          <w:p>
            <w:pPr>
              <w:jc w:val="center"/>
              <w:spacing w:after="120" w:line="360" w:lineRule="auto"/>
              <w:widowControl/>
              <w:rPr>
                <w:color w:val="000000"/>
                <w:sz w:val="24"/>
                <w:highlight w:val="none"/>
              </w:rPr>
            </w:pPr>
            <w:r>
              <w:rPr>
                <w:rFonts w:eastAsia="Times New Roman"/>
                <w:color w:val="000000"/>
                <w:sz w:val="24"/>
                <w:highlight w:val="none"/>
              </w:rPr>
              <w:t xml:space="preserve">1</w:t>
            </w:r>
            <w:r>
              <w:rPr>
                <w:rFonts w:hint="eastAsia"/>
                <w:color w:val="000000"/>
                <w:sz w:val="24"/>
                <w:highlight w:val="none"/>
              </w:rPr>
              <w:t xml:space="preserve">9</w:t>
            </w:r>
            <w:r/>
          </w:p>
        </w:tc>
        <w:tc>
          <w:tcPr>
            <w:tcW w:w="919" w:type="pct"/>
            <w:vAlign w:val="bottom"/>
            <w:textDirection w:val="lrTb"/>
            <w:noWrap w:val="false"/>
          </w:tcPr>
          <w:p>
            <w:pPr>
              <w:jc w:val="center"/>
              <w:spacing w:after="120" w:line="360" w:lineRule="auto"/>
              <w:widowControl/>
              <w:rPr>
                <w:rFonts w:eastAsia="Times New Roman"/>
                <w:color w:val="000000"/>
                <w:sz w:val="24"/>
                <w:highlight w:val="none"/>
              </w:rPr>
            </w:pPr>
            <w:r>
              <w:rPr>
                <w:color w:val="000000"/>
                <w:sz w:val="24"/>
                <w:highlight w:val="none"/>
              </w:rPr>
              <w:t xml:space="preserve">数据上报</w:t>
            </w:r>
            <w:r/>
          </w:p>
        </w:tc>
        <w:tc>
          <w:tcPr>
            <w:tcW w:w="730" w:type="pct"/>
            <w:vAlign w:val="center"/>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w:t>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完成对水质自动监测数据审核上报</w:t>
            </w:r>
            <w:r/>
          </w:p>
        </w:tc>
      </w:tr>
    </w:tbl>
    <w:p>
      <w:pPr>
        <w:numPr>
          <w:ilvl w:val="0"/>
          <w:numId w:val="0"/>
        </w:numPr>
        <w:spacing w:line="360" w:lineRule="auto"/>
        <w:rPr>
          <w:rFonts w:eastAsiaTheme="majorEastAsia"/>
          <w:b w:val="0"/>
          <w:bCs w:val="0"/>
          <w:sz w:val="24"/>
          <w:highlight w:val="none"/>
        </w:rPr>
        <w:outlineLvl w:val="9"/>
      </w:pPr>
      <w:r>
        <w:rPr>
          <w:rFonts w:eastAsiaTheme="majorEastAsia"/>
          <w:b w:val="0"/>
          <w:bCs w:val="0"/>
          <w:sz w:val="24"/>
          <w:highlight w:val="none"/>
        </w:rPr>
      </w:r>
      <w:r/>
    </w:p>
    <w:p>
      <w:pPr>
        <w:numPr>
          <w:ilvl w:val="0"/>
          <w:numId w:val="2"/>
        </w:numPr>
        <w:ind w:left="0" w:firstLine="480"/>
        <w:spacing w:line="360" w:lineRule="auto"/>
        <w:rPr>
          <w:rFonts w:eastAsiaTheme="majorEastAsia"/>
          <w:b w:val="0"/>
          <w:bCs w:val="0"/>
          <w:sz w:val="24"/>
          <w:highlight w:val="none"/>
        </w:rPr>
        <w:outlineLvl w:val="3"/>
      </w:pPr>
      <w:r>
        <w:rPr>
          <w:rFonts w:eastAsiaTheme="majorEastAsia"/>
          <w:b w:val="0"/>
          <w:bCs w:val="0"/>
          <w:sz w:val="24"/>
          <w:highlight w:val="none"/>
        </w:rPr>
        <w:t xml:space="preserve">每月工作内容</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a.站房:保证站房空调及取暖设施运行正常，定期对空调进行全面的清洗。</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b.分析单元:应依据断面水质状况、水质自动监测站环境条件和分析仪器的要求，制定易耗品(如泵管、滤膜、活性碳及干燥剂等)的更换周期，做到定期更换；对使用期限有规定的备品备件，必须严格按使用规定期限予以更换。水质自动监测站仪器所用试剂的更换周期应根据试剂稳定性和保质期确定，室内温度较高时应缩短更换周期，试剂的更换周期不得超过 30 天。根据水质自动监测站运行的环境状况，在规定的时间对仪器设备进行预防性检修。每月至少进行一次多点线性核查，在自动分析仪器当前量程范围内均匀选择 5 个浓度标准溶液(须包括空白)。</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c.采配水单元：定期检查采水、配水单元是否正常运行，清洗采水头。对于潜水泵，应定期清洗泵体、载体。取水管路应检查是否出现弯折现象，是否畅通，并清理采水头周边杂物，泥沙含量大或藻类密集的断面应视情况进行人工清洗。每月至少清洗一次采配水单元的取水管路、五参数池、沉淀池、过滤芯、配水管路和采样杯等部件。</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d.控制单元及通讯单元：定期对工控机进行断电重启，查看工控机是否可以自动启动，并运行操作系统、加载现场监控软件，查看串口通讯是否正常。定期对网络通讯设备进行断电重启，查看启动后是否通讯正常。每月检查开机过程中硬件自检过程是否有异常数据传输和报警。每月对工控机进行杀毒，防止病毒损坏软件。</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e.辅助设备：定期检查稳压电源及UPS的输出是否符合技术要求，突发异常情况须及时排查处理。每月至少检查一次空气压缩机气泵和清水增压泵的工作状况，并对空气过滤器放水。定期更换纯水机滤芯。定期检查摄像头是否破损，视频设备功能是否正常，包括摄像、视频存储、云台控制等。</w:t>
      </w:r>
      <w:r/>
    </w:p>
    <w:p>
      <w:pPr>
        <w:ind w:firstLine="480"/>
        <w:spacing w:line="360" w:lineRule="auto"/>
        <w:rPr>
          <w:highlight w:val="none"/>
        </w:rPr>
      </w:pPr>
      <w:r>
        <w:rPr>
          <w:rFonts w:hint="default" w:ascii="宋体" w:hAnsi="宋体" w:cs="宋体"/>
          <w:sz w:val="24"/>
          <w:szCs w:val="24"/>
          <w:highlight w:val="none"/>
        </w:rPr>
        <w:t xml:space="preserve">f.其它：每月对水质自动监测站监测数据进行一次备份，备份数据单独存储； 每月对备用仪器进行一次校准和标样核查。根据要求，每年对站房组织一次防雷检测，并出具防雷检测报告。</w:t>
      </w:r>
      <w:r/>
    </w:p>
    <w:tbl>
      <w:tblPr>
        <w:tblStyle w:val="10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837"/>
        <w:gridCol w:w="1314"/>
        <w:gridCol w:w="5251"/>
      </w:tblGrid>
      <w:tr>
        <w:trPr>
          <w:trHeight w:val="23"/>
        </w:trPr>
        <w:tc>
          <w:tcPr>
            <w:tcW w:w="363"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序号</w:t>
            </w:r>
            <w:r/>
          </w:p>
        </w:tc>
        <w:tc>
          <w:tcPr>
            <w:tcW w:w="1014"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维护内容</w:t>
            </w:r>
            <w:r/>
          </w:p>
        </w:tc>
        <w:tc>
          <w:tcPr>
            <w:tcW w:w="725"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维护周期及目标</w:t>
            </w:r>
            <w:r/>
          </w:p>
        </w:tc>
        <w:tc>
          <w:tcPr>
            <w:tcW w:w="2898"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维护要求</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1</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室外取水管路清洗清淤</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月，确保管路无泥沙附着</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将室外取水管路淤泥吹出。至少三次空气吹洗，以便达到良好清淤效果。</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采用</w:t>
            </w:r>
            <w:r>
              <w:rPr>
                <w:rFonts w:eastAsia="Times New Roman"/>
                <w:color w:val="000000"/>
                <w:sz w:val="24"/>
                <w:szCs w:val="22"/>
                <w:highlight w:val="none"/>
              </w:rPr>
              <w:t xml:space="preserve">3%</w:t>
            </w:r>
            <w:r>
              <w:rPr>
                <w:color w:val="000000"/>
                <w:sz w:val="24"/>
                <w:szCs w:val="22"/>
                <w:highlight w:val="none"/>
              </w:rPr>
              <w:t xml:space="preserve">稀盐酸，对取水管路进行清洗。清洗完毕后</w:t>
            </w:r>
            <w:r>
              <w:rPr>
                <w:rFonts w:eastAsia="Times New Roman"/>
                <w:color w:val="000000"/>
                <w:sz w:val="24"/>
                <w:szCs w:val="22"/>
                <w:highlight w:val="none"/>
              </w:rPr>
              <w:t xml:space="preserve">15</w:t>
            </w:r>
            <w:r>
              <w:rPr>
                <w:color w:val="000000"/>
                <w:sz w:val="24"/>
                <w:szCs w:val="22"/>
                <w:highlight w:val="none"/>
              </w:rPr>
              <w:t xml:space="preserve">分钟手动运行一次采水流程，以便将管路中残余药剂清洗掉。</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恢复取水管路原状。</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2</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室内管路清洗</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2</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月，确保管路透明，无泥沙藻类附着</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手动拆卸阀门、弯头、过滤网和样水杯等部件，用试管刷清洗，清洗后原样装回。</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检查蠕动泵进水塑胶软管脏污情况，必要的情况更换。</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3</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清洗液位计</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月，确保液位计工作正常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将液位计拆下，用</w:t>
            </w:r>
            <w:r>
              <w:rPr>
                <w:rFonts w:eastAsia="Times New Roman"/>
                <w:color w:val="000000"/>
                <w:sz w:val="24"/>
                <w:szCs w:val="22"/>
                <w:highlight w:val="none"/>
              </w:rPr>
              <w:t xml:space="preserve">3%</w:t>
            </w:r>
            <w:r>
              <w:rPr>
                <w:color w:val="000000"/>
                <w:sz w:val="24"/>
                <w:szCs w:val="22"/>
                <w:highlight w:val="none"/>
              </w:rPr>
              <w:t xml:space="preserve">盐酸擦洗浮球和导杆，清除表面钙化物和污物。</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测量浮球导通电阻，导通电阻必须小于</w:t>
            </w:r>
            <w:r>
              <w:rPr>
                <w:rFonts w:eastAsia="Times New Roman"/>
                <w:color w:val="000000"/>
                <w:sz w:val="24"/>
                <w:szCs w:val="22"/>
                <w:highlight w:val="none"/>
              </w:rPr>
              <w:t xml:space="preserve">20</w:t>
            </w:r>
            <w:r>
              <w:rPr>
                <w:color w:val="000000"/>
                <w:sz w:val="24"/>
                <w:szCs w:val="22"/>
                <w:highlight w:val="none"/>
              </w:rPr>
              <w:t xml:space="preserve">欧姆，且反应灵敏。</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原样装回液位计。</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必要的情况更换新液位计。</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4</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清洗样水杯喷头</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月，确保喷头工作正常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将样水杯清洗喷头拆下，检查是否有锈蚀状况，轻微锈蚀可采用</w:t>
            </w:r>
            <w:r>
              <w:rPr>
                <w:rFonts w:eastAsia="Times New Roman"/>
                <w:color w:val="000000"/>
                <w:sz w:val="24"/>
                <w:szCs w:val="22"/>
                <w:highlight w:val="none"/>
              </w:rPr>
              <w:t xml:space="preserve">3%</w:t>
            </w:r>
            <w:r>
              <w:rPr>
                <w:color w:val="000000"/>
                <w:sz w:val="24"/>
                <w:szCs w:val="22"/>
                <w:highlight w:val="none"/>
              </w:rPr>
              <w:t xml:space="preserve">稀盐酸浸泡方法清除锈蚀，严重锈蚀状况直接换新。</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将喷头原样装回后注意调节喷头配水强度。</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5</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蠕动泵负载检查</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月，确保蠕动泵无堵塞和渗漏，计量准确</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按蠕动泵说明书要求，检查输出扭矩。</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若不符合说明书规定要求，及时更换泵管</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6</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液位观察管清洗</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月，确保液位观察管清洗透明</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拆下透明管清除脏污，用试管刷清洗干净。</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拆卸部件原样装回。</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7</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取水系统综合测试</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/1</w:t>
            </w:r>
            <w:r>
              <w:rPr>
                <w:color w:val="000000"/>
                <w:sz w:val="24"/>
                <w:szCs w:val="22"/>
                <w:highlight w:val="none"/>
              </w:rPr>
              <w:t xml:space="preserve">月，确保系统取水正常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完成上述测试后复原所有阀门到正确位置。</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检查各个接头是否松动，各个电动球阀接线是否完好。</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检查无误情况下，系统复电，检查整个取水流程是否正常。</w:t>
            </w:r>
            <w:r/>
          </w:p>
        </w:tc>
      </w:tr>
      <w:tr>
        <w:trPr>
          <w:trHeight w:val="23"/>
        </w:trPr>
        <w:tc>
          <w:tcPr>
            <w:tcW w:w="363" w:type="pct"/>
            <w:vAlign w:val="center"/>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8</w:t>
            </w:r>
            <w:r/>
          </w:p>
        </w:tc>
        <w:tc>
          <w:tcPr>
            <w:tcW w:w="1014"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高锰酸盐指数分析仪</w:t>
            </w:r>
            <w:r/>
          </w:p>
        </w:tc>
        <w:tc>
          <w:tcPr>
            <w:tcW w:w="725" w:type="pct"/>
            <w:vAlign w:val="center"/>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2</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月，更换试剂并校正，确保数据正常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更换标准校对液和分析试剂，一般不超过</w:t>
            </w:r>
            <w:r>
              <w:rPr>
                <w:rFonts w:eastAsia="Times New Roman"/>
                <w:color w:val="000000"/>
                <w:sz w:val="24"/>
                <w:szCs w:val="22"/>
                <w:highlight w:val="none"/>
              </w:rPr>
              <w:t xml:space="preserve">15</w:t>
            </w:r>
            <w:r>
              <w:rPr>
                <w:color w:val="000000"/>
                <w:sz w:val="24"/>
                <w:szCs w:val="22"/>
                <w:highlight w:val="none"/>
              </w:rPr>
              <w:t xml:space="preserve">天，夏天视情况缩短更换周期。更换试剂时要将前一批的试剂全部更换干净，而不是补充试剂。试剂更换完毕须校正仪器，确保校正数据符合仪器要求。</w:t>
            </w:r>
            <w:r/>
          </w:p>
        </w:tc>
      </w:tr>
      <w:tr>
        <w:trPr>
          <w:trHeight w:val="23"/>
        </w:trPr>
        <w:tc>
          <w:tcPr>
            <w:tcW w:w="363" w:type="pct"/>
            <w:vAlign w:val="center"/>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9</w:t>
            </w:r>
            <w:r/>
          </w:p>
        </w:tc>
        <w:tc>
          <w:tcPr>
            <w:tcW w:w="1014"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氨氮分析仪</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月，更换试剂并校正，确保数据正常</w:t>
            </w:r>
            <w:r/>
          </w:p>
        </w:tc>
        <w:tc>
          <w:tcPr>
            <w:tcW w:w="2898" w:type="pct"/>
            <w:vAlign w:val="center"/>
            <w:vMerge w:val="restart"/>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更换标准校对液和分析试剂，一般不超过</w:t>
            </w:r>
            <w:r>
              <w:rPr>
                <w:rFonts w:eastAsia="Times New Roman"/>
                <w:color w:val="000000"/>
                <w:sz w:val="24"/>
                <w:szCs w:val="22"/>
                <w:highlight w:val="none"/>
              </w:rPr>
              <w:t xml:space="preserve">30</w:t>
            </w:r>
            <w:r>
              <w:rPr>
                <w:color w:val="000000"/>
                <w:sz w:val="24"/>
                <w:szCs w:val="22"/>
                <w:highlight w:val="none"/>
              </w:rPr>
              <w:t xml:space="preserve">天，夏天视情况缩短更换周期。更换试剂时要将前一批的试剂全部更换干净，而不是补充试剂。试剂更换完毕须校正仪器，确保校正数据符合仪器要求。</w:t>
            </w:r>
            <w:r/>
          </w:p>
        </w:tc>
      </w:tr>
      <w:tr>
        <w:trPr>
          <w:trHeight w:val="23"/>
        </w:trPr>
        <w:tc>
          <w:tcPr>
            <w:tcW w:w="363" w:type="pct"/>
            <w:vAlign w:val="center"/>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10</w:t>
            </w:r>
            <w:r/>
          </w:p>
        </w:tc>
        <w:tc>
          <w:tcPr>
            <w:tcW w:w="1014"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总磷总氮分析仪</w:t>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vMerge w:val="continue"/>
            <w:textDirection w:val="lrTb"/>
            <w:noWrap w:val="false"/>
          </w:tcPr>
          <w:p>
            <w:pPr>
              <w:ind w:left="420" w:firstLine="480"/>
              <w:spacing w:after="120"/>
              <w:widowControl/>
              <w:rPr>
                <w:rFonts w:eastAsia="Times New Roman"/>
                <w:color w:val="000000"/>
                <w:sz w:val="24"/>
                <w:szCs w:val="22"/>
                <w:highlight w:val="none"/>
              </w:rPr>
            </w:pPr>
            <w:r>
              <w:rPr>
                <w:rFonts w:eastAsia="Times New Roman"/>
                <w:color w:val="000000"/>
                <w:sz w:val="24"/>
                <w:szCs w:val="22"/>
                <w:highlight w:val="none"/>
              </w:rPr>
            </w:r>
            <w:r/>
          </w:p>
        </w:tc>
      </w:tr>
      <w:tr>
        <w:trPr>
          <w:trHeight w:val="23"/>
        </w:trPr>
        <w:tc>
          <w:tcPr>
            <w:tcW w:w="363" w:type="pct"/>
            <w:vAlign w:val="center"/>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11</w:t>
            </w:r>
            <w:r/>
          </w:p>
        </w:tc>
        <w:tc>
          <w:tcPr>
            <w:tcW w:w="1014"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五参数分析仪</w:t>
            </w:r>
            <w:r/>
          </w:p>
        </w:tc>
        <w:tc>
          <w:tcPr>
            <w:tcW w:w="725" w:type="pct"/>
            <w:vAlign w:val="center"/>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月，校正</w:t>
            </w:r>
            <w:r>
              <w:rPr>
                <w:rFonts w:eastAsia="Times New Roman"/>
                <w:color w:val="000000"/>
                <w:sz w:val="24"/>
                <w:szCs w:val="22"/>
                <w:highlight w:val="none"/>
              </w:rPr>
              <w:t xml:space="preserve">pH</w:t>
            </w:r>
            <w:r>
              <w:rPr>
                <w:color w:val="000000"/>
                <w:sz w:val="24"/>
                <w:szCs w:val="22"/>
                <w:highlight w:val="none"/>
              </w:rPr>
              <w:t xml:space="preserve">和溶解氧电极，确保数据正常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校正</w:t>
            </w:r>
            <w:r>
              <w:rPr>
                <w:rFonts w:eastAsia="Times New Roman"/>
                <w:color w:val="000000"/>
                <w:sz w:val="24"/>
                <w:szCs w:val="22"/>
                <w:highlight w:val="none"/>
              </w:rPr>
              <w:t xml:space="preserve">pH</w:t>
            </w:r>
            <w:r>
              <w:rPr>
                <w:color w:val="000000"/>
                <w:sz w:val="24"/>
                <w:szCs w:val="22"/>
                <w:highlight w:val="none"/>
              </w:rPr>
              <w:t xml:space="preserve">和溶解氧电极，确保校正数据符合仪器要求。</w:t>
            </w:r>
            <w:r/>
          </w:p>
        </w:tc>
      </w:tr>
    </w:tbl>
    <w:p>
      <w:pPr>
        <w:numPr>
          <w:ilvl w:val="0"/>
          <w:numId w:val="0"/>
        </w:numPr>
        <w:spacing w:line="360" w:lineRule="auto"/>
        <w:rPr>
          <w:rFonts w:eastAsiaTheme="majorEastAsia"/>
          <w:b w:val="0"/>
          <w:bCs w:val="0"/>
          <w:sz w:val="24"/>
          <w:highlight w:val="none"/>
        </w:rPr>
        <w:outlineLvl w:val="9"/>
      </w:pPr>
      <w:r>
        <w:rPr>
          <w:rFonts w:eastAsiaTheme="majorEastAsia"/>
          <w:b w:val="0"/>
          <w:bCs w:val="0"/>
          <w:sz w:val="24"/>
          <w:highlight w:val="none"/>
        </w:rPr>
      </w:r>
      <w:r/>
    </w:p>
    <w:p>
      <w:pPr>
        <w:numPr>
          <w:ilvl w:val="0"/>
          <w:numId w:val="2"/>
        </w:numPr>
        <w:ind w:left="0" w:firstLine="480"/>
        <w:spacing w:line="360" w:lineRule="auto"/>
        <w:rPr>
          <w:rFonts w:eastAsiaTheme="majorEastAsia"/>
          <w:b w:val="0"/>
          <w:bCs w:val="0"/>
          <w:sz w:val="24"/>
          <w:highlight w:val="none"/>
        </w:rPr>
        <w:outlineLvl w:val="3"/>
      </w:pPr>
      <w:r>
        <w:rPr>
          <w:rFonts w:eastAsiaTheme="majorEastAsia"/>
          <w:b w:val="0"/>
          <w:bCs w:val="0"/>
          <w:sz w:val="24"/>
          <w:highlight w:val="none"/>
        </w:rPr>
        <w:t xml:space="preserve">每2月</w:t>
      </w:r>
      <w:r>
        <w:rPr>
          <w:rFonts w:hint="eastAsia" w:eastAsiaTheme="majorEastAsia"/>
          <w:b w:val="0"/>
          <w:bCs w:val="0"/>
          <w:sz w:val="24"/>
          <w:highlight w:val="none"/>
          <w:lang w:val="en-US" w:eastAsia="zh-CN"/>
        </w:rPr>
        <w:t xml:space="preserve">工作内容</w:t>
      </w:r>
      <w:r/>
    </w:p>
    <w:tbl>
      <w:tblPr>
        <w:tblStyle w:val="10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828"/>
        <w:gridCol w:w="1486"/>
        <w:gridCol w:w="5079"/>
      </w:tblGrid>
      <w:tr>
        <w:trPr>
          <w:trHeight w:val="23"/>
        </w:trPr>
        <w:tc>
          <w:tcPr>
            <w:tcW w:w="368"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序号</w:t>
            </w:r>
            <w:r/>
          </w:p>
        </w:tc>
        <w:tc>
          <w:tcPr>
            <w:tcW w:w="1009"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维护内容</w:t>
            </w:r>
            <w:r/>
          </w:p>
        </w:tc>
        <w:tc>
          <w:tcPr>
            <w:tcW w:w="820"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维护周期及目标</w:t>
            </w:r>
            <w:r/>
          </w:p>
        </w:tc>
        <w:tc>
          <w:tcPr>
            <w:tcW w:w="2803"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维护要求</w:t>
            </w:r>
            <w:r/>
          </w:p>
        </w:tc>
      </w:tr>
      <w:tr>
        <w:trPr>
          <w:trHeight w:val="23"/>
        </w:trPr>
        <w:tc>
          <w:tcPr>
            <w:tcW w:w="368" w:type="pct"/>
            <w:vAlign w:val="center"/>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p>
        </w:tc>
        <w:tc>
          <w:tcPr>
            <w:tcW w:w="1009"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采水系统维护</w:t>
            </w:r>
            <w:r/>
          </w:p>
        </w:tc>
        <w:tc>
          <w:tcPr>
            <w:tcW w:w="820"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根据不同水期，适当调整，保证采水系统正常运行</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对季节性断流、河道改变明显的断面水质自动站采水系统进行加固、调整采水泵。</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2</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室内管路清洗</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2</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月，确保管路透明，无泥沙藻类附着</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手动拆卸阀门、弯头、过滤网和样水杯等部件，用试管刷清洗，清洗后原样装回。</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检查蠕动泵进水塑胶软管脏污情况，必要的情况更换。</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3</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电动球阀清洗检查</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/2</w:t>
            </w:r>
            <w:r>
              <w:rPr>
                <w:color w:val="000000"/>
                <w:sz w:val="24"/>
                <w:szCs w:val="22"/>
                <w:highlight w:val="none"/>
              </w:rPr>
              <w:t xml:space="preserve">月，确保清洗后电动球阀吸合自如，无堵塞和渗漏</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将电动球阀手动拆下，用试管刷清洗后，将电动球阀装回管路。</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开启组态单阀测试程序，单独控制阀门开关，</w:t>
            </w:r>
            <w:r>
              <w:rPr>
                <w:rFonts w:eastAsia="Times New Roman"/>
                <w:color w:val="000000"/>
                <w:sz w:val="24"/>
                <w:szCs w:val="22"/>
                <w:highlight w:val="none"/>
              </w:rPr>
              <w:t xml:space="preserve"> </w:t>
            </w:r>
            <w:r>
              <w:rPr>
                <w:color w:val="000000"/>
                <w:sz w:val="24"/>
                <w:szCs w:val="22"/>
                <w:highlight w:val="none"/>
              </w:rPr>
              <w:t xml:space="preserve">检查阀门开关时间是否符合要求</w:t>
            </w:r>
            <w:r>
              <w:rPr>
                <w:rFonts w:hint="eastAsia" w:cs="宋体"/>
                <w:color w:val="000000"/>
                <w:sz w:val="24"/>
                <w:szCs w:val="22"/>
                <w:highlight w:val="none"/>
              </w:rPr>
              <w:t xml:space="preserve">（</w:t>
            </w:r>
            <w:r>
              <w:rPr>
                <w:rFonts w:eastAsia="Times New Roman"/>
                <w:color w:val="000000"/>
                <w:sz w:val="24"/>
                <w:szCs w:val="22"/>
                <w:highlight w:val="none"/>
              </w:rPr>
              <w:t xml:space="preserve">10s</w:t>
            </w:r>
            <w:r>
              <w:rPr>
                <w:color w:val="000000"/>
                <w:sz w:val="24"/>
                <w:szCs w:val="22"/>
                <w:highlight w:val="none"/>
              </w:rPr>
              <w:t xml:space="preserve">以内</w:t>
            </w:r>
            <w:r>
              <w:rPr>
                <w:rFonts w:hint="eastAsia" w:cs="宋体"/>
                <w:color w:val="000000"/>
                <w:sz w:val="24"/>
                <w:szCs w:val="22"/>
                <w:highlight w:val="none"/>
              </w:rPr>
              <w:t xml:space="preserve">）</w:t>
            </w:r>
            <w:r>
              <w:rPr>
                <w:color w:val="000000"/>
                <w:sz w:val="24"/>
                <w:szCs w:val="22"/>
                <w:highlight w:val="none"/>
              </w:rPr>
              <w:t xml:space="preserve">。</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必要的情况替换电动球阀。</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4</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单向阀清洗</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/2</w:t>
            </w:r>
            <w:r>
              <w:rPr>
                <w:color w:val="000000"/>
                <w:sz w:val="24"/>
                <w:szCs w:val="22"/>
                <w:highlight w:val="none"/>
              </w:rPr>
              <w:t xml:space="preserve">月，确保清</w:t>
            </w:r>
            <w:r/>
          </w:p>
          <w:p>
            <w:pPr>
              <w:jc w:val="center"/>
              <w:spacing w:after="120"/>
              <w:widowControl/>
              <w:rPr>
                <w:rFonts w:eastAsia="Times New Roman"/>
                <w:color w:val="000000"/>
                <w:sz w:val="24"/>
                <w:szCs w:val="22"/>
                <w:highlight w:val="none"/>
              </w:rPr>
            </w:pPr>
            <w:r>
              <w:rPr>
                <w:color w:val="000000"/>
                <w:sz w:val="24"/>
                <w:szCs w:val="22"/>
                <w:highlight w:val="none"/>
              </w:rPr>
              <w:t xml:space="preserve">洗后电动球阀吸</w:t>
            </w:r>
            <w:r/>
          </w:p>
          <w:p>
            <w:pPr>
              <w:jc w:val="center"/>
              <w:spacing w:after="120"/>
              <w:widowControl/>
              <w:rPr>
                <w:rFonts w:eastAsia="Times New Roman"/>
                <w:color w:val="000000"/>
                <w:sz w:val="24"/>
                <w:szCs w:val="22"/>
                <w:highlight w:val="none"/>
              </w:rPr>
            </w:pPr>
            <w:r>
              <w:rPr>
                <w:color w:val="000000"/>
                <w:sz w:val="24"/>
                <w:szCs w:val="22"/>
                <w:highlight w:val="none"/>
              </w:rPr>
              <w:t xml:space="preserve">合自如，无堵塞和渗漏</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拆下单向阀，</w:t>
            </w:r>
            <w:r>
              <w:rPr>
                <w:rFonts w:eastAsia="Times New Roman"/>
                <w:color w:val="000000"/>
                <w:sz w:val="24"/>
                <w:szCs w:val="22"/>
                <w:highlight w:val="none"/>
              </w:rPr>
              <w:t xml:space="preserve"> </w:t>
            </w:r>
            <w:r>
              <w:rPr>
                <w:color w:val="000000"/>
                <w:sz w:val="24"/>
                <w:szCs w:val="22"/>
                <w:highlight w:val="none"/>
              </w:rPr>
              <w:t xml:space="preserve">用试管刷清洗单向阀阀体及密封橡胶上附着的脏污物，检查密封性是否完好后，原样装回管路。</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必要情况更换单向阀。</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5</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压力表测试</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/2</w:t>
            </w:r>
            <w:r>
              <w:rPr>
                <w:color w:val="000000"/>
                <w:sz w:val="24"/>
                <w:szCs w:val="22"/>
                <w:highlight w:val="none"/>
              </w:rPr>
              <w:t xml:space="preserve">月，确保清洗后压力表读数正常</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拆下压力表表头，清洗清除压力导管内泥沙。</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压缩空气吹脱表头内残留脏污。</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调节空压机输出压力为</w:t>
            </w:r>
            <w:r>
              <w:rPr>
                <w:rFonts w:eastAsia="Times New Roman"/>
                <w:color w:val="000000"/>
                <w:sz w:val="24"/>
                <w:szCs w:val="22"/>
                <w:highlight w:val="none"/>
              </w:rPr>
              <w:t xml:space="preserve">0.6Mpa</w:t>
            </w:r>
            <w:r>
              <w:rPr>
                <w:color w:val="000000"/>
                <w:sz w:val="24"/>
                <w:szCs w:val="22"/>
                <w:highlight w:val="none"/>
              </w:rPr>
              <w:t xml:space="preserve">，输出气管连接到待测压力表，检查待测压力表显示是否和空压机一致，反应是否灵敏。</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原样装回压力表，注意气密性。</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必要情况更换压力表。</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6</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工控机检查</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/2</w:t>
            </w:r>
            <w:r>
              <w:rPr>
                <w:color w:val="000000"/>
                <w:sz w:val="24"/>
                <w:szCs w:val="22"/>
                <w:highlight w:val="none"/>
              </w:rPr>
              <w:t xml:space="preserve">月</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检查开机过程中硬件自检过程是否有异常数据传输和报警。</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强制切断电源后复电工控机是否可以自动启动，并运行</w:t>
            </w:r>
            <w:r>
              <w:rPr>
                <w:rFonts w:eastAsia="Times New Roman"/>
                <w:color w:val="000000"/>
                <w:sz w:val="24"/>
                <w:szCs w:val="22"/>
                <w:highlight w:val="none"/>
              </w:rPr>
              <w:t xml:space="preserve">windos</w:t>
            </w:r>
            <w:r>
              <w:rPr>
                <w:color w:val="000000"/>
                <w:sz w:val="24"/>
                <w:szCs w:val="22"/>
                <w:highlight w:val="none"/>
              </w:rPr>
              <w:t xml:space="preserve">系统、加载现场监控软件，串口连接是否正常。</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插入备份光盘，用</w:t>
            </w:r>
            <w:r>
              <w:rPr>
                <w:rFonts w:eastAsia="Times New Roman"/>
                <w:color w:val="000000"/>
                <w:sz w:val="24"/>
                <w:szCs w:val="22"/>
                <w:highlight w:val="none"/>
              </w:rPr>
              <w:t xml:space="preserve">ghost</w:t>
            </w:r>
            <w:r>
              <w:rPr>
                <w:color w:val="000000"/>
                <w:sz w:val="24"/>
                <w:szCs w:val="22"/>
                <w:highlight w:val="none"/>
              </w:rPr>
              <w:t xml:space="preserve">软件备份操作系统。将备份好的操作系统和分区</w:t>
            </w:r>
            <w:r>
              <w:rPr>
                <w:rFonts w:eastAsia="Times New Roman"/>
                <w:color w:val="000000"/>
                <w:sz w:val="24"/>
                <w:szCs w:val="22"/>
                <w:highlight w:val="none"/>
              </w:rPr>
              <w:t xml:space="preserve">D</w:t>
            </w:r>
            <w:r>
              <w:rPr>
                <w:color w:val="000000"/>
                <w:sz w:val="24"/>
                <w:szCs w:val="22"/>
                <w:highlight w:val="none"/>
              </w:rPr>
              <w:t xml:space="preserve">内的文件拷贝到备份移动硬盘上。</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断电后拆下工控机，打开后盖，用细毛刷清</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除电源和主板上的灰尘，尤其注意</w:t>
            </w:r>
            <w:r>
              <w:rPr>
                <w:rFonts w:eastAsia="Times New Roman"/>
                <w:color w:val="000000"/>
                <w:sz w:val="24"/>
                <w:szCs w:val="22"/>
                <w:highlight w:val="none"/>
              </w:rPr>
              <w:t xml:space="preserve">cpu</w:t>
            </w:r>
            <w:r>
              <w:rPr>
                <w:color w:val="000000"/>
                <w:sz w:val="24"/>
                <w:szCs w:val="22"/>
                <w:highlight w:val="none"/>
              </w:rPr>
              <w:t xml:space="preserve">板、内存和各个串口卡上的灰尘清除。检查各个功能卡接口是否连接牢固。</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检查硬盘</w:t>
            </w:r>
            <w:r>
              <w:rPr>
                <w:rFonts w:eastAsia="Times New Roman"/>
                <w:color w:val="000000"/>
                <w:sz w:val="24"/>
                <w:szCs w:val="22"/>
                <w:highlight w:val="none"/>
              </w:rPr>
              <w:t xml:space="preserve">SATA</w:t>
            </w:r>
            <w:r>
              <w:rPr>
                <w:color w:val="000000"/>
                <w:sz w:val="24"/>
                <w:szCs w:val="22"/>
                <w:highlight w:val="none"/>
              </w:rPr>
              <w:t xml:space="preserve">连接线是否松动。</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定期对杀毒软件升级，专机专用，禁止从事与工作无关的活动</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装回工控机重复</w:t>
            </w:r>
            <w:r>
              <w:rPr>
                <w:rFonts w:eastAsia="Times New Roman"/>
                <w:color w:val="000000"/>
                <w:sz w:val="24"/>
                <w:szCs w:val="22"/>
                <w:highlight w:val="none"/>
              </w:rPr>
              <w:t xml:space="preserve">1</w:t>
            </w:r>
            <w:r>
              <w:rPr>
                <w:rFonts w:hint="eastAsia" w:cs="宋体"/>
                <w:color w:val="000000"/>
                <w:sz w:val="24"/>
                <w:szCs w:val="22"/>
                <w:highlight w:val="none"/>
              </w:rPr>
              <w:t xml:space="preserve">）</w:t>
            </w:r>
            <w:r>
              <w:rPr>
                <w:color w:val="000000"/>
                <w:sz w:val="24"/>
                <w:szCs w:val="22"/>
                <w:highlight w:val="none"/>
              </w:rPr>
              <w:t xml:space="preserve">、</w:t>
            </w:r>
            <w:r>
              <w:rPr>
                <w:rFonts w:eastAsia="Times New Roman"/>
                <w:color w:val="000000"/>
                <w:sz w:val="24"/>
                <w:szCs w:val="22"/>
                <w:highlight w:val="none"/>
              </w:rPr>
              <w:t xml:space="preserve"> 2</w:t>
            </w:r>
            <w:r>
              <w:rPr>
                <w:rFonts w:hint="eastAsia" w:cs="宋体"/>
                <w:color w:val="000000"/>
                <w:sz w:val="24"/>
                <w:szCs w:val="22"/>
                <w:highlight w:val="none"/>
              </w:rPr>
              <w:t xml:space="preserve">）</w:t>
            </w:r>
            <w:r>
              <w:rPr>
                <w:color w:val="000000"/>
                <w:sz w:val="24"/>
                <w:szCs w:val="22"/>
                <w:highlight w:val="none"/>
              </w:rPr>
              <w:t xml:space="preserve">步骤</w:t>
            </w:r>
            <w:r/>
          </w:p>
        </w:tc>
      </w:tr>
    </w:tbl>
    <w:p>
      <w:pPr>
        <w:ind w:firstLine="482"/>
        <w:spacing w:line="360" w:lineRule="auto"/>
        <w:rPr>
          <w:rFonts w:hint="eastAsia" w:ascii="宋体" w:hAnsi="宋体" w:eastAsia="宋体" w:cs="宋体"/>
          <w:b/>
          <w:sz w:val="24"/>
          <w:highlight w:val="none"/>
        </w:rPr>
        <w:outlineLvl w:val="9"/>
      </w:pPr>
      <w:r>
        <w:rPr>
          <w:rFonts w:hint="eastAsia" w:ascii="宋体" w:hAnsi="宋体" w:eastAsia="宋体" w:cs="宋体"/>
          <w:b/>
          <w:sz w:val="24"/>
          <w:highlight w:val="none"/>
        </w:rPr>
      </w:r>
      <w:r/>
    </w:p>
    <w:p>
      <w:pPr>
        <w:numPr>
          <w:ilvl w:val="0"/>
          <w:numId w:val="2"/>
        </w:numPr>
        <w:ind w:left="0" w:firstLine="480"/>
        <w:spacing w:line="360" w:lineRule="auto"/>
        <w:rPr>
          <w:rFonts w:hint="eastAsia" w:ascii="宋体" w:hAnsi="宋体" w:eastAsia="宋体" w:cs="宋体"/>
          <w:b w:val="0"/>
          <w:bCs w:val="0"/>
          <w:sz w:val="24"/>
          <w:highlight w:val="none"/>
          <w:lang w:val="en-US" w:eastAsia="zh-CN"/>
        </w:rPr>
        <w:outlineLvl w:val="3"/>
      </w:pPr>
      <w:r>
        <w:rPr>
          <w:rFonts w:hint="eastAsia" w:ascii="宋体" w:hAnsi="宋体" w:eastAsia="宋体" w:cs="宋体"/>
          <w:b w:val="0"/>
          <w:bCs w:val="0"/>
          <w:sz w:val="24"/>
          <w:highlight w:val="none"/>
          <w:lang w:val="en-US" w:eastAsia="zh-CN"/>
        </w:rPr>
        <w:t xml:space="preserve">参考技术规范和标准</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国家环境保护总局发布的相关水质在线监测技术标准</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国家标准方法和《水和废水监测分析方法》</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《国家地表水自动监测站运行管理办法》</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《江苏省环境水质(地表水)自动监测预警系统运行管理办法(试行)》及其实施细则</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《环境水质监测质量保证手册》</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《地表水和污水监测技术规范》(HJ/T91-2002  )</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《水质河流采样技术指导》(HJ/T52- 1999)</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《pH水质自动分析仪技术要求》(HJ/T96-2003)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《电导率水质自动分析仪技术要求》(HJ/T97-2003)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《浊度水质自动分析仪技术要求》(HJ/T98-2003)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《溶解氧(DO)水质自动分析仪技术要求》(HJ/T99-2003)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《高锰酸盐指数水质自动分析仪技术要求》(HJ/T100-2003)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《氨氮水质自动分析仪技术要求》(HJ/T101-2003)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《总氮水质自动分析仪技术要求》(GB/T 11894- 1989)</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《总磷水质自动分析仪技术要求》(GB/T 11893- 1989)</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(16)《声学多普勒流量测验规范》(SL337-2006)</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2、技术指标和要求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招标文件中未明确的质控管理要求的，按照江苏省已制定的相关规范性文件执行，若出台新的管理办法或技术规范时，按新要求执行。</w:t>
      </w:r>
      <w:r/>
    </w:p>
    <w:p>
      <w:pPr>
        <w:ind w:firstLine="48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（一）运维工作要求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（1）水质自动站运行指标要求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pH、溶解氧、氨氮、高锰酸盐指数、总磷、总氮等仪器运转率不低于90%，（除去停水停电，性能测试及其他不可抗拒因素引起的故障）。仪器运转率的计算方法参照《江苏省环境水质（地表水）自动监测预警系统运行管理办法（试行）》中有关规定执行。</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仪器月运转率= </w:t>
      </w:r>
      <m:oMath>
        <m:f>
          <m:fPr>
            <m:ctrlPr>
              <w:rPr>
                <w:rFonts w:hint="eastAsia" w:ascii="Cambria Math" w:hAnsi="Cambria Math" w:eastAsia="宋体" w:cs="宋体"/>
                <w:sz w:val="24"/>
                <w:szCs w:val="24"/>
                <w:highlight w:val="none"/>
              </w:rPr>
            </m:ctrlPr>
          </m:fPr>
          <m:num>
            <m:r>
              <w:rPr>
                <w:rFonts w:hint="eastAsia" w:ascii="Cambria Math" w:hAnsi="Cambria Math" w:eastAsia="宋体" w:cs="宋体"/>
                <w:sz w:val="24"/>
                <w:szCs w:val="24"/>
                <w:highlight w:val="none"/>
              </w:rPr>
              <m:rPr>
                <m:sty m:val="p"/>
              </m:rPr>
              <m:t>该仪器月实际采用数据数</m:t>
            </m:r>
          </m:num>
          <m:den>
            <m:r>
              <w:rPr>
                <w:rFonts w:hint="eastAsia" w:ascii="Cambria Math" w:hAnsi="Cambria Math" w:eastAsia="宋体" w:cs="宋体"/>
                <w:sz w:val="24"/>
                <w:szCs w:val="24"/>
                <w:highlight w:val="none"/>
              </w:rPr>
              <m:rPr>
                <m:sty m:val="p"/>
              </m:rPr>
              <m:t>天数×日监测次数</m:t>
            </m:r>
          </m:den>
        </m:f>
        <m:r>
          <w:rPr>
            <w:rFonts w:hint="eastAsia" w:ascii="Cambria Math" w:hAnsi="Cambria Math" w:eastAsia="宋体" w:cs="宋体"/>
            <w:sz w:val="24"/>
            <w:szCs w:val="24"/>
            <w:highlight w:val="none"/>
          </w:rPr>
          <m:rPr>
            <m:sty m:val="p"/>
          </m:rPr>
          <m:t>×100%</m:t>
        </m:r>
      </m:oMath>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（2）数据质量要求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水质</w:t>
      </w:r>
      <w:r>
        <w:rPr>
          <w:rFonts w:hint="eastAsia" w:ascii="宋体" w:hAnsi="宋体" w:eastAsia="宋体" w:cs="宋体"/>
          <w:sz w:val="24"/>
          <w:szCs w:val="24"/>
          <w:highlight w:val="none"/>
        </w:rPr>
        <w:t xml:space="preserve">自动站要求中标人参照《江苏省环境水质（地表水）自动监测预警系统运行管理办法（试行）》和《江苏省水质自动监测质量管理暂行规定》等规定要求，定期开展标液核查、系统核查等质控工作。其中氨氮、高锰酸盐指数至少每周进行一次质控工作（可以为仪器自校、手工校准、水样比对、标液核查或盲样考核，但至少每月有一次为业主或质控单位组织开展的）；pH、溶解氧、电导率、浊度、水温每月至少进行一次水样比对。结果（包括图片等佐证材料）应及时报业主方，结果未报、频次未达标或未附佐证材料视为未考核，同时扣除该参数当月（或该季度）全部运维款。</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（3）异常情况处理的要求：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故障响应时间小于4小时，即发现故障后应在4小时以内制定出排除方案，一般故障应24小时以内排除，特殊故障24小时内无法排除的，运维单位应在72小时内提供备用机保障系统的连续运行或采取人工补测。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数据必须真实有效，投标人近3年内，在环境监测服务活动中必须没有弄虚作假行为（请投标人根据本单位实际情况自行承诺，若有不实，按提供虚假资料处理，投标及中标无效，且不予退还投标保证金并承担相关法律责任）。</w:t>
      </w:r>
      <w:r/>
    </w:p>
    <w:p>
      <w:pPr>
        <w:ind w:firstLine="48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（二）运维费核算方法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（1）招标方依据运行考核的综合结果支付运维经</w:t>
      </w:r>
      <w:r>
        <w:rPr>
          <w:rFonts w:hint="eastAsia" w:ascii="宋体" w:hAnsi="宋体" w:eastAsia="宋体" w:cs="宋体"/>
          <w:color w:val="auto"/>
          <w:sz w:val="24"/>
          <w:szCs w:val="24"/>
          <w:highlight w:val="none"/>
        </w:rPr>
        <w:t xml:space="preserve">费，每</w:t>
      </w:r>
      <w:r>
        <w:rPr>
          <w:rFonts w:hint="eastAsia" w:ascii="宋体" w:hAnsi="宋体" w:cs="宋体"/>
          <w:color w:val="auto"/>
          <w:sz w:val="24"/>
          <w:szCs w:val="24"/>
          <w:highlight w:val="none"/>
          <w:lang w:val="en-US" w:eastAsia="zh-CN"/>
        </w:rPr>
        <w:t xml:space="preserve">半</w:t>
      </w:r>
      <w:r>
        <w:rPr>
          <w:rFonts w:hint="eastAsia" w:ascii="宋体" w:hAnsi="宋体" w:eastAsia="宋体" w:cs="宋体"/>
          <w:color w:val="auto"/>
          <w:sz w:val="24"/>
          <w:szCs w:val="24"/>
          <w:highlight w:val="none"/>
        </w:rPr>
        <w:t xml:space="preserve">年对运维单位开展一次运营维护工作考核，以每个水质自动站为单位进行。各站依据维护内容就维护质量和相关指标相结合的方式进行评分，满分为100分，每次平均分小于8</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分为不合格；平均分大于或等于8</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分为合格。具体考核内容见附件。考核合格后按照合同要求支付运维期的运行费。</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（2）核算办法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绩效考核总分低于</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0的，不予拨付运维费；绩效考核总分</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（含）分以上的，拨付全额运维费；绩效考核总分在</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0（含）-</w:t>
      </w:r>
      <w:r>
        <w:rPr>
          <w:rFonts w:hint="eastAsia" w:ascii="宋体" w:hAnsi="宋体" w:cs="宋体"/>
          <w:color w:val="auto"/>
          <w:sz w:val="24"/>
          <w:szCs w:val="24"/>
          <w:highlight w:val="none"/>
          <w:lang w:val="en-US" w:eastAsia="zh-CN"/>
        </w:rPr>
        <w:t xml:space="preserve">89</w:t>
      </w:r>
      <w:r>
        <w:rPr>
          <w:rFonts w:hint="eastAsia" w:ascii="宋体" w:hAnsi="宋体" w:eastAsia="宋体" w:cs="宋体"/>
          <w:color w:val="auto"/>
          <w:sz w:val="24"/>
          <w:szCs w:val="24"/>
          <w:highlight w:val="none"/>
        </w:rPr>
        <w:t xml:space="preserve">分的，运维费=实际考核得分/100*全额运维费。</w:t>
      </w:r>
      <w:r/>
    </w:p>
    <w:p>
      <w:pPr>
        <w:ind w:firstLine="482"/>
        <w:jc w:val="center"/>
        <w:spacing w:line="520" w:lineRule="exact"/>
        <w:widowControl/>
        <w:rPr>
          <w:rFonts w:hint="eastAsia" w:ascii="宋体" w:hAnsi="宋体" w:eastAsia="宋体" w:cs="宋体"/>
          <w:b/>
          <w:bCs/>
          <w:color w:val="000000"/>
          <w:sz w:val="24"/>
          <w:szCs w:val="24"/>
          <w:highlight w:val="none"/>
        </w:rPr>
        <w:outlineLvl w:val="4"/>
      </w:pPr>
      <w:r>
        <w:rPr>
          <w:rFonts w:hint="eastAsia" w:ascii="宋体" w:hAnsi="宋体" w:eastAsia="宋体" w:cs="宋体"/>
          <w:b/>
          <w:bCs/>
          <w:color w:val="000000"/>
          <w:sz w:val="24"/>
          <w:szCs w:val="24"/>
          <w:highlight w:val="none"/>
        </w:rPr>
        <w:t xml:space="preserve">水质自动监测站运行考核表</w:t>
      </w:r>
      <w:r/>
    </w:p>
    <w:tbl>
      <w:tblPr>
        <w:tblStyle w:val="10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7"/>
        <w:gridCol w:w="6186"/>
        <w:gridCol w:w="877"/>
      </w:tblGrid>
      <w:tr>
        <w:trPr>
          <w:trHeight w:val="457"/>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w:t>
            </w:r>
            <w:r/>
          </w:p>
        </w:tc>
        <w:tc>
          <w:tcPr>
            <w:tcW w:w="3414"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考核要求</w:t>
            </w:r>
            <w:r/>
          </w:p>
        </w:tc>
        <w:tc>
          <w:tcPr>
            <w:tcW w:w="484"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p>
        </w:tc>
      </w:tr>
      <w:tr>
        <w:trPr>
          <w:trHeight w:val="423"/>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一、水站运维现场检查  （60分）</w:t>
            </w:r>
            <w:r/>
          </w:p>
        </w:tc>
      </w:tr>
      <w:tr>
        <w:trPr>
          <w:trHeight w:val="572"/>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站房卫生</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环境清洁；整齐无零乱堆放；仪器无污渍；无漏水；泵管、试剂导管等清洁（10分每项2分）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6"/>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自动监测仪器设备</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仪器及系统运行正常；数据正常；供电、采水、通讯、空调等设施完好无损，正常工作（15分每项5分）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6"/>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现场考核</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溶氧、pH现场比对；氨氮、高锰酸盐指数、总氮、总磷标样考核符合要求（20分每项5分）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70"/>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现场记录检查</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巡检记录；标液核查记录；比对实验记录；加标回收记录；备品备件更换记录、试剂更换记录；完整详实（15分每项3分）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8"/>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二、运维质量统计      （30分）</w:t>
            </w:r>
            <w:r/>
          </w:p>
        </w:tc>
      </w:tr>
      <w:tr>
        <w:trPr>
          <w:trHeight w:val="564"/>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站点在线率、</w:t>
            </w:r>
            <w:r/>
          </w:p>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数据捕集率</w:t>
            </w:r>
            <w:r/>
          </w:p>
        </w:tc>
        <w:tc>
          <w:tcPr>
            <w:tcW w:w="3414" w:type="pct"/>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除水站停电外，在线率、捕集率95%得5分；90%以上得4分；低于90%得0分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0"/>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数据有效率</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有效率大于90%得15分，小于85%得10分，其他为0分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质控检查</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检查结果合格以上得5分；差或者标样考核不合格不得分；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故障排除</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运行中出现的故障当天排除得5分，次日排除得2分，</w:t>
            </w:r>
            <w:r>
              <w:rPr>
                <w:rFonts w:hint="eastAsia" w:ascii="宋体" w:hAnsi="宋体" w:cs="宋体"/>
                <w:color w:val="000000"/>
                <w:sz w:val="24"/>
                <w:szCs w:val="24"/>
                <w:highlight w:val="none"/>
                <w:lang w:val="en-US" w:eastAsia="zh-CN"/>
              </w:rPr>
              <w:t xml:space="preserve">3日内未解决</w:t>
            </w:r>
            <w:r>
              <w:rPr>
                <w:rFonts w:hint="eastAsia" w:ascii="宋体" w:hAnsi="宋体" w:eastAsia="宋体" w:cs="宋体"/>
                <w:color w:val="000000"/>
                <w:sz w:val="24"/>
                <w:szCs w:val="24"/>
                <w:highlight w:val="none"/>
              </w:rPr>
              <w:t xml:space="preserve">则为0分，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8"/>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三、运维能力及工作情况（10分）</w:t>
            </w:r>
            <w:r/>
          </w:p>
        </w:tc>
      </w:tr>
      <w:tr>
        <w:trPr>
          <w:trHeight w:val="559"/>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工作情况</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服从管理人员安排；责任心强、实时监控情况；故障发生后及时到现场处置；相关记录报告（5分）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5"/>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运维能力</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备品备件试剂等耗材更换及时；能独立完成各项操作；排除故障能力；（5分）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5"/>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四、评价标准与等级</w:t>
            </w:r>
            <w:r/>
          </w:p>
        </w:tc>
      </w:tr>
      <w:tr>
        <w:trPr>
          <w:trHeight w:val="565"/>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评价等级与标准</w:t>
            </w:r>
            <w:r/>
          </w:p>
        </w:tc>
        <w:tc>
          <w:tcPr>
            <w:gridSpan w:val="2"/>
            <w:tcW w:w="3898"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分为优、合格、不合格三个等级。</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得分</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0以下为不合格；</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以上为优。运维</w:t>
            </w:r>
            <w:r>
              <w:rPr>
                <w:rFonts w:hint="eastAsia" w:ascii="宋体" w:hAnsi="宋体" w:eastAsia="宋体" w:cs="宋体"/>
                <w:color w:val="000000"/>
                <w:sz w:val="24"/>
                <w:szCs w:val="24"/>
                <w:highlight w:val="none"/>
              </w:rPr>
              <w:t xml:space="preserve">质控频次、标液标样考核结果是否合格等以江苏省水质自动站管理办法为依据</w:t>
            </w:r>
            <w:r/>
          </w:p>
        </w:tc>
      </w:tr>
      <w:tr>
        <w:trPr>
          <w:trHeight w:val="565"/>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考核组织与实施</w:t>
            </w:r>
            <w:r/>
          </w:p>
        </w:tc>
        <w:tc>
          <w:tcPr>
            <w:gridSpan w:val="2"/>
            <w:tcW w:w="3898"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分管站长负责组织实施，每半年一次。</w:t>
            </w:r>
            <w:r/>
          </w:p>
        </w:tc>
      </w:tr>
      <w:tr>
        <w:trPr>
          <w:trHeight w:val="565"/>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五、考核结果与情况说明建议等                  考核等级：</w:t>
            </w:r>
            <w:r/>
          </w:p>
        </w:tc>
      </w:tr>
      <w:tr>
        <w:trPr>
          <w:trHeight w:val="1046"/>
        </w:trPr>
        <w:tc>
          <w:tcPr>
            <w:gridSpan w:val="3"/>
            <w:tcW w:w="5000"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2"/>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（二）环境空气站运维管理内容</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1、运维工作内容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运维过程中主要完成以下工作：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（1）空气自动监测站的日常运行维护；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（2）空气自动监测站的日常质量管理；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（3）空气自动监测站的日常安全管理；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（4）空气自动监测站监测数据的日常审核、上报；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（5）空气自动监测站的仪器设备维护保养及故障维修；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（6）空气自动监测站其他相关辅助设备设施的维护、保养、维修。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（7）空气自动监测站数据采集及传输系统的维护及维修，保证空气自动监测站通讯正常。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（8）当仪器出现故障不能及时修复时，应在24小时之内使用备机开展监测；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（9）仪器报废后（包括因洪水、地震、台风、站房外部火灾、爆炸、恐怖袭击、武装冲突、蓄意破坏等不可抗力导致），运维单位须先行及时使用备机开展监测，同时进行报备。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（10）当点位需要新增、撤销、变更时，由所在地生态环境部门按照点位管理程序向上级生态环境部门报批。涉及站点迁移的，运维单位应做好迁移前后监测仪器设备检查工作并做好相关记录。</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2、运维工作目标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运维单位必须建立完善的运行维护工作规范与质量管理体系，确保提供及时、准确、有效的监测数据，子站的运行质量应达到以下指标：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（1）所获取的有效监测数据必须满足</w:t>
      </w:r>
      <w:bookmarkStart w:id="9" w:name="OLE_LINK23"/>
      <w:r/>
      <w:bookmarkStart w:id="10" w:name="OLE_LINK24"/>
      <w:r>
        <w:rPr>
          <w:rFonts w:hint="eastAsia" w:ascii="宋体" w:hAnsi="宋体" w:eastAsia="宋体" w:cs="宋体"/>
          <w:sz w:val="24"/>
          <w:szCs w:val="24"/>
          <w:highlight w:val="none"/>
        </w:rPr>
        <w:t xml:space="preserve">国家《环境空气质量标准》（GB 3095-2012）中规定的污染物浓度数据有效性最低要求</w:t>
      </w:r>
      <w:bookmarkEnd w:id="9"/>
      <w:r/>
      <w:bookmarkEnd w:id="10"/>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（2）单站设备运行率必须高于90%（含），有效率必须高于85%（含）。</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（3）异常情况处理率100%。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设备运行率是指已上传数据量与应上传数据量之比，数据有效率是指有效数据量与应上传数据量之比。</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3、运维工作要求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运维单位应遵守省国家、省关于空气自动站运行管理的各项规定，如运维期间出台新的运行管理规定，则运维工作按最新规定执行。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A、运维工作一般要求如下：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（1）保持站房内部环境清洁，布置整齐，各仪器设备干净清洁，设备标识清楚；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（2）保持站房外20m以内的环境清洁；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（3）检查供电和网络通讯情况，保证系统的正常运行;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（4）保证空调正常工作，站房内温度25±5℃，相对湿度保持在80%RH以下；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（5）指派专人维护，设备固定牢固，门窗关闭良好，人走关门，非工作人员未经许可不得入内；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（6）定期检查消防和安全设施；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（7）每次维护后做好系统运行维护记录；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（8）进行维护时，应规范操作，注意安全，防止意外发生。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B、每日工作内容如下：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每天上午和下午两次远程查看空气自动监测站数据并形成记录，分析监测数据，对站点运行情况进行远程诊断和运行管理，内容包括：</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（1）判断系统数据采集与传输情况；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（2）根据电源电压、站房温度、湿度数据判断站房内部情况；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现监测数据异常，应立即通知业主，在每日8时～22时出现的异常，应在4小时内解决（通信线路、电力线路故障除外，但应及时与相关部门联系积极解决），每日23~次日7时出现的异常，应在次日上午10时前解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（4）发生重污染天气等特殊情况后，应在4小时内开展相应的运维工作；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（5）根据数据分析结果、设备状态参数和仪器故障报警信号，判断仪器运行情况和现场状况；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（6）每日检查数据是否及时上传并正常发布，发现数据断网及时恢复。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C、每周工作内容如下：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每周至少巡检空气自动监测站1次（运维间隔期不得超过（7±2）天，且14天内必须完成2次维护），并做好巡查记录，巡检时需要完成的工作包括：</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（1）查看空气自动监测站设备是否齐备，无丢失和损坏；检查接地线路是否可靠，排风排气装置工作是否正常，标准气钢瓶阀门是否漏气，标准气的消耗情况；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（2）检查采样和排气管路是否有漏气或堵塞现象，各监测仪器采样流量是否正常。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（3）检查各监测仪器的运行状况和工作参数，判断是否正常，如有异常情况及时处理，保证仪器运行正常。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（4）检查PM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和PM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监测仪动态加热装置及采样总管加热装置是否正常工作；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（5）对二氧化硫、一氧化碳、臭氧、氮氧化物监测仪进行零点、跨度检查，如果漂移超过国家相关规范要求，需要进行校准或维修。</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（6）按照仪器说明书要求，对零气发生器进行维护。</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（7）检查外部环境是否正常，有没有对测定结果或运行环境存在明显影响的污染源；</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（8）检查电路系统和通讯系统，保证系统供电正常，电压稳定；</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（9）检查空气自动监测站的通讯系统，保证空气自动监测站与相关数据监控平台的连接正常，数据传输正常；确保无远程控制软件。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（10）对仪器显示数据、时间与数据采集仪之间的一致性进行检查和校准。</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（11）检查监测仪器的采样入口与采样支路管线结合部之间安装的过滤膜的污染情况，每周更换滤膜并检查监测仪器散热风扇污染情况，及时清洗。</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（12）在冬、夏季节应注意空气自动监测站站房室内外温差，若温差较大，应及时改变站房温度或对采样总管采取适当的控制措施，防止冷凝现象。</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（13）应及时清除空气自动监测站站房周围的杂草和积水，当周围树木生长超过规范规定的控制限时，应及时剪除对采样或监测光束有影响的树枝。</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（14）应经常检查避雷设施是否可靠，空气自动监测站房屋是否有漏雨现象，天线是否被刮坏，站房外围的其它设施是否有损坏或被水淹，如遇到以上问题应及时处理，保证系统安全运行。</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（15）检查站房的安全设施，做好防火防盗工作。</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（16）每周对颗粒物的采样纸带或滤膜进行检查，如纸带即将用尽或滤膜负载超过规定要求，及时进行更换。</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（17）每周检查视频监控系统，并做好视频系统的日常维护。若发现人为干扰干预环境空气质量监测的行为，及时向业主汇报。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（18）每周对站房内外环境卫生进行检查，及时保洁。</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D、每月工作内容如下：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（1）清洗PM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及PM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采样头（若遇重污染天气，则每周清洗一次），检查β法颗粒物监测仪仪器喷嘴、压环、密封圈等部件。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（2）检查PM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及PM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监测仪、气态监测仪、动态校准仪流量，超过国家相关规范要求时应进行校准。</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（3）每月对数据和运维记录进行备份。</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（4）检查和校准PM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监测仪相对湿度、温度传感器和压力传感器。</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E、每季度工作内容如下：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（1）采样总管及采样风机每季度至少清洗一次；</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（2）对PM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和PM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监测仪器进行标准膜检查或K0值检查，超过国家相关规范要求时，及时进行校准或维修；</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F、每半年工作内容如下：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（1）对气态污染物监测仪进行多点校准，绘制校准曲线，检验相关系数、斜率和截距；</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（2）振荡天平法颗粒物仪器每半年更换一次主路过滤器滤芯、旁路过滤器滤芯和气水分离器滤芯，污染较重时应及时更换滤芯；</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（3）更换零气源净化剂和氧化剂，对零气性能进行检查；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（4）对氮氧化物监测仪钼炉转化率进行检查。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（5）采用臭氧传递标准对空气自动监测站臭氧工作标准进行标准传递；</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G、每年工作内容如下：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按照仪器说明书对动态校准仪流量进行多点检查。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对所有的仪器（包括采样泵）进行预防性维护，按说明书的要求更换备件。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H、日常运维其他相关要求如下：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（1）每周更换的气态污染物监测仪器所用滤膜，必须为聚四氟乙烯材质；</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（2）应及时制定每月工作计划并将进出空气自动监测站的具体日期上报业主备案，并严格按计划执行，若有变更或临时突发情况处理等应及时上报业主备案。</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运维单位保证满足生态环境部门对空气自动监测站仪器设备故障的响应时间要求，当仪器设备每日6时～23时出现故障，应在2小时之内响应，4小时内到达现场解决（通信线路、电力线路故障除外，但应及时与相关部门联系积极解决）。若仪器故障无法排除，运维单位必须在24小时内提供并更换相应的备机，保证自动站正常运行。</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（4）当仪器损坏不能修复时，应在24小时之内使用备机开展监测，并同时报告业主，业主组织确认仪器损坏情况及原因，酌情处理。</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（5）仪器报废后（包括使用超过8年导致，或因洪水、地震、台风、站房外部火灾、爆炸、恐怖袭击、武装冲突、蓄意破坏等不可抗力导致），运维单位须先行及时使用备机开展监测，同时报告业主。</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（6）严禁擅自改变采样管路连接方式和更改仪器参数设置。</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I、质量控制要求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运维单位需认真落实质量管理制度，建立完善的运行维护工作质量管理体系，安排专职质量控制管理人员。</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（1）量值溯源要求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应每年将空气自动监测站运维所用的流量计、温度计、气压计、湿度计等质控设备送检，并取得计量部门颁发的合格证书，并根据业主要求定期开展核查工作。每年将空气自动监测站所用的臭氧标准为业主提供的标准设备进行溯源，性能指标均应符合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（2）日常质量控制要求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监测仪在以下情况下需进行校准：</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①安装时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②移动位置时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③进行可能影响校准结果的维修或维护后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④监测仪暂停工作一段时间后</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⑤有迹象表明监测仪工作不正常或校准结果出现变化</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⑥超过国家规范或本招标文件要求的校准周期或校准要求的。</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（3）质量检查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运维单位必须接受淮业主及其委托单位和人员的质量检查。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J、系统设备维修要求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（1）维修更换工作要求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运维单位负责系统所有设备和仪器的维护、维修和部件更换（包括空调设备等附属设施），并将维修费用计算在运维报价中。本服务内容同样包括由于外部原因意外丢失和损坏设备的更换或维修。</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（2）设备维修质量控制要求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监测仪器修复后，当其监测性能受到影响时，采用关键参数检查、标气测定、颗粒物流量测定、标准膜测试、标准样品测试或手工比对等方法进行测试。</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仪器大修后，气态污染监测设备应按顺序开展零点漂移和量程漂移测试、精密度及准确度测试、多点线性测试；颗粒物监测设备应开展手工比对测试，测试应严格按照《环境空气颗粒物（PM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和PM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）连续自动监测系统运行和质控技术规范》（HJ 817-2018）中准确度审核要求实施，并遵守《环境空气颗粒物（PM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）手工监测方法（重量法）技术规范》（HJ 656-2013）、《环境空气中PM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和PM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的测定 重量法》（HJ 618-2011）和《环境空气质量手工监测技术规范》（HJ 194-2017）等相关规范要求，同时提交相应报告。</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4、监督考核要求</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（1）监督管理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数据必须真实有效，投标人近3年内，在环境监测服务活动中必须没有弄虚作假行为（请投标人根据本单位实际情况咨询承诺，若有不实，按提供虚假资料处理，投标及中标无效，且不予退还投标保证金并承担相关法律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2）投标人应承担监测数据的保密责任（签订保密协议），不得利用本项目的数据、档案或有关资料对外开展技术交流、业务联系、数据交换等。否则，业主有权终止合同。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3）运维期间出现调整数据、修改参数、改动设备、质控结果与平台采集结果不一致、弄虚作假等违规行为的，一经查实业主有权终止运维合同。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4）业主组织开展运维管理和质控考核，对达不到运维要求或违规操作的，有权终止运维合同。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5）违反江苏省空气自动站管理办法等违规行为的，一经查实，业主有权终止运维合同。</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（2）考核办法</w:t>
      </w:r>
      <w:r/>
    </w:p>
    <w:p>
      <w:pPr>
        <w:ind w:firstLine="480"/>
        <w:spacing w:line="360" w:lineRule="auto"/>
        <w:rPr>
          <w:rFonts w:hint="eastAsia" w:ascii="宋体" w:hAnsi="宋体" w:eastAsia="宋体" w:cs="宋体"/>
          <w:sz w:val="24"/>
          <w:szCs w:val="24"/>
          <w:highlight w:val="none"/>
        </w:rPr>
      </w:pPr>
      <w:r>
        <w:rPr>
          <w:rFonts w:hint="eastAsia" w:ascii="宋体" w:hAnsi="宋体" w:cs="宋体"/>
          <w:color w:val="auto"/>
          <w:sz w:val="24"/>
          <w:szCs w:val="24"/>
          <w:highlight w:val="none"/>
          <w:lang w:val="en-US" w:eastAsia="zh-CN"/>
        </w:rPr>
        <w:t xml:space="preserve">每半年</w:t>
      </w:r>
      <w:r>
        <w:rPr>
          <w:rFonts w:hint="eastAsia" w:ascii="宋体" w:hAnsi="宋体" w:eastAsia="宋体" w:cs="宋体"/>
          <w:sz w:val="24"/>
          <w:szCs w:val="24"/>
          <w:highlight w:val="none"/>
        </w:rPr>
        <w:t xml:space="preserve">由业主对运维中标单位绩效（职责履行情况）进行考核，填写考核表。考核采取百分制、单站考核的方式进行，主要包括设备运行率、数据有效率（以下简称两率）、运行维护3部分内容，其中两率考核占50%，运行维护考核占50%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设备运行率是指考核时段内各监测项目实际获取的小时值监测数据量总和除以应获得小时值数据量总和。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数据有效率是指考核时段内各监测项目实际获取的质控合格的小时值监测数据量总和除以应获得小时值数据量总和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每日各项目应获得小时值数据量均按24个计，考核时段天数按考核时段内日历天数计。计算应获得小时值数据量时，应扣除因不可抗力造成的停止监测的小时数</w:t>
      </w:r>
      <w:r/>
    </w:p>
    <w:p>
      <w:pPr>
        <w:ind w:firstLine="48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1）数据有效性</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考核时段内单个站点任一监测项目有效数据量应满足《环境空气质量标准》（GB 3095-2012）中规定的污染物浓度数据有效性的最低要求，否则考核总分为0分。</w:t>
      </w:r>
      <w:r/>
    </w:p>
    <w:p>
      <w:pPr>
        <w:ind w:firstLine="48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2）两率及运行维护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符合数据有效性要求后，参照本部分执行。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两率部分（50分）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单站监测数据有效率高于</w:t>
      </w:r>
      <w:r>
        <w:rPr>
          <w:rFonts w:hint="eastAsia" w:ascii="宋体" w:hAnsi="宋体" w:eastAsia="宋体" w:cs="宋体"/>
          <w:sz w:val="24"/>
          <w:szCs w:val="24"/>
          <w:highlight w:val="none"/>
          <w:lang w:val="en-US" w:eastAsia="zh-CN"/>
        </w:rPr>
        <w:t xml:space="preserve">90</w:t>
      </w:r>
      <w:r>
        <w:rPr>
          <w:rFonts w:hint="eastAsia" w:ascii="宋体" w:hAnsi="宋体" w:eastAsia="宋体" w:cs="宋体"/>
          <w:sz w:val="24"/>
          <w:szCs w:val="24"/>
          <w:highlight w:val="none"/>
        </w:rPr>
        <w:t xml:space="preserve">%（含）的，两率得分=50分。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有效率在</w:t>
      </w: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%（含）-9</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%的，两率得分=实际有效率×50分。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有效率在80%（含）-</w:t>
      </w: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%的，两率得分=实际有效率×</w:t>
      </w:r>
      <w:r>
        <w:rPr>
          <w:rFonts w:hint="eastAsia" w:ascii="宋体" w:hAnsi="宋体" w:eastAsia="宋体" w:cs="宋体"/>
          <w:sz w:val="24"/>
          <w:szCs w:val="24"/>
          <w:highlight w:val="none"/>
          <w:lang w:val="en-US" w:eastAsia="zh-CN"/>
        </w:rPr>
        <w:t xml:space="preserve">90</w:t>
      </w:r>
      <w:r>
        <w:rPr>
          <w:rFonts w:hint="eastAsia" w:ascii="宋体" w:hAnsi="宋体" w:eastAsia="宋体" w:cs="宋体"/>
          <w:sz w:val="24"/>
          <w:szCs w:val="24"/>
          <w:highlight w:val="none"/>
        </w:rPr>
        <w:t xml:space="preserve">%×50分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 运行维护部分（50分）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运行维护部分每季度由业主组织核查或者抽查，核查内容主要包括日常运维操作、质量保证与控制、档案和管理3部分，具体细则参考下表：</w:t>
      </w:r>
      <w:r/>
    </w:p>
    <w:p>
      <w:pPr>
        <w:ind w:firstLine="482"/>
        <w:jc w:val="center"/>
        <w:spacing w:line="520" w:lineRule="exact"/>
        <w:widowControl/>
        <w:rPr>
          <w:rFonts w:hint="eastAsia" w:ascii="宋体" w:hAnsi="宋体" w:eastAsia="宋体" w:cs="宋体"/>
          <w:b/>
          <w:bCs/>
          <w:color w:val="000000"/>
          <w:sz w:val="24"/>
          <w:szCs w:val="24"/>
          <w:highlight w:val="none"/>
        </w:rPr>
        <w:outlineLvl w:val="4"/>
      </w:pPr>
      <w:r>
        <w:rPr>
          <w:rFonts w:hint="eastAsia" w:ascii="宋体" w:hAnsi="宋体" w:eastAsia="宋体" w:cs="宋体"/>
          <w:b/>
          <w:bCs/>
          <w:color w:val="000000"/>
          <w:sz w:val="24"/>
          <w:szCs w:val="24"/>
          <w:highlight w:val="none"/>
        </w:rPr>
        <w:t xml:space="preserve">空气自动监测站运行考核表</w:t>
      </w:r>
      <w:r/>
    </w:p>
    <w:tbl>
      <w:tblPr>
        <w:tblStyle w:val="10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7"/>
        <w:gridCol w:w="5954"/>
        <w:gridCol w:w="1109"/>
      </w:tblGrid>
      <w:tr>
        <w:trPr>
          <w:trHeight w:val="457"/>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w:t>
            </w:r>
            <w:r/>
          </w:p>
        </w:tc>
        <w:tc>
          <w:tcPr>
            <w:tcW w:w="3286"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考核要求</w:t>
            </w:r>
            <w:r/>
          </w:p>
        </w:tc>
        <w:tc>
          <w:tcPr>
            <w:tcW w:w="61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p>
        </w:tc>
      </w:tr>
      <w:tr>
        <w:trPr>
          <w:trHeight w:val="423"/>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一、空气站运维现场检查  （60分）</w:t>
            </w:r>
            <w:r/>
          </w:p>
        </w:tc>
      </w:tr>
      <w:tr>
        <w:trPr>
          <w:trHeight w:val="572"/>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站房卫生</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环境清洁；整齐无零乱堆放；仪器无污渍；无漏水；站房、仪器等清洁（10分每项2分）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6"/>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自动监测仪器设备</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仪器及系统运行正常；数据正常；供电、采气、通讯、空调等设施完好无损，正常工作（15分每项5分）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6"/>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现场考核</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、NO</w:t>
            </w:r>
            <w:r>
              <w:rPr>
                <w:rFonts w:hint="eastAsia" w:ascii="宋体" w:hAnsi="宋体" w:eastAsia="宋体" w:cs="宋体"/>
                <w:color w:val="000000"/>
                <w:sz w:val="24"/>
                <w:szCs w:val="24"/>
                <w:highlight w:val="none"/>
                <w:vertAlign w:val="subscript"/>
              </w:rPr>
              <w:t xml:space="preserve">X</w:t>
            </w:r>
            <w:r>
              <w:rPr>
                <w:rFonts w:hint="eastAsia" w:ascii="宋体" w:hAnsi="宋体" w:eastAsia="宋体" w:cs="宋体"/>
                <w:color w:val="000000"/>
                <w:sz w:val="24"/>
                <w:szCs w:val="24"/>
                <w:highlight w:val="none"/>
              </w:rPr>
              <w:t xml:space="preserve">、CO标样考核符合要求；PM10、PM2.5流量符合标准（20分每项4分）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70"/>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现场记录检查</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巡检记录；跨度核查记录；零点核查记录；流量核查记录；备品备件更换记录；完整详实（15分每项3分）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8"/>
        </w:trPr>
        <w:tc>
          <w:tcPr>
            <w:gridSpan w:val="3"/>
            <w:tcW w:w="5000"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二、运维质量统计      （30分）</w:t>
            </w:r>
            <w:r/>
          </w:p>
        </w:tc>
      </w:tr>
      <w:tr>
        <w:trPr>
          <w:trHeight w:val="90"/>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站点在线率、</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数据捕集率</w:t>
            </w:r>
            <w:r/>
          </w:p>
        </w:tc>
        <w:tc>
          <w:tcPr>
            <w:tcW w:w="3286" w:type="pct"/>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除站点停电外，在线率、捕集率95%以上得5分；90%以上得4分；低于90%得0分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0"/>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数据有效率</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有效率大于90%（含）得15分，小于85%（含）得10分，其他为0分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质控检查</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检查结果合格以上得5分；差或者标样考核不合格不得分； </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故障排除</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运行中出现的故障当天排除得5分，次日排除得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3日内未解决</w:t>
            </w:r>
            <w:r>
              <w:rPr>
                <w:rFonts w:hint="eastAsia" w:ascii="宋体" w:hAnsi="宋体" w:eastAsia="宋体" w:cs="宋体"/>
                <w:color w:val="000000"/>
                <w:sz w:val="24"/>
                <w:szCs w:val="24"/>
                <w:highlight w:val="none"/>
              </w:rPr>
              <w:t xml:space="preserve">则为0分，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8"/>
        </w:trPr>
        <w:tc>
          <w:tcPr>
            <w:gridSpan w:val="3"/>
            <w:tcW w:w="5000"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三、运维能力及工作情况（10分）</w:t>
            </w:r>
            <w:r/>
          </w:p>
        </w:tc>
      </w:tr>
      <w:tr>
        <w:trPr>
          <w:trHeight w:val="559"/>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工作情况</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服从市站管理人员安排；责任心强、实时监控情况；故障发生后及时到现场处置；相关记录报告（5分）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5"/>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运维能力</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备品备件等耗材更换及时；能独立完成各项操作；排除故障能力；（5分）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5"/>
        </w:trPr>
        <w:tc>
          <w:tcPr>
            <w:gridSpan w:val="3"/>
            <w:tcW w:w="5000"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四、评价标准与等级</w:t>
            </w:r>
            <w:r/>
          </w:p>
        </w:tc>
      </w:tr>
      <w:tr>
        <w:trPr>
          <w:trHeight w:val="565"/>
        </w:trPr>
        <w:tc>
          <w:tcPr>
            <w:tcW w:w="1102"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评价等级与标准</w:t>
            </w:r>
            <w:r/>
          </w:p>
        </w:tc>
        <w:tc>
          <w:tcPr>
            <w:gridSpan w:val="2"/>
            <w:tcW w:w="38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分为优、合格、不合格三个等级。</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0以下为不合格；</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以上为优。运维质控频次、标样考核结果是否合格等以江苏省空气站自动站管理办法为依据</w:t>
            </w:r>
            <w:r/>
          </w:p>
        </w:tc>
      </w:tr>
      <w:tr>
        <w:trPr>
          <w:trHeight w:val="565"/>
        </w:trPr>
        <w:tc>
          <w:tcPr>
            <w:tcW w:w="1102"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考核组织与实施</w:t>
            </w:r>
            <w:r/>
          </w:p>
        </w:tc>
        <w:tc>
          <w:tcPr>
            <w:gridSpan w:val="2"/>
            <w:tcW w:w="38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分管站长负责组织实施，每半年一次。</w:t>
            </w:r>
            <w:r/>
          </w:p>
        </w:tc>
      </w:tr>
      <w:tr>
        <w:trPr>
          <w:trHeight w:val="565"/>
        </w:trPr>
        <w:tc>
          <w:tcPr>
            <w:gridSpan w:val="3"/>
            <w:tcW w:w="5000"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五、考核结果与情况说明建议等                  考核等级：</w:t>
            </w:r>
            <w:r/>
          </w:p>
        </w:tc>
      </w:tr>
      <w:tr>
        <w:trPr>
          <w:trHeight w:val="1046"/>
        </w:trPr>
        <w:tc>
          <w:tcPr>
            <w:gridSpan w:val="3"/>
            <w:tcW w:w="5000"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（3）运维费核算方法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绩效考核总分低于80的，不予拨付运维费；绩效考核总分90（含）分以上的，拨付全额运维费；绩效考核总分在80（含）-90分的，运维费=实际考核得分/100*全额运维费。</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（4）其他规定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机构有下列情形之一的，业主将扣除相应站点当月运行经费：迟报、漏报或不报审核数据的；拖延、阻碍、拒绝质量检查或飞行检查的；发现采样、分析、数据采集和传输等过程人为干扰，发现非运维人员进出房，未按要求及时向业主报告的；因工作疏漏，未发现采样、分析、数据采集和传输等过程人为干扰的；其他不履行规定职责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在各类专项质量检查中，运维单位未达到质控检查要求应及时进行整改，并上报整改报告，如未及时整改，扣减相应站点当季度运维经费。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业主有权根据相关规定对扣除的运维费进行重新支配，用于开展其它与空气自动监测站站运维管理相关的工作。</w:t>
      </w:r>
      <w:r/>
    </w:p>
    <w:p>
      <w:pPr>
        <w:pStyle w:val="1249"/>
        <w:ind w:firstLine="482"/>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（三）VOC监测系统运维管理内容</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VOCs空气站运维根据HJ 1010有关要求开展。</w:t>
      </w:r>
      <w:r/>
    </w:p>
    <w:p>
      <w:pPr>
        <w:pStyle w:val="1249"/>
        <w:ind w:firstLine="482"/>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系统监测因子</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57种PAMS碳氢化合物</w:t>
      </w:r>
      <w:r/>
    </w:p>
    <w:tbl>
      <w:tblPr>
        <w:tblStyle w:val="1026"/>
        <w:tblW w:w="5261"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2"/>
        <w:gridCol w:w="1132"/>
        <w:gridCol w:w="848"/>
        <w:gridCol w:w="1780"/>
        <w:gridCol w:w="1001"/>
        <w:gridCol w:w="1516"/>
        <w:gridCol w:w="718"/>
        <w:gridCol w:w="1635"/>
      </w:tblGrid>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名称</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名称</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名称</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名称</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乙烷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15</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反-2-戊烯</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29</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44</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苯乙烯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乙烯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16</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顺-2-戊烯</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30</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2,2,4-三甲基戊烷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45</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异丙基苯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丙烷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17</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2,2-二甲基丁烷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31</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庚烷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46</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丙基苯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丙烯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18</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2,3-二甲基丁烷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32</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甲基环己烷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47</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 乙基甲苯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异丁烷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19</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 </w:t>
            </w:r>
            <w:r>
              <w:rPr>
                <w:rFonts w:hint="default"/>
                <w:sz w:val="24"/>
                <w:szCs w:val="24"/>
                <w:highlight w:val="none"/>
                <w:lang w:bidi="ar"/>
              </w:rPr>
              <w:t xml:space="preserve">甲基戊烷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33</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2,3,4-</w:t>
            </w:r>
            <w:r>
              <w:rPr>
                <w:rFonts w:hint="default"/>
                <w:sz w:val="24"/>
                <w:szCs w:val="24"/>
                <w:highlight w:val="none"/>
                <w:lang w:bidi="ar"/>
              </w:rPr>
              <w:t xml:space="preserve">三甲基戊烷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48</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 </w:t>
            </w:r>
            <w:r>
              <w:rPr>
                <w:rFonts w:hint="default"/>
                <w:sz w:val="24"/>
                <w:szCs w:val="24"/>
                <w:highlight w:val="none"/>
                <w:lang w:bidi="ar"/>
              </w:rPr>
              <w:t xml:space="preserve">乙基甲苯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6</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正丁烷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20</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 </w:t>
            </w:r>
            <w:r>
              <w:rPr>
                <w:rFonts w:hint="default"/>
                <w:sz w:val="24"/>
                <w:szCs w:val="24"/>
                <w:highlight w:val="none"/>
                <w:lang w:bidi="ar"/>
              </w:rPr>
              <w:t xml:space="preserve">甲基戊烷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34</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 </w:t>
            </w:r>
            <w:r>
              <w:rPr>
                <w:rFonts w:hint="default"/>
                <w:sz w:val="24"/>
                <w:szCs w:val="24"/>
                <w:highlight w:val="none"/>
                <w:lang w:bidi="ar"/>
              </w:rPr>
              <w:t xml:space="preserve">甲基庚烷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49</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癸烷</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7</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乙炔</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21</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 </w:t>
            </w:r>
            <w:r>
              <w:rPr>
                <w:rFonts w:hint="default"/>
                <w:sz w:val="24"/>
                <w:szCs w:val="24"/>
                <w:highlight w:val="none"/>
                <w:lang w:bidi="ar"/>
              </w:rPr>
              <w:t xml:space="preserve">己烯</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35</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 </w:t>
            </w:r>
            <w:r>
              <w:rPr>
                <w:rFonts w:hint="default"/>
                <w:sz w:val="24"/>
                <w:szCs w:val="24"/>
                <w:highlight w:val="none"/>
                <w:lang w:bidi="ar"/>
              </w:rPr>
              <w:t xml:space="preserve">甲基庚烷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50</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1,3,5-</w:t>
            </w:r>
            <w:r>
              <w:rPr>
                <w:rFonts w:hint="default"/>
                <w:sz w:val="24"/>
                <w:szCs w:val="24"/>
                <w:highlight w:val="none"/>
                <w:lang w:bidi="ar"/>
              </w:rPr>
              <w:t xml:space="preserve">三甲苯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8</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反</w:t>
            </w:r>
            <w:r>
              <w:rPr>
                <w:rFonts w:hint="default" w:ascii="Times New Roman" w:hAnsi="Times New Roman" w:cs="Times New Roman"/>
                <w:sz w:val="24"/>
                <w:szCs w:val="24"/>
                <w:highlight w:val="none"/>
                <w:lang w:bidi="ar"/>
              </w:rPr>
              <w:t xml:space="preserve">-2-</w:t>
            </w:r>
            <w:r>
              <w:rPr>
                <w:rFonts w:hint="default"/>
                <w:sz w:val="24"/>
                <w:szCs w:val="24"/>
                <w:highlight w:val="none"/>
                <w:lang w:bidi="ar"/>
              </w:rPr>
              <w:t xml:space="preserve">丁烯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22</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正己烷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36</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甲苯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51</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 </w:t>
            </w:r>
            <w:r>
              <w:rPr>
                <w:rFonts w:hint="default"/>
                <w:sz w:val="24"/>
                <w:szCs w:val="24"/>
                <w:highlight w:val="none"/>
                <w:lang w:bidi="ar"/>
              </w:rPr>
              <w:t xml:space="preserve">乙基甲苯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9</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w:t>
            </w:r>
            <w:r>
              <w:rPr>
                <w:rFonts w:hint="default"/>
                <w:sz w:val="24"/>
                <w:szCs w:val="24"/>
                <w:highlight w:val="none"/>
                <w:lang w:bidi="ar"/>
              </w:rPr>
              <w:t xml:space="preserve">丁烯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23</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2,4-</w:t>
            </w:r>
            <w:r>
              <w:rPr>
                <w:rFonts w:hint="default"/>
                <w:sz w:val="24"/>
                <w:szCs w:val="24"/>
                <w:highlight w:val="none"/>
                <w:lang w:bidi="ar"/>
              </w:rPr>
              <w:t xml:space="preserve">二甲基戊烷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37</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正辛烷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52</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1,2,4-</w:t>
            </w:r>
            <w:r>
              <w:rPr>
                <w:rFonts w:hint="default"/>
                <w:sz w:val="24"/>
                <w:szCs w:val="24"/>
                <w:highlight w:val="none"/>
                <w:lang w:bidi="ar"/>
              </w:rPr>
              <w:t xml:space="preserve">三甲基苯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10</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环戊烷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24</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甲基环戊烷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38</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乙基苯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53</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1,2,3-</w:t>
            </w:r>
            <w:r>
              <w:rPr>
                <w:rFonts w:hint="default"/>
                <w:sz w:val="24"/>
                <w:szCs w:val="24"/>
                <w:highlight w:val="none"/>
                <w:lang w:bidi="ar"/>
              </w:rPr>
              <w:t xml:space="preserve">三甲基苯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11</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顺</w:t>
            </w:r>
            <w:r>
              <w:rPr>
                <w:rFonts w:hint="default" w:ascii="Times New Roman" w:hAnsi="Times New Roman" w:cs="Times New Roman"/>
                <w:sz w:val="24"/>
                <w:szCs w:val="24"/>
                <w:highlight w:val="none"/>
                <w:lang w:bidi="ar"/>
              </w:rPr>
              <w:t xml:space="preserve">-2-</w:t>
            </w:r>
            <w:r>
              <w:rPr>
                <w:rFonts w:hint="default"/>
                <w:sz w:val="24"/>
                <w:szCs w:val="24"/>
                <w:highlight w:val="none"/>
                <w:lang w:bidi="ar"/>
              </w:rPr>
              <w:t xml:space="preserve">丁烯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25</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 </w:t>
            </w:r>
            <w:r>
              <w:rPr>
                <w:rFonts w:hint="default"/>
                <w:sz w:val="24"/>
                <w:szCs w:val="24"/>
                <w:highlight w:val="none"/>
                <w:lang w:bidi="ar"/>
              </w:rPr>
              <w:t xml:space="preserve">甲基己烷</w:t>
            </w:r>
            <w:r>
              <w:rPr>
                <w:rFonts w:hint="default" w:ascii="Times New Roman" w:hAnsi="Times New Roman" w:cs="Times New Roman"/>
                <w:sz w:val="24"/>
                <w:szCs w:val="24"/>
                <w:highlight w:val="none"/>
                <w:lang w:bidi="ar"/>
              </w:rPr>
              <w:t xml:space="preserve">(</w:t>
            </w:r>
            <w:r>
              <w:rPr>
                <w:rFonts w:hint="default"/>
                <w:sz w:val="24"/>
                <w:szCs w:val="24"/>
                <w:highlight w:val="none"/>
                <w:lang w:bidi="ar"/>
              </w:rPr>
              <w:t xml:space="preserve">异庚烷</w:t>
            </w:r>
            <w:r>
              <w:rPr>
                <w:rFonts w:hint="default" w:ascii="Times New Roman" w:hAnsi="Times New Roman" w:cs="Times New Roman"/>
                <w:sz w:val="24"/>
                <w:szCs w:val="24"/>
                <w:highlight w:val="none"/>
                <w:lang w:bidi="ar"/>
              </w:rPr>
              <w:t xml:space="preserve">)</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39</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正壬烷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54</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1,3-</w:t>
            </w:r>
            <w:r>
              <w:rPr>
                <w:rFonts w:hint="default"/>
                <w:sz w:val="24"/>
                <w:szCs w:val="24"/>
                <w:highlight w:val="none"/>
                <w:lang w:bidi="ar"/>
              </w:rPr>
              <w:t xml:space="preserve">二乙基苯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12</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异戊烷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26</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2,3-</w:t>
            </w:r>
            <w:r>
              <w:rPr>
                <w:rFonts w:hint="default"/>
                <w:sz w:val="24"/>
                <w:szCs w:val="24"/>
                <w:highlight w:val="none"/>
                <w:lang w:bidi="ar"/>
              </w:rPr>
              <w:t xml:space="preserve">二甲基戊烷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40</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异戊二烯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55</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1,4-</w:t>
            </w:r>
            <w:r>
              <w:rPr>
                <w:rFonts w:hint="default"/>
                <w:sz w:val="24"/>
                <w:szCs w:val="24"/>
                <w:highlight w:val="none"/>
                <w:lang w:bidi="ar"/>
              </w:rPr>
              <w:t xml:space="preserve">二乙基苯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13</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正戊烷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27</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环己烷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41-42</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间</w:t>
            </w:r>
            <w:r>
              <w:rPr>
                <w:rFonts w:hint="default" w:ascii="Times New Roman" w:hAnsi="Times New Roman" w:cs="Times New Roman"/>
                <w:sz w:val="24"/>
                <w:szCs w:val="24"/>
                <w:highlight w:val="none"/>
                <w:lang w:bidi="ar"/>
              </w:rPr>
              <w:t xml:space="preserve">/</w:t>
            </w:r>
            <w:r>
              <w:rPr>
                <w:rFonts w:hint="default"/>
                <w:sz w:val="24"/>
                <w:szCs w:val="24"/>
                <w:highlight w:val="none"/>
                <w:lang w:bidi="ar"/>
              </w:rPr>
              <w:t xml:space="preserve">对</w:t>
            </w:r>
            <w:r>
              <w:rPr>
                <w:rFonts w:hint="default" w:ascii="Times New Roman" w:hAnsi="Times New Roman" w:cs="Times New Roman"/>
                <w:sz w:val="24"/>
                <w:szCs w:val="24"/>
                <w:highlight w:val="none"/>
                <w:lang w:bidi="ar"/>
              </w:rPr>
              <w:t xml:space="preserve">-</w:t>
            </w:r>
            <w:r>
              <w:rPr>
                <w:rFonts w:hint="default"/>
                <w:sz w:val="24"/>
                <w:szCs w:val="24"/>
                <w:highlight w:val="none"/>
                <w:lang w:bidi="ar"/>
              </w:rPr>
              <w:t xml:space="preserve">二甲苯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56</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十一烷</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14</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w:t>
            </w:r>
            <w:r>
              <w:rPr>
                <w:rFonts w:hint="default"/>
                <w:sz w:val="24"/>
                <w:szCs w:val="24"/>
                <w:highlight w:val="none"/>
                <w:lang w:bidi="ar"/>
              </w:rPr>
              <w:t xml:space="preserve">戊烯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28</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 </w:t>
            </w:r>
            <w:r>
              <w:rPr>
                <w:rFonts w:hint="default"/>
                <w:sz w:val="24"/>
                <w:szCs w:val="24"/>
                <w:highlight w:val="none"/>
                <w:lang w:bidi="ar"/>
              </w:rPr>
              <w:t xml:space="preserve">甲基己烷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43</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邻二甲苯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57</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50"/>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十二烷</w:t>
            </w:r>
            <w:r/>
          </w:p>
        </w:tc>
      </w:tr>
    </w:tbl>
    <w:p>
      <w:pPr>
        <w:pStyle w:val="1249"/>
        <w:ind w:firstLine="482"/>
        <w:rPr>
          <w:rFonts w:hint="eastAsia" w:ascii="Times New Roman" w:hAnsi="Times New Roman"/>
          <w:b/>
          <w:color w:val="000000"/>
          <w:sz w:val="24"/>
          <w:szCs w:val="24"/>
          <w:highlight w:val="none"/>
          <w:lang w:val="en-US" w:eastAsia="zh-CN"/>
        </w:rPr>
        <w:outlineLvl w:val="9"/>
      </w:pPr>
      <w:r>
        <w:rPr>
          <w:rFonts w:hint="eastAsia" w:ascii="Times New Roman" w:hAnsi="Times New Roman"/>
          <w:b/>
          <w:color w:val="000000"/>
          <w:sz w:val="24"/>
          <w:szCs w:val="24"/>
          <w:highlight w:val="none"/>
          <w:lang w:val="en-US" w:eastAsia="zh-CN"/>
        </w:rPr>
      </w:r>
      <w:r/>
    </w:p>
    <w:p>
      <w:pPr>
        <w:pStyle w:val="1249"/>
        <w:ind w:firstLine="482"/>
        <w:rPr>
          <w:rFonts w:ascii="Times New Roman" w:hAnsi="Times New Roman"/>
          <w:b/>
          <w:color w:val="000000"/>
          <w:sz w:val="24"/>
          <w:szCs w:val="24"/>
          <w:highlight w:val="none"/>
        </w:rPr>
        <w:outlineLvl w:val="1"/>
      </w:pPr>
      <w:r>
        <w:rPr>
          <w:rFonts w:hint="eastAsia" w:ascii="Times New Roman" w:hAnsi="Times New Roman"/>
          <w:b/>
          <w:color w:val="000000"/>
          <w:sz w:val="24"/>
          <w:szCs w:val="24"/>
          <w:highlight w:val="none"/>
          <w:lang w:val="en-US" w:eastAsia="zh-CN"/>
        </w:rPr>
        <w:t xml:space="preserve">2</w:t>
      </w:r>
      <w:r>
        <w:rPr>
          <w:rFonts w:ascii="Times New Roman" w:hAnsi="Times New Roman"/>
          <w:b/>
          <w:color w:val="000000"/>
          <w:sz w:val="24"/>
          <w:szCs w:val="24"/>
          <w:highlight w:val="none"/>
        </w:rPr>
        <w:t xml:space="preserve">、一般要求</w:t>
      </w:r>
      <w:r/>
    </w:p>
    <w:p>
      <w:pPr>
        <w:pStyle w:val="1249"/>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对站房周围的杂草和积水应及时清除，当周围树木生长超过规范规定的控制限时，对采样有影响的树枝等应及时进行剪除；</w:t>
      </w:r>
      <w:r/>
    </w:p>
    <w:p>
      <w:pPr>
        <w:pStyle w:val="1249"/>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检查外部环境是否正常，有没有对测定结果或运行环境存在明显影响的污染源，一旦发现污染源，应及时在运维记录上记录，并通知采购方；</w:t>
      </w:r>
      <w:r/>
    </w:p>
    <w:p>
      <w:pPr>
        <w:pStyle w:val="1249"/>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检查站房屋是否有漏雨现象，气象杆和天线是否被刮坏，站房外围的其它设施是否有损坏或被水淹，如遇到以上问题应及时处理，保证系统能安全运行；</w:t>
      </w:r>
      <w:r/>
    </w:p>
    <w:p>
      <w:pPr>
        <w:pStyle w:val="1249"/>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保持站房内部环境清洁，布置整齐，无与监测无关物品，各仪器设备干净清洁，设备标识清楚；</w:t>
      </w:r>
      <w:r/>
    </w:p>
    <w:p>
      <w:pPr>
        <w:pStyle w:val="1249"/>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在冬、夏季节应注意站房室内外温差，若温差较大使采样装置出现冷凝水，应及时改变站房温度或对采样总管采取适当的控制措施，防止冷凝现象。</w:t>
      </w:r>
      <w:r/>
    </w:p>
    <w:p>
      <w:pPr>
        <w:pStyle w:val="1249"/>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保证仪器运行电源电压正常，空调正常工作，环境温度保持在25℃左右，上下不超过5℃，湿度保持在80%RH以下；</w:t>
      </w:r>
      <w:r/>
    </w:p>
    <w:p>
      <w:pPr>
        <w:pStyle w:val="1249"/>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检查供电、通讯、数据采集与传输等情况，保证系统的正常运行；</w:t>
      </w:r>
      <w:r/>
    </w:p>
    <w:p>
      <w:pPr>
        <w:pStyle w:val="1249"/>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设备固定牢固，门窗关闭良好，人走关门，非工作人员未经许可不得入内。检查站房的安全设施，做好防火防盗工作，站房内发生仪器物品丢失、火灾等意外情况，责任由中标方负责；</w:t>
      </w:r>
      <w:r/>
    </w:p>
    <w:p>
      <w:pPr>
        <w:pStyle w:val="1249"/>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进行维护时，应规范操作，注意安全，防止意外发生，由人员操作不当导致的伤亡事件，责任由中标方负责；</w:t>
      </w:r>
      <w:r/>
    </w:p>
    <w:p>
      <w:pPr>
        <w:pStyle w:val="1249"/>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检查站点的排风排气装置工作是否正常；</w:t>
      </w:r>
      <w:r/>
    </w:p>
    <w:p>
      <w:pPr>
        <w:pStyle w:val="1249"/>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标准气钢瓶阀门是否漏气，标准气的消耗情况；</w:t>
      </w:r>
      <w:r/>
    </w:p>
    <w:p>
      <w:pPr>
        <w:pStyle w:val="1249"/>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检查采样和排气管路是否有漏气或堵塞现象；</w:t>
      </w:r>
      <w:r/>
    </w:p>
    <w:p>
      <w:pPr>
        <w:pStyle w:val="1249"/>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检查各仪器运行状况否正常，保证仪器正常有效运行。</w:t>
      </w:r>
      <w:r/>
    </w:p>
    <w:p>
      <w:pPr>
        <w:pStyle w:val="1249"/>
        <w:ind w:firstLine="482"/>
        <w:rPr>
          <w:rFonts w:ascii="Times New Roman" w:hAnsi="Times New Roman"/>
          <w:b/>
          <w:color w:val="000000"/>
          <w:sz w:val="24"/>
          <w:szCs w:val="24"/>
          <w:highlight w:val="none"/>
        </w:rPr>
        <w:outlineLvl w:val="1"/>
      </w:pPr>
      <w:r>
        <w:rPr>
          <w:rFonts w:hint="eastAsia" w:ascii="Times New Roman" w:hAnsi="Times New Roman"/>
          <w:b/>
          <w:color w:val="000000"/>
          <w:sz w:val="24"/>
          <w:szCs w:val="24"/>
          <w:highlight w:val="none"/>
          <w:lang w:val="en-US" w:eastAsia="zh-CN"/>
        </w:rPr>
        <w:t xml:space="preserve">3</w:t>
      </w:r>
      <w:r>
        <w:rPr>
          <w:rFonts w:ascii="Times New Roman" w:hAnsi="Times New Roman"/>
          <w:b/>
          <w:color w:val="000000"/>
          <w:sz w:val="24"/>
          <w:szCs w:val="24"/>
          <w:highlight w:val="none"/>
        </w:rPr>
        <w:t xml:space="preserve">、具体要求</w:t>
      </w:r>
      <w:r/>
    </w:p>
    <w:p>
      <w:pPr>
        <w:pStyle w:val="1249"/>
        <w:numPr>
          <w:ilvl w:val="0"/>
          <w:numId w:val="5"/>
        </w:numPr>
        <w:ind w:left="0" w:firstLine="482"/>
        <w:rPr>
          <w:rFonts w:ascii="Times New Roman" w:hAnsi="Times New Roman"/>
          <w:b/>
          <w:bCs w:val="0"/>
          <w:color w:val="000000"/>
          <w:sz w:val="24"/>
          <w:szCs w:val="24"/>
          <w:highlight w:val="none"/>
        </w:rPr>
        <w:outlineLvl w:val="2"/>
      </w:pPr>
      <w:r>
        <w:rPr>
          <w:rFonts w:hint="eastAsia" w:ascii="Times New Roman" w:hAnsi="Times New Roman"/>
          <w:b/>
          <w:bCs w:val="0"/>
          <w:color w:val="000000"/>
          <w:sz w:val="24"/>
          <w:szCs w:val="24"/>
          <w:highlight w:val="none"/>
          <w:lang w:val="en-US" w:eastAsia="zh-CN"/>
        </w:rPr>
        <w:t xml:space="preserve">日常巡查</w:t>
      </w:r>
      <w:r/>
    </w:p>
    <w:p>
      <w:pPr>
        <w:pStyle w:val="1249"/>
        <w:numPr>
          <w:ilvl w:val="0"/>
          <w:numId w:val="6"/>
        </w:numPr>
        <w:ind w:left="0" w:firstLine="480"/>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每日检查仪器运行状况、工作参数、数据采集和传输情况是否正常。</w:t>
      </w:r>
      <w:r/>
    </w:p>
    <w:p>
      <w:pPr>
        <w:pStyle w:val="1249"/>
        <w:numPr>
          <w:ilvl w:val="0"/>
          <w:numId w:val="6"/>
        </w:numPr>
        <w:ind w:left="0" w:firstLine="480"/>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每日远程登录或现场对仪器软件进行谱图检查，对峰飘物质及时修正。</w:t>
      </w:r>
      <w:r/>
    </w:p>
    <w:p>
      <w:pPr>
        <w:pStyle w:val="1249"/>
        <w:numPr>
          <w:ilvl w:val="0"/>
          <w:numId w:val="6"/>
        </w:numPr>
        <w:ind w:left="0" w:firstLine="480"/>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每日使用标准混合气体对仪器各组分进行单点（工作点）检查与校准，当大于20%的物种色谱标准气单点浓度偏差大于20%、质谱标准气单点浓度偏差大于30%时，需重新标定校准曲线。每日工作点检查结束后，使用零气对仪器各组分进行检查与校准，物种组分空白残留不应该高于0.1nmol/mol。若出现组分空白不合格，且该组分日常浓度范围在0.3nmol/mol以内，则当天监测数据均做无效处理；若该组分日常浓度范围在1nmol/mol以上，则视空白结果予以保留或无效标注处理；数据浓度相对较高，可体现污染和变化现状的，酌情保留。</w:t>
      </w:r>
      <w:r/>
    </w:p>
    <w:p>
      <w:pPr>
        <w:pStyle w:val="1249"/>
        <w:numPr>
          <w:ilvl w:val="0"/>
          <w:numId w:val="6"/>
        </w:numPr>
        <w:ind w:left="0" w:firstLine="480"/>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每日对前一日VOCs谱图开展人工二次积分以确保监测结果的准确性，对异常及缺失数据进行记录与说明。</w:t>
      </w:r>
      <w:r/>
    </w:p>
    <w:p>
      <w:pPr>
        <w:pStyle w:val="1249"/>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每周工作</w:t>
      </w:r>
      <w:r/>
    </w:p>
    <w:p>
      <w:pPr>
        <w:pStyle w:val="1249"/>
        <w:ind w:firstLine="482"/>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VOCs仪器应开展仪器性能检查并做好记录。开展主要性能指标检查，开展氢气发生器、载气和零气供应情况检查。</w:t>
      </w:r>
      <w:r/>
    </w:p>
    <w:p>
      <w:pPr>
        <w:pStyle w:val="1249"/>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检查仪器运行状态，是否报警或异常;</w:t>
      </w:r>
      <w:r/>
    </w:p>
    <w:p>
      <w:pPr>
        <w:pStyle w:val="1249"/>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检查仪器耗材使用情况，更换仪器所需耗材;</w:t>
      </w:r>
      <w:r/>
    </w:p>
    <w:p>
      <w:pPr>
        <w:pStyle w:val="1249"/>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检查标气、载气等各类气体使用情况;</w:t>
      </w:r>
      <w:r/>
    </w:p>
    <w:p>
      <w:pPr>
        <w:pStyle w:val="1249"/>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检查仪器管路、阀门是否漏气;</w:t>
      </w:r>
      <w:r/>
    </w:p>
    <w:p>
      <w:pPr>
        <w:pStyle w:val="1249"/>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检查站房外部环境，是否存在对监测数据或运行环境存在明显影响的污染源;</w:t>
      </w:r>
      <w:r/>
    </w:p>
    <w:p>
      <w:pPr>
        <w:pStyle w:val="1249"/>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检查站房通讯及数据传输系统状态;</w:t>
      </w:r>
      <w:r/>
    </w:p>
    <w:p>
      <w:pPr>
        <w:pStyle w:val="1249"/>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检查更换颗粒物过滤膜;</w:t>
      </w:r>
      <w:r/>
    </w:p>
    <w:p>
      <w:pPr>
        <w:pStyle w:val="1249"/>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检查站房消防、防雷、防水等安全措施是否正常。</w:t>
      </w:r>
      <w:r/>
    </w:p>
    <w:p>
      <w:pPr>
        <w:pStyle w:val="1249"/>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每月工作</w:t>
      </w:r>
      <w:r/>
    </w:p>
    <w:p>
      <w:pPr>
        <w:pStyle w:val="1249"/>
        <w:ind w:firstLine="482"/>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VOCs仪器应使用混合标准气体对仪器各组分进行单点（工作点）检查与校准，如浓度偏差大于20%，需重新建立标线。每月应检查基线空白漂移/响应值，氢气发生器、载气、零气发生器性能与流量等各项指标。</w:t>
      </w:r>
      <w:r/>
    </w:p>
    <w:p>
      <w:pPr>
        <w:pStyle w:val="1249"/>
        <w:numPr>
          <w:ilvl w:val="0"/>
          <w:numId w:val="8"/>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清洗仪器散热风扇滤网;</w:t>
      </w:r>
      <w:r/>
    </w:p>
    <w:p>
      <w:pPr>
        <w:pStyle w:val="1249"/>
        <w:numPr>
          <w:ilvl w:val="0"/>
          <w:numId w:val="8"/>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更换发生器过滤分子筛;</w:t>
      </w:r>
      <w:r/>
    </w:p>
    <w:p>
      <w:pPr>
        <w:pStyle w:val="1249"/>
        <w:numPr>
          <w:ilvl w:val="0"/>
          <w:numId w:val="8"/>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更换发生器干燥剂。</w:t>
      </w:r>
      <w:r/>
    </w:p>
    <w:p>
      <w:pPr>
        <w:pStyle w:val="1249"/>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每季度工作</w:t>
      </w:r>
      <w:r/>
    </w:p>
    <w:p>
      <w:pPr>
        <w:pStyle w:val="1249"/>
        <w:ind w:firstLine="482"/>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为了提高VOCs仪器监测准确度，每季度使用混合标准气体更新多点校准曲线。</w:t>
      </w:r>
      <w:r/>
    </w:p>
    <w:p>
      <w:pPr>
        <w:pStyle w:val="1249"/>
        <w:numPr>
          <w:ilvl w:val="0"/>
          <w:numId w:val="9"/>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每季度检查检测器工作状态、老化色谱柱;</w:t>
      </w:r>
      <w:r/>
    </w:p>
    <w:p>
      <w:pPr>
        <w:pStyle w:val="1249"/>
        <w:numPr>
          <w:ilvl w:val="0"/>
          <w:numId w:val="9"/>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每季对仪器进行一次预防性维护和各测试参数检查;</w:t>
      </w:r>
      <w:r/>
    </w:p>
    <w:p>
      <w:pPr>
        <w:pStyle w:val="1249"/>
        <w:numPr>
          <w:ilvl w:val="0"/>
          <w:numId w:val="9"/>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每季对仪器所有数据进行备份;</w:t>
      </w:r>
      <w:r/>
    </w:p>
    <w:p>
      <w:pPr>
        <w:pStyle w:val="1249"/>
        <w:numPr>
          <w:ilvl w:val="0"/>
          <w:numId w:val="9"/>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每季使用标准混合气更新工作曲线和峰窗。</w:t>
      </w:r>
      <w:r/>
    </w:p>
    <w:p>
      <w:pPr>
        <w:pStyle w:val="1249"/>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每半年工作</w:t>
      </w:r>
      <w:r/>
    </w:p>
    <w:p>
      <w:pPr>
        <w:pStyle w:val="1249"/>
        <w:numPr>
          <w:ilvl w:val="0"/>
          <w:numId w:val="10"/>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每半年对仪器设备进行一次维护保养，对气态污染物采样系统进行一次维护清洗;</w:t>
      </w:r>
      <w:r/>
    </w:p>
    <w:p>
      <w:pPr>
        <w:pStyle w:val="1249"/>
        <w:numPr>
          <w:ilvl w:val="0"/>
          <w:numId w:val="10"/>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采样总管及采样风机清洗</w:t>
      </w:r>
      <w:r>
        <w:rPr>
          <w:rFonts w:hint="eastAsia" w:ascii="Times New Roman" w:hAnsi="Times New Roman"/>
          <w:bCs/>
          <w:color w:val="000000"/>
          <w:sz w:val="24"/>
          <w:szCs w:val="24"/>
          <w:highlight w:val="none"/>
          <w:lang w:eastAsia="zh-CN"/>
        </w:rPr>
        <w:t xml:space="preserve">。</w:t>
      </w:r>
      <w:r/>
    </w:p>
    <w:p>
      <w:pPr>
        <w:pStyle w:val="1249"/>
        <w:numPr>
          <w:ilvl w:val="0"/>
          <w:numId w:val="10"/>
        </w:numPr>
        <w:ind w:left="0" w:firstLine="480"/>
        <w:rPr>
          <w:rFonts w:ascii="Times New Roman" w:hAnsi="Times New Roman"/>
          <w:bCs/>
          <w:color w:val="000000"/>
          <w:sz w:val="24"/>
          <w:szCs w:val="24"/>
          <w:highlight w:val="none"/>
        </w:rPr>
        <w:outlineLvl w:val="9"/>
      </w:pPr>
      <w:r>
        <w:rPr>
          <w:rFonts w:hint="eastAsia" w:ascii="Times New Roman" w:hAnsi="Times New Roman"/>
          <w:bCs/>
          <w:color w:val="000000"/>
          <w:sz w:val="24"/>
          <w:szCs w:val="24"/>
          <w:highlight w:val="none"/>
        </w:rPr>
        <w:t xml:space="preserve">每半年按照HJ 1010中仪器性能指标要求对仪器进行全面检查，包括方法检出限、校准曲线、全系统空白、精密性、物种分离度等。</w:t>
      </w:r>
      <w:r/>
    </w:p>
    <w:p>
      <w:pPr>
        <w:pStyle w:val="1249"/>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每年工作</w:t>
      </w:r>
      <w:r/>
    </w:p>
    <w:p>
      <w:pPr>
        <w:pStyle w:val="1249"/>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流量计、气压计、温度计等设备送计量部门检定，并保存好检定报告；</w:t>
      </w:r>
      <w:r/>
    </w:p>
    <w:p>
      <w:pPr>
        <w:pStyle w:val="1249"/>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站点的消防设施进行检查，保证在有效期内；</w:t>
      </w:r>
      <w:r/>
    </w:p>
    <w:p>
      <w:pPr>
        <w:pStyle w:val="1249"/>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检查站点的防雷设施，每年由有资质单位检定一次，并出具相应的鉴定报告；</w:t>
      </w:r>
      <w:r/>
    </w:p>
    <w:p>
      <w:pPr>
        <w:pStyle w:val="1249"/>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更换所有仪器的泵组件；</w:t>
      </w:r>
      <w:r/>
    </w:p>
    <w:p>
      <w:pPr>
        <w:pStyle w:val="1249"/>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VOCs仪器每年应开展不少于一次系统保养，对采样管路、仪器内部进样管路和检测器进行清洗等。根据仪器说明书更换必要的耗材与配件。保养后，应对仪器进行全面校准与检查，开展多点校准，进行仪器重复性、稳定性和方法检出限的测定，以确保仪器在维护前后数据的准确性和可比性。</w:t>
      </w:r>
      <w:r/>
    </w:p>
    <w:p>
      <w:pPr>
        <w:pStyle w:val="1249"/>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不定期工作</w:t>
      </w:r>
      <w:r/>
    </w:p>
    <w:p>
      <w:pPr>
        <w:pStyle w:val="1249"/>
        <w:numPr>
          <w:ilvl w:val="0"/>
          <w:numId w:val="12"/>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根据实际使用情况更换相关耗材；</w:t>
      </w:r>
      <w:r/>
    </w:p>
    <w:p>
      <w:pPr>
        <w:pStyle w:val="1249"/>
        <w:numPr>
          <w:ilvl w:val="0"/>
          <w:numId w:val="12"/>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根据实际需要更换零气源活性炭和氧化剂，对零气性能进行检查；</w:t>
      </w:r>
      <w:r/>
    </w:p>
    <w:p>
      <w:pPr>
        <w:pStyle w:val="1249"/>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VOCs仪器紧急维护</w:t>
      </w:r>
      <w:r/>
    </w:p>
    <w:p>
      <w:pPr>
        <w:pStyle w:val="1249"/>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VOCs自动监测系统仪器出现故障或监测值有异常情形时，中标人应迅速进行紧急维修。一些简单的故障可现场解决，如不能现场解决，应马上更换备用机运行，保证全天数据正常。</w:t>
      </w:r>
      <w:r/>
    </w:p>
    <w:p>
      <w:pPr>
        <w:pStyle w:val="1249"/>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每日6时至23时出现故障时，应在发现故障2小时之内响应，4小时内到达现场排除故障。通信和电力线路故障除外，但应及时与相关部门联系解决。对不易诊断和维修的仪器故障，若24小时内无法排除，应</w:t>
      </w:r>
      <w:r>
        <w:rPr>
          <w:rFonts w:hint="eastAsia" w:ascii="Times New Roman" w:hAnsi="Times New Roman"/>
          <w:bCs/>
          <w:color w:val="000000"/>
          <w:sz w:val="24"/>
          <w:szCs w:val="24"/>
          <w:highlight w:val="none"/>
        </w:rPr>
        <w:t xml:space="preserve">采用</w:t>
      </w:r>
      <w:r>
        <w:rPr>
          <w:rFonts w:ascii="Times New Roman" w:hAnsi="Times New Roman"/>
          <w:bCs/>
          <w:color w:val="000000"/>
          <w:sz w:val="24"/>
          <w:szCs w:val="24"/>
          <w:highlight w:val="none"/>
        </w:rPr>
        <w:t xml:space="preserve">手工采样的方式进行监测。</w:t>
      </w:r>
      <w:r/>
    </w:p>
    <w:p>
      <w:pPr>
        <w:pStyle w:val="1249"/>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紧急维修主要针对发生故障之设备，对发生故障的设备进行检修，如果发生零件损坏，中标人将马上进行更换，确保24小时内子站系统恢复正常运行。</w:t>
      </w:r>
      <w:r/>
    </w:p>
    <w:p>
      <w:pPr>
        <w:pStyle w:val="1249"/>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如在现场发现不能在短期内修复仪器的，中标人应及时告知采购人，征得同意后，由中标人负责维修（仪器正常报废除外）。</w:t>
      </w:r>
      <w:r/>
    </w:p>
    <w:p>
      <w:pPr>
        <w:pStyle w:val="1249"/>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发生通讯故障时，中标人技术人员到达现场后，应检查通讯线路、MODEM、数据采集器等，并及时处理，将检查结果及时反馈给采购人技术人员；如果故障是由通讯线路导致的，通知并协助采购人技术人员报修。</w:t>
      </w:r>
      <w:r/>
    </w:p>
    <w:p>
      <w:pPr>
        <w:pStyle w:val="1249"/>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更换下来故障仪器设备，中标人技术人员应尽快对仪器完成维修（特殊备件损坏需进口购置的情况除外），修好的仪器经采购人技术人员确认后方可重新投入运行。</w:t>
      </w:r>
      <w:r/>
    </w:p>
    <w:p>
      <w:pPr>
        <w:pStyle w:val="1249"/>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中标人技术人员在维修每一台仪器，每一个故障时，都要填写仪器维修报告表，详细记录故障现象、维修过程、更换设备情况等。</w:t>
      </w:r>
      <w:r/>
    </w:p>
    <w:p>
      <w:pPr>
        <w:pStyle w:val="1249"/>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仪器出现重大故障或核心关键部件损坏，在维修完成后需进行严格校准，必要时经重新检定或溯源后方可上架投入运行。</w:t>
      </w:r>
      <w:r/>
    </w:p>
    <w:p>
      <w:pPr>
        <w:pStyle w:val="1249"/>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其他</w:t>
      </w:r>
      <w:r/>
    </w:p>
    <w:p>
      <w:pPr>
        <w:pStyle w:val="1249"/>
        <w:ind w:firstLine="482"/>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1）分析仪在以下情况下需进行校准和再校准：1.移动位置时，2.进行可能影响校准结果的维修或维护后，3.分析仪暂停工作一段时间后，4.有迹象表明分析仪工作不正常或校准结果出现变化。</w:t>
      </w:r>
      <w:r/>
    </w:p>
    <w:p>
      <w:pPr>
        <w:pStyle w:val="1249"/>
        <w:ind w:firstLine="482"/>
        <w:rPr>
          <w:rFonts w:ascii="Times New Roman" w:hAnsi="Times New Roman"/>
          <w:b/>
          <w:color w:val="000000"/>
          <w:sz w:val="24"/>
          <w:szCs w:val="24"/>
          <w:highlight w:val="none"/>
        </w:rPr>
      </w:pPr>
      <w:r>
        <w:rPr>
          <w:rFonts w:ascii="Times New Roman" w:hAnsi="Times New Roman"/>
          <w:bCs/>
          <w:color w:val="000000"/>
          <w:sz w:val="24"/>
          <w:szCs w:val="24"/>
          <w:highlight w:val="none"/>
        </w:rPr>
        <w:t xml:space="preserve">2）仪器大修后（更换设备测试关键部件），应按顺序进行漂移实验（零点漂移、量程漂移）、重复性及准确度实验、多点线性实验。</w:t>
      </w:r>
      <w:r/>
    </w:p>
    <w:p>
      <w:pPr>
        <w:pStyle w:val="1249"/>
        <w:ind w:firstLine="482"/>
        <w:rPr>
          <w:rFonts w:ascii="Times New Roman" w:hAnsi="Times New Roman"/>
          <w:b/>
          <w:color w:val="000000"/>
          <w:sz w:val="24"/>
          <w:szCs w:val="24"/>
          <w:highlight w:val="none"/>
        </w:rPr>
        <w:outlineLvl w:val="1"/>
      </w:pPr>
      <w:r>
        <w:rPr>
          <w:rFonts w:ascii="Times New Roman" w:hAnsi="Times New Roman"/>
          <w:b/>
          <w:color w:val="000000"/>
          <w:sz w:val="24"/>
          <w:szCs w:val="24"/>
          <w:highlight w:val="none"/>
        </w:rPr>
        <w:t xml:space="preserve">（</w:t>
      </w:r>
      <w:r>
        <w:rPr>
          <w:rFonts w:hint="eastAsia" w:ascii="Times New Roman" w:hAnsi="Times New Roman"/>
          <w:b/>
          <w:color w:val="000000"/>
          <w:sz w:val="24"/>
          <w:szCs w:val="24"/>
          <w:highlight w:val="none"/>
        </w:rPr>
        <w:t xml:space="preserve">四</w:t>
      </w:r>
      <w:r>
        <w:rPr>
          <w:rFonts w:ascii="Times New Roman" w:hAnsi="Times New Roman"/>
          <w:b/>
          <w:color w:val="000000"/>
          <w:sz w:val="24"/>
          <w:szCs w:val="24"/>
          <w:highlight w:val="none"/>
        </w:rPr>
        <w:t xml:space="preserve">）微型站运维</w:t>
      </w:r>
      <w:r>
        <w:rPr>
          <w:rFonts w:hint="eastAsia" w:ascii="Times New Roman" w:hAnsi="Times New Roman"/>
          <w:b/>
          <w:color w:val="000000"/>
          <w:sz w:val="24"/>
          <w:szCs w:val="24"/>
          <w:highlight w:val="none"/>
        </w:rPr>
        <w:t xml:space="preserve">管理内容</w:t>
      </w:r>
      <w:r>
        <w:rPr>
          <w:rFonts w:ascii="Times New Roman" w:hAnsi="Times New Roman"/>
          <w:b/>
          <w:color w:val="000000"/>
          <w:sz w:val="24"/>
          <w:szCs w:val="24"/>
          <w:highlight w:val="none"/>
        </w:rPr>
        <w:t xml:space="preserve"> </w:t>
      </w:r>
      <w:r/>
    </w:p>
    <w:p>
      <w:pPr>
        <w:pStyle w:val="1249"/>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微型站运行维护应包括周监控、月巡检、季度检查和年度更换，具体要求如下：</w:t>
      </w:r>
      <w:r/>
    </w:p>
    <w:p>
      <w:pPr>
        <w:pStyle w:val="1249"/>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周监控：每周检查设备在线率、报警情况、运行维护计划等至少1次；</w:t>
      </w:r>
      <w:r/>
    </w:p>
    <w:p>
      <w:pPr>
        <w:pStyle w:val="1249"/>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月巡检：每月远程巡检设备运行状况至少1次，具体内容包括设备运行状态、异常率、运行负荷、质控合格情况等，并留有书面记录； </w:t>
      </w:r>
      <w:r/>
    </w:p>
    <w:p>
      <w:pPr>
        <w:pStyle w:val="1249"/>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季度检查：每季度抽取不少于总数5%的站点进行现场检查，检查内容包括质量浓度准确性、平行性、设备状况、周边环境、设备运行状况等。安装气象传感器的站点，使用标准温湿度气压计、手持式风向风速仪进行比对校准。如果季度抽查不合格比例超过一定限值，及时更换不合格产品并将季度检查频次缩短为月度检查。现场检查留有书面记录；</w:t>
      </w:r>
      <w:r/>
    </w:p>
    <w:p>
      <w:pPr>
        <w:pStyle w:val="1249"/>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年度检查：每年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现场检查应留有书面记录。</w:t>
      </w:r>
      <w:r/>
    </w:p>
    <w:p>
      <w:pPr>
        <w:pStyle w:val="1249"/>
        <w:numPr>
          <w:ilvl w:val="0"/>
          <w:numId w:val="14"/>
        </w:numPr>
        <w:ind w:firstLine="482"/>
        <w:rPr>
          <w:rFonts w:hint="eastAsia" w:ascii="Times New Roman" w:hAnsi="Times New Roman" w:cs="Times New Roman"/>
          <w:b/>
          <w:color w:val="000000"/>
          <w:sz w:val="24"/>
          <w:szCs w:val="24"/>
          <w:highlight w:val="none"/>
        </w:rPr>
        <w:outlineLvl w:val="1"/>
      </w:pPr>
      <w:r>
        <w:rPr>
          <w:rFonts w:hint="eastAsia" w:ascii="Times New Roman" w:hAnsi="Times New Roman" w:cs="Times New Roman"/>
          <w:b/>
          <w:color w:val="000000"/>
          <w:sz w:val="24"/>
          <w:szCs w:val="24"/>
          <w:highlight w:val="none"/>
        </w:rPr>
        <w:t xml:space="preserve">污染物排放总量核算、环保平台数字化服务</w:t>
      </w:r>
      <w:r/>
    </w:p>
    <w:p>
      <w:pPr>
        <w:pStyle w:val="1249"/>
        <w:ind w:firstLine="480"/>
        <w:rPr>
          <w:rFonts w:hint="eastAsia" w:ascii="Times New Roman" w:hAnsi="Times New Roman" w:cs="Times New Roman"/>
          <w:bCs/>
          <w:color w:val="000000"/>
          <w:sz w:val="24"/>
          <w:szCs w:val="24"/>
          <w:highlight w:val="none"/>
        </w:rPr>
      </w:pPr>
      <w:r>
        <w:rPr>
          <w:rFonts w:hint="eastAsia" w:ascii="Times New Roman" w:hAnsi="Times New Roman" w:cs="Times New Roman"/>
          <w:bCs/>
          <w:color w:val="000000"/>
          <w:sz w:val="24"/>
          <w:szCs w:val="24"/>
          <w:highlight w:val="none"/>
        </w:rPr>
        <w:t xml:space="preserve">派遣</w:t>
      </w:r>
      <w:r>
        <w:rPr>
          <w:rFonts w:hint="eastAsia" w:ascii="Times New Roman" w:hAnsi="Times New Roman" w:cs="Times New Roman"/>
          <w:bCs/>
          <w:color w:val="000000"/>
          <w:sz w:val="24"/>
          <w:szCs w:val="24"/>
          <w:highlight w:val="none"/>
          <w:lang w:val="en-US" w:eastAsia="zh-CN"/>
        </w:rPr>
        <w:t xml:space="preserve">至少</w:t>
      </w:r>
      <w:r>
        <w:rPr>
          <w:rFonts w:hint="eastAsia" w:ascii="Times New Roman" w:hAnsi="Times New Roman" w:cs="Times New Roman"/>
          <w:bCs/>
          <w:color w:val="000000"/>
          <w:sz w:val="24"/>
          <w:szCs w:val="24"/>
          <w:highlight w:val="none"/>
        </w:rPr>
        <w:t xml:space="preserve">两名专业技术人员开展</w:t>
      </w:r>
      <w:r>
        <w:rPr>
          <w:rFonts w:hint="eastAsia" w:ascii="Times New Roman" w:hAnsi="Times New Roman" w:cs="Times New Roman"/>
          <w:bCs/>
          <w:color w:val="000000"/>
          <w:sz w:val="24"/>
          <w:szCs w:val="24"/>
          <w:highlight w:val="none"/>
          <w:lang w:val="en-US" w:eastAsia="zh-CN"/>
        </w:rPr>
        <w:t xml:space="preserve">园区污染物排放总量核算、环保平台数字化服务工作</w:t>
      </w:r>
      <w:r>
        <w:rPr>
          <w:rFonts w:hint="eastAsia" w:ascii="Times New Roman" w:hAnsi="Times New Roman" w:cs="Times New Roman"/>
          <w:bCs/>
          <w:color w:val="000000"/>
          <w:sz w:val="24"/>
          <w:szCs w:val="24"/>
          <w:highlight w:val="none"/>
        </w:rPr>
        <w:t xml:space="preserve">。</w:t>
      </w:r>
      <w:r/>
    </w:p>
    <w:p>
      <w:pPr>
        <w:pStyle w:val="1249"/>
        <w:ind w:firstLine="480"/>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（1）</w:t>
      </w:r>
      <w:r>
        <w:rPr>
          <w:rFonts w:hint="eastAsia" w:ascii="Times New Roman" w:hAnsi="Times New Roman" w:cs="Times New Roman"/>
          <w:bCs/>
          <w:color w:val="000000"/>
          <w:sz w:val="24"/>
          <w:szCs w:val="24"/>
          <w:highlight w:val="none"/>
        </w:rPr>
        <w:t xml:space="preserve">污染物排放总量核算服务内容</w:t>
      </w:r>
      <w:r/>
    </w:p>
    <w:p>
      <w:pPr>
        <w:pStyle w:val="1249"/>
        <w:ind w:firstLine="480"/>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按照《生态环境统计管理办法》、《江苏省工业源排放总量统计实施方案》及上级管理部门要求，每年由专业的环保人员开展工业源大气污染物（颗粒物、二氧化硫、氮氧化物、挥发性有机物）、水污染物（化学需氧量、氨氮、总氮、总磷）排放总量统计，</w:t>
      </w:r>
      <w:r>
        <w:rPr>
          <w:rFonts w:hint="eastAsia" w:ascii="Times New Roman" w:hAnsi="Times New Roman" w:cs="Times New Roman"/>
          <w:bCs/>
          <w:color w:val="000000"/>
          <w:sz w:val="24"/>
          <w:szCs w:val="24"/>
          <w:highlight w:val="none"/>
        </w:rPr>
        <w:t xml:space="preserve">考虑园区环保管理实际，</w:t>
      </w:r>
      <w:r>
        <w:rPr>
          <w:rFonts w:ascii="Times New Roman" w:hAnsi="Times New Roman" w:cs="Times New Roman"/>
          <w:bCs/>
          <w:color w:val="000000"/>
          <w:sz w:val="24"/>
          <w:szCs w:val="24"/>
          <w:highlight w:val="none"/>
        </w:rPr>
        <w:t xml:space="preserve">结合企业环统填报数据，出具园区总量核算报告</w:t>
      </w:r>
      <w:r>
        <w:rPr>
          <w:rFonts w:hint="eastAsia" w:ascii="Times New Roman" w:hAnsi="Times New Roman" w:cs="Times New Roman"/>
          <w:bCs/>
          <w:color w:val="000000"/>
          <w:sz w:val="24"/>
          <w:szCs w:val="24"/>
          <w:highlight w:val="none"/>
        </w:rPr>
        <w:t xml:space="preserve">，为园区开展总量排放控制工作提供数据支持</w:t>
      </w:r>
      <w:r>
        <w:rPr>
          <w:rFonts w:ascii="Times New Roman" w:hAnsi="Times New Roman" w:cs="Times New Roman"/>
          <w:bCs/>
          <w:color w:val="000000"/>
          <w:sz w:val="24"/>
          <w:szCs w:val="24"/>
          <w:highlight w:val="none"/>
        </w:rPr>
        <w:t xml:space="preserve">。</w:t>
      </w:r>
      <w:r/>
    </w:p>
    <w:p>
      <w:pPr>
        <w:pStyle w:val="1249"/>
        <w:ind w:firstLine="480"/>
        <w:rPr>
          <w:rFonts w:ascii="Times New Roman" w:hAnsi="Times New Roman" w:cs="Times New Roman"/>
          <w:bCs/>
          <w:color w:val="000000"/>
          <w:sz w:val="24"/>
          <w:szCs w:val="24"/>
          <w:highlight w:val="none"/>
        </w:rPr>
      </w:pPr>
      <w:r>
        <w:rPr>
          <w:rFonts w:hint="eastAsia" w:ascii="Times New Roman" w:hAnsi="Times New Roman" w:cs="Times New Roman"/>
          <w:bCs/>
          <w:color w:val="000000"/>
          <w:sz w:val="24"/>
          <w:szCs w:val="24"/>
          <w:highlight w:val="none"/>
          <w:lang w:eastAsia="zh-CN"/>
        </w:rPr>
        <w:t xml:space="preserve">（</w:t>
      </w:r>
      <w:r>
        <w:rPr>
          <w:rFonts w:hint="eastAsia" w:ascii="Times New Roman" w:hAnsi="Times New Roman" w:cs="Times New Roman"/>
          <w:bCs/>
          <w:color w:val="000000"/>
          <w:sz w:val="24"/>
          <w:szCs w:val="24"/>
          <w:highlight w:val="none"/>
          <w:lang w:val="en-US" w:eastAsia="zh-CN"/>
        </w:rPr>
        <w:t xml:space="preserve">2）</w:t>
      </w:r>
      <w:r>
        <w:rPr>
          <w:rFonts w:hint="eastAsia" w:ascii="Times New Roman" w:hAnsi="Times New Roman" w:cs="Times New Roman"/>
          <w:bCs/>
          <w:color w:val="000000"/>
          <w:sz w:val="24"/>
          <w:szCs w:val="24"/>
          <w:highlight w:val="none"/>
        </w:rPr>
        <w:t xml:space="preserve">环保平台数字化服务内容</w:t>
      </w:r>
      <w:r/>
    </w:p>
    <w:p>
      <w:pPr>
        <w:pStyle w:val="1249"/>
        <w:ind w:firstLine="480"/>
        <w:rPr>
          <w:rFonts w:ascii="Times New Roman" w:hAnsi="Times New Roman"/>
          <w:bCs/>
          <w:color w:val="000000"/>
          <w:sz w:val="24"/>
          <w:szCs w:val="24"/>
          <w:highlight w:val="none"/>
        </w:rPr>
      </w:pPr>
      <w:r>
        <w:rPr>
          <w:rFonts w:ascii="Times New Roman" w:hAnsi="Times New Roman" w:cs="Times New Roman"/>
          <w:bCs/>
          <w:color w:val="000000"/>
          <w:sz w:val="24"/>
          <w:szCs w:val="24"/>
          <w:highlight w:val="none"/>
        </w:rPr>
        <w:t xml:space="preserve">项目服务期间，提供园区环保</w:t>
      </w:r>
      <w:r>
        <w:rPr>
          <w:rFonts w:hint="eastAsia" w:ascii="Times New Roman" w:hAnsi="Times New Roman" w:cs="Times New Roman"/>
          <w:bCs/>
          <w:color w:val="000000"/>
          <w:sz w:val="24"/>
          <w:szCs w:val="24"/>
          <w:highlight w:val="none"/>
        </w:rPr>
        <w:t xml:space="preserve">管</w:t>
      </w:r>
      <w:r>
        <w:rPr>
          <w:rFonts w:hint="eastAsia" w:ascii="Times New Roman" w:hAnsi="Times New Roman"/>
          <w:bCs/>
          <w:color w:val="000000"/>
          <w:sz w:val="24"/>
          <w:szCs w:val="24"/>
          <w:highlight w:val="none"/>
        </w:rPr>
        <w:t xml:space="preserve">理</w:t>
      </w:r>
      <w:r>
        <w:rPr>
          <w:rFonts w:ascii="Times New Roman" w:hAnsi="Times New Roman"/>
          <w:bCs/>
          <w:color w:val="000000"/>
          <w:sz w:val="24"/>
          <w:szCs w:val="24"/>
          <w:highlight w:val="none"/>
        </w:rPr>
        <w:t xml:space="preserve">数字化服务。通过信息集成、数据分析、报警提醒等信息化手段，为园区环境质量和污染物排放总量动态评估等提供技术支撑和数据服务。主要服务内容包括：</w:t>
      </w:r>
      <w:r>
        <w:rPr>
          <w:rFonts w:hint="eastAsia" w:ascii="Times New Roman" w:hAnsi="Times New Roman"/>
          <w:bCs/>
          <w:color w:val="000000"/>
          <w:sz w:val="24"/>
          <w:szCs w:val="24"/>
          <w:highlight w:val="none"/>
        </w:rPr>
        <w:t xml:space="preserve">开展</w:t>
      </w:r>
      <w:r>
        <w:rPr>
          <w:rFonts w:ascii="Times New Roman" w:hAnsi="Times New Roman"/>
          <w:bCs/>
          <w:color w:val="000000"/>
          <w:sz w:val="24"/>
          <w:szCs w:val="24"/>
          <w:highlight w:val="none"/>
        </w:rPr>
        <w:t xml:space="preserve">园区环境质量监测监控站点</w:t>
      </w:r>
      <w:r>
        <w:rPr>
          <w:rFonts w:hint="eastAsia" w:ascii="Times New Roman" w:hAnsi="Times New Roman"/>
          <w:bCs/>
          <w:color w:val="000000"/>
          <w:sz w:val="24"/>
          <w:szCs w:val="24"/>
          <w:highlight w:val="none"/>
        </w:rPr>
        <w:t xml:space="preserve">的</w:t>
      </w:r>
      <w:r>
        <w:rPr>
          <w:rFonts w:ascii="Times New Roman" w:hAnsi="Times New Roman"/>
          <w:bCs/>
          <w:color w:val="000000"/>
          <w:sz w:val="24"/>
          <w:szCs w:val="24"/>
          <w:highlight w:val="none"/>
        </w:rPr>
        <w:t xml:space="preserve">数据接入与整合，实现数据展示和</w:t>
      </w:r>
      <w:r>
        <w:rPr>
          <w:rFonts w:hint="eastAsia" w:ascii="Times New Roman" w:hAnsi="Times New Roman"/>
          <w:bCs/>
          <w:color w:val="000000"/>
          <w:sz w:val="24"/>
          <w:szCs w:val="24"/>
          <w:highlight w:val="none"/>
        </w:rPr>
        <w:t xml:space="preserve">数据变化</w:t>
      </w:r>
      <w:r>
        <w:rPr>
          <w:rFonts w:ascii="Times New Roman" w:hAnsi="Times New Roman"/>
          <w:bCs/>
          <w:color w:val="000000"/>
          <w:sz w:val="24"/>
          <w:szCs w:val="24"/>
          <w:highlight w:val="none"/>
        </w:rPr>
        <w:t xml:space="preserve">基础分析支撑、园区环境考核指标告警提醒等。</w:t>
      </w:r>
      <w:r/>
    </w:p>
    <w:p>
      <w:pPr>
        <w:pStyle w:val="1249"/>
        <w:ind w:firstLine="482"/>
        <w:rPr>
          <w:rFonts w:ascii="Times New Roman" w:hAnsi="Times New Roman"/>
          <w:b/>
          <w:color w:val="000000"/>
          <w:sz w:val="24"/>
          <w:szCs w:val="24"/>
          <w:highlight w:val="none"/>
        </w:rPr>
        <w:outlineLvl w:val="0"/>
      </w:pPr>
      <w:r>
        <w:rPr>
          <w:rFonts w:hint="eastAsia" w:ascii="Times New Roman" w:hAnsi="Times New Roman"/>
          <w:b/>
          <w:color w:val="000000"/>
          <w:sz w:val="24"/>
          <w:szCs w:val="24"/>
          <w:highlight w:val="none"/>
          <w:lang w:val="en-US" w:eastAsia="zh-CN"/>
        </w:rPr>
        <w:t xml:space="preserve">五</w:t>
      </w:r>
      <w:r>
        <w:rPr>
          <w:rFonts w:ascii="Times New Roman" w:hAnsi="Times New Roman"/>
          <w:b/>
          <w:color w:val="000000"/>
          <w:sz w:val="24"/>
          <w:szCs w:val="24"/>
          <w:highlight w:val="none"/>
        </w:rPr>
        <w:t xml:space="preserve">、服务保障和承诺要求</w:t>
      </w:r>
      <w:r/>
    </w:p>
    <w:p>
      <w:pPr>
        <w:ind w:firstLine="482"/>
        <w:jc w:val="left"/>
        <w:spacing w:line="360" w:lineRule="auto"/>
        <w:rPr>
          <w:b/>
          <w:bCs/>
          <w:color w:val="000000"/>
          <w:sz w:val="24"/>
          <w:highlight w:val="none"/>
        </w:rPr>
      </w:pPr>
      <w:r>
        <w:rPr>
          <w:b/>
          <w:color w:val="000000"/>
          <w:sz w:val="24"/>
          <w:highlight w:val="none"/>
        </w:rPr>
        <w:t xml:space="preserve">1. 各投标人必须严格按照本次招标技术参数要求进行合理报价并供货，如后期出现验收不合格情形视同虚假承诺</w:t>
      </w:r>
      <w:r>
        <w:rPr>
          <w:b/>
          <w:bCs/>
          <w:color w:val="000000"/>
          <w:sz w:val="24"/>
          <w:highlight w:val="none"/>
        </w:rPr>
        <w:t xml:space="preserve">谋取中标成交，将被列入不良行为记录名单。</w:t>
      </w:r>
      <w:r/>
    </w:p>
    <w:p>
      <w:pPr>
        <w:ind w:firstLine="480"/>
        <w:spacing w:line="360" w:lineRule="auto"/>
        <w:rPr>
          <w:bCs/>
          <w:color w:val="000000"/>
          <w:sz w:val="24"/>
          <w:highlight w:val="none"/>
        </w:rPr>
      </w:pPr>
      <w:r>
        <w:rPr>
          <w:bCs/>
          <w:color w:val="000000"/>
          <w:sz w:val="24"/>
          <w:highlight w:val="none"/>
        </w:rPr>
        <w:t xml:space="preserve">2. 项目服务期间，中标方所有的工作人员的人身安全以及中标方在服务期间产生的各类安全责任事故均由中标方自行承担。</w:t>
      </w:r>
      <w:r/>
    </w:p>
    <w:p>
      <w:pPr>
        <w:ind w:firstLine="480"/>
        <w:spacing w:line="360" w:lineRule="auto"/>
        <w:rPr>
          <w:color w:val="000000"/>
          <w:sz w:val="24"/>
          <w:highlight w:val="none"/>
        </w:rPr>
      </w:pPr>
      <w:r>
        <w:rPr>
          <w:color w:val="000000"/>
          <w:sz w:val="24"/>
          <w:highlight w:val="none"/>
        </w:rPr>
        <w:t xml:space="preserve">3. 对于采购人提出更换现场不称职技术人员的要求，中标方须无条件服从。</w:t>
      </w:r>
      <w:r/>
    </w:p>
    <w:p>
      <w:pPr>
        <w:ind w:firstLine="480"/>
        <w:spacing w:line="360" w:lineRule="auto"/>
        <w:rPr>
          <w:rFonts w:hint="eastAsia" w:asciiTheme="minorEastAsia" w:hAnsiTheme="minorEastAsia" w:eastAsiaTheme="minorEastAsia" w:cstheme="minorEastAsia"/>
          <w:color w:val="000000"/>
          <w:sz w:val="24"/>
          <w:szCs w:val="24"/>
        </w:rPr>
        <w:outlineLvl w:val="1"/>
      </w:pPr>
      <w:r>
        <w:rPr>
          <w:color w:val="000000"/>
          <w:sz w:val="24"/>
          <w:highlight w:val="none"/>
        </w:rPr>
        <w:t xml:space="preserve">4. 中标方须积极配合采购人并无条件提供技术服务</w:t>
      </w:r>
      <w:r>
        <w:rPr>
          <w:rFonts w:hint="eastAsia" w:asciiTheme="minorEastAsia" w:hAnsiTheme="minorEastAsia" w:eastAsiaTheme="minorEastAsia" w:cstheme="minorEastAsia"/>
          <w:color w:val="000000"/>
          <w:sz w:val="24"/>
          <w:szCs w:val="24"/>
        </w:rPr>
        <w:t xml:space="preserve">。</w:t>
      </w:r>
      <w:r/>
    </w:p>
    <w:p>
      <w:pPr>
        <w:jc w:val="center"/>
        <w:spacing w:before="161" w:after="161" w:line="480" w:lineRule="exact"/>
        <w:widowControl/>
        <w:rPr>
          <w:rFonts w:hint="eastAsia" w:asciiTheme="minorEastAsia" w:hAnsiTheme="minorEastAsia" w:eastAsiaTheme="minorEastAsia" w:cstheme="minorEastAsia"/>
          <w:color w:val="000000"/>
          <w:sz w:val="24"/>
          <w:szCs w:val="24"/>
        </w:rPr>
        <w:sectPr>
          <w:headerReference w:type="first" r:id="rId11"/>
          <w:footerReference w:type="default" r:id="rId18"/>
          <w:footerReference w:type="first" r:id="rId19"/>
          <w:footnotePr/>
          <w:endnotePr/>
          <w:type w:val="nextPage"/>
          <w:pgSz w:w="11906" w:h="16838" w:orient="portrait"/>
          <w:pgMar w:top="1814" w:right="1531" w:bottom="1984" w:left="1531" w:header="851" w:footer="992" w:gutter="0"/>
          <w:cols w:num="1" w:sep="0" w:space="1701" w:equalWidth="1"/>
          <w:docGrid w:linePitch="360"/>
          <w:titlePg/>
        </w:sectPr>
      </w:pPr>
      <w:r>
        <w:rPr>
          <w:rFonts w:hint="eastAsia" w:asciiTheme="minorEastAsia" w:hAnsiTheme="minorEastAsia" w:eastAsiaTheme="minorEastAsia" w:cstheme="minorEastAsia"/>
          <w:color w:val="000000"/>
          <w:sz w:val="24"/>
          <w:szCs w:val="24"/>
        </w:rPr>
      </w:r>
      <w:r/>
    </w:p>
    <w:p>
      <w:pPr>
        <w:ind w:left="0" w:firstLine="482"/>
        <w:keepLines w:val="0"/>
        <w:keepNext w:val="0"/>
        <w:pageBreakBefore w:val="0"/>
        <w:spacing w:line="400" w:lineRule="exact"/>
        <w:widowControl/>
        <w:rPr>
          <w:rFonts w:hint="eastAsia" w:ascii="宋体" w:hAnsi="宋体" w:eastAsia="宋体" w:cs="宋体"/>
          <w:b/>
          <w:bCs/>
          <w:color w:val="auto"/>
          <w:sz w:val="24"/>
        </w:rPr>
      </w:pPr>
      <w:r>
        <w:rPr>
          <w:rFonts w:hint="eastAsia" w:ascii="宋体" w:hAnsi="宋体" w:cs="宋体"/>
          <w:b/>
          <w:bCs/>
          <w:color w:val="auto"/>
          <w:sz w:val="24"/>
          <w:lang w:eastAsia="zh-CN"/>
        </w:rPr>
        <w:t xml:space="preserve">六</w:t>
      </w:r>
      <w:r>
        <w:rPr>
          <w:rFonts w:hint="eastAsia" w:ascii="宋体" w:hAnsi="宋体" w:eastAsia="宋体" w:cs="宋体"/>
          <w:b/>
          <w:bCs/>
          <w:color w:val="auto"/>
          <w:sz w:val="24"/>
        </w:rPr>
        <w:t xml:space="preserve">、其他要求：见招标文件第五章《拟签订的合同文本》。</w:t>
      </w:r>
      <w:r/>
    </w:p>
    <w:p>
      <w:pPr>
        <w:pStyle w:val="1042"/>
        <w:rPr>
          <w:rFonts w:hint="eastAsia" w:ascii="宋体" w:hAnsi="宋体" w:eastAsia="宋体" w:cs="宋体"/>
          <w:color w:val="auto"/>
        </w:rPr>
        <w:sectPr>
          <w:headerReference w:type="default" r:id="rId12"/>
          <w:footerReference w:type="default" r:id="rId20"/>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rPr>
        <w:t xml:space="preserve">第七章 投标文件相关格式</w:t>
      </w:r>
      <w:r/>
    </w:p>
    <w:p>
      <w:pPr>
        <w:ind w:firstLine="640"/>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一、投标函格式</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致：</w:t>
      </w:r>
      <w:r>
        <w:rPr>
          <w:rFonts w:hint="eastAsia" w:ascii="宋体" w:hAnsi="宋体" w:cs="宋体"/>
          <w:color w:val="auto"/>
          <w:sz w:val="24"/>
          <w:szCs w:val="24"/>
          <w:u w:val="single"/>
          <w:lang w:eastAsia="zh-CN"/>
        </w:rPr>
        <w:t xml:space="preserve">江苏邳州经济开发区管理委员会</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cs="宋体"/>
          <w:color w:val="auto"/>
          <w:sz w:val="24"/>
          <w:szCs w:val="24"/>
          <w:u w:val="single"/>
          <w:lang w:eastAsia="zh-CN"/>
        </w:rPr>
        <w:t xml:space="preserve">邳州经济开发区环保监测系统运行维护服务</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u w:val="single"/>
          <w:lang w:eastAsia="zh-CN"/>
        </w:rPr>
        <w:t xml:space="preserve">JSZC-320382325-ZJZB-G2026-0066</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投标人唯一投标报价见《开标一览表》。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投标人将按招标文件的规定履行合同责任和义务。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投标人已详细审查全部招标文件，包括第[插入编号] [补遗书][如果有的话]。投标人完全理解并同意放弃对这方面有不明及误解的权力。</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投标有效期为开标之日后90天。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投标人同意提供按照贵方可能要求的与其投标有关的一切数据或资料，完全理解贵方不一定接受最低价的投标或收到的任何投标。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投标人同意按照招标文件规定支付招标代理服务费。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与本投标有关的一切正式往来信函请寄：</w:t>
      </w:r>
      <w:r/>
    </w:p>
    <w:p>
      <w:pPr>
        <w:ind w:firstLine="12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电话： </w:t>
      </w:r>
      <w:r/>
    </w:p>
    <w:p>
      <w:pPr>
        <w:ind w:firstLine="12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27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27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ind w:firstLine="640"/>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二、开标一览表格式</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项目编号：</w:t>
      </w:r>
      <w:r/>
    </w:p>
    <w:p>
      <w:pPr>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项目名称： </w:t>
      </w:r>
      <w:r/>
    </w:p>
    <w:p>
      <w:pPr>
        <w:pStyle w:val="1227"/>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27"/>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27"/>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27"/>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27"/>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27"/>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27"/>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27"/>
        <w:jc w:val="center"/>
        <w:rPr>
          <w:rFonts w:hint="eastAsia" w:ascii="宋体" w:hAnsi="宋体" w:eastAsia="宋体" w:cs="宋体"/>
          <w:b/>
          <w:color w:val="auto"/>
          <w:sz w:val="24"/>
          <w:highlight w:val="none"/>
        </w:rPr>
      </w:pPr>
      <w:r>
        <w:rPr>
          <w:rFonts w:hint="eastAsia" w:ascii="宋体" w:hAnsi="宋体" w:eastAsia="宋体" w:cs="宋体"/>
          <w:i/>
          <w:iCs/>
          <w:color w:val="auto"/>
          <w:sz w:val="32"/>
          <w:szCs w:val="32"/>
          <w:highlight w:val="none"/>
          <w:u w:val="single"/>
        </w:rPr>
        <w:t xml:space="preserve">政府采购客户端工具输入报价自动生成</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ind w:firstLine="600"/>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三、分项价格表格式</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          　 货币单位：人民币元</w:t>
      </w:r>
      <w:r/>
    </w:p>
    <w:p>
      <w:pPr>
        <w:pStyle w:val="1227"/>
        <w:ind w:firstLine="600"/>
        <w:jc w:val="cente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227"/>
        <w:ind w:firstLine="600"/>
        <w:jc w:val="cente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227"/>
        <w:ind w:firstLine="600"/>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格式自拟。</w:t>
      </w:r>
      <w:r/>
    </w:p>
    <w:p>
      <w:pPr>
        <w:pStyle w:val="1227"/>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7"/>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7"/>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7"/>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7"/>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7"/>
        <w:ind w:right="28" w:firstLine="56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（电子签章）：</w:t>
      </w:r>
      <w:r/>
    </w:p>
    <w:p>
      <w:pPr>
        <w:pStyle w:val="1227"/>
        <w:ind w:right="28" w:firstLine="56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注：投标人对以上数据的真实性负责。</w:t>
      </w:r>
      <w:r/>
    </w:p>
    <w:p>
      <w:pPr>
        <w:jc w:val="left"/>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四、偏离表格式</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项目编号：</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p>
    <w:tbl>
      <w:tblPr>
        <w:tblStyle w:val="1054"/>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bl>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3900"/>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jc w:val="center"/>
        <w:spacing w:line="47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rPr>
      </w:r>
      <w:r/>
    </w:p>
    <w:p>
      <w:pPr>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五、授权委托书格式</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法定代表人（负责人）：        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法定代表人（负责人）（签字或盖章）：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1033"/>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        </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 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(受托人身份证扫描件附后)</w:t>
      </w:r>
      <w:r/>
    </w:p>
    <w:p>
      <w:pPr>
        <w:ind w:firstLine="447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firstLine="600"/>
        <w:jc w:val="center"/>
        <w:spacing w:before="100" w:after="100" w:line="47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rPr>
      </w:r>
      <w:r/>
    </w:p>
    <w:p>
      <w:pPr>
        <w:ind w:firstLine="600"/>
        <w:jc w:val="center"/>
        <w:spacing w:before="100" w:after="100"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六、中小企业声明函格式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项目编号：</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p>
    <w:p>
      <w:pPr>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本公司郑重声明，根据《政府采购促进中小企业发展管理办法》（财库[2020]46号）的规定，本公司参加（</w:t>
      </w:r>
      <w:r>
        <w:rPr>
          <w:rFonts w:hint="eastAsia" w:ascii="宋体" w:hAnsi="宋体" w:cs="宋体"/>
          <w:color w:val="auto"/>
          <w:sz w:val="28"/>
          <w:szCs w:val="28"/>
          <w:u w:val="single"/>
          <w:lang w:eastAsia="zh-CN"/>
        </w:rPr>
        <w:t xml:space="preserve">江苏邳州经济开发区管理委员会</w:t>
      </w:r>
      <w:r>
        <w:rPr>
          <w:rFonts w:hint="eastAsia" w:ascii="宋体" w:hAnsi="宋体" w:eastAsia="宋体" w:cs="宋体"/>
          <w:color w:val="auto"/>
          <w:sz w:val="28"/>
          <w:szCs w:val="28"/>
        </w:rPr>
        <w:t xml:space="preserve">）的（</w:t>
      </w:r>
      <w:r>
        <w:rPr>
          <w:rFonts w:hint="eastAsia" w:ascii="宋体" w:hAnsi="宋体" w:cs="宋体"/>
          <w:color w:val="auto"/>
          <w:sz w:val="28"/>
          <w:szCs w:val="28"/>
          <w:u w:val="single"/>
          <w:lang w:eastAsia="zh-CN"/>
        </w:rPr>
        <w:t xml:space="preserve">邳州经济开发区环保监测系统运行维护服务</w:t>
      </w:r>
      <w:r>
        <w:rPr>
          <w:rFonts w:hint="eastAsia" w:ascii="宋体" w:hAnsi="宋体" w:eastAsia="宋体" w:cs="宋体"/>
          <w:color w:val="auto"/>
          <w:sz w:val="28"/>
          <w:szCs w:val="28"/>
        </w:rPr>
        <w:t xml:space="preserve">）采购活动，服务全部由符合政策要求的中小企业承接。相关企业的具体情况如下：</w:t>
      </w:r>
      <w:r/>
    </w:p>
    <w:p>
      <w:pPr>
        <w:pStyle w:val="1223"/>
        <w:ind w:left="0" w:firstLine="560"/>
        <w:spacing w:line="360" w:lineRule="auto"/>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u w:val="single"/>
          <w:lang w:eastAsia="zh-CN"/>
        </w:rPr>
        <w:t xml:space="preserve">邳州经济开发区环保监测系统运行维护服务</w:t>
      </w:r>
      <w:r>
        <w:rPr>
          <w:rFonts w:hint="eastAsia" w:ascii="宋体" w:hAnsi="宋体" w:eastAsia="宋体" w:cs="宋体"/>
          <w:color w:val="auto"/>
          <w:sz w:val="28"/>
          <w:szCs w:val="28"/>
        </w:rPr>
        <w:t xml:space="preserve">），属于（</w:t>
      </w:r>
      <w:r>
        <w:rPr>
          <w:rFonts w:ascii="仿宋" w:hAnsi="仿宋" w:eastAsia="仿宋"/>
          <w:sz w:val="30"/>
          <w:szCs w:val="30"/>
          <w:u w:val="single"/>
        </w:rPr>
        <w:t xml:space="preserve">其他未列明行业</w:t>
      </w:r>
      <w:r>
        <w:rPr>
          <w:rFonts w:hint="eastAsia" w:ascii="宋体" w:hAnsi="宋体" w:eastAsia="宋体" w:cs="宋体"/>
          <w:color w:val="auto"/>
          <w:sz w:val="28"/>
          <w:szCs w:val="28"/>
        </w:rPr>
        <w:t xml:space="preserve">）行业；承接企业为（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eastAsia="宋体" w:cs="宋体"/>
          <w:color w:val="auto"/>
          <w:sz w:val="28"/>
          <w:szCs w:val="28"/>
          <w:u w:val="single"/>
        </w:rPr>
        <w:t xml:space="preserve">    </w:t>
      </w:r>
      <w:r>
        <w:rPr>
          <w:rFonts w:hint="eastAsia" w:ascii="宋体" w:hAnsi="宋体" w:eastAsia="宋体" w:cs="宋体"/>
          <w:b/>
          <w:bCs/>
          <w:color w:val="auto"/>
          <w:sz w:val="28"/>
          <w:szCs w:val="28"/>
        </w:rPr>
        <w:t xml:space="preserve">（□中型企业、□小型企业、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微型企业，请填写或勾选！）；</w:t>
      </w:r>
      <w:r/>
    </w:p>
    <w:p>
      <w:pPr>
        <w:pStyle w:val="1223"/>
        <w:ind w:left="0"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pStyle w:val="1223"/>
        <w:ind w:left="0"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1032"/>
        <w:ind w:left="0"/>
        <w:jc w:val="left"/>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1032"/>
        <w:ind w:left="0"/>
        <w:jc w:val="left"/>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企业名称（电子签章）：</w:t>
      </w:r>
      <w:r/>
    </w:p>
    <w:p>
      <w:pPr>
        <w:pStyle w:val="1032"/>
        <w:ind w:left="0"/>
        <w:jc w:val="left"/>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日期：  年  月  日</w:t>
      </w:r>
      <w:r/>
    </w:p>
    <w:p>
      <w:pPr>
        <w:pStyle w:val="1032"/>
        <w:ind w:left="0"/>
        <w:jc w:val="left"/>
        <w:spacing w:after="0" w:line="324"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1032"/>
        <w:ind w:left="0"/>
        <w:jc w:val="left"/>
        <w:spacing w:after="0" w:line="324"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1032"/>
        <w:ind w:left="0"/>
        <w:jc w:val="left"/>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1032"/>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32"/>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1032"/>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1032"/>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1032"/>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028"/>
        <w:rPr>
          <w:rFonts w:hint="eastAsia" w:ascii="宋体" w:hAnsi="宋体" w:eastAsia="宋体" w:cs="宋体"/>
          <w:color w:val="auto"/>
        </w:rPr>
      </w:pPr>
      <w:r>
        <w:rPr>
          <w:rFonts w:hint="eastAsia" w:ascii="宋体" w:hAnsi="宋体" w:eastAsia="宋体" w:cs="宋体"/>
          <w:color w:val="auto"/>
        </w:rPr>
      </w:r>
      <w:r/>
    </w:p>
    <w:p>
      <w:pPr>
        <w:ind w:firstLine="60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156460" cy="3322320"/>
                <wp:effectExtent l="0" t="0" r="15240" b="11430"/>
                <wp:docPr id="10"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23"/>
                        <a:stretch/>
                      </pic:blipFill>
                      <pic:spPr bwMode="auto">
                        <a:xfrm>
                          <a:off x="0" y="0"/>
                          <a:ext cx="2156460" cy="3322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9.8pt;height:261.6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sz w:val="24"/>
        </w:rPr>
        <w:br w:type="page" w:clear="all"/>
      </w:r>
      <w:r/>
    </w:p>
    <w:p>
      <w:pPr>
        <w:ind w:firstLine="601"/>
        <w:jc w:val="center"/>
        <w:keepLines w:val="0"/>
        <w:keepNext w:val="0"/>
        <w:pageBreakBefore w:val="0"/>
        <w:spacing w:line="360" w:lineRule="auto"/>
        <w:widowControl w:val="off"/>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七、残疾人福利性单位声明函格式</w:t>
      </w:r>
      <w:r/>
    </w:p>
    <w:p>
      <w:pPr>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rPr>
        <w:t xml:space="preserve">（如投标人不属于残疾人福利性单位不需要提供此声明函）</w:t>
      </w:r>
      <w:r/>
    </w:p>
    <w:p>
      <w:pPr>
        <w:ind w:firstLine="624"/>
        <w:spacing w:line="479" w:lineRule="atLeast"/>
        <w:rPr>
          <w:rFonts w:hint="eastAsia" w:ascii="宋体" w:hAnsi="宋体" w:eastAsia="宋体" w:cs="宋体"/>
          <w:color w:val="auto"/>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项目编号：</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项目名称：</w:t>
      </w:r>
      <w:r/>
    </w:p>
    <w:p>
      <w:pPr>
        <w:ind w:firstLine="624"/>
        <w:spacing w:line="360" w:lineRule="auto"/>
        <w:rPr>
          <w:rFonts w:hint="eastAsia" w:ascii="宋体" w:hAnsi="宋体" w:eastAsia="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rPr>
        <w:t xml:space="preserve">〔2017〕 141</w:t>
      </w:r>
      <w:r>
        <w:rPr>
          <w:rFonts w:hint="eastAsia" w:ascii="宋体" w:hAnsi="宋体" w:eastAsia="宋体" w:cs="宋体"/>
          <w:color w:val="auto"/>
          <w:spacing w:val="6"/>
          <w:sz w:val="28"/>
          <w:szCs w:val="28"/>
        </w:rPr>
        <w:t xml:space="preserve">号）的规定，本单位为符合条件的残疾人福利性单位，且本单位参加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pacing w:val="6"/>
          <w:sz w:val="28"/>
          <w:szCs w:val="28"/>
        </w:rPr>
        <w:t xml:space="preserve">单位的</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45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ind w:firstLine="45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firstLine="60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八、投标人参加政府采购活动前3年内在经营活动中没有重大违法记录的书面声明格式</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我单位在参加</w:t>
      </w:r>
      <w:r>
        <w:rPr>
          <w:rFonts w:hint="eastAsia" w:ascii="宋体" w:hAnsi="宋体" w:cs="宋体"/>
          <w:color w:val="auto"/>
          <w:sz w:val="28"/>
          <w:szCs w:val="28"/>
          <w:u w:val="single"/>
          <w:lang w:eastAsia="zh-CN"/>
        </w:rPr>
        <w:t xml:space="preserve">邳州经济开发区环保监测系统运行维护服务</w:t>
      </w:r>
      <w:r>
        <w:rPr>
          <w:rFonts w:hint="eastAsia" w:ascii="宋体" w:hAnsi="宋体" w:eastAsia="宋体" w:cs="宋体"/>
          <w:color w:val="auto"/>
          <w:sz w:val="28"/>
          <w:szCs w:val="28"/>
          <w:u w:val="none"/>
          <w:lang w:val="en-US" w:eastAsia="zh-CN"/>
        </w:rPr>
        <w:t xml:space="preserve">项目</w:t>
      </w: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JSZC-320382325-ZJZB-G2026-0066</w:t>
      </w:r>
      <w:r>
        <w:rPr>
          <w:rFonts w:hint="eastAsia" w:ascii="宋体" w:hAnsi="宋体" w:eastAsia="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我单位对上述声明的真实性负责。如有虚假，将依法承担相应责任。</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45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ind w:firstLine="60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eastAsia="宋体" w:cs="宋体"/>
          <w:color w:val="auto"/>
          <w:sz w:val="24"/>
        </w:rPr>
      </w:r>
      <w:r/>
    </w:p>
    <w:p>
      <w:pPr>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投标人郑重声明：投标人具备履行合同（项目名称：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，所必需的设备和专业技术能力，具体为：</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spacing w:line="360" w:lineRule="auto"/>
        <w:rPr>
          <w:rFonts w:hint="eastAsia" w:ascii="宋体" w:hAnsi="宋体" w:eastAsia="宋体" w:cs="宋体"/>
          <w:color w:val="auto"/>
          <w:spacing w:val="6"/>
          <w:sz w:val="24"/>
          <w:szCs w:val="24"/>
        </w:rPr>
      </w:pPr>
      <w:r>
        <w:rPr>
          <w:rFonts w:hint="eastAsia" w:ascii="宋体" w:hAnsi="宋体" w:eastAsia="宋体" w:cs="宋体"/>
          <w:color w:val="auto"/>
          <w:sz w:val="24"/>
          <w:szCs w:val="24"/>
        </w:rPr>
        <w:t xml:space="preserve">投标人对上述声明的真实性负责。如有虚假，将依法承担相应责任。</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4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投标人：</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 xml:space="preserve">（电子签章）</w:t>
      </w:r>
      <w:r/>
    </w:p>
    <w:p>
      <w:pPr>
        <w:ind w:right="29"/>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日期：  年  月  日</w:t>
      </w:r>
      <w:r/>
    </w:p>
    <w:p>
      <w:pPr>
        <w:jc w:val="center"/>
        <w:spacing w:line="47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rPr>
      </w:r>
      <w:r/>
    </w:p>
    <w:p>
      <w:pPr>
        <w:ind w:firstLine="560"/>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十、投标人明确表示无需预付款的承诺函</w:t>
      </w:r>
      <w:r/>
    </w:p>
    <w:p>
      <w:pPr>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我单位在参加</w:t>
      </w:r>
      <w:r>
        <w:rPr>
          <w:rFonts w:hint="eastAsia" w:ascii="宋体" w:hAnsi="宋体" w:cs="宋体"/>
          <w:color w:val="auto"/>
          <w:sz w:val="28"/>
          <w:szCs w:val="28"/>
          <w:u w:val="single"/>
          <w:lang w:eastAsia="zh-CN"/>
        </w:rPr>
        <w:t xml:space="preserve">邳州经济开发区环保监测系统运行维护服务</w:t>
      </w:r>
      <w:r>
        <w:rPr>
          <w:rFonts w:hint="eastAsia" w:ascii="宋体" w:hAnsi="宋体" w:eastAsia="宋体" w:cs="宋体"/>
          <w:color w:val="auto"/>
          <w:sz w:val="28"/>
          <w:szCs w:val="28"/>
          <w:u w:val="none"/>
          <w:lang w:val="en-US" w:eastAsia="zh-CN"/>
        </w:rPr>
        <w:t xml:space="preserve">项目</w:t>
      </w: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JSZC-320382325-ZJZB-G2026-0066</w:t>
      </w:r>
      <w:r>
        <w:rPr>
          <w:rFonts w:hint="eastAsia" w:ascii="宋体" w:hAnsi="宋体" w:eastAsia="宋体" w:cs="宋体"/>
          <w:color w:val="auto"/>
          <w:sz w:val="28"/>
          <w:szCs w:val="28"/>
        </w:rPr>
        <w:t xml:space="preserve">）政府采购活动，我单位承诺在签订合同时，明确表示无需预付款。</w:t>
      </w:r>
      <w:r/>
    </w:p>
    <w:p>
      <w:pPr>
        <w:ind w:firstLine="25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5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25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sz w:val="30"/>
          <w:szCs w:val="30"/>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二</w:t>
      </w:r>
      <w:r>
        <w:rPr>
          <w:rFonts w:hint="eastAsia" w:ascii="宋体" w:hAnsi="宋体" w:eastAsia="宋体" w:cs="宋体"/>
          <w:b/>
          <w:bCs/>
          <w:sz w:val="28"/>
          <w:szCs w:val="28"/>
        </w:rPr>
        <w:t xml:space="preserve">、投标人相关承诺</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项目名称：</w:t>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spacing w:line="360" w:lineRule="auto"/>
        <w:rPr>
          <w:rFonts w:hint="eastAsia" w:ascii="宋体" w:hAnsi="宋体" w:eastAsia="宋体" w:cs="宋体"/>
          <w:sz w:val="24"/>
        </w:rPr>
      </w:pPr>
      <w:r>
        <w:rPr>
          <w:rFonts w:hint="eastAsia" w:ascii="宋体" w:hAnsi="宋体" w:eastAsia="宋体" w:cs="宋体"/>
          <w:sz w:val="24"/>
        </w:rPr>
        <w:t xml:space="preserve">项目编号：</w:t>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我单位承诺：</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如有参与同一合同项下政府采购活动的投标人与我单位存在负责人为同一人的情况或者存在直接控股、管理关系，我单位不再参加该同一合同项下的政府采购活动。</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我单位对上述承诺负责，并依法承担相应责任。</w:t>
      </w:r>
      <w:r/>
    </w:p>
    <w:p>
      <w:pPr>
        <w:rPr>
          <w:rFonts w:hint="eastAsia" w:ascii="宋体" w:hAnsi="宋体" w:eastAsia="宋体" w:cs="宋体"/>
          <w:sz w:val="24"/>
        </w:rPr>
      </w:pPr>
      <w:r>
        <w:rPr>
          <w:rFonts w:hint="eastAsia" w:ascii="宋体" w:hAnsi="宋体" w:eastAsia="宋体" w:cs="宋体"/>
          <w:sz w:val="24"/>
        </w:rPr>
      </w:r>
      <w:r/>
    </w:p>
    <w:p>
      <w:pPr>
        <w:ind w:firstLine="3000"/>
        <w:spacing w:line="300" w:lineRule="auto"/>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ind w:firstLine="700"/>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1053"/>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三</w:t>
      </w:r>
      <w:r>
        <w:rPr>
          <w:rFonts w:hint="eastAsia" w:ascii="宋体" w:hAnsi="宋体" w:eastAsia="宋体" w:cs="宋体"/>
          <w:b/>
          <w:bCs/>
          <w:sz w:val="28"/>
          <w:szCs w:val="28"/>
        </w:rPr>
        <w:t xml:space="preserve">、投标人书面声明</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lang w:val="en-US" w:eastAsia="zh-CN"/>
        </w:rPr>
      </w:pPr>
      <w:r>
        <w:rPr>
          <w:rFonts w:hint="eastAsia" w:ascii="宋体" w:hAnsi="宋体" w:eastAsia="宋体" w:cs="宋体"/>
          <w:sz w:val="24"/>
        </w:rPr>
        <w:t xml:space="preserve">项目名称：</w:t>
      </w:r>
      <w:r>
        <w:rPr>
          <w:rFonts w:hint="eastAsia" w:ascii="宋体" w:hAnsi="宋体" w:eastAsia="宋体" w:cs="宋体"/>
          <w:sz w:val="24"/>
          <w:lang w:val="en-US" w:eastAsia="zh-CN"/>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项目编号：</w:t>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50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t xml:space="preserve">我单位不是为本采购项目提供整体设计、规范编制或者项目管理、监理、检测等服务的供应商。</w:t>
      </w:r>
      <w:r/>
    </w:p>
    <w:p>
      <w:pPr>
        <w:ind w:firstLine="50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t xml:space="preserve">特此声明。</w:t>
      </w:r>
      <w:r/>
    </w:p>
    <w:p>
      <w:pPr>
        <w:ind w:firstLine="50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t xml:space="preserve">我单位对上述声明的真实性负责。如有虚假，将依法承担相应责任。</w:t>
      </w:r>
      <w:r/>
    </w:p>
    <w:p>
      <w:pPr>
        <w:rPr>
          <w:rFonts w:hint="eastAsia" w:ascii="宋体" w:hAnsi="宋体" w:eastAsia="宋体" w:cs="宋体"/>
          <w:sz w:val="24"/>
        </w:rPr>
      </w:pPr>
      <w:r>
        <w:rPr>
          <w:rFonts w:hint="eastAsia" w:ascii="宋体" w:hAnsi="宋体" w:eastAsia="宋体" w:cs="宋体"/>
          <w:sz w:val="24"/>
        </w:rPr>
      </w:r>
      <w:r/>
    </w:p>
    <w:p>
      <w:pPr>
        <w:ind w:firstLine="3000"/>
        <w:spacing w:line="300" w:lineRule="auto"/>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1033"/>
        <w:ind w:firstLine="2880"/>
        <w:rPr>
          <w:rFonts w:hint="eastAsia" w:ascii="宋体" w:hAnsi="宋体" w:eastAsia="宋体" w:cs="宋体"/>
          <w:sz w:val="24"/>
        </w:rPr>
      </w:pPr>
      <w:r>
        <w:rPr>
          <w:rFonts w:hint="eastAsia" w:ascii="宋体" w:hAnsi="宋体" w:eastAsia="宋体" w:cs="宋体"/>
          <w:sz w:val="24"/>
        </w:rPr>
        <w:t xml:space="preserve">日期：   年  月  日</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十一、预付款保函支付条款模板</w:t>
      </w:r>
      <w:r/>
    </w:p>
    <w:p>
      <w:pP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56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ind w:firstLine="56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ind w:firstLine="56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rPr>
          <w:rFonts w:hint="eastAsia" w:ascii="宋体" w:hAnsi="宋体" w:eastAsia="宋体" w:cs="宋体"/>
          <w:color w:val="auto"/>
          <w:sz w:val="24"/>
          <w:szCs w:val="24"/>
        </w:rPr>
      </w:r>
    </w:p>
    <w:p>
      <w:pPr>
        <w:ind w:firstLine="56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rPr>
          <w:rFonts w:hint="eastAsia" w:ascii="宋体" w:hAnsi="宋体" w:eastAsia="宋体" w:cs="宋体"/>
          <w:color w:val="auto"/>
          <w:sz w:val="24"/>
          <w:szCs w:val="24"/>
        </w:rPr>
      </w:r>
    </w:p>
    <w:p>
      <w:pPr>
        <w:ind w:firstLine="56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rPr>
          <w:rFonts w:hint="eastAsia" w:ascii="宋体" w:hAnsi="宋体" w:eastAsia="宋体" w:cs="宋体"/>
          <w:color w:val="auto"/>
          <w:sz w:val="24"/>
          <w:szCs w:val="24"/>
        </w:rPr>
      </w:r>
    </w:p>
    <w:p>
      <w:pPr>
        <w:ind w:firstLine="56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黑体_GBK">
    <w:panose1 w:val="020B0503020202020204"/>
  </w:font>
  <w:font w:name="Symbol">
    <w:panose1 w:val="05050102010706020507"/>
  </w:font>
  <w:font w:name="黑体">
    <w:panose1 w:val="02010609060101010101"/>
  </w:font>
  <w:font w:name="仿宋_GB2312">
    <w:panose1 w:val="02010609060101010101"/>
  </w:font>
  <w:font w:name="Tahoma">
    <w:panose1 w:val="020B0604030504040204"/>
  </w:font>
  <w:font w:name="Times">
    <w:panose1 w:val="02020603050405020304"/>
  </w:font>
  <w:font w:name="楷体_GB2312">
    <w:panose1 w:val="02010609060101010101"/>
  </w:font>
  <w:font w:name="仿宋">
    <w:panose1 w:val="02010609060101010101"/>
  </w:font>
  <w:font w:name="等线">
    <w:panose1 w:val="02010600030101010101"/>
  </w:font>
  <w:font w:name="Courier New">
    <w:panose1 w:val="02070309020205020404"/>
  </w:font>
  <w:font w:name="Wingdings">
    <w:panose1 w:val="05000000000000000000"/>
  </w:font>
  <w:font w:name="微软简楷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rPr>
        <w:rStyle w:val="1256"/>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p>
    <w:pPr>
      <w:pStyle w:val="125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rPr>
        <w:rStyle w:val="1256"/>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5"/>
                            <w:tabs>
                              <w:tab w:val="clear" w:pos="4153" w:leader="none"/>
                              <w:tab w:val="clear" w:pos="8306" w:leader="none"/>
                            </w:tabs>
                            <w:rPr>
                              <w:rStyle w:val="1256"/>
                            </w:rPr>
                          </w:pPr>
                          <w:r>
                            <w:fldChar w:fldCharType="begin"/>
                          </w:r>
                          <w:r>
                            <w:rPr>
                              <w:rStyle w:val="1256"/>
                            </w:rPr>
                            <w:instrText xml:space="preserve">PAGE  </w:instrText>
                          </w:r>
                          <w:r>
                            <w:fldChar w:fldCharType="separate"/>
                          </w:r>
                          <w:r>
                            <w:rPr>
                              <w:rStyle w:val="1256"/>
                            </w:rPr>
                            <w:t xml:space="preserve">19</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5"/>
                      <w:tabs>
                        <w:tab w:val="clear" w:pos="4153" w:leader="none"/>
                        <w:tab w:val="clear" w:pos="8306" w:leader="none"/>
                      </w:tabs>
                      <w:rPr>
                        <w:rStyle w:val="1256"/>
                      </w:rPr>
                    </w:pPr>
                    <w:r>
                      <w:fldChar w:fldCharType="begin"/>
                    </w:r>
                    <w:r>
                      <w:rPr>
                        <w:rStyle w:val="1256"/>
                      </w:rPr>
                      <w:instrText xml:space="preserve">PAGE  </w:instrText>
                    </w:r>
                    <w:r>
                      <w:fldChar w:fldCharType="separate"/>
                    </w:r>
                    <w:r>
                      <w:rPr>
                        <w:rStyle w:val="1256"/>
                      </w:rPr>
                      <w:t xml:space="preserve">19</w:t>
                    </w:r>
                    <w:r>
                      <w:fldChar w:fldCharType="end"/>
                    </w:r>
                    <w:r/>
                  </w:p>
                  <w:p>
                    <w:r/>
                    <w:r/>
                  </w:p>
                  <w:p>
                    <w:r/>
                    <w:r/>
                  </w:p>
                </w:txbxContent>
              </v:textbox>
            </v:shape>
          </w:pict>
        </mc:Fallback>
      </mc:AlternateContent>
    </w:r>
    <w:r/>
  </w:p>
  <w:p>
    <w:pPr>
      <w:pStyle w:val="1255"/>
      <w:ind w:right="360"/>
      <w:jc w:val="center"/>
    </w:pPr>
    <w:r/>
    <w:r/>
  </w:p>
  <w:p>
    <w:pPr>
      <w:pStyle w:val="125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rPr>
        <w:rStyle w:val="1256"/>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p>
    <w:pPr>
      <w:pStyle w:val="1255"/>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rPr>
        <w:rStyle w:val="1256"/>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5"/>
                            <w:tabs>
                              <w:tab w:val="clear" w:pos="4153" w:leader="none"/>
                              <w:tab w:val="clear" w:pos="8306" w:leader="none"/>
                            </w:tabs>
                            <w:rPr>
                              <w:rStyle w:val="1256"/>
                            </w:rPr>
                          </w:pPr>
                          <w:r>
                            <w:fldChar w:fldCharType="begin"/>
                          </w:r>
                          <w:r>
                            <w:rPr>
                              <w:rStyle w:val="1256"/>
                            </w:rPr>
                            <w:instrText xml:space="preserve">PAGE  </w:instrText>
                          </w:r>
                          <w:r>
                            <w:fldChar w:fldCharType="separate"/>
                          </w:r>
                          <w:r>
                            <w:rPr>
                              <w:rStyle w:val="1256"/>
                            </w:rPr>
                            <w:t xml:space="preserve">19</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5"/>
                      <w:tabs>
                        <w:tab w:val="clear" w:pos="4153" w:leader="none"/>
                        <w:tab w:val="clear" w:pos="8306" w:leader="none"/>
                      </w:tabs>
                      <w:rPr>
                        <w:rStyle w:val="1256"/>
                      </w:rPr>
                    </w:pPr>
                    <w:r>
                      <w:fldChar w:fldCharType="begin"/>
                    </w:r>
                    <w:r>
                      <w:rPr>
                        <w:rStyle w:val="1256"/>
                      </w:rPr>
                      <w:instrText xml:space="preserve">PAGE  </w:instrText>
                    </w:r>
                    <w:r>
                      <w:fldChar w:fldCharType="separate"/>
                    </w:r>
                    <w:r>
                      <w:rPr>
                        <w:rStyle w:val="1256"/>
                      </w:rPr>
                      <w:t xml:space="preserve">19</w:t>
                    </w:r>
                    <w:r>
                      <w:fldChar w:fldCharType="end"/>
                    </w:r>
                    <w:r/>
                  </w:p>
                  <w:p>
                    <w:r/>
                    <w:r/>
                  </w:p>
                  <w:p>
                    <w:r/>
                    <w:r/>
                  </w:p>
                </w:txbxContent>
              </v:textbox>
            </v:shape>
          </w:pict>
        </mc:Fallback>
      </mc:AlternateContent>
    </w:r>
    <w:r/>
  </w:p>
  <w:p>
    <w:pPr>
      <w:pStyle w:val="1255"/>
      <w:ind w:right="360"/>
      <w:jc w:val="center"/>
    </w:pPr>
    <w:r/>
    <w:r/>
  </w:p>
  <w:p>
    <w:pPr>
      <w:pStyle w:val="125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rPr>
        <w:rStyle w:val="1256"/>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p>
    <w:pPr>
      <w:pStyle w:val="125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rPr>
        <w:rStyle w:val="1256"/>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5"/>
                            <w:tabs>
                              <w:tab w:val="clear" w:pos="4153" w:leader="none"/>
                              <w:tab w:val="clear" w:pos="8306" w:leader="none"/>
                            </w:tabs>
                            <w:rPr>
                              <w:rStyle w:val="1256"/>
                            </w:rPr>
                          </w:pPr>
                          <w:r>
                            <w:fldChar w:fldCharType="begin"/>
                          </w:r>
                          <w:r>
                            <w:rPr>
                              <w:rStyle w:val="1256"/>
                            </w:rPr>
                            <w:instrText xml:space="preserve">PAGE  </w:instrText>
                          </w:r>
                          <w:r>
                            <w:fldChar w:fldCharType="separate"/>
                          </w:r>
                          <w:r>
                            <w:rPr>
                              <w:rStyle w:val="1256"/>
                            </w:rPr>
                            <w:t xml:space="preserve">19</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5"/>
                      <w:tabs>
                        <w:tab w:val="clear" w:pos="4153" w:leader="none"/>
                        <w:tab w:val="clear" w:pos="8306" w:leader="none"/>
                      </w:tabs>
                      <w:rPr>
                        <w:rStyle w:val="1256"/>
                      </w:rPr>
                    </w:pPr>
                    <w:r>
                      <w:fldChar w:fldCharType="begin"/>
                    </w:r>
                    <w:r>
                      <w:rPr>
                        <w:rStyle w:val="1256"/>
                      </w:rPr>
                      <w:instrText xml:space="preserve">PAGE  </w:instrText>
                    </w:r>
                    <w:r>
                      <w:fldChar w:fldCharType="separate"/>
                    </w:r>
                    <w:r>
                      <w:rPr>
                        <w:rStyle w:val="1256"/>
                      </w:rPr>
                      <w:t xml:space="preserve">19</w:t>
                    </w:r>
                    <w:r>
                      <w:fldChar w:fldCharType="end"/>
                    </w:r>
                    <w:r/>
                  </w:p>
                  <w:p>
                    <w:r/>
                    <w:r/>
                  </w:p>
                  <w:p>
                    <w:r/>
                    <w:r/>
                  </w:p>
                </w:txbxContent>
              </v:textbox>
            </v:shape>
          </w:pict>
        </mc:Fallback>
      </mc:AlternateContent>
    </w:r>
    <w:r/>
  </w:p>
  <w:p>
    <w:pPr>
      <w:pStyle w:val="1255"/>
      <w:ind w:right="360"/>
      <w:jc w:val="center"/>
    </w:pPr>
    <w:r/>
    <w:r/>
  </w:p>
  <w:p>
    <w:pPr>
      <w:pStyle w:val="125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rPr>
                              <w:rStyle w:val="1057"/>
                            </w:rPr>
                          </w:pPr>
                          <w:r>
                            <w:fldChar w:fldCharType="begin"/>
                          </w:r>
                          <w:r>
                            <w:rPr>
                              <w:rStyle w:val="1057"/>
                            </w:rPr>
                            <w:instrText xml:space="preserve">PAGE  </w:instrText>
                          </w:r>
                          <w:r>
                            <w:fldChar w:fldCharType="separate"/>
                          </w:r>
                          <w:r>
                            <w:rPr>
                              <w:rStyle w:val="1057"/>
                            </w:rP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rPr>
                        <w:rStyle w:val="1057"/>
                      </w:rPr>
                    </w:pPr>
                    <w:r>
                      <w:fldChar w:fldCharType="begin"/>
                    </w:r>
                    <w:r>
                      <w:rPr>
                        <w:rStyle w:val="1057"/>
                      </w:rPr>
                      <w:instrText xml:space="preserve">PAGE  </w:instrText>
                    </w:r>
                    <w:r>
                      <w:fldChar w:fldCharType="separate"/>
                    </w:r>
                    <w:r>
                      <w:rPr>
                        <w:rStyle w:val="1057"/>
                      </w:rP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w:r/>
  </w:p>
  <w:p>
    <w:pPr>
      <w:pStyle w:val="125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w:r/>
  </w:p>
  <w:p>
    <w:pPr>
      <w:pStyle w:val="125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w:r/>
  </w:p>
  <w:p>
    <w:pPr>
      <w:pStyle w:val="125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0"/>
  </w:num>
  <w:num w:numId="4">
    <w:abstractNumId w:val="2"/>
  </w:num>
  <w:num w:numId="5">
    <w:abstractNumId w:val="3"/>
  </w:num>
  <w:num w:numId="6">
    <w:abstractNumId w:val="8"/>
  </w:num>
  <w:num w:numId="7">
    <w:abstractNumId w:val="11"/>
  </w:num>
  <w:num w:numId="8">
    <w:abstractNumId w:val="6"/>
  </w:num>
  <w:num w:numId="9">
    <w:abstractNumId w:val="13"/>
  </w:num>
  <w:num w:numId="10">
    <w:abstractNumId w:val="12"/>
  </w:num>
  <w:num w:numId="11">
    <w:abstractNumId w:val="9"/>
  </w:num>
  <w:num w:numId="12">
    <w:abstractNumId w:val="10"/>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name w:val="Heading 1"/>
    <w:basedOn w:val="1015"/>
    <w:next w:val="1015"/>
    <w:uiPriority w:val="9"/>
    <w:qFormat/>
    <w:pPr>
      <w:keepLines/>
      <w:keepNext/>
      <w:spacing w:before="480" w:after="200"/>
      <w:outlineLvl w:val="0"/>
    </w:pPr>
    <w:rPr>
      <w:rFonts w:ascii="Arial" w:hAnsi="Arial" w:eastAsia="Arial" w:cs="Arial"/>
      <w:sz w:val="40"/>
      <w:szCs w:val="40"/>
    </w:rPr>
  </w:style>
  <w:style w:type="paragraph" w:styleId="1017">
    <w:name w:val="Heading 2"/>
    <w:basedOn w:val="1015"/>
    <w:next w:val="101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1018">
    <w:name w:val="Heading 3"/>
    <w:basedOn w:val="1015"/>
    <w:next w:val="1015"/>
    <w:uiPriority w:val="9"/>
    <w:unhideWhenUsed/>
    <w:qFormat/>
    <w:pPr>
      <w:keepLines/>
      <w:keepNext/>
      <w:spacing w:before="320" w:after="200"/>
      <w:outlineLvl w:val="2"/>
    </w:pPr>
    <w:rPr>
      <w:rFonts w:ascii="Arial" w:hAnsi="Arial" w:eastAsia="Arial" w:cs="Arial"/>
      <w:sz w:val="30"/>
      <w:szCs w:val="30"/>
    </w:rPr>
  </w:style>
  <w:style w:type="paragraph" w:styleId="1019">
    <w:name w:val="Heading 4"/>
    <w:basedOn w:val="1015"/>
    <w:next w:val="1015"/>
    <w:uiPriority w:val="0"/>
    <w:qFormat/>
    <w:pPr>
      <w:keepLines/>
      <w:keepNext/>
      <w:spacing w:line="360" w:lineRule="auto"/>
      <w:outlineLvl w:val="3"/>
    </w:pPr>
    <w:rPr>
      <w:rFonts w:ascii="Arial" w:hAnsi="Arial"/>
      <w:b/>
      <w:bCs/>
      <w:szCs w:val="28"/>
    </w:rPr>
  </w:style>
  <w:style w:type="paragraph" w:styleId="1020">
    <w:name w:val="Heading 5"/>
    <w:basedOn w:val="1015"/>
    <w:next w:val="1015"/>
    <w:link w:val="1077"/>
    <w:uiPriority w:val="9"/>
    <w:unhideWhenUsed/>
    <w:qFormat/>
    <w:pPr>
      <w:keepLines/>
      <w:keepNext/>
      <w:spacing w:before="320" w:after="200"/>
      <w:outlineLvl w:val="4"/>
    </w:pPr>
    <w:rPr>
      <w:rFonts w:ascii="Arial" w:hAnsi="Arial" w:eastAsia="Arial" w:cs="Arial"/>
      <w:b/>
      <w:bCs/>
      <w:sz w:val="24"/>
    </w:rPr>
  </w:style>
  <w:style w:type="paragraph" w:styleId="1021">
    <w:name w:val="Heading 6"/>
    <w:basedOn w:val="1015"/>
    <w:next w:val="1015"/>
    <w:link w:val="1078"/>
    <w:uiPriority w:val="9"/>
    <w:unhideWhenUsed/>
    <w:qFormat/>
    <w:pPr>
      <w:keepLines/>
      <w:keepNext/>
      <w:spacing w:before="320" w:after="200"/>
      <w:outlineLvl w:val="5"/>
    </w:pPr>
    <w:rPr>
      <w:rFonts w:ascii="Arial" w:hAnsi="Arial" w:eastAsia="Arial" w:cs="Arial"/>
      <w:b/>
      <w:bCs/>
      <w:sz w:val="22"/>
      <w:szCs w:val="22"/>
    </w:rPr>
  </w:style>
  <w:style w:type="paragraph" w:styleId="1022">
    <w:name w:val="Heading 7"/>
    <w:basedOn w:val="1015"/>
    <w:next w:val="1015"/>
    <w:link w:val="1079"/>
    <w:uiPriority w:val="9"/>
    <w:unhideWhenUsed/>
    <w:qFormat/>
    <w:pPr>
      <w:keepLines/>
      <w:keepNext/>
      <w:spacing w:before="320" w:after="200"/>
      <w:outlineLvl w:val="6"/>
    </w:pPr>
    <w:rPr>
      <w:rFonts w:ascii="Arial" w:hAnsi="Arial" w:eastAsia="Arial" w:cs="Arial"/>
      <w:b/>
      <w:bCs/>
      <w:i/>
      <w:iCs/>
      <w:sz w:val="22"/>
      <w:szCs w:val="22"/>
    </w:rPr>
  </w:style>
  <w:style w:type="paragraph" w:styleId="1023">
    <w:name w:val="Heading 8"/>
    <w:basedOn w:val="1015"/>
    <w:next w:val="1015"/>
    <w:link w:val="1080"/>
    <w:uiPriority w:val="9"/>
    <w:unhideWhenUsed/>
    <w:qFormat/>
    <w:pPr>
      <w:keepLines/>
      <w:keepNext/>
      <w:spacing w:before="320" w:after="200"/>
      <w:outlineLvl w:val="7"/>
    </w:pPr>
    <w:rPr>
      <w:rFonts w:ascii="Arial" w:hAnsi="Arial" w:eastAsia="Arial" w:cs="Arial"/>
      <w:i/>
      <w:iCs/>
      <w:sz w:val="22"/>
      <w:szCs w:val="22"/>
    </w:rPr>
  </w:style>
  <w:style w:type="paragraph" w:styleId="1024">
    <w:name w:val="Heading 9"/>
    <w:basedOn w:val="1015"/>
    <w:next w:val="1015"/>
    <w:link w:val="1081"/>
    <w:uiPriority w:val="9"/>
    <w:unhideWhenUsed/>
    <w:qFormat/>
    <w:pPr>
      <w:keepLines/>
      <w:keepNext/>
      <w:spacing w:before="320" w:after="200"/>
      <w:outlineLvl w:val="8"/>
    </w:pPr>
    <w:rPr>
      <w:rFonts w:ascii="Arial" w:hAnsi="Arial" w:eastAsia="Arial" w:cs="Arial"/>
      <w:i/>
      <w:iCs/>
      <w:szCs w:val="21"/>
    </w:rPr>
  </w:style>
  <w:style w:type="character" w:styleId="1025" w:default="1">
    <w:name w:val="Default Paragraph Font"/>
    <w:uiPriority w:val="1"/>
    <w:semiHidden/>
    <w:unhideWhenUsed/>
    <w:qFormat/>
  </w:style>
  <w:style w:type="table" w:styleId="1026" w:default="1">
    <w:name w:val="Normal Table"/>
    <w:uiPriority w:val="99"/>
    <w:semiHidden/>
    <w:unhideWhenUsed/>
    <w:qFormat/>
    <w:tblPr>
      <w:tblCellMar>
        <w:left w:w="108" w:type="dxa"/>
        <w:top w:w="0" w:type="dxa"/>
        <w:right w:w="108" w:type="dxa"/>
        <w:bottom w:w="0" w:type="dxa"/>
      </w:tblCellMar>
    </w:tblPr>
  </w:style>
  <w:style w:type="paragraph" w:styleId="1027">
    <w:name w:val="toc 7"/>
    <w:basedOn w:val="1015"/>
    <w:next w:val="1015"/>
    <w:uiPriority w:val="39"/>
    <w:unhideWhenUsed/>
    <w:qFormat/>
    <w:pPr>
      <w:ind w:left="1701"/>
      <w:spacing w:after="57"/>
    </w:pPr>
  </w:style>
  <w:style w:type="paragraph" w:styleId="1028">
    <w:name w:val="Normal Indent"/>
    <w:basedOn w:val="1015"/>
    <w:uiPriority w:val="7"/>
    <w:qFormat/>
    <w:pPr>
      <w:ind w:firstLine="420"/>
      <w:spacing w:line="360" w:lineRule="auto"/>
    </w:pPr>
    <w:rPr>
      <w:rFonts w:ascii="宋体"/>
      <w:sz w:val="24"/>
      <w:szCs w:val="20"/>
    </w:rPr>
  </w:style>
  <w:style w:type="paragraph" w:styleId="1029">
    <w:name w:val="Caption"/>
    <w:basedOn w:val="1015"/>
    <w:next w:val="101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30">
    <w:name w:val="index 5"/>
    <w:basedOn w:val="1015"/>
    <w:next w:val="1015"/>
    <w:uiPriority w:val="0"/>
    <w:qFormat/>
    <w:pPr>
      <w:ind w:left="798"/>
      <w:jc w:val="left"/>
    </w:pPr>
    <w:rPr>
      <w:rFonts w:ascii="Calibri" w:hAnsi="Calibri"/>
    </w:rPr>
  </w:style>
  <w:style w:type="paragraph" w:styleId="1031">
    <w:name w:val="Body Text"/>
    <w:basedOn w:val="1015"/>
    <w:next w:val="1015"/>
    <w:uiPriority w:val="0"/>
    <w:qFormat/>
    <w:pPr>
      <w:spacing w:line="300" w:lineRule="auto"/>
    </w:pPr>
    <w:rPr>
      <w:rFonts w:eastAsia="微软简楷体"/>
      <w:sz w:val="30"/>
    </w:rPr>
  </w:style>
  <w:style w:type="paragraph" w:styleId="1032">
    <w:name w:val="Body Text Indent"/>
    <w:basedOn w:val="1015"/>
    <w:uiPriority w:val="99"/>
    <w:qFormat/>
    <w:pPr>
      <w:ind w:left="420"/>
      <w:spacing w:after="120"/>
    </w:pPr>
  </w:style>
  <w:style w:type="paragraph" w:styleId="1033">
    <w:name w:val="Block Text"/>
    <w:basedOn w:val="1015"/>
    <w:uiPriority w:val="99"/>
    <w:unhideWhenUsed/>
    <w:qFormat/>
    <w:pPr>
      <w:ind w:left="1440" w:right="1440"/>
      <w:spacing w:after="120"/>
    </w:pPr>
  </w:style>
  <w:style w:type="paragraph" w:styleId="1034">
    <w:name w:val="toc 5"/>
    <w:basedOn w:val="1015"/>
    <w:next w:val="1015"/>
    <w:uiPriority w:val="39"/>
    <w:unhideWhenUsed/>
    <w:qFormat/>
    <w:pPr>
      <w:ind w:left="1134"/>
      <w:spacing w:after="57"/>
    </w:pPr>
  </w:style>
  <w:style w:type="paragraph" w:styleId="1035">
    <w:name w:val="toc 3"/>
    <w:basedOn w:val="1015"/>
    <w:next w:val="1015"/>
    <w:uiPriority w:val="39"/>
    <w:unhideWhenUsed/>
    <w:qFormat/>
    <w:pPr>
      <w:ind w:left="567"/>
      <w:spacing w:after="57"/>
    </w:pPr>
  </w:style>
  <w:style w:type="paragraph" w:styleId="1036">
    <w:name w:val="Plain Text"/>
    <w:basedOn w:val="1015"/>
    <w:uiPriority w:val="0"/>
    <w:qFormat/>
    <w:rPr>
      <w:rFonts w:ascii="宋体" w:hAnsi="Courier New"/>
    </w:rPr>
  </w:style>
  <w:style w:type="paragraph" w:styleId="1037">
    <w:name w:val="toc 8"/>
    <w:basedOn w:val="1015"/>
    <w:next w:val="1015"/>
    <w:uiPriority w:val="39"/>
    <w:unhideWhenUsed/>
    <w:qFormat/>
    <w:pPr>
      <w:ind w:left="1984"/>
      <w:spacing w:after="57"/>
    </w:pPr>
  </w:style>
  <w:style w:type="paragraph" w:styleId="1038">
    <w:name w:val="endnote text"/>
    <w:basedOn w:val="1015"/>
    <w:link w:val="1218"/>
    <w:uiPriority w:val="99"/>
    <w:semiHidden/>
    <w:unhideWhenUsed/>
    <w:qFormat/>
    <w:rPr>
      <w:sz w:val="20"/>
    </w:rPr>
  </w:style>
  <w:style w:type="paragraph" w:styleId="1039">
    <w:name w:val="Footer"/>
    <w:basedOn w:val="1015"/>
    <w:uiPriority w:val="99"/>
    <w:qFormat/>
    <w:pPr>
      <w:jc w:val="left"/>
      <w:tabs>
        <w:tab w:val="center" w:pos="4153" w:leader="none"/>
        <w:tab w:val="right" w:pos="8306" w:leader="none"/>
      </w:tabs>
    </w:pPr>
    <w:rPr>
      <w:sz w:val="18"/>
      <w:szCs w:val="18"/>
    </w:rPr>
  </w:style>
  <w:style w:type="paragraph" w:styleId="1040">
    <w:name w:val="envelope return"/>
    <w:basedOn w:val="1015"/>
    <w:uiPriority w:val="0"/>
    <w:qFormat/>
    <w:rPr>
      <w:rFonts w:ascii="Arial" w:hAnsi="Arial"/>
    </w:rPr>
  </w:style>
  <w:style w:type="paragraph" w:styleId="1041">
    <w:name w:val="Header"/>
    <w:basedOn w:val="1015"/>
    <w:uiPriority w:val="99"/>
    <w:qFormat/>
    <w:pPr>
      <w:jc w:val="center"/>
      <w:tabs>
        <w:tab w:val="center" w:pos="4153" w:leader="none"/>
        <w:tab w:val="right" w:pos="8306" w:leader="none"/>
      </w:tabs>
      <w:pBdr>
        <w:bottom w:val="single" w:color="auto" w:sz="6" w:space="1"/>
      </w:pBdr>
    </w:pPr>
    <w:rPr>
      <w:sz w:val="18"/>
      <w:szCs w:val="18"/>
    </w:rPr>
  </w:style>
  <w:style w:type="paragraph" w:styleId="1042">
    <w:name w:val="toc 1"/>
    <w:basedOn w:val="1015"/>
    <w:next w:val="1015"/>
    <w:uiPriority w:val="39"/>
    <w:unhideWhenUsed/>
    <w:qFormat/>
    <w:pPr>
      <w:spacing w:after="57"/>
    </w:pPr>
  </w:style>
  <w:style w:type="paragraph" w:styleId="1043">
    <w:name w:val="toc 4"/>
    <w:basedOn w:val="1015"/>
    <w:next w:val="1015"/>
    <w:uiPriority w:val="39"/>
    <w:unhideWhenUsed/>
    <w:qFormat/>
    <w:pPr>
      <w:ind w:left="850"/>
      <w:spacing w:after="57"/>
    </w:pPr>
  </w:style>
  <w:style w:type="paragraph" w:styleId="1044">
    <w:name w:val="Subtitle"/>
    <w:basedOn w:val="1015"/>
    <w:next w:val="1015"/>
    <w:link w:val="1084"/>
    <w:uiPriority w:val="11"/>
    <w:qFormat/>
    <w:pPr>
      <w:spacing w:before="200" w:after="200"/>
    </w:pPr>
    <w:rPr>
      <w:sz w:val="24"/>
    </w:rPr>
  </w:style>
  <w:style w:type="paragraph" w:styleId="1045">
    <w:name w:val="footnote text"/>
    <w:basedOn w:val="1015"/>
    <w:next w:val="1030"/>
    <w:link w:val="1217"/>
    <w:uiPriority w:val="99"/>
    <w:semiHidden/>
    <w:unhideWhenUsed/>
    <w:qFormat/>
    <w:pPr>
      <w:spacing w:after="40"/>
    </w:pPr>
    <w:rPr>
      <w:sz w:val="18"/>
    </w:rPr>
  </w:style>
  <w:style w:type="paragraph" w:styleId="1046">
    <w:name w:val="toc 6"/>
    <w:basedOn w:val="1015"/>
    <w:next w:val="1015"/>
    <w:uiPriority w:val="39"/>
    <w:unhideWhenUsed/>
    <w:qFormat/>
    <w:pPr>
      <w:ind w:left="1417"/>
      <w:spacing w:after="57"/>
    </w:pPr>
  </w:style>
  <w:style w:type="paragraph" w:styleId="1047">
    <w:name w:val="table of figures"/>
    <w:basedOn w:val="1015"/>
    <w:next w:val="1015"/>
    <w:uiPriority w:val="99"/>
    <w:unhideWhenUsed/>
    <w:qFormat/>
  </w:style>
  <w:style w:type="paragraph" w:styleId="1048">
    <w:name w:val="toc 2"/>
    <w:basedOn w:val="1015"/>
    <w:next w:val="1015"/>
    <w:uiPriority w:val="39"/>
    <w:unhideWhenUsed/>
    <w:qFormat/>
    <w:pPr>
      <w:ind w:left="283"/>
      <w:spacing w:after="57"/>
    </w:pPr>
  </w:style>
  <w:style w:type="paragraph" w:styleId="1049">
    <w:name w:val="toc 9"/>
    <w:basedOn w:val="1015"/>
    <w:next w:val="1015"/>
    <w:uiPriority w:val="39"/>
    <w:unhideWhenUsed/>
    <w:qFormat/>
    <w:pPr>
      <w:ind w:left="2268"/>
      <w:spacing w:after="57"/>
    </w:pPr>
  </w:style>
  <w:style w:type="paragraph" w:styleId="1050">
    <w:name w:val="Normal (Web)"/>
    <w:basedOn w:val="1015"/>
    <w:uiPriority w:val="0"/>
    <w:qFormat/>
    <w:pPr>
      <w:jc w:val="left"/>
      <w:spacing w:before="100" w:beforeAutospacing="1" w:after="100" w:afterAutospacing="1" w:line="360" w:lineRule="auto"/>
      <w:widowControl/>
    </w:pPr>
    <w:rPr>
      <w:rFonts w:ascii="宋体" w:hAnsi="宋体" w:cs="宋体"/>
      <w:color w:val="000000"/>
      <w:sz w:val="24"/>
    </w:rPr>
  </w:style>
  <w:style w:type="paragraph" w:styleId="1051">
    <w:name w:val="Title"/>
    <w:basedOn w:val="1015"/>
    <w:next w:val="1015"/>
    <w:link w:val="1083"/>
    <w:uiPriority w:val="10"/>
    <w:qFormat/>
    <w:pPr>
      <w:contextualSpacing/>
      <w:spacing w:before="300" w:after="200"/>
    </w:pPr>
    <w:rPr>
      <w:sz w:val="48"/>
      <w:szCs w:val="48"/>
    </w:rPr>
  </w:style>
  <w:style w:type="paragraph" w:styleId="1052">
    <w:name w:val="Body Text First Indent"/>
    <w:basedOn w:val="1015"/>
    <w:next w:val="1053"/>
    <w:uiPriority w:val="99"/>
    <w:unhideWhenUsed/>
    <w:qFormat/>
    <w:pPr>
      <w:ind w:firstLine="420"/>
    </w:pPr>
    <w:rPr>
      <w:szCs w:val="22"/>
    </w:rPr>
  </w:style>
  <w:style w:type="paragraph" w:styleId="1053">
    <w:name w:val="Body Text First Indent 2"/>
    <w:basedOn w:val="1032"/>
    <w:uiPriority w:val="0"/>
    <w:qFormat/>
    <w:pPr>
      <w:ind w:firstLine="420"/>
    </w:pPr>
    <w:rPr>
      <w:rFonts w:ascii="Times New Roman" w:hAnsi="Times New Roman"/>
    </w:rPr>
  </w:style>
  <w:style w:type="table" w:styleId="1054">
    <w:name w:val="Table Grid"/>
    <w:basedOn w:val="102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5">
    <w:name w:val="Strong"/>
    <w:basedOn w:val="1025"/>
    <w:uiPriority w:val="0"/>
    <w:qFormat/>
    <w:rPr>
      <w:b/>
    </w:rPr>
  </w:style>
  <w:style w:type="character" w:styleId="1056">
    <w:name w:val="endnote reference"/>
    <w:basedOn w:val="1025"/>
    <w:uiPriority w:val="99"/>
    <w:semiHidden/>
    <w:unhideWhenUsed/>
    <w:qFormat/>
    <w:rPr>
      <w:vertAlign w:val="superscript"/>
    </w:rPr>
  </w:style>
  <w:style w:type="character" w:styleId="1057">
    <w:name w:val="page number"/>
    <w:basedOn w:val="1025"/>
    <w:uiPriority w:val="0"/>
    <w:qFormat/>
  </w:style>
  <w:style w:type="character" w:styleId="1058">
    <w:name w:val="Emphasis"/>
    <w:basedOn w:val="1025"/>
    <w:uiPriority w:val="20"/>
    <w:qFormat/>
    <w:rPr>
      <w:i/>
    </w:rPr>
  </w:style>
  <w:style w:type="character" w:styleId="1059">
    <w:name w:val="Hyperlink"/>
    <w:basedOn w:val="1025"/>
    <w:uiPriority w:val="99"/>
    <w:unhideWhenUsed/>
    <w:qFormat/>
    <w:rPr>
      <w:color w:val="0000ff"/>
      <w:u w:val="single"/>
    </w:rPr>
  </w:style>
  <w:style w:type="character" w:styleId="1060">
    <w:name w:val="footnote reference"/>
    <w:basedOn w:val="1025"/>
    <w:uiPriority w:val="99"/>
    <w:unhideWhenUsed/>
    <w:qFormat/>
    <w:rPr>
      <w:vertAlign w:val="superscript"/>
    </w:rPr>
  </w:style>
  <w:style w:type="character" w:styleId="1061" w:customStyle="1">
    <w:name w:val="Heading 5 Char"/>
    <w:basedOn w:val="1025"/>
    <w:uiPriority w:val="9"/>
    <w:qFormat/>
    <w:rPr>
      <w:rFonts w:ascii="Arial" w:hAnsi="Arial" w:eastAsia="Arial" w:cs="Arial"/>
      <w:b/>
      <w:bCs/>
      <w:sz w:val="24"/>
      <w:szCs w:val="24"/>
    </w:rPr>
  </w:style>
  <w:style w:type="character" w:styleId="1062" w:customStyle="1">
    <w:name w:val="Heading 6 Char"/>
    <w:basedOn w:val="1025"/>
    <w:uiPriority w:val="9"/>
    <w:qFormat/>
    <w:rPr>
      <w:rFonts w:ascii="Arial" w:hAnsi="Arial" w:eastAsia="Arial" w:cs="Arial"/>
      <w:b/>
      <w:bCs/>
      <w:sz w:val="22"/>
      <w:szCs w:val="22"/>
    </w:rPr>
  </w:style>
  <w:style w:type="character" w:styleId="1063" w:customStyle="1">
    <w:name w:val="Heading 7 Char"/>
    <w:basedOn w:val="1025"/>
    <w:uiPriority w:val="9"/>
    <w:qFormat/>
    <w:rPr>
      <w:rFonts w:ascii="Arial" w:hAnsi="Arial" w:eastAsia="Arial" w:cs="Arial"/>
      <w:b/>
      <w:bCs/>
      <w:i/>
      <w:iCs/>
      <w:sz w:val="22"/>
      <w:szCs w:val="22"/>
    </w:rPr>
  </w:style>
  <w:style w:type="character" w:styleId="1064" w:customStyle="1">
    <w:name w:val="Heading 8 Char"/>
    <w:basedOn w:val="1025"/>
    <w:uiPriority w:val="9"/>
    <w:qFormat/>
    <w:rPr>
      <w:rFonts w:ascii="Arial" w:hAnsi="Arial" w:eastAsia="Arial" w:cs="Arial"/>
      <w:i/>
      <w:iCs/>
      <w:sz w:val="22"/>
      <w:szCs w:val="22"/>
    </w:rPr>
  </w:style>
  <w:style w:type="character" w:styleId="1065" w:customStyle="1">
    <w:name w:val="Heading 9 Char"/>
    <w:basedOn w:val="1025"/>
    <w:uiPriority w:val="9"/>
    <w:qFormat/>
    <w:rPr>
      <w:rFonts w:ascii="Arial" w:hAnsi="Arial" w:eastAsia="Arial" w:cs="Arial"/>
      <w:i/>
      <w:iCs/>
      <w:sz w:val="21"/>
      <w:szCs w:val="21"/>
    </w:rPr>
  </w:style>
  <w:style w:type="character" w:styleId="1066" w:customStyle="1">
    <w:name w:val="Title Char"/>
    <w:basedOn w:val="1025"/>
    <w:uiPriority w:val="10"/>
    <w:qFormat/>
    <w:rPr>
      <w:sz w:val="48"/>
      <w:szCs w:val="48"/>
    </w:rPr>
  </w:style>
  <w:style w:type="character" w:styleId="1067" w:customStyle="1">
    <w:name w:val="Subtitle Char"/>
    <w:basedOn w:val="1025"/>
    <w:uiPriority w:val="11"/>
    <w:qFormat/>
    <w:rPr>
      <w:sz w:val="24"/>
      <w:szCs w:val="24"/>
    </w:rPr>
  </w:style>
  <w:style w:type="character" w:styleId="1068" w:customStyle="1">
    <w:name w:val="Quote Char"/>
    <w:uiPriority w:val="29"/>
    <w:qFormat/>
    <w:rPr>
      <w:i/>
    </w:rPr>
  </w:style>
  <w:style w:type="character" w:styleId="1069" w:customStyle="1">
    <w:name w:val="Intense Quote Char"/>
    <w:uiPriority w:val="30"/>
    <w:qFormat/>
    <w:rPr>
      <w:i/>
    </w:rPr>
  </w:style>
  <w:style w:type="character" w:styleId="1070" w:customStyle="1">
    <w:name w:val="Footnote Text Char"/>
    <w:uiPriority w:val="99"/>
    <w:qFormat/>
    <w:rPr>
      <w:sz w:val="18"/>
    </w:rPr>
  </w:style>
  <w:style w:type="character" w:styleId="1071" w:customStyle="1">
    <w:name w:val="Endnote Text Char"/>
    <w:uiPriority w:val="99"/>
    <w:qFormat/>
    <w:rPr>
      <w:sz w:val="20"/>
    </w:rPr>
  </w:style>
  <w:style w:type="paragraph" w:styleId="1072" w:customStyle="1">
    <w:name w:val="TOC Heading"/>
    <w:uiPriority w:val="39"/>
    <w:unhideWhenUsed/>
    <w:qFormat/>
    <w:rPr>
      <w:rFonts w:hint="default" w:asciiTheme="minorHAnsi" w:hAnsiTheme="minorHAnsi" w:eastAsiaTheme="minorEastAsia" w:cstheme="minorBidi"/>
    </w:rPr>
  </w:style>
  <w:style w:type="character" w:styleId="1073" w:customStyle="1">
    <w:name w:val="Heading 1 Char"/>
    <w:basedOn w:val="1025"/>
    <w:uiPriority w:val="9"/>
    <w:qFormat/>
    <w:rPr>
      <w:rFonts w:ascii="Arial" w:hAnsi="Arial" w:eastAsia="Arial" w:cs="Arial"/>
      <w:sz w:val="40"/>
      <w:szCs w:val="40"/>
    </w:rPr>
  </w:style>
  <w:style w:type="character" w:styleId="1074" w:customStyle="1">
    <w:name w:val="Heading 2 Char"/>
    <w:basedOn w:val="1025"/>
    <w:uiPriority w:val="9"/>
    <w:qFormat/>
    <w:rPr>
      <w:rFonts w:ascii="Arial" w:hAnsi="Arial" w:eastAsia="Arial" w:cs="Arial"/>
      <w:sz w:val="34"/>
    </w:rPr>
  </w:style>
  <w:style w:type="character" w:styleId="1075" w:customStyle="1">
    <w:name w:val="Heading 3 Char"/>
    <w:basedOn w:val="1025"/>
    <w:uiPriority w:val="9"/>
    <w:qFormat/>
    <w:rPr>
      <w:rFonts w:ascii="Arial" w:hAnsi="Arial" w:eastAsia="Arial" w:cs="Arial"/>
      <w:sz w:val="30"/>
      <w:szCs w:val="30"/>
    </w:rPr>
  </w:style>
  <w:style w:type="character" w:styleId="1076" w:customStyle="1">
    <w:name w:val="Heading 4 Char"/>
    <w:basedOn w:val="1025"/>
    <w:uiPriority w:val="9"/>
    <w:qFormat/>
    <w:rPr>
      <w:rFonts w:ascii="Arial" w:hAnsi="Arial" w:eastAsia="Arial" w:cs="Arial"/>
      <w:b/>
      <w:bCs/>
      <w:sz w:val="26"/>
      <w:szCs w:val="26"/>
    </w:rPr>
  </w:style>
  <w:style w:type="character" w:styleId="1077" w:customStyle="1">
    <w:name w:val="标题 5 Char"/>
    <w:basedOn w:val="1025"/>
    <w:link w:val="1020"/>
    <w:uiPriority w:val="9"/>
    <w:qFormat/>
    <w:rPr>
      <w:rFonts w:ascii="Arial" w:hAnsi="Arial" w:eastAsia="Arial" w:cs="Arial"/>
      <w:b/>
      <w:bCs/>
      <w:sz w:val="24"/>
      <w:szCs w:val="24"/>
    </w:rPr>
  </w:style>
  <w:style w:type="character" w:styleId="1078" w:customStyle="1">
    <w:name w:val="标题 6 Char"/>
    <w:basedOn w:val="1025"/>
    <w:link w:val="1021"/>
    <w:uiPriority w:val="9"/>
    <w:qFormat/>
    <w:rPr>
      <w:rFonts w:ascii="Arial" w:hAnsi="Arial" w:eastAsia="Arial" w:cs="Arial"/>
      <w:b/>
      <w:bCs/>
      <w:sz w:val="22"/>
      <w:szCs w:val="22"/>
    </w:rPr>
  </w:style>
  <w:style w:type="character" w:styleId="1079" w:customStyle="1">
    <w:name w:val="标题 7 Char"/>
    <w:basedOn w:val="1025"/>
    <w:link w:val="1022"/>
    <w:uiPriority w:val="9"/>
    <w:qFormat/>
    <w:rPr>
      <w:rFonts w:ascii="Arial" w:hAnsi="Arial" w:eastAsia="Arial" w:cs="Arial"/>
      <w:b/>
      <w:bCs/>
      <w:i/>
      <w:iCs/>
      <w:sz w:val="22"/>
      <w:szCs w:val="22"/>
    </w:rPr>
  </w:style>
  <w:style w:type="character" w:styleId="1080" w:customStyle="1">
    <w:name w:val="标题 8 Char"/>
    <w:basedOn w:val="1025"/>
    <w:link w:val="1023"/>
    <w:uiPriority w:val="9"/>
    <w:qFormat/>
    <w:rPr>
      <w:rFonts w:ascii="Arial" w:hAnsi="Arial" w:eastAsia="Arial" w:cs="Arial"/>
      <w:i/>
      <w:iCs/>
      <w:sz w:val="22"/>
      <w:szCs w:val="22"/>
    </w:rPr>
  </w:style>
  <w:style w:type="character" w:styleId="1081" w:customStyle="1">
    <w:name w:val="标题 9 Char"/>
    <w:basedOn w:val="1025"/>
    <w:link w:val="1024"/>
    <w:uiPriority w:val="9"/>
    <w:qFormat/>
    <w:rPr>
      <w:rFonts w:ascii="Arial" w:hAnsi="Arial" w:eastAsia="Arial" w:cs="Arial"/>
      <w:i/>
      <w:iCs/>
      <w:sz w:val="21"/>
      <w:szCs w:val="21"/>
    </w:rPr>
  </w:style>
  <w:style w:type="paragraph" w:styleId="1082">
    <w:name w:val="No Spacing"/>
    <w:uiPriority w:val="1"/>
    <w:qFormat/>
    <w:rPr>
      <w:rFonts w:hint="default" w:asciiTheme="minorHAnsi" w:hAnsiTheme="minorHAnsi" w:eastAsiaTheme="minorEastAsia" w:cstheme="minorBidi"/>
      <w:lang w:val="en-US" w:eastAsia="zh-CN" w:bidi="ar-SA"/>
    </w:rPr>
  </w:style>
  <w:style w:type="character" w:styleId="1083" w:customStyle="1">
    <w:name w:val="标题 Char"/>
    <w:basedOn w:val="1025"/>
    <w:link w:val="1051"/>
    <w:uiPriority w:val="10"/>
    <w:qFormat/>
    <w:rPr>
      <w:sz w:val="48"/>
      <w:szCs w:val="48"/>
    </w:rPr>
  </w:style>
  <w:style w:type="character" w:styleId="1084" w:customStyle="1">
    <w:name w:val="副标题 Char"/>
    <w:basedOn w:val="1025"/>
    <w:link w:val="1044"/>
    <w:uiPriority w:val="11"/>
    <w:qFormat/>
    <w:rPr>
      <w:sz w:val="24"/>
      <w:szCs w:val="24"/>
    </w:rPr>
  </w:style>
  <w:style w:type="paragraph" w:styleId="1085">
    <w:name w:val="Quote"/>
    <w:basedOn w:val="1015"/>
    <w:next w:val="1015"/>
    <w:link w:val="1086"/>
    <w:uiPriority w:val="29"/>
    <w:qFormat/>
    <w:pPr>
      <w:ind w:left="720" w:right="720"/>
    </w:pPr>
    <w:rPr>
      <w:i/>
    </w:rPr>
  </w:style>
  <w:style w:type="character" w:styleId="1086" w:customStyle="1">
    <w:name w:val="引用 Char"/>
    <w:link w:val="1085"/>
    <w:uiPriority w:val="29"/>
    <w:qFormat/>
    <w:rPr>
      <w:i/>
    </w:rPr>
  </w:style>
  <w:style w:type="paragraph" w:styleId="1087">
    <w:name w:val="Intense Quote"/>
    <w:basedOn w:val="1015"/>
    <w:next w:val="1015"/>
    <w:link w:val="10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8" w:customStyle="1">
    <w:name w:val="明显引用 Char"/>
    <w:link w:val="1087"/>
    <w:uiPriority w:val="30"/>
    <w:qFormat/>
    <w:rPr>
      <w:i/>
    </w:rPr>
  </w:style>
  <w:style w:type="character" w:styleId="1089" w:customStyle="1">
    <w:name w:val="Header Char"/>
    <w:basedOn w:val="1025"/>
    <w:uiPriority w:val="99"/>
    <w:qFormat/>
  </w:style>
  <w:style w:type="character" w:styleId="1090" w:customStyle="1">
    <w:name w:val="Footer Char"/>
    <w:basedOn w:val="1025"/>
    <w:uiPriority w:val="99"/>
    <w:qFormat/>
  </w:style>
  <w:style w:type="character" w:styleId="1091" w:customStyle="1">
    <w:name w:val="Caption Char"/>
    <w:uiPriority w:val="99"/>
    <w:qFormat/>
  </w:style>
  <w:style w:type="table" w:styleId="1092" w:customStyle="1">
    <w:name w:val="Table Grid Light"/>
    <w:basedOn w:val="10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93" w:customStyle="1">
    <w:name w:val="Plain Table 1"/>
    <w:basedOn w:val="10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4" w:customStyle="1">
    <w:name w:val="Plain Table 2"/>
    <w:basedOn w:val="10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5" w:customStyle="1">
    <w:name w:val="Plain Table 3"/>
    <w:basedOn w:val="10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6" w:customStyle="1">
    <w:name w:val="Plain Table 4"/>
    <w:basedOn w:val="10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7" w:customStyle="1">
    <w:name w:val="Plain Table 5"/>
    <w:basedOn w:val="10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8" w:customStyle="1">
    <w:name w:val="Grid Table 1 Light"/>
    <w:basedOn w:val="102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1"/>
    <w:basedOn w:val="102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00" w:customStyle="1">
    <w:name w:val="Grid Table 1 Light - Accent 2"/>
    <w:basedOn w:val="102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01" w:customStyle="1">
    <w:name w:val="Grid Table 1 Light - Accent 3"/>
    <w:basedOn w:val="102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02" w:customStyle="1">
    <w:name w:val="Grid Table 1 Light - Accent 4"/>
    <w:basedOn w:val="102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03" w:customStyle="1">
    <w:name w:val="Grid Table 1 Light - Accent 5"/>
    <w:basedOn w:val="102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6"/>
    <w:basedOn w:val="102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05" w:customStyle="1">
    <w:name w:val="Grid Table 2"/>
    <w:basedOn w:val="10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6" w:customStyle="1">
    <w:name w:val="Grid Table 2 - Accent 1"/>
    <w:basedOn w:val="102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07" w:customStyle="1">
    <w:name w:val="Grid Table 2 - Accent 2"/>
    <w:basedOn w:val="102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08" w:customStyle="1">
    <w:name w:val="Grid Table 2 - Accent 3"/>
    <w:basedOn w:val="102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09" w:customStyle="1">
    <w:name w:val="Grid Table 2 - Accent 4"/>
    <w:basedOn w:val="102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10" w:customStyle="1">
    <w:name w:val="Grid Table 2 - Accent 5"/>
    <w:basedOn w:val="102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11" w:customStyle="1">
    <w:name w:val="Grid Table 2 - Accent 6"/>
    <w:basedOn w:val="102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12" w:customStyle="1">
    <w:name w:val="Grid Table 3"/>
    <w:basedOn w:val="10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1"/>
    <w:basedOn w:val="102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2"/>
    <w:basedOn w:val="102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3"/>
    <w:basedOn w:val="102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4"/>
    <w:basedOn w:val="102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5"/>
    <w:basedOn w:val="102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6"/>
    <w:basedOn w:val="1026"/>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4"/>
    <w:basedOn w:val="102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0" w:customStyle="1">
    <w:name w:val="Grid Table 4 - Accent 1"/>
    <w:basedOn w:val="102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21" w:customStyle="1">
    <w:name w:val="Grid Table 4 - Accent 2"/>
    <w:basedOn w:val="102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22" w:customStyle="1">
    <w:name w:val="Grid Table 4 - Accent 3"/>
    <w:basedOn w:val="102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23" w:customStyle="1">
    <w:name w:val="Grid Table 4 - Accent 4"/>
    <w:basedOn w:val="102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24" w:customStyle="1">
    <w:name w:val="Grid Table 4 - Accent 5"/>
    <w:basedOn w:val="102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25" w:customStyle="1">
    <w:name w:val="Grid Table 4 - Accent 6"/>
    <w:basedOn w:val="102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26" w:customStyle="1">
    <w:name w:val="Grid Table 5 Dark"/>
    <w:basedOn w:val="10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7" w:customStyle="1">
    <w:name w:val="Grid Table 5 Dark- Accent 1"/>
    <w:basedOn w:val="10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28" w:customStyle="1">
    <w:name w:val="Grid Table 5 Dark - Accent 2"/>
    <w:basedOn w:val="10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29" w:customStyle="1">
    <w:name w:val="Grid Table 5 Dark - Accent 3"/>
    <w:basedOn w:val="10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30" w:customStyle="1">
    <w:name w:val="Grid Table 5 Dark- Accent 4"/>
    <w:basedOn w:val="10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31" w:customStyle="1">
    <w:name w:val="Grid Table 5 Dark - Accent 5"/>
    <w:basedOn w:val="10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32" w:customStyle="1">
    <w:name w:val="Grid Table 5 Dark - Accent 6"/>
    <w:basedOn w:val="10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33" w:customStyle="1">
    <w:name w:val="Grid Table 6 Colorful"/>
    <w:basedOn w:val="102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4" w:customStyle="1">
    <w:name w:val="Grid Table 6 Colorful - Accent 1"/>
    <w:basedOn w:val="102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35" w:customStyle="1">
    <w:name w:val="Grid Table 6 Colorful - Accent 2"/>
    <w:basedOn w:val="102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36" w:customStyle="1">
    <w:name w:val="Grid Table 6 Colorful - Accent 3"/>
    <w:basedOn w:val="102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137" w:customStyle="1">
    <w:name w:val="Grid Table 6 Colorful - Accent 4"/>
    <w:basedOn w:val="102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38" w:customStyle="1">
    <w:name w:val="Grid Table 6 Colorful - Accent 5"/>
    <w:basedOn w:val="102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39" w:customStyle="1">
    <w:name w:val="Grid Table 6 Colorful - Accent 6"/>
    <w:basedOn w:val="102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40" w:customStyle="1">
    <w:name w:val="Grid Table 7 Colorful"/>
    <w:basedOn w:val="102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1" w:customStyle="1">
    <w:name w:val="Grid Table 7 Colorful - Accent 1"/>
    <w:basedOn w:val="102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42" w:customStyle="1">
    <w:name w:val="Grid Table 7 Colorful - Accent 2"/>
    <w:basedOn w:val="102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43" w:customStyle="1">
    <w:name w:val="Grid Table 7 Colorful - Accent 3"/>
    <w:basedOn w:val="102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44" w:customStyle="1">
    <w:name w:val="Grid Table 7 Colorful - Accent 4"/>
    <w:basedOn w:val="102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45" w:customStyle="1">
    <w:name w:val="Grid Table 7 Colorful - Accent 5"/>
    <w:basedOn w:val="102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46" w:customStyle="1">
    <w:name w:val="Grid Table 7 Colorful - Accent 6"/>
    <w:basedOn w:val="102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47" w:customStyle="1">
    <w:name w:val="List Table 1 Light"/>
    <w:basedOn w:val="102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8" w:customStyle="1">
    <w:name w:val="List Table 1 Light - Accent 1"/>
    <w:basedOn w:val="1026"/>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49" w:customStyle="1">
    <w:name w:val="List Table 1 Light - Accent 2"/>
    <w:basedOn w:val="1026"/>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50" w:customStyle="1">
    <w:name w:val="List Table 1 Light - Accent 3"/>
    <w:basedOn w:val="1026"/>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51" w:customStyle="1">
    <w:name w:val="List Table 1 Light - Accent 4"/>
    <w:basedOn w:val="1026"/>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52" w:customStyle="1">
    <w:name w:val="List Table 1 Light - Accent 5"/>
    <w:basedOn w:val="1026"/>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53" w:customStyle="1">
    <w:name w:val="List Table 1 Light - Accent 6"/>
    <w:basedOn w:val="1026"/>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54" w:customStyle="1">
    <w:name w:val="List Table 2"/>
    <w:basedOn w:val="102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5" w:customStyle="1">
    <w:name w:val="List Table 2 - Accent 1"/>
    <w:basedOn w:val="102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56" w:customStyle="1">
    <w:name w:val="List Table 2 - Accent 2"/>
    <w:basedOn w:val="102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57" w:customStyle="1">
    <w:name w:val="List Table 2 - Accent 3"/>
    <w:basedOn w:val="102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58" w:customStyle="1">
    <w:name w:val="List Table 2 - Accent 4"/>
    <w:basedOn w:val="102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59" w:customStyle="1">
    <w:name w:val="List Table 2 - Accent 5"/>
    <w:basedOn w:val="102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60" w:customStyle="1">
    <w:name w:val="List Table 2 - Accent 6"/>
    <w:basedOn w:val="102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61" w:customStyle="1">
    <w:name w:val="List Table 3"/>
    <w:basedOn w:val="10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2" w:customStyle="1">
    <w:name w:val="List Table 3 - Accent 1"/>
    <w:basedOn w:val="102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63" w:customStyle="1">
    <w:name w:val="List Table 3 - Accent 2"/>
    <w:basedOn w:val="102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64" w:customStyle="1">
    <w:name w:val="List Table 3 - Accent 3"/>
    <w:basedOn w:val="102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65" w:customStyle="1">
    <w:name w:val="List Table 3 - Accent 4"/>
    <w:basedOn w:val="102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66" w:customStyle="1">
    <w:name w:val="List Table 3 - Accent 5"/>
    <w:basedOn w:val="102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67" w:customStyle="1">
    <w:name w:val="List Table 3 - Accent 6"/>
    <w:basedOn w:val="102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68" w:customStyle="1">
    <w:name w:val="List Table 4"/>
    <w:basedOn w:val="10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9" w:customStyle="1">
    <w:name w:val="List Table 4 - Accent 1"/>
    <w:basedOn w:val="102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70" w:customStyle="1">
    <w:name w:val="List Table 4 - Accent 2"/>
    <w:basedOn w:val="102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71" w:customStyle="1">
    <w:name w:val="List Table 4 - Accent 3"/>
    <w:basedOn w:val="102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72" w:customStyle="1">
    <w:name w:val="List Table 4 - Accent 4"/>
    <w:basedOn w:val="102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73" w:customStyle="1">
    <w:name w:val="List Table 4 - Accent 5"/>
    <w:basedOn w:val="102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74" w:customStyle="1">
    <w:name w:val="List Table 4 - Accent 6"/>
    <w:basedOn w:val="102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75" w:customStyle="1">
    <w:name w:val="List Table 5 Dark"/>
    <w:basedOn w:val="102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6" w:customStyle="1">
    <w:name w:val="List Table 5 Dark - Accent 1"/>
    <w:basedOn w:val="102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7" w:customStyle="1">
    <w:name w:val="List Table 5 Dark - Accent 2"/>
    <w:basedOn w:val="102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5 Dark - Accent 3"/>
    <w:basedOn w:val="102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9" w:customStyle="1">
    <w:name w:val="List Table 5 Dark - Accent 4"/>
    <w:basedOn w:val="102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0" w:customStyle="1">
    <w:name w:val="List Table 5 Dark - Accent 5"/>
    <w:basedOn w:val="102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1" w:customStyle="1">
    <w:name w:val="List Table 5 Dark - Accent 6"/>
    <w:basedOn w:val="102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2" w:customStyle="1">
    <w:name w:val="List Table 6 Colorful"/>
    <w:basedOn w:val="102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3" w:customStyle="1">
    <w:name w:val="List Table 6 Colorful - Accent 1"/>
    <w:basedOn w:val="1026"/>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84" w:customStyle="1">
    <w:name w:val="List Table 6 Colorful - Accent 2"/>
    <w:basedOn w:val="1026"/>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85" w:customStyle="1">
    <w:name w:val="List Table 6 Colorful - Accent 3"/>
    <w:basedOn w:val="1026"/>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86" w:customStyle="1">
    <w:name w:val="List Table 6 Colorful - Accent 4"/>
    <w:basedOn w:val="1026"/>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87" w:customStyle="1">
    <w:name w:val="List Table 6 Colorful - Accent 5"/>
    <w:basedOn w:val="1026"/>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88" w:customStyle="1">
    <w:name w:val="List Table 6 Colorful - Accent 6"/>
    <w:basedOn w:val="1026"/>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89" w:customStyle="1">
    <w:name w:val="List Table 7 Colorful"/>
    <w:basedOn w:val="102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0" w:customStyle="1">
    <w:name w:val="List Table 7 Colorful - Accent 1"/>
    <w:basedOn w:val="1026"/>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91" w:customStyle="1">
    <w:name w:val="List Table 7 Colorful - Accent 2"/>
    <w:basedOn w:val="1026"/>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92" w:customStyle="1">
    <w:name w:val="List Table 7 Colorful - Accent 3"/>
    <w:basedOn w:val="1026"/>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93" w:customStyle="1">
    <w:name w:val="List Table 7 Colorful - Accent 4"/>
    <w:basedOn w:val="1026"/>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94" w:customStyle="1">
    <w:name w:val="List Table 7 Colorful - Accent 5"/>
    <w:basedOn w:val="1026"/>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95" w:customStyle="1">
    <w:name w:val="List Table 7 Colorful - Accent 6"/>
    <w:basedOn w:val="1026"/>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96" w:customStyle="1">
    <w:name w:val="Lined - Accent"/>
    <w:basedOn w:val="10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7" w:customStyle="1">
    <w:name w:val="Lined - Accent 1"/>
    <w:basedOn w:val="10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98" w:customStyle="1">
    <w:name w:val="Lined - Accent 2"/>
    <w:basedOn w:val="10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99" w:customStyle="1">
    <w:name w:val="Lined - Accent 3"/>
    <w:basedOn w:val="10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00" w:customStyle="1">
    <w:name w:val="Lined - Accent 4"/>
    <w:basedOn w:val="10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01" w:customStyle="1">
    <w:name w:val="Lined - Accent 5"/>
    <w:basedOn w:val="10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02" w:customStyle="1">
    <w:name w:val="Lined - Accent 6"/>
    <w:basedOn w:val="10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03" w:customStyle="1">
    <w:name w:val="Bordered &amp; Lined - Accent"/>
    <w:basedOn w:val="102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4" w:customStyle="1">
    <w:name w:val="Bordered &amp; Lined - Accent 1"/>
    <w:basedOn w:val="102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05" w:customStyle="1">
    <w:name w:val="Bordered &amp; Lined - Accent 2"/>
    <w:basedOn w:val="102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06" w:customStyle="1">
    <w:name w:val="Bordered &amp; Lined - Accent 3"/>
    <w:basedOn w:val="102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07" w:customStyle="1">
    <w:name w:val="Bordered &amp; Lined - Accent 4"/>
    <w:basedOn w:val="102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08" w:customStyle="1">
    <w:name w:val="Bordered &amp; Lined - Accent 5"/>
    <w:basedOn w:val="102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09" w:customStyle="1">
    <w:name w:val="Bordered &amp; Lined - Accent 6"/>
    <w:basedOn w:val="102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10" w:customStyle="1">
    <w:name w:val="Bordered"/>
    <w:basedOn w:val="102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1" w:customStyle="1">
    <w:name w:val="Bordered - Accent 1"/>
    <w:basedOn w:val="102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12" w:customStyle="1">
    <w:name w:val="Bordered - Accent 2"/>
    <w:basedOn w:val="102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13" w:customStyle="1">
    <w:name w:val="Bordered - Accent 3"/>
    <w:basedOn w:val="102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14" w:customStyle="1">
    <w:name w:val="Bordered - Accent 4"/>
    <w:basedOn w:val="102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15" w:customStyle="1">
    <w:name w:val="Bordered - Accent 5"/>
    <w:basedOn w:val="102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16" w:customStyle="1">
    <w:name w:val="Bordered - Accent 6"/>
    <w:basedOn w:val="102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17" w:customStyle="1">
    <w:name w:val="脚注文本 Char"/>
    <w:link w:val="1045"/>
    <w:uiPriority w:val="99"/>
    <w:qFormat/>
    <w:rPr>
      <w:sz w:val="18"/>
    </w:rPr>
  </w:style>
  <w:style w:type="character" w:styleId="1218" w:customStyle="1">
    <w:name w:val="尾注文本 Char"/>
    <w:link w:val="1038"/>
    <w:uiPriority w:val="99"/>
    <w:qFormat/>
    <w:rPr>
      <w:sz w:val="20"/>
    </w:rPr>
  </w:style>
  <w:style w:type="paragraph" w:styleId="1219" w:customStyle="1">
    <w:name w:val="TOC 标题1"/>
    <w:uiPriority w:val="39"/>
    <w:unhideWhenUsed/>
    <w:qFormat/>
    <w:rPr>
      <w:rFonts w:hint="default" w:asciiTheme="minorHAnsi" w:hAnsiTheme="minorHAnsi" w:eastAsiaTheme="minorEastAsia" w:cstheme="minorBidi"/>
      <w:lang w:val="en-US" w:eastAsia="zh-CN" w:bidi="ar-SA"/>
    </w:rPr>
  </w:style>
  <w:style w:type="paragraph" w:styleId="1220" w:customStyle="1">
    <w:name w:val="目录 1111"/>
    <w:basedOn w:val="1015"/>
    <w:next w:val="1015"/>
    <w:uiPriority w:val="39"/>
    <w:unhideWhenUsed/>
    <w:qFormat/>
    <w:pPr>
      <w:jc w:val="left"/>
      <w:spacing w:after="100" w:line="259" w:lineRule="auto"/>
      <w:widowControl/>
    </w:pPr>
    <w:rPr>
      <w:rFonts w:ascii="Calibri" w:hAnsi="Calibri"/>
      <w:sz w:val="22"/>
      <w:szCs w:val="22"/>
    </w:rPr>
  </w:style>
  <w:style w:type="paragraph" w:styleId="1221" w:customStyle="1">
    <w:name w:val="文本块1"/>
    <w:basedOn w:val="1222"/>
    <w:next w:val="1231"/>
    <w:uiPriority w:val="99"/>
    <w:unhideWhenUsed/>
    <w:qFormat/>
    <w:pPr>
      <w:ind w:left="1440" w:right="1440"/>
      <w:spacing w:after="120"/>
    </w:pPr>
  </w:style>
  <w:style w:type="paragraph" w:styleId="1222" w:customStyle="1">
    <w:name w:val="正文111"/>
    <w:next w:val="12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3" w:customStyle="1">
    <w:name w:val="正文文本缩进1"/>
    <w:basedOn w:val="1224"/>
    <w:next w:val="1230"/>
    <w:uiPriority w:val="0"/>
    <w:qFormat/>
    <w:pPr>
      <w:ind w:left="420"/>
      <w:spacing w:after="120"/>
    </w:pPr>
    <w:rPr>
      <w:rFonts w:ascii="Calibri" w:hAnsi="Calibri"/>
    </w:rPr>
  </w:style>
  <w:style w:type="paragraph" w:styleId="1224" w:customStyle="1">
    <w:name w:val="正文11"/>
    <w:next w:val="12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正文首行缩进1"/>
    <w:basedOn w:val="1226"/>
    <w:uiPriority w:val="0"/>
    <w:qFormat/>
    <w:pPr>
      <w:ind w:firstLine="420"/>
    </w:pPr>
  </w:style>
  <w:style w:type="paragraph" w:styleId="1226" w:customStyle="1">
    <w:name w:val="正文文本1"/>
    <w:basedOn w:val="1227"/>
    <w:next w:val="1225"/>
    <w:uiPriority w:val="0"/>
    <w:qFormat/>
    <w:pPr>
      <w:spacing w:after="120"/>
    </w:pPr>
    <w:rPr>
      <w:rFonts w:ascii="Calibri" w:hAnsi="Calibri"/>
    </w:rPr>
  </w:style>
  <w:style w:type="paragraph" w:styleId="1227" w:customStyle="1">
    <w:name w:val="正文1"/>
    <w:basedOn w:val="1224"/>
    <w:next w:val="1228"/>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脚注文本1"/>
    <w:basedOn w:val="1227"/>
    <w:next w:val="1229"/>
    <w:uiPriority w:val="0"/>
    <w:qFormat/>
    <w:pPr>
      <w:jc w:val="left"/>
    </w:pPr>
    <w:rPr>
      <w:rFonts w:ascii="宋体" w:eastAsia="Times New Roman"/>
      <w:sz w:val="18"/>
      <w:szCs w:val="18"/>
    </w:rPr>
  </w:style>
  <w:style w:type="paragraph" w:styleId="1229" w:customStyle="1">
    <w:name w:val="索引 51"/>
    <w:basedOn w:val="1227"/>
    <w:next w:val="1227"/>
    <w:uiPriority w:val="0"/>
    <w:qFormat/>
    <w:pPr>
      <w:ind w:left="798"/>
      <w:jc w:val="left"/>
    </w:pPr>
    <w:rPr>
      <w:rFonts w:ascii="Calibri" w:hAnsi="Calibri"/>
    </w:rPr>
  </w:style>
  <w:style w:type="paragraph" w:styleId="1230" w:customStyle="1">
    <w:name w:val="寄信人地址1"/>
    <w:basedOn w:val="1224"/>
    <w:uiPriority w:val="0"/>
    <w:qFormat/>
    <w:rPr>
      <w:rFonts w:ascii="Arial" w:hAnsi="Arial"/>
    </w:rPr>
  </w:style>
  <w:style w:type="paragraph" w:styleId="1231" w:customStyle="1">
    <w:name w:val="标题 41"/>
    <w:basedOn w:val="1232"/>
    <w:next w:val="1224"/>
    <w:uiPriority w:val="9"/>
    <w:qFormat/>
    <w:pPr>
      <w:keepLines/>
      <w:keepNext/>
      <w:spacing w:before="320" w:after="200"/>
      <w:outlineLvl w:val="3"/>
    </w:pPr>
    <w:rPr>
      <w:rFonts w:ascii="Arial" w:hAnsi="Arial" w:eastAsia="Arial" w:cs="Arial"/>
      <w:b/>
      <w:bCs/>
      <w:sz w:val="26"/>
      <w:szCs w:val="26"/>
    </w:rPr>
  </w:style>
  <w:style w:type="paragraph" w:styleId="1232" w:customStyle="1">
    <w:name w:val="正文12"/>
    <w:next w:val="12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文本块11"/>
    <w:basedOn w:val="1232"/>
    <w:uiPriority w:val="6"/>
    <w:qFormat/>
    <w:pPr>
      <w:ind w:left="256" w:right="6" w:firstLine="624"/>
    </w:pPr>
    <w:rPr>
      <w:rFonts w:eastAsia="仿宋"/>
      <w:sz w:val="28"/>
      <w:szCs w:val="20"/>
    </w:rPr>
  </w:style>
  <w:style w:type="paragraph" w:styleId="1234" w:customStyle="1">
    <w:name w:val="目录 11"/>
    <w:basedOn w:val="1224"/>
    <w:next w:val="1015"/>
    <w:uiPriority w:val="0"/>
    <w:qFormat/>
    <w:pPr>
      <w:jc w:val="left"/>
      <w:spacing w:after="100" w:line="259" w:lineRule="auto"/>
      <w:widowControl/>
    </w:pPr>
    <w:rPr>
      <w:rFonts w:ascii="Calibri" w:hAnsi="Calibri"/>
      <w:sz w:val="22"/>
      <w:szCs w:val="22"/>
    </w:rPr>
  </w:style>
  <w:style w:type="paragraph" w:styleId="1235" w:customStyle="1">
    <w:name w:val="正文2"/>
    <w:uiPriority w:val="0"/>
    <w:qFormat/>
    <w:pPr>
      <w:jc w:val="both"/>
      <w:spacing w:line="312" w:lineRule="atLeast"/>
      <w:widowControl w:val="off"/>
    </w:pPr>
    <w:rPr>
      <w:rFonts w:hint="default" w:ascii="宋体" w:hAnsi="Calibri" w:eastAsia="宋体" w:cs="Times New Roman"/>
      <w:sz w:val="34"/>
      <w:lang w:val="en-US" w:eastAsia="zh-CN" w:bidi="ar-SA"/>
    </w:rPr>
  </w:style>
  <w:style w:type="paragraph" w:styleId="1236" w:customStyle="1">
    <w:name w:val="目录 111"/>
    <w:basedOn w:val="1015"/>
    <w:next w:val="1015"/>
    <w:uiPriority w:val="39"/>
    <w:unhideWhenUsed/>
    <w:qFormat/>
    <w:pPr>
      <w:jc w:val="left"/>
      <w:spacing w:after="100" w:line="259" w:lineRule="auto"/>
      <w:widowControl/>
    </w:pPr>
    <w:rPr>
      <w:rFonts w:ascii="Calibri" w:hAnsi="Calibri"/>
      <w:sz w:val="22"/>
      <w:szCs w:val="22"/>
    </w:rPr>
  </w:style>
  <w:style w:type="paragraph" w:styleId="1237" w:customStyle="1">
    <w:name w:val="列出段落11"/>
    <w:basedOn w:val="1015"/>
    <w:uiPriority w:val="0"/>
    <w:qFormat/>
    <w:pPr>
      <w:ind w:firstLine="420"/>
    </w:pPr>
  </w:style>
  <w:style w:type="character" w:styleId="1238" w:customStyle="1">
    <w:name w:val="NormalCharacter"/>
    <w:uiPriority w:val="0"/>
    <w:semiHidden/>
    <w:qFormat/>
    <w:rPr>
      <w:sz w:val="28"/>
      <w:lang w:val="en-US" w:eastAsia="zh-CN" w:bidi="ar-SA"/>
    </w:rPr>
  </w:style>
  <w:style w:type="paragraph" w:styleId="1239" w:customStyle="1">
    <w:name w:val="__正文"/>
    <w:uiPriority w:val="0"/>
    <w:qFormat/>
    <w:pPr>
      <w:ind w:firstLine="200"/>
      <w:spacing w:line="360" w:lineRule="auto"/>
    </w:pPr>
    <w:rPr>
      <w:rFonts w:hint="default" w:ascii="宋体" w:hAnsi="宋体" w:eastAsia="宋体" w:cs="Times New Roman"/>
      <w:sz w:val="24"/>
      <w:szCs w:val="21"/>
      <w:lang w:val="en-US" w:eastAsia="zh-CN" w:bidi="ar-SA"/>
    </w:rPr>
  </w:style>
  <w:style w:type="paragraph" w:styleId="1240" w:customStyle="1">
    <w:name w:val="缩进正文"/>
    <w:basedOn w:val="1015"/>
    <w:uiPriority w:val="0"/>
    <w:qFormat/>
    <w:pPr>
      <w:widowControl/>
    </w:pPr>
  </w:style>
  <w:style w:type="paragraph" w:styleId="1241">
    <w:name w:val="List Paragraph"/>
    <w:basedOn w:val="1015"/>
    <w:uiPriority w:val="34"/>
    <w:qFormat/>
    <w:pPr>
      <w:contextualSpacing/>
      <w:ind w:left="720"/>
    </w:pPr>
  </w:style>
  <w:style w:type="paragraph" w:styleId="1242" w:customStyle="1">
    <w:name w:val="正文文本11"/>
    <w:basedOn w:val="1015"/>
    <w:next w:val="1015"/>
    <w:uiPriority w:val="99"/>
    <w:qFormat/>
    <w:pPr>
      <w:spacing w:after="120"/>
    </w:pPr>
    <w:rPr>
      <w:rFonts w:ascii="Calibri" w:hAnsi="Calibri"/>
    </w:rPr>
  </w:style>
  <w:style w:type="paragraph" w:styleId="1243" w:customStyle="1">
    <w:name w:val="列表段落1"/>
    <w:basedOn w:val="1227"/>
    <w:next w:val="1015"/>
    <w:uiPriority w:val="0"/>
    <w:qFormat/>
    <w:pPr>
      <w:ind w:firstLine="420"/>
    </w:pPr>
  </w:style>
  <w:style w:type="paragraph" w:styleId="1244" w:customStyle="1">
    <w:name w:val="_Style 13"/>
    <w:uiPriority w:val="0"/>
    <w:qFormat/>
    <w:pPr>
      <w:ind w:left="0"/>
      <w:jc w:val="left"/>
      <w:spacing w:before="120" w:after="120" w:line="288" w:lineRule="auto"/>
    </w:pPr>
    <w:rPr>
      <w:rFonts w:ascii="Arial" w:hAnsi="Arial" w:eastAsia="等线" w:cs="Arial"/>
      <w:sz w:val="22"/>
      <w:szCs w:val="22"/>
    </w:rPr>
  </w:style>
  <w:style w:type="paragraph" w:styleId="1245" w:customStyle="1">
    <w:name w:val="l正文"/>
    <w:uiPriority w:val="0"/>
    <w:qFormat/>
    <w:pPr>
      <w:ind w:firstLine="200"/>
      <w:jc w:val="both"/>
      <w:spacing w:line="300" w:lineRule="auto"/>
      <w:widowControl w:val="off"/>
    </w:pPr>
    <w:rPr>
      <w:rFonts w:ascii="楷体_GB2312" w:hAnsi="Times" w:eastAsia="楷体_GB2312" w:cs="Times New Roman"/>
      <w:sz w:val="24"/>
      <w:szCs w:val="24"/>
      <w:lang w:val="en-US" w:eastAsia="zh-CN" w:bidi="ar-SA"/>
    </w:rPr>
  </w:style>
  <w:style w:type="table" w:styleId="1246" w:customStyle="1">
    <w:name w:val="Table Normal"/>
    <w:uiPriority w:val="0"/>
    <w:unhideWhenUsed/>
    <w:qFormat/>
    <w:pPr>
      <w:spacing w:after="160" w:line="278" w:lineRule="auto"/>
    </w:pPr>
    <w:rPr>
      <w:rFonts w:ascii="Arial" w:hAnsi="Arial" w:cs="Arial"/>
      <w:color w:val="000000"/>
      <w:szCs w:val="21"/>
      <w:lang w:eastAsia="en-US"/>
    </w:rPr>
    <w:tblPr>
      <w:tblCellMar>
        <w:left w:w="0" w:type="dxa"/>
        <w:top w:w="0" w:type="dxa"/>
        <w:right w:w="0" w:type="dxa"/>
        <w:bottom w:w="0" w:type="dxa"/>
      </w:tblCellMar>
    </w:tblPr>
  </w:style>
  <w:style w:type="character" w:styleId="1247" w:customStyle="1">
    <w:name w:val="font81"/>
    <w:basedOn w:val="1025"/>
    <w:uiPriority w:val="0"/>
    <w:qFormat/>
    <w:rPr>
      <w:rFonts w:hint="eastAsia" w:ascii="宋体" w:hAnsi="宋体" w:eastAsia="宋体" w:cs="宋体"/>
      <w:color w:val="000000"/>
      <w:sz w:val="21"/>
      <w:szCs w:val="21"/>
      <w:u w:val="none"/>
    </w:rPr>
  </w:style>
  <w:style w:type="character" w:styleId="1248" w:customStyle="1">
    <w:name w:val="font41"/>
    <w:basedOn w:val="1025"/>
    <w:uiPriority w:val="0"/>
    <w:qFormat/>
    <w:rPr>
      <w:rFonts w:hint="default" w:ascii="Times New Roman" w:hAnsi="Times New Roman" w:cs="Times New Roman"/>
      <w:color w:val="000000"/>
      <w:sz w:val="21"/>
      <w:szCs w:val="21"/>
      <w:u w:val="none"/>
    </w:rPr>
  </w:style>
  <w:style w:type="paragraph" w:styleId="1249" w:customStyle="1">
    <w:name w:val="列出段落"/>
    <w:basedOn w:val="1015"/>
    <w:uiPriority w:val="0"/>
    <w:qFormat/>
    <w:pPr>
      <w:ind w:firstLine="420"/>
      <w:spacing w:line="360" w:lineRule="auto"/>
    </w:pPr>
    <w:rPr>
      <w:rFonts w:ascii="Calibri" w:hAnsi="Calibri"/>
      <w:szCs w:val="22"/>
    </w:rPr>
  </w:style>
  <w:style w:type="paragraph" w:styleId="1250" w:customStyle="1">
    <w:name w:val="表格"/>
    <w:basedOn w:val="1251"/>
    <w:next w:val="1015"/>
    <w:uiPriority w:val="0"/>
    <w:qFormat/>
    <w:pPr>
      <w:ind w:left="0" w:firstLine="0"/>
      <w:jc w:val="center"/>
      <w:tabs>
        <w:tab w:val="left" w:pos="180" w:leader="none"/>
      </w:tabs>
    </w:pPr>
  </w:style>
  <w:style w:type="paragraph" w:styleId="1251" w:customStyle="1">
    <w:name w:val="正文首行缩进 211"/>
    <w:basedOn w:val="1252"/>
    <w:uiPriority w:val="0"/>
    <w:qFormat/>
    <w:pPr>
      <w:ind w:left="420" w:firstLine="420"/>
      <w:tabs>
        <w:tab w:val="left" w:pos="180" w:leader="none"/>
      </w:tabs>
    </w:pPr>
    <w:rPr>
      <w:rFonts w:ascii="Times New Roman" w:hAnsi="Times New Roman"/>
    </w:rPr>
  </w:style>
  <w:style w:type="paragraph" w:styleId="1252" w:customStyle="1">
    <w:name w:val="正文文本缩进11"/>
    <w:basedOn w:val="1015"/>
    <w:next w:val="1253"/>
    <w:uiPriority w:val="0"/>
    <w:qFormat/>
    <w:pPr>
      <w:ind w:firstLine="480"/>
      <w:tabs>
        <w:tab w:val="left" w:pos="180" w:leader="none"/>
      </w:tabs>
    </w:pPr>
    <w:rPr>
      <w:rFonts w:ascii="Tahoma" w:hAnsi="Tahoma"/>
      <w:sz w:val="24"/>
    </w:rPr>
  </w:style>
  <w:style w:type="paragraph" w:styleId="1253" w:customStyle="1">
    <w:name w:val="寄信人地址11"/>
    <w:basedOn w:val="1015"/>
    <w:uiPriority w:val="0"/>
    <w:qFormat/>
    <w:rPr>
      <w:rFonts w:ascii="Arial" w:hAnsi="Arial"/>
    </w:rPr>
  </w:style>
  <w:style w:type="paragraph" w:styleId="1254" w:customStyle="1">
    <w:name w:val="页眉1"/>
    <w:basedOn w:val="1015"/>
    <w:uiPriority w:val="0"/>
    <w:qFormat/>
    <w:pPr>
      <w:jc w:val="center"/>
      <w:tabs>
        <w:tab w:val="center" w:pos="4153" w:leader="none"/>
        <w:tab w:val="right" w:pos="8306" w:leader="none"/>
      </w:tabs>
    </w:pPr>
    <w:rPr>
      <w:rFonts w:eastAsia="仿宋_GB2312"/>
      <w:sz w:val="18"/>
      <w:szCs w:val="20"/>
    </w:rPr>
  </w:style>
  <w:style w:type="paragraph" w:styleId="1255" w:customStyle="1">
    <w:name w:val="页脚1"/>
    <w:basedOn w:val="1015"/>
    <w:uiPriority w:val="0"/>
    <w:qFormat/>
    <w:pPr>
      <w:jc w:val="left"/>
      <w:tabs>
        <w:tab w:val="center" w:pos="4153" w:leader="none"/>
        <w:tab w:val="right" w:pos="8306" w:leader="none"/>
      </w:tabs>
    </w:pPr>
    <w:rPr>
      <w:rFonts w:eastAsia="黑体"/>
      <w:sz w:val="18"/>
      <w:szCs w:val="18"/>
    </w:rPr>
  </w:style>
  <w:style w:type="character" w:styleId="1256" w:customStyle="1">
    <w:name w:val="页码11"/>
    <w:uiPriority w:val="0"/>
    <w:qFormat/>
    <w:rPr>
      <w:rFonts w:hint="default" w:ascii="Times New Roman" w:hAnsi="Times New Roman" w:eastAsia="宋体" w:cs="Times New Roman"/>
      <w:sz w:val="21"/>
      <w:szCs w:val="24"/>
      <w:lang w:val="en-US" w:eastAsia="zh-CN" w:bidi="ar-SA"/>
    </w:rPr>
  </w:style>
  <w:style w:type="character" w:styleId="1257" w:customStyle="1">
    <w:name w:val="font51"/>
    <w:basedOn w:val="1025"/>
    <w:uiPriority w:val="0"/>
    <w:qFormat/>
    <w:rPr>
      <w:rFonts w:ascii="Calibri" w:hAnsi="Calibri" w:cs="Calibri"/>
      <w:color w:val="000000"/>
      <w:sz w:val="24"/>
      <w:szCs w:val="24"/>
      <w:u w:val="none"/>
    </w:rPr>
  </w:style>
  <w:style w:type="numbering" w:styleId="187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刘赛</cp:lastModifiedBy>
  <cp:revision>8</cp:revision>
  <dcterms:created xsi:type="dcterms:W3CDTF">2026-01-07T05:20:00Z</dcterms:created>
  <dcterms:modified xsi:type="dcterms:W3CDTF">2026-06-11T08:13:52Z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61F277E6EF3144DC98EB04758D11AC41_13</vt:lpwstr>
  </property>
  <property fmtid="{D5CDD505-2E9C-101B-9397-08002B2CF9AE}" pid="4" name="KSOTemplateDocerSaveRecord">
    <vt:lpwstr>eyJoZGlkIjoiMTk3YjA5YjIyZjBmZjg3YWU3ZjI1ZjYyZTJjZjhjMmIiLCJ1c2VySWQiOiIyODIzNTc1NTEifQ==</vt:lpwstr>
  </property>
</Properties>
</file>